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60" w:type="dxa"/>
        <w:tblCellMar>
          <w:top w:w="0" w:type="dxa"/>
          <w:left w:w="0" w:type="dxa"/>
          <w:bottom w:w="0" w:type="dxa"/>
          <w:right w:w="0" w:type="dxa"/>
        </w:tblCellMar>
      </w:tblPr>
      <w:tr>
        <w:trPr>
          <w:trHeight w:val="297"/>
        </w:trPr>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gridSpan w:val="6"/>
          </w:tcPr>
          <w:p>
            <w:pPr>
              <w:jc w:val="center"/>
              <w:ind w:right="2880"/>
              <w:spacing w:after="0"/>
              <w:rPr>
                <w:sz w:val="20"/>
                <w:szCs w:val="20"/>
                <w:color w:val="auto"/>
              </w:rPr>
            </w:pPr>
            <w:r>
              <w:rPr>
                <w:rFonts w:ascii="Arial" w:cs="Arial" w:eastAsia="Arial" w:hAnsi="Arial"/>
                <w:sz w:val="25"/>
                <w:szCs w:val="25"/>
                <w:b w:val="1"/>
                <w:bCs w:val="1"/>
                <w:color w:val="auto"/>
                <w:w w:val="98"/>
              </w:rPr>
              <w:t>UNITED STATES</w:t>
            </w:r>
          </w:p>
        </w:tc>
        <w:tc>
          <w:tcPr>
            <w:tcW w:w="0" w:type="dxa"/>
            <w:vAlign w:val="bottom"/>
          </w:tcPr>
          <w:p>
            <w:pPr>
              <w:spacing w:after="0"/>
              <w:rPr>
                <w:sz w:val="1"/>
                <w:szCs w:val="1"/>
                <w:color w:val="auto"/>
              </w:rPr>
            </w:pPr>
          </w:p>
        </w:tc>
      </w:tr>
      <w:tr>
        <w:trPr>
          <w:trHeight w:val="326"/>
        </w:trPr>
        <w:tc>
          <w:tcPr>
            <w:tcW w:w="880" w:type="dxa"/>
            <w:vAlign w:val="bottom"/>
          </w:tcPr>
          <w:p>
            <w:pPr>
              <w:spacing w:after="0"/>
              <w:rPr>
                <w:sz w:val="24"/>
                <w:szCs w:val="24"/>
                <w:color w:val="auto"/>
              </w:rPr>
            </w:pPr>
          </w:p>
        </w:tc>
        <w:tc>
          <w:tcPr>
            <w:tcW w:w="8100" w:type="dxa"/>
            <w:vAlign w:val="bottom"/>
            <w:gridSpan w:val="7"/>
          </w:tcPr>
          <w:p>
            <w:pPr>
              <w:jc w:val="center"/>
              <w:spacing w:after="0"/>
              <w:rPr>
                <w:sz w:val="20"/>
                <w:szCs w:val="20"/>
                <w:color w:val="auto"/>
              </w:rPr>
            </w:pPr>
            <w:r>
              <w:rPr>
                <w:rFonts w:ascii="Arial" w:cs="Arial" w:eastAsia="Arial" w:hAnsi="Arial"/>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60" w:type="dxa"/>
            <w:vAlign w:val="bottom"/>
            <w:gridSpan w:val="2"/>
          </w:tcPr>
          <w:p>
            <w:pPr>
              <w:jc w:val="center"/>
              <w:ind w:left="130"/>
              <w:spacing w:after="0"/>
              <w:rPr>
                <w:sz w:val="20"/>
                <w:szCs w:val="20"/>
                <w:color w:val="auto"/>
              </w:rPr>
            </w:pPr>
            <w:r>
              <w:rPr>
                <w:rFonts w:ascii="Arial" w:cs="Arial" w:eastAsia="Arial" w:hAnsi="Arial"/>
                <w:sz w:val="14"/>
                <w:szCs w:val="14"/>
                <w:b w:val="1"/>
                <w:bCs w:val="1"/>
                <w:color w:val="auto"/>
              </w:rPr>
              <w:t>WASHINGTON, D.C. 20549</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spacing w:after="0"/>
              <w:rPr>
                <w:sz w:val="24"/>
                <w:szCs w:val="24"/>
                <w:color w:val="auto"/>
              </w:rPr>
            </w:pPr>
          </w:p>
        </w:tc>
        <w:tc>
          <w:tcPr>
            <w:tcW w:w="2060" w:type="dxa"/>
            <w:vAlign w:val="bottom"/>
            <w:gridSpan w:val="2"/>
          </w:tcPr>
          <w:p>
            <w:pPr>
              <w:jc w:val="center"/>
              <w:ind w:left="210"/>
              <w:spacing w:after="0"/>
              <w:rPr>
                <w:sz w:val="20"/>
                <w:szCs w:val="20"/>
                <w:color w:val="auto"/>
              </w:rPr>
            </w:pPr>
            <w:r>
              <w:rPr>
                <w:rFonts w:ascii="Arial" w:cs="Arial" w:eastAsia="Arial" w:hAnsi="Arial"/>
                <w:sz w:val="22"/>
                <w:szCs w:val="22"/>
                <w:b w:val="1"/>
                <w:bCs w:val="1"/>
                <w:color w:val="auto"/>
                <w:w w:val="97"/>
              </w:rPr>
              <w:t>FORM 10-K</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80" w:type="dxa"/>
            <w:vAlign w:val="bottom"/>
            <w:vMerge w:val="continue"/>
          </w:tcPr>
          <w:p>
            <w:pPr>
              <w:spacing w:after="0"/>
              <w:rPr>
                <w:sz w:val="22"/>
                <w:szCs w:val="22"/>
                <w:color w:val="auto"/>
              </w:rPr>
            </w:pPr>
          </w:p>
        </w:tc>
        <w:tc>
          <w:tcPr>
            <w:tcW w:w="8100" w:type="dxa"/>
            <w:vAlign w:val="bottom"/>
            <w:gridSpan w:val="7"/>
          </w:tcPr>
          <w:p>
            <w:pPr>
              <w:jc w:val="center"/>
              <w:ind w:left="637"/>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33"/>
        </w:trPr>
        <w:tc>
          <w:tcPr>
            <w:tcW w:w="880" w:type="dxa"/>
            <w:vAlign w:val="bottom"/>
          </w:tcPr>
          <w:p>
            <w:pPr>
              <w:spacing w:after="0"/>
              <w:rPr>
                <w:sz w:val="20"/>
                <w:szCs w:val="20"/>
                <w:color w:val="auto"/>
              </w:rPr>
            </w:pPr>
          </w:p>
        </w:tc>
        <w:tc>
          <w:tcPr>
            <w:tcW w:w="8100" w:type="dxa"/>
            <w:vAlign w:val="bottom"/>
            <w:gridSpan w:val="7"/>
          </w:tcPr>
          <w:p>
            <w:pPr>
              <w:jc w:val="center"/>
              <w:spacing w:after="0"/>
              <w:rPr>
                <w:sz w:val="20"/>
                <w:szCs w:val="20"/>
                <w:color w:val="auto"/>
              </w:rPr>
            </w:pPr>
            <w:r>
              <w:rPr>
                <w:rFonts w:ascii="Arial" w:cs="Arial" w:eastAsia="Arial" w:hAnsi="Arial"/>
                <w:sz w:val="14"/>
                <w:szCs w:val="14"/>
                <w:b w:val="1"/>
                <w:bCs w:val="1"/>
                <w:color w:val="auto"/>
              </w:rPr>
              <w:t>For the fiscal year ended December 31, 2023</w:t>
            </w:r>
          </w:p>
        </w:tc>
        <w:tc>
          <w:tcPr>
            <w:tcW w:w="0" w:type="dxa"/>
            <w:vAlign w:val="bottom"/>
          </w:tcPr>
          <w:p>
            <w:pPr>
              <w:spacing w:after="0"/>
              <w:rPr>
                <w:sz w:val="1"/>
                <w:szCs w:val="1"/>
                <w:color w:val="auto"/>
              </w:rPr>
            </w:pPr>
          </w:p>
        </w:tc>
      </w:tr>
      <w:tr>
        <w:trPr>
          <w:trHeight w:val="196"/>
        </w:trPr>
        <w:tc>
          <w:tcPr>
            <w:tcW w:w="8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spacing w:after="0"/>
              <w:rPr>
                <w:sz w:val="17"/>
                <w:szCs w:val="17"/>
                <w:color w:val="auto"/>
              </w:rPr>
            </w:pPr>
          </w:p>
        </w:tc>
        <w:tc>
          <w:tcPr>
            <w:tcW w:w="2060" w:type="dxa"/>
            <w:vAlign w:val="bottom"/>
            <w:gridSpan w:val="2"/>
          </w:tcPr>
          <w:p>
            <w:pPr>
              <w:jc w:val="center"/>
              <w:ind w:left="150"/>
              <w:spacing w:after="0"/>
              <w:rPr>
                <w:sz w:val="20"/>
                <w:szCs w:val="20"/>
                <w:color w:val="auto"/>
              </w:rPr>
            </w:pPr>
            <w:r>
              <w:rPr>
                <w:rFonts w:ascii="Arial" w:cs="Arial" w:eastAsia="Arial" w:hAnsi="Arial"/>
                <w:sz w:val="14"/>
                <w:szCs w:val="14"/>
                <w:b w:val="1"/>
                <w:bCs w:val="1"/>
                <w:color w:val="auto"/>
              </w:rPr>
              <w:t>OR</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880" w:type="dxa"/>
            <w:vAlign w:val="bottom"/>
            <w:vMerge w:val="continue"/>
          </w:tcPr>
          <w:p>
            <w:pPr>
              <w:spacing w:after="0"/>
              <w:rPr>
                <w:sz w:val="23"/>
                <w:szCs w:val="23"/>
                <w:color w:val="auto"/>
              </w:rPr>
            </w:pPr>
          </w:p>
        </w:tc>
        <w:tc>
          <w:tcPr>
            <w:tcW w:w="8100" w:type="dxa"/>
            <w:vAlign w:val="bottom"/>
            <w:gridSpan w:val="7"/>
          </w:tcPr>
          <w:p>
            <w:pPr>
              <w:jc w:val="center"/>
              <w:ind w:left="637"/>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42"/>
        </w:trPr>
        <w:tc>
          <w:tcPr>
            <w:tcW w:w="880" w:type="dxa"/>
            <w:vAlign w:val="bottom"/>
          </w:tcPr>
          <w:p>
            <w:pPr>
              <w:spacing w:after="0"/>
              <w:rPr>
                <w:sz w:val="21"/>
                <w:szCs w:val="21"/>
                <w:color w:val="auto"/>
              </w:rPr>
            </w:pPr>
          </w:p>
        </w:tc>
        <w:tc>
          <w:tcPr>
            <w:tcW w:w="4520" w:type="dxa"/>
            <w:vAlign w:val="bottom"/>
            <w:gridSpan w:val="2"/>
          </w:tcPr>
          <w:p>
            <w:pPr>
              <w:ind w:left="2460"/>
              <w:spacing w:after="0"/>
              <w:rPr>
                <w:sz w:val="20"/>
                <w:szCs w:val="20"/>
                <w:color w:val="auto"/>
              </w:rPr>
            </w:pPr>
            <w:r>
              <w:rPr>
                <w:rFonts w:ascii="Arial" w:cs="Arial" w:eastAsia="Arial" w:hAnsi="Arial"/>
                <w:sz w:val="14"/>
                <w:szCs w:val="14"/>
                <w:b w:val="1"/>
                <w:bCs w:val="1"/>
                <w:color w:val="auto"/>
              </w:rPr>
              <w:t>For the transition period from</w:t>
            </w:r>
          </w:p>
        </w:tc>
        <w:tc>
          <w:tcPr>
            <w:tcW w:w="480" w:type="dxa"/>
            <w:vAlign w:val="bottom"/>
            <w:tcBorders>
              <w:bottom w:val="single" w:sz="8" w:color="auto"/>
            </w:tcBorders>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480" w:type="dxa"/>
            <w:vAlign w:val="bottom"/>
            <w:tcBorders>
              <w:bottom w:val="single" w:sz="8" w:color="auto"/>
            </w:tcBorders>
            <w:gridSpan w:val="2"/>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160" w:type="dxa"/>
            <w:vAlign w:val="bottom"/>
            <w:gridSpan w:val="6"/>
          </w:tcPr>
          <w:p>
            <w:pPr>
              <w:jc w:val="center"/>
              <w:ind w:right="2880"/>
              <w:spacing w:after="0"/>
              <w:rPr>
                <w:sz w:val="20"/>
                <w:szCs w:val="20"/>
                <w:color w:val="auto"/>
              </w:rPr>
            </w:pPr>
            <w:r>
              <w:rPr>
                <w:rFonts w:ascii="Arial" w:cs="Arial" w:eastAsia="Arial" w:hAnsi="Arial"/>
                <w:sz w:val="14"/>
                <w:szCs w:val="14"/>
                <w:b w:val="1"/>
                <w:bCs w:val="1"/>
                <w:color w:val="auto"/>
              </w:rPr>
              <w:t>Commission File No. 001-10308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328"/>
        </w:trPr>
        <w:tc>
          <w:tcPr>
            <w:tcW w:w="3140" w:type="dxa"/>
            <w:vAlign w:val="bottom"/>
          </w:tcPr>
          <w:p>
            <w:pPr>
              <w:spacing w:after="0"/>
              <w:rPr>
                <w:sz w:val="24"/>
                <w:szCs w:val="24"/>
                <w:color w:val="auto"/>
              </w:rPr>
            </w:pPr>
          </w:p>
        </w:tc>
        <w:tc>
          <w:tcPr>
            <w:tcW w:w="7680" w:type="dxa"/>
            <w:vAlign w:val="bottom"/>
            <w:gridSpan w:val="2"/>
          </w:tcPr>
          <w:p>
            <w:pPr>
              <w:jc w:val="center"/>
              <w:ind w:right="2629"/>
              <w:spacing w:after="0"/>
              <w:rPr>
                <w:sz w:val="20"/>
                <w:szCs w:val="20"/>
                <w:color w:val="auto"/>
              </w:rPr>
            </w:pPr>
            <w:r>
              <w:rPr>
                <w:rFonts w:ascii="Arial" w:cs="Arial" w:eastAsia="Arial" w:hAnsi="Arial"/>
                <w:sz w:val="25"/>
                <w:szCs w:val="25"/>
                <w:b w:val="1"/>
                <w:bCs w:val="1"/>
                <w:color w:val="auto"/>
                <w:w w:val="98"/>
              </w:rPr>
              <w:t>AVIS BUDGET GROUP, INC.</w:t>
            </w: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7680" w:type="dxa"/>
            <w:vAlign w:val="bottom"/>
            <w:gridSpan w:val="2"/>
          </w:tcPr>
          <w:p>
            <w:pPr>
              <w:jc w:val="center"/>
              <w:ind w:right="2649"/>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0" w:type="dxa"/>
            <w:vAlign w:val="bottom"/>
          </w:tcPr>
          <w:p>
            <w:pPr>
              <w:spacing w:after="0"/>
              <w:rPr>
                <w:sz w:val="1"/>
                <w:szCs w:val="1"/>
                <w:color w:val="auto"/>
              </w:rPr>
            </w:pPr>
          </w:p>
        </w:tc>
      </w:tr>
      <w:tr>
        <w:trPr>
          <w:trHeight w:val="216"/>
        </w:trPr>
        <w:tc>
          <w:tcPr>
            <w:tcW w:w="3140" w:type="dxa"/>
            <w:vAlign w:val="bottom"/>
          </w:tcPr>
          <w:p>
            <w:pPr>
              <w:jc w:val="center"/>
              <w:ind w:left="289"/>
              <w:spacing w:after="0"/>
              <w:rPr>
                <w:sz w:val="20"/>
                <w:szCs w:val="20"/>
                <w:color w:val="auto"/>
              </w:rPr>
            </w:pPr>
            <w:r>
              <w:rPr>
                <w:rFonts w:ascii="Arial" w:cs="Arial" w:eastAsia="Arial" w:hAnsi="Arial"/>
                <w:sz w:val="14"/>
                <w:szCs w:val="14"/>
                <w:b w:val="1"/>
                <w:bCs w:val="1"/>
                <w:color w:val="auto"/>
              </w:rPr>
              <w:t>Delaware</w:t>
            </w:r>
          </w:p>
        </w:tc>
        <w:tc>
          <w:tcPr>
            <w:tcW w:w="3680" w:type="dxa"/>
            <w:vAlign w:val="bottom"/>
          </w:tcPr>
          <w:p>
            <w:pPr>
              <w:spacing w:after="0"/>
              <w:rPr>
                <w:sz w:val="18"/>
                <w:szCs w:val="18"/>
                <w:color w:val="auto"/>
              </w:rPr>
            </w:pPr>
          </w:p>
        </w:tc>
        <w:tc>
          <w:tcPr>
            <w:tcW w:w="4000" w:type="dxa"/>
            <w:vAlign w:val="bottom"/>
          </w:tcPr>
          <w:p>
            <w:pPr>
              <w:jc w:val="right"/>
              <w:ind w:right="809"/>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51"/>
        </w:trPr>
        <w:tc>
          <w:tcPr>
            <w:tcW w:w="3140" w:type="dxa"/>
            <w:vAlign w:val="bottom"/>
          </w:tcPr>
          <w:p>
            <w:pPr>
              <w:jc w:val="center"/>
              <w:ind w:left="249"/>
              <w:spacing w:after="0" w:line="151" w:lineRule="exact"/>
              <w:rPr>
                <w:sz w:val="20"/>
                <w:szCs w:val="20"/>
                <w:color w:val="auto"/>
              </w:rPr>
            </w:pPr>
            <w:r>
              <w:rPr>
                <w:rFonts w:ascii="Arial" w:cs="Arial" w:eastAsia="Arial" w:hAnsi="Arial"/>
                <w:sz w:val="14"/>
                <w:szCs w:val="14"/>
                <w:color w:val="auto"/>
              </w:rPr>
              <w:t>(State or other jurisdiction of</w:t>
            </w:r>
          </w:p>
        </w:tc>
        <w:tc>
          <w:tcPr>
            <w:tcW w:w="3680" w:type="dxa"/>
            <w:vAlign w:val="bottom"/>
          </w:tcPr>
          <w:p>
            <w:pPr>
              <w:spacing w:after="0"/>
              <w:rPr>
                <w:sz w:val="13"/>
                <w:szCs w:val="13"/>
                <w:color w:val="auto"/>
              </w:rPr>
            </w:pPr>
          </w:p>
        </w:tc>
        <w:tc>
          <w:tcPr>
            <w:tcW w:w="4000" w:type="dxa"/>
            <w:vAlign w:val="bottom"/>
          </w:tcPr>
          <w:p>
            <w:pPr>
              <w:jc w:val="right"/>
              <w:spacing w:after="0" w:line="151" w:lineRule="exact"/>
              <w:rPr>
                <w:sz w:val="20"/>
                <w:szCs w:val="20"/>
                <w:color w:val="auto"/>
              </w:rPr>
            </w:pPr>
            <w:r>
              <w:rPr>
                <w:rFonts w:ascii="Arial" w:cs="Arial" w:eastAsia="Arial" w:hAnsi="Arial"/>
                <w:sz w:val="14"/>
                <w:szCs w:val="14"/>
                <w:color w:val="auto"/>
              </w:rPr>
              <w:t>(I.R.S. Employer Identification Number)</w:t>
            </w:r>
          </w:p>
        </w:tc>
        <w:tc>
          <w:tcPr>
            <w:tcW w:w="0" w:type="dxa"/>
            <w:vAlign w:val="bottom"/>
          </w:tcPr>
          <w:p>
            <w:pPr>
              <w:spacing w:after="0"/>
              <w:rPr>
                <w:sz w:val="1"/>
                <w:szCs w:val="1"/>
                <w:color w:val="auto"/>
              </w:rPr>
            </w:pPr>
          </w:p>
        </w:tc>
      </w:tr>
      <w:tr>
        <w:trPr>
          <w:trHeight w:val="190"/>
        </w:trPr>
        <w:tc>
          <w:tcPr>
            <w:tcW w:w="3140" w:type="dxa"/>
            <w:vAlign w:val="bottom"/>
          </w:tcPr>
          <w:p>
            <w:pPr>
              <w:jc w:val="center"/>
              <w:ind w:left="289"/>
              <w:spacing w:after="0"/>
              <w:rPr>
                <w:sz w:val="20"/>
                <w:szCs w:val="20"/>
                <w:color w:val="auto"/>
              </w:rPr>
            </w:pPr>
            <w:r>
              <w:rPr>
                <w:rFonts w:ascii="Arial" w:cs="Arial" w:eastAsia="Arial" w:hAnsi="Arial"/>
                <w:sz w:val="14"/>
                <w:szCs w:val="14"/>
                <w:color w:val="auto"/>
              </w:rPr>
              <w:t>incorporation or organization)</w:t>
            </w:r>
          </w:p>
        </w:tc>
        <w:tc>
          <w:tcPr>
            <w:tcW w:w="36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40" w:type="dxa"/>
            <w:vAlign w:val="bottom"/>
          </w:tcPr>
          <w:p>
            <w:pPr>
              <w:jc w:val="center"/>
              <w:ind w:left="289"/>
              <w:spacing w:after="0"/>
              <w:rPr>
                <w:sz w:val="20"/>
                <w:szCs w:val="20"/>
                <w:color w:val="auto"/>
              </w:rPr>
            </w:pPr>
            <w:r>
              <w:rPr>
                <w:rFonts w:ascii="Arial" w:cs="Arial" w:eastAsia="Arial" w:hAnsi="Arial"/>
                <w:sz w:val="14"/>
                <w:szCs w:val="14"/>
                <w:b w:val="1"/>
                <w:bCs w:val="1"/>
                <w:color w:val="auto"/>
              </w:rPr>
              <w:t>379 Interpace Parkway</w:t>
            </w:r>
          </w:p>
        </w:tc>
        <w:tc>
          <w:tcPr>
            <w:tcW w:w="36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1200"/>
              <w:spacing w:after="0"/>
              <w:rPr>
                <w:sz w:val="20"/>
                <w:szCs w:val="20"/>
                <w:color w:val="auto"/>
              </w:rPr>
            </w:pPr>
            <w:r>
              <w:rPr>
                <w:rFonts w:ascii="Arial" w:cs="Arial" w:eastAsia="Arial" w:hAnsi="Arial"/>
                <w:sz w:val="14"/>
                <w:szCs w:val="14"/>
                <w:b w:val="1"/>
                <w:bCs w:val="1"/>
                <w:color w:val="auto"/>
              </w:rPr>
              <w:t>Parsippany, NJ</w:t>
            </w:r>
          </w:p>
        </w:tc>
        <w:tc>
          <w:tcPr>
            <w:tcW w:w="3680" w:type="dxa"/>
            <w:vAlign w:val="bottom"/>
          </w:tcPr>
          <w:p>
            <w:pPr>
              <w:spacing w:after="0"/>
              <w:rPr>
                <w:sz w:val="17"/>
                <w:szCs w:val="17"/>
                <w:color w:val="auto"/>
              </w:rPr>
            </w:pPr>
          </w:p>
        </w:tc>
        <w:tc>
          <w:tcPr>
            <w:tcW w:w="4000" w:type="dxa"/>
            <w:vAlign w:val="bottom"/>
          </w:tcPr>
          <w:p>
            <w:pPr>
              <w:jc w:val="right"/>
              <w:ind w:right="989"/>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97"/>
        </w:trPr>
        <w:tc>
          <w:tcPr>
            <w:tcW w:w="3140" w:type="dxa"/>
            <w:vAlign w:val="bottom"/>
          </w:tcPr>
          <w:p>
            <w:pPr>
              <w:jc w:val="center"/>
              <w:ind w:left="289"/>
              <w:spacing w:after="0"/>
              <w:rPr>
                <w:sz w:val="20"/>
                <w:szCs w:val="20"/>
                <w:color w:val="auto"/>
              </w:rPr>
            </w:pPr>
            <w:r>
              <w:rPr>
                <w:rFonts w:ascii="Arial" w:cs="Arial" w:eastAsia="Arial" w:hAnsi="Arial"/>
                <w:sz w:val="14"/>
                <w:szCs w:val="14"/>
                <w:color w:val="auto"/>
              </w:rPr>
              <w:t>(Address of principal executive offices)</w:t>
            </w:r>
          </w:p>
        </w:tc>
        <w:tc>
          <w:tcPr>
            <w:tcW w:w="3680" w:type="dxa"/>
            <w:vAlign w:val="bottom"/>
          </w:tcPr>
          <w:p>
            <w:pPr>
              <w:spacing w:after="0"/>
              <w:rPr>
                <w:sz w:val="17"/>
                <w:szCs w:val="17"/>
                <w:color w:val="auto"/>
              </w:rPr>
            </w:pPr>
          </w:p>
        </w:tc>
        <w:tc>
          <w:tcPr>
            <w:tcW w:w="4000" w:type="dxa"/>
            <w:vAlign w:val="bottom"/>
          </w:tcPr>
          <w:p>
            <w:pPr>
              <w:jc w:val="right"/>
              <w:ind w:right="849"/>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08"/>
        </w:trPr>
        <w:tc>
          <w:tcPr>
            <w:tcW w:w="3140" w:type="dxa"/>
            <w:vAlign w:val="bottom"/>
          </w:tcPr>
          <w:p>
            <w:pPr>
              <w:spacing w:after="0"/>
              <w:rPr>
                <w:sz w:val="18"/>
                <w:szCs w:val="18"/>
                <w:color w:val="auto"/>
              </w:rPr>
            </w:pPr>
          </w:p>
        </w:tc>
        <w:tc>
          <w:tcPr>
            <w:tcW w:w="3680" w:type="dxa"/>
            <w:vAlign w:val="bottom"/>
          </w:tcPr>
          <w:p>
            <w:pPr>
              <w:jc w:val="center"/>
              <w:ind w:left="1222"/>
              <w:spacing w:after="0"/>
              <w:rPr>
                <w:sz w:val="20"/>
                <w:szCs w:val="20"/>
                <w:color w:val="auto"/>
              </w:rPr>
            </w:pPr>
            <w:r>
              <w:rPr>
                <w:rFonts w:ascii="Arial" w:cs="Arial" w:eastAsia="Arial" w:hAnsi="Arial"/>
                <w:sz w:val="14"/>
                <w:szCs w:val="14"/>
                <w:b w:val="1"/>
                <w:bCs w:val="1"/>
                <w:color w:val="auto"/>
              </w:rPr>
              <w:t>(973) 496-4700</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40" w:type="dxa"/>
            <w:vAlign w:val="bottom"/>
          </w:tcPr>
          <w:p>
            <w:pPr>
              <w:spacing w:after="0"/>
              <w:rPr>
                <w:sz w:val="17"/>
                <w:szCs w:val="17"/>
                <w:color w:val="auto"/>
              </w:rPr>
            </w:pPr>
          </w:p>
        </w:tc>
        <w:tc>
          <w:tcPr>
            <w:tcW w:w="7680" w:type="dxa"/>
            <w:vAlign w:val="bottom"/>
            <w:gridSpan w:val="2"/>
          </w:tcPr>
          <w:p>
            <w:pPr>
              <w:jc w:val="right"/>
              <w:ind w:right="336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351"/>
        </w:trPr>
        <w:tc>
          <w:tcPr>
            <w:tcW w:w="3140" w:type="dxa"/>
            <w:vAlign w:val="bottom"/>
          </w:tcPr>
          <w:p>
            <w:pPr>
              <w:spacing w:after="0"/>
              <w:rPr>
                <w:sz w:val="24"/>
                <w:szCs w:val="24"/>
                <w:color w:val="auto"/>
              </w:rPr>
            </w:pPr>
          </w:p>
        </w:tc>
        <w:tc>
          <w:tcPr>
            <w:tcW w:w="7680" w:type="dxa"/>
            <w:vAlign w:val="bottom"/>
            <w:gridSpan w:val="2"/>
          </w:tcPr>
          <w:p>
            <w:pPr>
              <w:jc w:val="center"/>
              <w:ind w:right="2649"/>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161"/>
        </w:trPr>
        <w:tc>
          <w:tcPr>
            <w:tcW w:w="3140" w:type="dxa"/>
            <w:vAlign w:val="bottom"/>
            <w:vMerge w:val="restart"/>
          </w:tcPr>
          <w:p>
            <w:pPr>
              <w:jc w:val="center"/>
              <w:ind w:left="529"/>
              <w:spacing w:after="0"/>
              <w:rPr>
                <w:sz w:val="20"/>
                <w:szCs w:val="20"/>
                <w:color w:val="auto"/>
              </w:rPr>
            </w:pPr>
            <w:r>
              <w:rPr>
                <w:rFonts w:ascii="Arial" w:cs="Arial" w:eastAsia="Arial" w:hAnsi="Arial"/>
                <w:sz w:val="14"/>
                <w:szCs w:val="14"/>
                <w:b w:val="1"/>
                <w:bCs w:val="1"/>
                <w:color w:val="auto"/>
              </w:rPr>
              <w:t>TITLE OF EACH CLASS</w:t>
            </w:r>
          </w:p>
        </w:tc>
        <w:tc>
          <w:tcPr>
            <w:tcW w:w="3680" w:type="dxa"/>
            <w:vAlign w:val="bottom"/>
            <w:vMerge w:val="restart"/>
          </w:tcPr>
          <w:p>
            <w:pPr>
              <w:jc w:val="center"/>
              <w:ind w:left="1182"/>
              <w:spacing w:after="0"/>
              <w:rPr>
                <w:sz w:val="20"/>
                <w:szCs w:val="20"/>
                <w:color w:val="auto"/>
              </w:rPr>
            </w:pPr>
            <w:r>
              <w:rPr>
                <w:rFonts w:ascii="Arial" w:cs="Arial" w:eastAsia="Arial" w:hAnsi="Arial"/>
                <w:sz w:val="14"/>
                <w:szCs w:val="14"/>
                <w:b w:val="1"/>
                <w:bCs w:val="1"/>
                <w:color w:val="auto"/>
              </w:rPr>
              <w:t>TRADING SYMBOL(S)</w:t>
            </w:r>
          </w:p>
        </w:tc>
        <w:tc>
          <w:tcPr>
            <w:tcW w:w="4000" w:type="dxa"/>
            <w:vAlign w:val="bottom"/>
          </w:tcPr>
          <w:p>
            <w:pPr>
              <w:jc w:val="center"/>
              <w:ind w:left="1009"/>
              <w:spacing w:after="0"/>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89"/>
        </w:trPr>
        <w:tc>
          <w:tcPr>
            <w:tcW w:w="3140" w:type="dxa"/>
            <w:vAlign w:val="bottom"/>
            <w:vMerge w:val="continue"/>
          </w:tcPr>
          <w:p>
            <w:pPr>
              <w:spacing w:after="0"/>
              <w:rPr>
                <w:sz w:val="16"/>
                <w:szCs w:val="16"/>
                <w:color w:val="auto"/>
              </w:rPr>
            </w:pPr>
          </w:p>
        </w:tc>
        <w:tc>
          <w:tcPr>
            <w:tcW w:w="3680" w:type="dxa"/>
            <w:vAlign w:val="bottom"/>
            <w:vMerge w:val="continue"/>
          </w:tcPr>
          <w:p>
            <w:pPr>
              <w:spacing w:after="0"/>
              <w:rPr>
                <w:sz w:val="16"/>
                <w:szCs w:val="16"/>
                <w:color w:val="auto"/>
              </w:rPr>
            </w:pPr>
          </w:p>
        </w:tc>
        <w:tc>
          <w:tcPr>
            <w:tcW w:w="4000" w:type="dxa"/>
            <w:vAlign w:val="bottom"/>
          </w:tcPr>
          <w:p>
            <w:pPr>
              <w:jc w:val="center"/>
              <w:ind w:left="1029"/>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190"/>
        </w:trPr>
        <w:tc>
          <w:tcPr>
            <w:tcW w:w="3140" w:type="dxa"/>
            <w:vAlign w:val="bottom"/>
          </w:tcPr>
          <w:p>
            <w:pPr>
              <w:jc w:val="center"/>
              <w:ind w:left="529"/>
              <w:spacing w:after="0"/>
              <w:rPr>
                <w:sz w:val="20"/>
                <w:szCs w:val="20"/>
                <w:color w:val="auto"/>
              </w:rPr>
            </w:pPr>
            <w:r>
              <w:rPr>
                <w:rFonts w:ascii="Arial" w:cs="Arial" w:eastAsia="Arial" w:hAnsi="Arial"/>
                <w:sz w:val="14"/>
                <w:szCs w:val="14"/>
                <w:color w:val="auto"/>
              </w:rPr>
              <w:t>Common Stock, Par Value $.01</w:t>
            </w:r>
          </w:p>
        </w:tc>
        <w:tc>
          <w:tcPr>
            <w:tcW w:w="3680" w:type="dxa"/>
            <w:vAlign w:val="bottom"/>
          </w:tcPr>
          <w:p>
            <w:pPr>
              <w:jc w:val="center"/>
              <w:ind w:left="1182"/>
              <w:spacing w:after="0"/>
              <w:rPr>
                <w:sz w:val="20"/>
                <w:szCs w:val="20"/>
                <w:color w:val="auto"/>
              </w:rPr>
            </w:pPr>
            <w:r>
              <w:rPr>
                <w:rFonts w:ascii="Arial" w:cs="Arial" w:eastAsia="Arial" w:hAnsi="Arial"/>
                <w:sz w:val="14"/>
                <w:szCs w:val="14"/>
                <w:color w:val="auto"/>
              </w:rPr>
              <w:t>CAR</w:t>
            </w:r>
          </w:p>
        </w:tc>
        <w:tc>
          <w:tcPr>
            <w:tcW w:w="4000" w:type="dxa"/>
            <w:vAlign w:val="bottom"/>
          </w:tcPr>
          <w:p>
            <w:pPr>
              <w:jc w:val="center"/>
              <w:ind w:left="1009"/>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351"/>
        </w:trPr>
        <w:tc>
          <w:tcPr>
            <w:tcW w:w="3140" w:type="dxa"/>
            <w:vAlign w:val="bottom"/>
          </w:tcPr>
          <w:p>
            <w:pPr>
              <w:spacing w:after="0"/>
              <w:rPr>
                <w:sz w:val="24"/>
                <w:szCs w:val="24"/>
                <w:color w:val="auto"/>
              </w:rPr>
            </w:pPr>
          </w:p>
        </w:tc>
        <w:tc>
          <w:tcPr>
            <w:tcW w:w="7680" w:type="dxa"/>
            <w:vAlign w:val="bottom"/>
            <w:gridSpan w:val="2"/>
          </w:tcPr>
          <w:p>
            <w:pPr>
              <w:jc w:val="center"/>
              <w:ind w:right="2649"/>
              <w:spacing w:after="0"/>
              <w:rPr>
                <w:sz w:val="20"/>
                <w:szCs w:val="20"/>
                <w:color w:val="auto"/>
              </w:rPr>
            </w:pPr>
            <w:r>
              <w:rPr>
                <w:rFonts w:ascii="Arial" w:cs="Arial" w:eastAsia="Arial" w:hAnsi="Arial"/>
                <w:sz w:val="13"/>
                <w:szCs w:val="13"/>
                <w:b w:val="1"/>
                <w:bCs w:val="1"/>
                <w:color w:val="auto"/>
                <w:w w:val="96"/>
              </w:rPr>
              <w:t xml:space="preserve">SECURITIES REGISTERED PURSUANT TO SECTION 12(g) OF THE ACT: </w:t>
            </w:r>
            <w:r>
              <w:rPr>
                <w:rFonts w:ascii="Arial" w:cs="Arial" w:eastAsia="Arial" w:hAnsi="Arial"/>
                <w:sz w:val="13"/>
                <w:szCs w:val="13"/>
                <w:color w:val="auto"/>
                <w:w w:val="96"/>
              </w:rPr>
              <w:t>None</w:t>
            </w:r>
          </w:p>
        </w:tc>
        <w:tc>
          <w:tcPr>
            <w:tcW w:w="0" w:type="dxa"/>
            <w:vAlign w:val="bottom"/>
          </w:tcPr>
          <w:p>
            <w:pPr>
              <w:spacing w:after="0"/>
              <w:rPr>
                <w:sz w:val="1"/>
                <w:szCs w:val="1"/>
                <w:color w:val="auto"/>
              </w:rPr>
            </w:pPr>
          </w:p>
        </w:tc>
      </w:tr>
      <w:tr>
        <w:trPr>
          <w:trHeight w:val="255"/>
        </w:trPr>
        <w:tc>
          <w:tcPr>
            <w:tcW w:w="6820" w:type="dxa"/>
            <w:vAlign w:val="bottom"/>
            <w:gridSpan w:val="2"/>
          </w:tcPr>
          <w:p>
            <w:pPr>
              <w:spacing w:after="0"/>
              <w:rPr>
                <w:sz w:val="20"/>
                <w:szCs w:val="20"/>
                <w:color w:val="auto"/>
              </w:rPr>
            </w:pPr>
            <w:r>
              <w:rPr>
                <w:rFonts w:ascii="Arial" w:cs="Arial" w:eastAsia="Arial" w:hAnsi="Arial"/>
                <w:sz w:val="13"/>
                <w:szCs w:val="13"/>
                <w:color w:val="auto"/>
                <w:w w:val="97"/>
              </w:rPr>
              <w:t>Indicate by check mark if the registrant is a well-known seasoned issuer, as defined in Rule 405 of the Securities Act. Yes</w:t>
            </w:r>
          </w:p>
        </w:tc>
        <w:tc>
          <w:tcPr>
            <w:tcW w:w="4000" w:type="dxa"/>
            <w:vAlign w:val="bottom"/>
          </w:tcPr>
          <w:p>
            <w:pPr>
              <w:jc w:val="right"/>
              <w:ind w:right="3369"/>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tc>
        <w:tc>
          <w:tcPr>
            <w:tcW w:w="0" w:type="dxa"/>
            <w:vAlign w:val="bottom"/>
          </w:tcPr>
          <w:p>
            <w:pPr>
              <w:spacing w:after="0"/>
              <w:rPr>
                <w:sz w:val="1"/>
                <w:szCs w:val="1"/>
                <w:color w:val="auto"/>
              </w:rPr>
            </w:pPr>
          </w:p>
        </w:tc>
      </w:tr>
    </w:tbl>
    <w:p>
      <w:pPr>
        <w:spacing w:after="0" w:line="1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2" w:lineRule="exact"/>
        <w:rPr>
          <w:sz w:val="24"/>
          <w:szCs w:val="24"/>
          <w:color w:val="auto"/>
        </w:rPr>
      </w:pPr>
    </w:p>
    <w:p>
      <w:pPr>
        <w:ind w:right="36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8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60" w:lineRule="exact"/>
        <w:rPr>
          <w:sz w:val="24"/>
          <w:szCs w:val="24"/>
          <w:color w:val="auto"/>
        </w:rPr>
      </w:pPr>
    </w:p>
    <w:p>
      <w:pPr>
        <w:ind w:right="80"/>
        <w:spacing w:after="0" w:line="25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1220"/>
          </w:cols>
          <w:pgMar w:left="320" w:top="1033" w:right="359" w:bottom="1440" w:gutter="0" w:footer="0" w:header="0"/>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6"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11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442" w:lineRule="exact"/>
        <w:rPr>
          <w:sz w:val="24"/>
          <w:szCs w:val="24"/>
          <w:color w:val="auto"/>
        </w:rPr>
      </w:pPr>
    </w:p>
    <w:p>
      <w:pPr>
        <w:sectPr>
          <w:pgSz w:w="11900" w:h="16838" w:orient="portrait"/>
          <w:cols w:equalWidth="0" w:num="6">
            <w:col w:w="2780" w:space="720"/>
            <w:col w:w="120" w:space="140"/>
            <w:col w:w="2780" w:space="720"/>
            <w:col w:w="100" w:space="140"/>
            <w:col w:w="2800" w:space="720"/>
            <w:col w:w="200"/>
          </w:cols>
          <w:pgMar w:left="320" w:top="1033" w:right="359" w:bottom="1440" w:gutter="0" w:footer="0" w:header="0"/>
          <w:type w:val="continuous"/>
        </w:sectPr>
      </w:pPr>
    </w:p>
    <w:p>
      <w:pPr>
        <w:ind w:right="420"/>
        <w:spacing w:after="0" w:line="264"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3" w:lineRule="exact"/>
        <w:rPr>
          <w:sz w:val="24"/>
          <w:szCs w:val="24"/>
          <w:color w:val="auto"/>
        </w:rPr>
      </w:pPr>
    </w:p>
    <w:p>
      <w:pPr>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9" w:lineRule="exact"/>
        <w:rPr>
          <w:sz w:val="24"/>
          <w:szCs w:val="24"/>
          <w:color w:val="auto"/>
        </w:rPr>
      </w:pPr>
    </w:p>
    <w:p>
      <w:pPr>
        <w:ind w:right="580"/>
        <w:spacing w:after="0" w:line="173"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8" w:lineRule="exact"/>
        <w:rPr>
          <w:sz w:val="24"/>
          <w:szCs w:val="24"/>
          <w:color w:val="auto"/>
        </w:rPr>
      </w:pPr>
    </w:p>
    <w:p>
      <w:pPr>
        <w:ind w:right="140"/>
        <w:spacing w:after="0" w:line="214"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2" w:lineRule="exact"/>
        <w:rPr>
          <w:sz w:val="24"/>
          <w:szCs w:val="24"/>
          <w:color w:val="auto"/>
        </w:rPr>
      </w:pPr>
    </w:p>
    <w:p>
      <w:pPr>
        <w:ind w:right="340"/>
        <w:spacing w:after="0" w:line="264" w:lineRule="auto"/>
        <w:rPr>
          <w:sz w:val="20"/>
          <w:szCs w:val="20"/>
          <w:color w:val="auto"/>
        </w:rPr>
      </w:pPr>
      <w:r>
        <w:rPr>
          <w:rFonts w:ascii="Arial" w:cs="Arial" w:eastAsia="Arial" w:hAnsi="Arial"/>
          <w:sz w:val="13"/>
          <w:szCs w:val="13"/>
          <w:color w:val="auto"/>
        </w:rPr>
        <w:t>As of June 30, 2023, the aggregate market value of the registrant’s common stock held by non-affiliates of the registrant was $4,506,605,493 based on the closing price of its common stock on the Nasdaq Global Select Market.</w:t>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9, 2024, the number of shares outstanding of the registrant’s common stock was 35,472,745.</w:t>
      </w:r>
    </w:p>
    <w:p>
      <w:pPr>
        <w:spacing w:after="0" w:line="107" w:lineRule="exact"/>
        <w:rPr>
          <w:sz w:val="24"/>
          <w:szCs w:val="24"/>
          <w:color w:val="auto"/>
        </w:rPr>
      </w:pPr>
    </w:p>
    <w:p>
      <w:pPr>
        <w:ind w:left="41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3" w:lineRule="exact"/>
        <w:rPr>
          <w:sz w:val="24"/>
          <w:szCs w:val="24"/>
          <w:color w:val="auto"/>
        </w:rPr>
      </w:pPr>
    </w:p>
    <w:p>
      <w:pPr>
        <w:ind w:right="700"/>
        <w:spacing w:after="0" w:line="264" w:lineRule="auto"/>
        <w:rPr>
          <w:sz w:val="20"/>
          <w:szCs w:val="20"/>
          <w:color w:val="auto"/>
        </w:rPr>
      </w:pPr>
      <w:r>
        <w:rPr>
          <w:rFonts w:ascii="Arial" w:cs="Arial" w:eastAsia="Arial" w:hAnsi="Arial"/>
          <w:sz w:val="13"/>
          <w:szCs w:val="13"/>
          <w:color w:val="auto"/>
        </w:rPr>
        <w:t>Portions of the registrant’s definitive proxy statement to be mailed to stockholders in connection with the registrant’s 2024 annual meeting of stockholders (the “Annual Proxy Statement”)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1" w:name="page2"/>
    <w:bookmarkEnd w:id="1"/>
    <w:tbl>
      <w:tblPr>
        <w:tblLayout w:type="fixed"/>
        <w:tblInd w:w="1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16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Item</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Description</w:t>
            </w:r>
          </w:p>
        </w:tc>
        <w:tc>
          <w:tcPr>
            <w:tcW w:w="368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3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20" w:type="dxa"/>
            <w:vAlign w:val="bottom"/>
            <w:gridSpan w:val="19"/>
          </w:tcPr>
          <w:p>
            <w:pPr>
              <w:spacing w:after="0"/>
              <w:rPr>
                <w:sz w:val="20"/>
                <w:szCs w:val="20"/>
                <w:color w:val="auto"/>
              </w:rPr>
            </w:pPr>
            <w:r>
              <w:rPr>
                <w:rFonts w:ascii="Arial" w:cs="Arial" w:eastAsia="Arial" w:hAnsi="Arial"/>
                <w:sz w:val="18"/>
                <w:szCs w:val="18"/>
                <w:b w:val="1"/>
                <w:bCs w:val="1"/>
                <w:color w:val="auto"/>
              </w:rPr>
              <w:t>PART I</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6"/>
                <w:szCs w:val="16"/>
                <w:color w:val="auto"/>
              </w:rPr>
            </w:pPr>
          </w:p>
        </w:tc>
        <w:tc>
          <w:tcPr>
            <w:tcW w:w="68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0"/>
              </w:rPr>
              <w:t>Business</w:t>
            </w:r>
          </w:p>
        </w:tc>
        <w:tc>
          <w:tcPr>
            <w:tcW w:w="8140" w:type="dxa"/>
            <w:vAlign w:val="bottom"/>
            <w:gridSpan w:val="18"/>
          </w:tcPr>
          <w:p>
            <w:pPr>
              <w:spacing w:after="0"/>
              <w:rPr>
                <w:sz w:val="16"/>
                <w:szCs w:val="16"/>
                <w:color w:val="auto"/>
              </w:rPr>
            </w:pPr>
          </w:p>
        </w:tc>
        <w:tc>
          <w:tcPr>
            <w:tcW w:w="1540" w:type="dxa"/>
            <w:vAlign w:val="bottom"/>
            <w:gridSpan w:val="4"/>
          </w:tcPr>
          <w:p>
            <w:pPr>
              <w:spacing w:after="0"/>
              <w:rPr>
                <w:sz w:val="16"/>
                <w:szCs w:val="16"/>
                <w:color w:val="auto"/>
              </w:rPr>
            </w:pP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9"/>
        </w:trPr>
        <w:tc>
          <w:tcPr>
            <w:tcW w:w="620" w:type="dxa"/>
            <w:vAlign w:val="bottom"/>
            <w:gridSpan w:val="3"/>
          </w:tcPr>
          <w:p>
            <w:pPr>
              <w:spacing w:after="0"/>
              <w:rPr>
                <w:sz w:val="20"/>
                <w:szCs w:val="20"/>
                <w:color w:val="auto"/>
              </w:rPr>
            </w:pPr>
            <w:r>
              <w:rPr>
                <w:rFonts w:ascii="Arial" w:cs="Arial" w:eastAsia="Arial" w:hAnsi="Arial"/>
                <w:sz w:val="18"/>
                <w:szCs w:val="18"/>
                <w:color w:val="auto"/>
              </w:rPr>
              <w:t>1A</w:t>
            </w:r>
          </w:p>
        </w:tc>
        <w:tc>
          <w:tcPr>
            <w:tcW w:w="882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FF"/>
            </w:tcBorders>
            <w:gridSpan w:val="3"/>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3"/>
          </w:tcPr>
          <w:p>
            <w:pPr>
              <w:spacing w:after="0"/>
              <w:rPr>
                <w:sz w:val="20"/>
                <w:szCs w:val="20"/>
                <w:color w:val="auto"/>
              </w:rPr>
            </w:pPr>
            <w:r>
              <w:rPr>
                <w:rFonts w:ascii="Arial" w:cs="Arial" w:eastAsia="Arial" w:hAnsi="Arial"/>
                <w:sz w:val="18"/>
                <w:szCs w:val="18"/>
                <w:color w:val="auto"/>
              </w:rPr>
              <w:t>1B</w:t>
            </w:r>
          </w:p>
        </w:tc>
        <w:tc>
          <w:tcPr>
            <w:tcW w:w="8820" w:type="dxa"/>
            <w:vAlign w:val="bottom"/>
            <w:gridSpan w:val="19"/>
          </w:tcPr>
          <w:p>
            <w:pPr>
              <w:spacing w:after="0"/>
              <w:rPr>
                <w:sz w:val="20"/>
                <w:szCs w:val="20"/>
                <w:color w:val="auto"/>
              </w:rPr>
            </w:pPr>
            <w:r>
              <w:rPr>
                <w:rFonts w:ascii="Arial" w:cs="Arial" w:eastAsia="Arial" w:hAnsi="Arial"/>
                <w:sz w:val="18"/>
                <w:szCs w:val="18"/>
                <w:color w:val="0000FF"/>
              </w:rPr>
              <w:t>Unresolved Staff Comments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9"/>
        </w:trPr>
        <w:tc>
          <w:tcPr>
            <w:tcW w:w="620" w:type="dxa"/>
            <w:vAlign w:val="bottom"/>
            <w:gridSpan w:val="3"/>
          </w:tcPr>
          <w:p>
            <w:pPr>
              <w:spacing w:after="0"/>
              <w:rPr>
                <w:sz w:val="20"/>
                <w:szCs w:val="20"/>
                <w:color w:val="auto"/>
              </w:rPr>
            </w:pPr>
            <w:r>
              <w:rPr>
                <w:rFonts w:ascii="Arial" w:cs="Arial" w:eastAsia="Arial" w:hAnsi="Arial"/>
                <w:sz w:val="18"/>
                <w:szCs w:val="18"/>
                <w:color w:val="auto"/>
              </w:rPr>
              <w:t>1C</w:t>
            </w:r>
          </w:p>
        </w:tc>
        <w:tc>
          <w:tcPr>
            <w:tcW w:w="21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Cybersecurity</w:t>
            </w:r>
          </w:p>
        </w:tc>
        <w:tc>
          <w:tcPr>
            <w:tcW w:w="6640" w:type="dxa"/>
            <w:vAlign w:val="bottom"/>
            <w:gridSpan w:val="9"/>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0" w:type="dxa"/>
            <w:vAlign w:val="bottom"/>
          </w:tcPr>
          <w:p>
            <w:pPr>
              <w:spacing w:after="0"/>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Properties</w:t>
            </w:r>
          </w:p>
        </w:tc>
        <w:tc>
          <w:tcPr>
            <w:tcW w:w="260" w:type="dxa"/>
            <w:vAlign w:val="bottom"/>
            <w:tcBorders>
              <w:top w:val="single" w:sz="8" w:color="0000FF"/>
            </w:tcBorders>
            <w:gridSpan w:val="2"/>
          </w:tcPr>
          <w:p>
            <w:pPr>
              <w:spacing w:after="0"/>
              <w:rPr>
                <w:sz w:val="18"/>
                <w:szCs w:val="18"/>
                <w:color w:val="auto"/>
              </w:rPr>
            </w:pPr>
          </w:p>
        </w:tc>
        <w:tc>
          <w:tcPr>
            <w:tcW w:w="7780" w:type="dxa"/>
            <w:vAlign w:val="bottom"/>
            <w:gridSpan w:val="14"/>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Legal Proceedings</w:t>
            </w:r>
          </w:p>
        </w:tc>
        <w:tc>
          <w:tcPr>
            <w:tcW w:w="7380" w:type="dxa"/>
            <w:vAlign w:val="bottom"/>
            <w:gridSpan w:val="12"/>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Mine Safety Disclosures</w:t>
            </w:r>
          </w:p>
        </w:tc>
        <w:tc>
          <w:tcPr>
            <w:tcW w:w="6940" w:type="dxa"/>
            <w:vAlign w:val="bottom"/>
            <w:gridSpan w:val="11"/>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528"/>
        </w:trPr>
        <w:tc>
          <w:tcPr>
            <w:tcW w:w="400" w:type="dxa"/>
            <w:vAlign w:val="bottom"/>
            <w:gridSpan w:val="2"/>
            <w:vMerge w:val="restart"/>
          </w:tcPr>
          <w:p>
            <w:pPr>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8820" w:type="dxa"/>
            <w:vAlign w:val="bottom"/>
            <w:gridSpan w:val="19"/>
          </w:tcPr>
          <w:p>
            <w:pPr>
              <w:spacing w:after="0"/>
              <w:rPr>
                <w:sz w:val="20"/>
                <w:szCs w:val="20"/>
                <w:color w:val="auto"/>
              </w:rPr>
            </w:pPr>
            <w:r>
              <w:rPr>
                <w:rFonts w:ascii="Arial" w:cs="Arial" w:eastAsia="Arial" w:hAnsi="Arial"/>
                <w:sz w:val="18"/>
                <w:szCs w:val="18"/>
                <w:b w:val="1"/>
                <w:bCs w:val="1"/>
                <w:color w:val="auto"/>
              </w:rPr>
              <w:t>PART II</w:t>
            </w:r>
          </w:p>
        </w:tc>
        <w:tc>
          <w:tcPr>
            <w:tcW w:w="1640" w:type="dxa"/>
            <w:vAlign w:val="bottom"/>
            <w:gridSpan w:val="5"/>
            <w:vMerge w:val="restart"/>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188"/>
        </w:trPr>
        <w:tc>
          <w:tcPr>
            <w:tcW w:w="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20" w:type="dxa"/>
            <w:vAlign w:val="bottom"/>
            <w:tcBorders>
              <w:bottom w:val="single" w:sz="8" w:color="0000FF"/>
            </w:tcBorders>
            <w:gridSpan w:val="19"/>
          </w:tcPr>
          <w:p>
            <w:pPr>
              <w:spacing w:after="0" w:line="161" w:lineRule="exact"/>
              <w:rPr>
                <w:sz w:val="20"/>
                <w:szCs w:val="20"/>
                <w:color w:val="auto"/>
              </w:rPr>
            </w:pPr>
            <w:r>
              <w:rPr>
                <w:rFonts w:ascii="Arial" w:cs="Arial" w:eastAsia="Arial" w:hAnsi="Arial"/>
                <w:sz w:val="18"/>
                <w:szCs w:val="18"/>
                <w:color w:val="0000FF"/>
                <w:w w:val="98"/>
              </w:rPr>
              <w:t>Market for Registrant’s Common Equity, Related Stockholder Matters and Issuer Purchases of Equity Securities</w:t>
            </w:r>
          </w:p>
        </w:tc>
        <w:tc>
          <w:tcPr>
            <w:tcW w:w="16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 w:type="dxa"/>
            <w:vAlign w:val="bottom"/>
            <w:gridSpan w:val="2"/>
          </w:tcPr>
          <w:p>
            <w:pPr>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Reserved</w:t>
            </w:r>
            <w:r>
              <w:rPr>
                <w:rFonts w:ascii="Arial" w:cs="Arial" w:eastAsia="Arial" w:hAnsi="Arial"/>
                <w:sz w:val="18"/>
                <w:szCs w:val="18"/>
                <w:color w:val="auto"/>
              </w:rPr>
              <w:t>]</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70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Management’s Discussion and Analysis of Financial Condition and Results of Operations</w:t>
            </w:r>
          </w:p>
        </w:tc>
        <w:tc>
          <w:tcPr>
            <w:tcW w:w="1800" w:type="dxa"/>
            <w:vAlign w:val="bottom"/>
            <w:gridSpan w:val="2"/>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9"/>
        </w:trPr>
        <w:tc>
          <w:tcPr>
            <w:tcW w:w="620" w:type="dxa"/>
            <w:vAlign w:val="bottom"/>
            <w:gridSpan w:val="3"/>
          </w:tcPr>
          <w:p>
            <w:pPr>
              <w:spacing w:after="0"/>
              <w:rPr>
                <w:sz w:val="20"/>
                <w:szCs w:val="20"/>
                <w:color w:val="auto"/>
              </w:rPr>
            </w:pPr>
            <w:r>
              <w:rPr>
                <w:rFonts w:ascii="Arial" w:cs="Arial" w:eastAsia="Arial" w:hAnsi="Arial"/>
                <w:sz w:val="18"/>
                <w:szCs w:val="18"/>
                <w:color w:val="auto"/>
              </w:rPr>
              <w:t>7A</w:t>
            </w:r>
          </w:p>
        </w:tc>
        <w:tc>
          <w:tcPr>
            <w:tcW w:w="46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8"/>
              </w:rPr>
              <w:t>Quantitative and Qualitative Disclosures about Market Risk</w:t>
            </w:r>
          </w:p>
        </w:tc>
        <w:tc>
          <w:tcPr>
            <w:tcW w:w="4180" w:type="dxa"/>
            <w:vAlign w:val="bottom"/>
            <w:gridSpan w:val="5"/>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0000FF"/>
              </w:rPr>
              <w:t>Financial Statements and Supplementary Data</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gridSpan w:val="2"/>
          </w:tcPr>
          <w:p>
            <w:pPr>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7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Changes in and Disagreements with Accountants on Accounting and Financial Disclosure</w:t>
            </w:r>
          </w:p>
        </w:tc>
        <w:tc>
          <w:tcPr>
            <w:tcW w:w="1740" w:type="dxa"/>
            <w:vAlign w:val="bottom"/>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10"/>
        </w:trPr>
        <w:tc>
          <w:tcPr>
            <w:tcW w:w="620" w:type="dxa"/>
            <w:vAlign w:val="bottom"/>
            <w:gridSpan w:val="3"/>
          </w:tcPr>
          <w:p>
            <w:pPr>
              <w:spacing w:after="0"/>
              <w:rPr>
                <w:sz w:val="20"/>
                <w:szCs w:val="20"/>
                <w:color w:val="auto"/>
              </w:rPr>
            </w:pPr>
            <w:r>
              <w:rPr>
                <w:rFonts w:ascii="Arial" w:cs="Arial" w:eastAsia="Arial" w:hAnsi="Arial"/>
                <w:sz w:val="18"/>
                <w:szCs w:val="18"/>
                <w:color w:val="auto"/>
              </w:rPr>
              <w:t>9A</w:t>
            </w: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6"/>
              </w:rPr>
              <w:t>Controls and Procedures</w:t>
            </w:r>
          </w:p>
        </w:tc>
        <w:tc>
          <w:tcPr>
            <w:tcW w:w="6880" w:type="dxa"/>
            <w:vAlign w:val="bottom"/>
            <w:gridSpan w:val="10"/>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9"/>
        </w:trPr>
        <w:tc>
          <w:tcPr>
            <w:tcW w:w="620" w:type="dxa"/>
            <w:vAlign w:val="bottom"/>
            <w:gridSpan w:val="3"/>
          </w:tcPr>
          <w:p>
            <w:pPr>
              <w:spacing w:after="0"/>
              <w:rPr>
                <w:sz w:val="20"/>
                <w:szCs w:val="20"/>
                <w:color w:val="auto"/>
              </w:rPr>
            </w:pPr>
            <w:r>
              <w:rPr>
                <w:rFonts w:ascii="Arial" w:cs="Arial" w:eastAsia="Arial" w:hAnsi="Arial"/>
                <w:sz w:val="18"/>
                <w:szCs w:val="18"/>
                <w:color w:val="auto"/>
              </w:rPr>
              <w:t>9B</w:t>
            </w:r>
          </w:p>
        </w:tc>
        <w:tc>
          <w:tcPr>
            <w:tcW w:w="882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FF"/>
            </w:tcBorders>
            <w:gridSpan w:val="3"/>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gridSpan w:val="3"/>
          </w:tcPr>
          <w:p>
            <w:pPr>
              <w:spacing w:after="0"/>
              <w:rPr>
                <w:sz w:val="20"/>
                <w:szCs w:val="20"/>
                <w:color w:val="auto"/>
              </w:rPr>
            </w:pPr>
            <w:r>
              <w:rPr>
                <w:rFonts w:ascii="Arial" w:cs="Arial" w:eastAsia="Arial" w:hAnsi="Arial"/>
                <w:sz w:val="18"/>
                <w:szCs w:val="18"/>
                <w:color w:val="auto"/>
              </w:rPr>
              <w:t>9C</w:t>
            </w:r>
          </w:p>
        </w:tc>
        <w:tc>
          <w:tcPr>
            <w:tcW w:w="8820" w:type="dxa"/>
            <w:vAlign w:val="bottom"/>
            <w:gridSpan w:val="19"/>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40" w:type="dxa"/>
            <w:vAlign w:val="bottom"/>
            <w:tcBorders>
              <w:top w:val="single" w:sz="8" w:color="0000FF"/>
            </w:tcBorders>
            <w:gridSpan w:val="16"/>
          </w:tcPr>
          <w:p>
            <w:pPr>
              <w:spacing w:after="0"/>
              <w:rPr>
                <w:sz w:val="20"/>
                <w:szCs w:val="20"/>
                <w:color w:val="auto"/>
              </w:rPr>
            </w:pPr>
            <w:r>
              <w:rPr>
                <w:rFonts w:ascii="Arial" w:cs="Arial" w:eastAsia="Arial" w:hAnsi="Arial"/>
                <w:sz w:val="18"/>
                <w:szCs w:val="18"/>
                <w:b w:val="1"/>
                <w:bCs w:val="1"/>
                <w:color w:val="auto"/>
              </w:rPr>
              <w:t>PART III</w:t>
            </w:r>
          </w:p>
        </w:tc>
        <w:tc>
          <w:tcPr>
            <w:tcW w:w="348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0" w:type="dxa"/>
            <w:vAlign w:val="bottom"/>
            <w:gridSpan w:val="2"/>
          </w:tcPr>
          <w:p>
            <w:pPr>
              <w:spacing w:after="0" w:line="195"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6"/>
                <w:szCs w:val="16"/>
                <w:color w:val="auto"/>
              </w:rPr>
            </w:pPr>
          </w:p>
        </w:tc>
        <w:tc>
          <w:tcPr>
            <w:tcW w:w="4440" w:type="dxa"/>
            <w:vAlign w:val="bottom"/>
            <w:tcBorders>
              <w:bottom w:val="single" w:sz="8" w:color="0000FF"/>
            </w:tcBorders>
            <w:gridSpan w:val="13"/>
          </w:tcPr>
          <w:p>
            <w:pPr>
              <w:spacing w:after="0" w:line="195" w:lineRule="exact"/>
              <w:rPr>
                <w:sz w:val="20"/>
                <w:szCs w:val="20"/>
                <w:color w:val="auto"/>
              </w:rPr>
            </w:pPr>
            <w:r>
              <w:rPr>
                <w:rFonts w:ascii="Arial" w:cs="Arial" w:eastAsia="Arial" w:hAnsi="Arial"/>
                <w:sz w:val="18"/>
                <w:szCs w:val="18"/>
                <w:color w:val="0000FF"/>
                <w:w w:val="98"/>
              </w:rPr>
              <w:t>Directors, Executive Officers and Corporate Governance</w:t>
            </w:r>
          </w:p>
        </w:tc>
        <w:tc>
          <w:tcPr>
            <w:tcW w:w="4380" w:type="dxa"/>
            <w:vAlign w:val="bottom"/>
            <w:gridSpan w:val="6"/>
          </w:tcPr>
          <w:p>
            <w:pPr>
              <w:spacing w:after="0"/>
              <w:rPr>
                <w:sz w:val="16"/>
                <w:szCs w:val="16"/>
                <w:color w:val="auto"/>
              </w:rPr>
            </w:pPr>
          </w:p>
        </w:tc>
        <w:tc>
          <w:tcPr>
            <w:tcW w:w="1440" w:type="dxa"/>
            <w:vAlign w:val="bottom"/>
            <w:gridSpan w:val="3"/>
          </w:tcPr>
          <w:p>
            <w:pPr>
              <w:spacing w:after="0"/>
              <w:rPr>
                <w:sz w:val="16"/>
                <w:szCs w:val="16"/>
                <w:color w:val="auto"/>
              </w:rPr>
            </w:pPr>
          </w:p>
        </w:tc>
        <w:tc>
          <w:tcPr>
            <w:tcW w:w="200" w:type="dxa"/>
            <w:vAlign w:val="bottom"/>
            <w:tcBorders>
              <w:bottom w:val="single" w:sz="8" w:color="0000FF"/>
            </w:tcBorders>
            <w:gridSpan w:val="2"/>
          </w:tcPr>
          <w:p>
            <w:pPr>
              <w:jc w:val="right"/>
              <w:spacing w:after="0" w:line="195" w:lineRule="exact"/>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10"/>
        </w:trPr>
        <w:tc>
          <w:tcPr>
            <w:tcW w:w="400" w:type="dxa"/>
            <w:vAlign w:val="bottom"/>
            <w:gridSpan w:val="2"/>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6"/>
              </w:rPr>
              <w:t>Executive Compensation</w:t>
            </w:r>
          </w:p>
        </w:tc>
        <w:tc>
          <w:tcPr>
            <w:tcW w:w="6880" w:type="dxa"/>
            <w:vAlign w:val="bottom"/>
            <w:gridSpan w:val="10"/>
          </w:tcPr>
          <w:p>
            <w:pPr>
              <w:spacing w:after="0"/>
              <w:rPr>
                <w:sz w:val="18"/>
                <w:szCs w:val="18"/>
                <w:color w:val="auto"/>
              </w:rPr>
            </w:pPr>
          </w:p>
        </w:tc>
        <w:tc>
          <w:tcPr>
            <w:tcW w:w="1440" w:type="dxa"/>
            <w:vAlign w:val="bottom"/>
            <w:gridSpan w:val="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700" w:hanging="553"/>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0000FF"/>
        </w:rPr>
        <w:t>Security Ownership of Certain Beneficial Owners and Management and</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17"/>
                <w:szCs w:val="17"/>
                <w:color w:val="auto"/>
              </w:rPr>
            </w:pPr>
          </w:p>
        </w:tc>
        <w:tc>
          <w:tcPr>
            <w:tcW w:w="2280" w:type="dxa"/>
            <w:vAlign w:val="bottom"/>
            <w:gridSpan w:val="3"/>
          </w:tcPr>
          <w:p>
            <w:pPr>
              <w:spacing w:after="0" w:line="203" w:lineRule="exact"/>
              <w:rPr>
                <w:sz w:val="20"/>
                <w:szCs w:val="20"/>
                <w:color w:val="auto"/>
              </w:rPr>
            </w:pPr>
            <w:r>
              <w:rPr>
                <w:rFonts w:ascii="Arial" w:cs="Arial" w:eastAsia="Arial" w:hAnsi="Arial"/>
                <w:sz w:val="18"/>
                <w:szCs w:val="18"/>
                <w:color w:val="0000FF"/>
                <w:w w:val="99"/>
              </w:rPr>
              <w:t>Related Stockholder Matters</w:t>
            </w:r>
          </w:p>
        </w:tc>
        <w:tc>
          <w:tcPr>
            <w:tcW w:w="8040" w:type="dxa"/>
            <w:vAlign w:val="bottom"/>
            <w:gridSpan w:val="4"/>
          </w:tcPr>
          <w:p>
            <w:pPr>
              <w:spacing w:after="0"/>
              <w:rPr>
                <w:sz w:val="17"/>
                <w:szCs w:val="17"/>
                <w:color w:val="auto"/>
              </w:rPr>
            </w:pPr>
          </w:p>
        </w:tc>
        <w:tc>
          <w:tcPr>
            <w:tcW w:w="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0000FF"/>
                <w:w w:val="89"/>
              </w:rPr>
              <w:t>47</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6080" w:type="dxa"/>
            <w:vAlign w:val="bottom"/>
            <w:gridSpan w:val="6"/>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4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47</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6080" w:type="dxa"/>
            <w:vAlign w:val="bottom"/>
            <w:gridSpan w:val="6"/>
          </w:tcPr>
          <w:p>
            <w:pPr>
              <w:spacing w:after="0"/>
              <w:rPr>
                <w:sz w:val="20"/>
                <w:szCs w:val="20"/>
                <w:color w:val="auto"/>
              </w:rPr>
            </w:pPr>
            <w:r>
              <w:rPr>
                <w:rFonts w:ascii="Arial" w:cs="Arial" w:eastAsia="Arial" w:hAnsi="Arial"/>
                <w:sz w:val="18"/>
                <w:szCs w:val="18"/>
                <w:color w:val="0000FF"/>
              </w:rPr>
              <w:t>Principal Accountant Fees and Services</w:t>
            </w:r>
          </w:p>
        </w:tc>
        <w:tc>
          <w:tcPr>
            <w:tcW w:w="42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47</w:t>
            </w:r>
          </w:p>
        </w:tc>
      </w:tr>
      <w:tr>
        <w:trPr>
          <w:trHeight w:val="515"/>
        </w:trPr>
        <w:tc>
          <w:tcPr>
            <w:tcW w:w="700" w:type="dxa"/>
            <w:vAlign w:val="bottom"/>
          </w:tcPr>
          <w:p>
            <w:pPr>
              <w:spacing w:after="0"/>
              <w:rPr>
                <w:sz w:val="24"/>
                <w:szCs w:val="24"/>
                <w:color w:val="auto"/>
              </w:rPr>
            </w:pPr>
          </w:p>
        </w:tc>
        <w:tc>
          <w:tcPr>
            <w:tcW w:w="318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auto"/>
              </w:rPr>
              <w:t>PART IV</w:t>
            </w:r>
          </w:p>
        </w:tc>
        <w:tc>
          <w:tcPr>
            <w:tcW w:w="7140" w:type="dxa"/>
            <w:vAlign w:val="bottom"/>
            <w:gridSpan w:val="3"/>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70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15</w:t>
            </w:r>
          </w:p>
        </w:tc>
        <w:tc>
          <w:tcPr>
            <w:tcW w:w="3520" w:type="dxa"/>
            <w:vAlign w:val="bottom"/>
            <w:gridSpan w:val="5"/>
          </w:tcPr>
          <w:p>
            <w:pPr>
              <w:spacing w:after="0" w:line="195" w:lineRule="exact"/>
              <w:rPr>
                <w:sz w:val="20"/>
                <w:szCs w:val="20"/>
                <w:color w:val="auto"/>
              </w:rPr>
            </w:pPr>
            <w:r>
              <w:rPr>
                <w:rFonts w:ascii="Arial" w:cs="Arial" w:eastAsia="Arial" w:hAnsi="Arial"/>
                <w:sz w:val="18"/>
                <w:szCs w:val="18"/>
                <w:color w:val="0000FF"/>
                <w:w w:val="99"/>
              </w:rPr>
              <w:t>Exhibits and Financial Statement Schedules</w:t>
            </w:r>
          </w:p>
        </w:tc>
        <w:tc>
          <w:tcPr>
            <w:tcW w:w="6800" w:type="dxa"/>
            <w:vAlign w:val="bottom"/>
            <w:gridSpan w:val="2"/>
          </w:tcPr>
          <w:p>
            <w:pPr>
              <w:spacing w:after="0"/>
              <w:rPr>
                <w:sz w:val="16"/>
                <w:szCs w:val="16"/>
                <w:color w:val="auto"/>
              </w:rPr>
            </w:pPr>
          </w:p>
        </w:tc>
        <w:tc>
          <w:tcPr>
            <w:tcW w:w="2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89"/>
              </w:rPr>
              <w:t>48</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1720" w:type="dxa"/>
            <w:vAlign w:val="bottom"/>
            <w:gridSpan w:val="2"/>
          </w:tcPr>
          <w:p>
            <w:pPr>
              <w:spacing w:after="0"/>
              <w:rPr>
                <w:sz w:val="20"/>
                <w:szCs w:val="20"/>
                <w:color w:val="auto"/>
              </w:rPr>
            </w:pPr>
            <w:r>
              <w:rPr>
                <w:rFonts w:ascii="Arial" w:cs="Arial" w:eastAsia="Arial" w:hAnsi="Arial"/>
                <w:sz w:val="18"/>
                <w:szCs w:val="18"/>
                <w:color w:val="0000FF"/>
                <w:w w:val="99"/>
              </w:rPr>
              <w:t>Form 10–K Summary</w:t>
            </w:r>
          </w:p>
        </w:tc>
        <w:tc>
          <w:tcPr>
            <w:tcW w:w="1800" w:type="dxa"/>
            <w:vAlign w:val="bottom"/>
            <w:gridSpan w:val="3"/>
          </w:tcPr>
          <w:p>
            <w:pPr>
              <w:spacing w:after="0"/>
              <w:rPr>
                <w:sz w:val="18"/>
                <w:szCs w:val="18"/>
                <w:color w:val="auto"/>
              </w:rPr>
            </w:pPr>
          </w:p>
        </w:tc>
        <w:tc>
          <w:tcPr>
            <w:tcW w:w="6800" w:type="dxa"/>
            <w:vAlign w:val="bottom"/>
            <w:gridSpan w:val="2"/>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48</w:t>
            </w:r>
          </w:p>
        </w:tc>
      </w:tr>
      <w:tr>
        <w:trPr>
          <w:trHeight w:val="20"/>
        </w:trPr>
        <w:tc>
          <w:tcPr>
            <w:tcW w:w="7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8600" w:type="dxa"/>
            <w:vAlign w:val="bottom"/>
            <w:gridSpan w:val="5"/>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49</w:t>
            </w:r>
          </w:p>
        </w:tc>
      </w:tr>
      <w:tr>
        <w:trPr>
          <w:trHeight w:val="1553"/>
        </w:trPr>
        <w:tc>
          <w:tcPr>
            <w:tcW w:w="70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“intends,” “projects,” “estimates,” “plans,” “forecasts,” “guidance,” and similar words, expressions or phrases. The following important factors and assumptions could affect our future results and could cause actual results to differ materially from those expressed in such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These factors include, but are not limited to:</w:t>
      </w:r>
    </w:p>
    <w:p>
      <w:pPr>
        <w:spacing w:after="0" w:line="234" w:lineRule="exact"/>
        <w:rPr>
          <w:sz w:val="20"/>
          <w:szCs w:val="20"/>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including due to labor actions by the United Auto Workers or otherwise,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conflicts, including the ongoing military conflicts in the Middle East and Eastern Europe, or civil unrest in the locations in which we operate, and the potential effects of sanctions on the world economy and markets and/or international trade;</w:t>
      </w:r>
    </w:p>
    <w:p>
      <w:pPr>
        <w:spacing w:after="0" w:line="238" w:lineRule="exact"/>
        <w:rPr>
          <w:rFonts w:ascii="Arial" w:cs="Arial" w:eastAsia="Arial" w:hAnsi="Arial"/>
          <w:sz w:val="18"/>
          <w:szCs w:val="18"/>
          <w:color w:val="auto"/>
        </w:rPr>
      </w:pPr>
    </w:p>
    <w:p>
      <w:pPr>
        <w:jc w:val="both"/>
        <w:ind w:left="660" w:right="20" w:hanging="328"/>
        <w:spacing w:after="0" w:line="24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a global pandemic such as COVID-19, inflation, the ongoing military conflicts in the Middle East and Eastern Europe, and any embargoes on oil sales imposed on or by the Russian government;</w:t>
      </w:r>
    </w:p>
    <w:p>
      <w:pPr>
        <w:spacing w:after="0" w:line="218" w:lineRule="exact"/>
        <w:rPr>
          <w:rFonts w:ascii="Arial" w:cs="Arial" w:eastAsia="Arial" w:hAnsi="Arial"/>
          <w:sz w:val="22"/>
          <w:szCs w:val="22"/>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or achieve our business plans and strategies, achieve and maintain cost savings and adapt our business to changes in mobility;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the used vehicle market from time to time, including our ability to dispose of vehicles in the used vehicle market on attractive terms;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effectively integrate any acquired businesses or capitalize on joint ventures, partnerships and other investments;</w:t>
      </w:r>
    </w:p>
    <w:p>
      <w:pPr>
        <w:spacing w:after="0" w:line="252" w:lineRule="exact"/>
        <w:rPr>
          <w:sz w:val="20"/>
          <w:szCs w:val="20"/>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set forth in Part II, Item 7, in “Risk Factors” set forth in Part I, Item 1A and in other portions of this Annual Report on Form 10-K, may contain forward-looking statements and involve uncertainties that could cause actual results to differ materially from those projected in any forward-looking statements.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 BUSINESS</w:t>
      </w:r>
    </w:p>
    <w:p>
      <w:pPr>
        <w:spacing w:after="0" w:line="3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Except as expressly indicated or unless the context otherwise requires, the “Company,” “Avis Budget,” “we,” “our” or “us” means Avis Budget Group, Inc. and its subsidiaries. Unless the context requires otherwise, these references and references to our brands do not include the operations of our licensees, as further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405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leading global provider of mobility solutions through our three most recognized brands, Avis, Budget and Zipcar, as well as several other brands, well recognized in their respective markets. Our brands offer a range of options, from car and truck rental to car sharing. We license the use of the Avis, Budget, Zipcar and other brands’ trademarks to licensees in areas in which we do not operate directly. We and our licensees operate our brands in approximately 180 countries throughout the world. We generally maintain a leading share of airport car rental revenues in North America, Europe and Australasia, and we operate a leading car sharing network and one of the leading commercial truck rental businesses in the United States. We believe the range of options from our diversified brands enjoy complementary demand patterns with mid-week commercial demand balanced by weekend leisure demand.</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average, our global rental fleet totaled approximately 691,500 vehicles in 2023. We completed nearly 39 million vehicle rental transactions worldwide and generated total revenues of approximately $12 billion during 2023. Our brands and mobility solutions have an extended global reach with approximately 10,250 rental locations throughout the world, including approximately 3,700 locations operated by our licensees.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categorize our operations into two reportable business segments:</w:t>
      </w:r>
    </w:p>
    <w:p>
      <w:pPr>
        <w:spacing w:after="0" w:line="252" w:lineRule="exact"/>
        <w:rPr>
          <w:sz w:val="20"/>
          <w:szCs w:val="20"/>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Americas - </w:t>
      </w:r>
      <w:r>
        <w:rPr>
          <w:rFonts w:ascii="Arial" w:cs="Arial" w:eastAsia="Arial" w:hAnsi="Arial"/>
          <w:sz w:val="18"/>
          <w:szCs w:val="18"/>
          <w:color w:val="auto"/>
        </w:rPr>
        <w:t>consisting primarily of (i) vehicle rental operations in North America, South America, Central America and the Caribbean,</w:t>
      </w:r>
      <w:r>
        <w:rPr>
          <w:rFonts w:ascii="Arial" w:cs="Arial" w:eastAsia="Arial" w:hAnsi="Arial"/>
          <w:sz w:val="18"/>
          <w:szCs w:val="18"/>
          <w:i w:val="1"/>
          <w:iCs w:val="1"/>
          <w:color w:val="auto"/>
        </w:rPr>
        <w:t xml:space="preserve"> </w:t>
      </w:r>
      <w:r>
        <w:rPr>
          <w:rFonts w:ascii="Arial" w:cs="Arial" w:eastAsia="Arial" w:hAnsi="Arial"/>
          <w:sz w:val="18"/>
          <w:szCs w:val="18"/>
          <w:color w:val="auto"/>
        </w:rPr>
        <w:t>(ii) car sharing operations in certain of these markets, and (iii) licensees in certain areas in which we do not operate directly.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 </w:t>
      </w:r>
      <w:r>
        <w:rPr>
          <w:rFonts w:ascii="Arial" w:cs="Arial" w:eastAsia="Arial" w:hAnsi="Arial"/>
          <w:sz w:val="18"/>
          <w:szCs w:val="18"/>
          <w:color w:val="auto"/>
        </w:rPr>
        <w:t>consisting primarily of (i) vehicle rental operations in Europe, the Middle East, Africa, Asia and Australasia, (ii) car</w:t>
      </w:r>
      <w:r>
        <w:rPr>
          <w:rFonts w:ascii="Arial" w:cs="Arial" w:eastAsia="Arial" w:hAnsi="Arial"/>
          <w:sz w:val="18"/>
          <w:szCs w:val="18"/>
          <w:i w:val="1"/>
          <w:iCs w:val="1"/>
          <w:color w:val="auto"/>
        </w:rPr>
        <w:t xml:space="preserve"> </w:t>
      </w:r>
      <w:r>
        <w:rPr>
          <w:rFonts w:ascii="Arial" w:cs="Arial" w:eastAsia="Arial" w:hAnsi="Arial"/>
          <w:sz w:val="18"/>
          <w:szCs w:val="18"/>
          <w:color w:val="auto"/>
        </w:rPr>
        <w:t>sharing operations in certain of these markets, and (iii) licensees in certain areas in which we do not operate directly.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 discussion of our reportable segments is included in Part II, Item 7, “Management’s Discussion and Analysis of Financial Condition and Results of Operations” and in Note 21 – Segment Information to the Consolidated Financial Statements included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2024, we expect our strategy to continue to primarily focus on customer experience and costs to strengthen our Company, maximize profitability, and deliver stakeholder value. To execute our strategy, we expect to continue to leverage marketing and invest in technology and infrastructure to support our vehicle related rentals. With respect to costs, we aim to achieve operational excellence and invest strategically to lower costs over the long term. For customer experience, we seek to enhance the end to end customer journey by leveraging technology to, among other things, streamline reservations, and modernize the pick-up, exit, on rent and return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BRANDS AND OPERATIONS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BRANDS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Avis, Budget and Zipcar brands are three of the most recognized brands in our industry. We believe that each of our brands is positioned to be embraced by different target customers, and we see benefits and savings from our brands sharing some of the same facilities, systems, and administrative infrastructure. In addition, we are able to recognize benefits as a result of complementary demand patterns with commercial rentals occurring primarily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business days and leisure rentals occurring primarily on holidays and weekends. We also operate the Payless and Apex brands in the value segment of the car rental industry, augmenting our Avis, Budget and Zipcar brands. In addition, our Maggiore and Morini Rent brands in Italy, FranceCars brand in France and Turiscar brand in Portugal further extend our offerings.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graphs present the approximate composition of our revenues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17780</wp:posOffset>
            </wp:positionV>
            <wp:extent cx="5743575" cy="1457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357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Budget Truck.</w:t>
      </w:r>
    </w:p>
    <w:p>
      <w:pPr>
        <w:spacing w:after="0" w:line="1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Zipcar and other operating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45402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402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Avis brand provides high-quality vehicle rental and other mobility solutions at price points generally above non-branded and value-branded vehicle rental companies and serves the premium commercial and leisure segments of the travel industry. We operate or license Avis vehicle rental locations at virtually all of the largest commercial airports and cities in the world.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Avis locations as of December 31,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Avis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3,040</w:t>
            </w:r>
          </w:p>
        </w:tc>
      </w:tr>
      <w:tr>
        <w:trPr>
          <w:trHeight w:val="230"/>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Avis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5,110</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2023, our Company-operated Avis locations generated total revenues of approximately $6.8 billion. The following graphs present the approximate composition of our Avis revenues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-27305</wp:posOffset>
            </wp:positionV>
            <wp:extent cx="5734685" cy="145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346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license the Avis brand to independent commercial owners who operate approximately half of our locations worldwide and generally pay royalty fees to us based on a percentage of applicable revenues. In 2023, these royalty fees totaled approximately 1% of our Avis revenues.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offer Avis customers a variety of premium services, including:</w:t>
      </w:r>
    </w:p>
    <w:p>
      <w:pPr>
        <w:spacing w:after="0" w:line="252" w:lineRule="exact"/>
        <w:rPr>
          <w:sz w:val="20"/>
          <w:szCs w:val="20"/>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Avis mobile application, which allows customers a unique and innovative way to control many elements of their rental experience via their mobile devices without the need to visit the rental counter. The Avis mobile application also allows customers to track Avis shuttle buses to rental locations, find their vehicle, and locate nearby gas stations and parking facilities;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Avis </w:t>
      </w:r>
      <w:r>
        <w:rPr>
          <w:rFonts w:ascii="Arial" w:cs="Arial" w:eastAsia="Arial" w:hAnsi="Arial"/>
          <w:sz w:val="18"/>
          <w:szCs w:val="18"/>
          <w:i w:val="1"/>
          <w:iCs w:val="1"/>
          <w:color w:val="auto"/>
        </w:rPr>
        <w:t>Preferred</w:t>
      </w:r>
      <w:r>
        <w:rPr>
          <w:rFonts w:ascii="Arial" w:cs="Arial" w:eastAsia="Arial" w:hAnsi="Arial"/>
          <w:sz w:val="18"/>
          <w:szCs w:val="18"/>
          <w:color w:val="auto"/>
        </w:rPr>
        <w:t>, our frequent renter rewards program that offers counter bypass at major airport locations;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invited or earned customer status levels allowing for upgrades and counter bypass;</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Avis </w:t>
      </w:r>
      <w:r>
        <w:rPr>
          <w:rFonts w:ascii="Arial" w:cs="Arial" w:eastAsia="Arial" w:hAnsi="Arial"/>
          <w:sz w:val="18"/>
          <w:szCs w:val="18"/>
          <w:i w:val="1"/>
          <w:iCs w:val="1"/>
          <w:color w:val="auto"/>
        </w:rPr>
        <w:t>QuickPass</w:t>
      </w:r>
      <w:r>
        <w:rPr>
          <w:rFonts w:ascii="Arial" w:cs="Arial" w:eastAsia="Arial" w:hAnsi="Arial"/>
          <w:sz w:val="18"/>
          <w:szCs w:val="18"/>
          <w:color w:val="auto"/>
        </w:rPr>
        <w:t xml:space="preserve">, a feature on the Avis mobile application that allows customers to bypass the counter. In many United States locations, </w:t>
      </w:r>
      <w:r>
        <w:rPr>
          <w:rFonts w:ascii="Arial" w:cs="Arial" w:eastAsia="Arial" w:hAnsi="Arial"/>
          <w:sz w:val="18"/>
          <w:szCs w:val="18"/>
          <w:i w:val="1"/>
          <w:iCs w:val="1"/>
          <w:color w:val="auto"/>
        </w:rPr>
        <w:t>QuickPass</w:t>
      </w:r>
      <w:r>
        <w:rPr>
          <w:rFonts w:ascii="Arial" w:cs="Arial" w:eastAsia="Arial" w:hAnsi="Arial"/>
          <w:sz w:val="18"/>
          <w:szCs w:val="18"/>
          <w:color w:val="auto"/>
        </w:rPr>
        <w:t xml:space="preserve"> also allows customers to choose, exchange or upgrade their car upon arrival and utilize a unique code to exit via our automated </w:t>
      </w:r>
      <w:r>
        <w:rPr>
          <w:rFonts w:ascii="Arial" w:cs="Arial" w:eastAsia="Arial" w:hAnsi="Arial"/>
          <w:sz w:val="18"/>
          <w:szCs w:val="18"/>
          <w:i w:val="1"/>
          <w:iCs w:val="1"/>
          <w:color w:val="auto"/>
        </w:rPr>
        <w:t>Express Exit</w:t>
      </w:r>
      <w:r>
        <w:rPr>
          <w:rFonts w:ascii="Arial" w:cs="Arial" w:eastAsia="Arial" w:hAnsi="Arial"/>
          <w:sz w:val="18"/>
          <w:szCs w:val="18"/>
          <w:color w:val="auto"/>
        </w:rPr>
        <w:t xml:space="preserve"> for a completely contactless rental experience;</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availability of a selection of luxury vehicles through our </w:t>
      </w:r>
      <w:r>
        <w:rPr>
          <w:rFonts w:ascii="Arial" w:cs="Arial" w:eastAsia="Arial" w:hAnsi="Arial"/>
          <w:sz w:val="18"/>
          <w:szCs w:val="18"/>
          <w:i w:val="1"/>
          <w:iCs w:val="1"/>
          <w:color w:val="auto"/>
        </w:rPr>
        <w:t>Avis Signature Series,</w:t>
      </w:r>
      <w:r>
        <w:rPr>
          <w:rFonts w:ascii="Arial" w:cs="Arial" w:eastAsia="Arial" w:hAnsi="Arial"/>
          <w:sz w:val="18"/>
          <w:szCs w:val="18"/>
          <w:color w:val="auto"/>
        </w:rPr>
        <w:t xml:space="preserve"> as well as premium, sport, performance and electrified vehicles;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satellite radio service, mobile WiFi devices, and GPS navigation;</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Avis rental services such as roadside assistance, fuel service options, e-receipts, electronic toll collection services that allow customers to pay highway tolls without waiting in toll booth lines, and amenities such as </w:t>
      </w:r>
      <w:r>
        <w:rPr>
          <w:rFonts w:ascii="Arial" w:cs="Arial" w:eastAsia="Arial" w:hAnsi="Arial"/>
          <w:sz w:val="18"/>
          <w:szCs w:val="18"/>
          <w:i w:val="1"/>
          <w:iCs w:val="1"/>
          <w:color w:val="auto"/>
        </w:rPr>
        <w:t>Avis Cares</w:t>
      </w:r>
      <w:r>
        <w:rPr>
          <w:rFonts w:ascii="Arial" w:cs="Arial" w:eastAsia="Arial" w:hAnsi="Arial"/>
          <w:sz w:val="18"/>
          <w:szCs w:val="18"/>
          <w:color w:val="auto"/>
        </w:rPr>
        <w:t>, a full range of special products and services for drivers and passengers with disabilities;</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for our corporate customers, </w:t>
      </w:r>
      <w:r>
        <w:rPr>
          <w:rFonts w:ascii="Arial" w:cs="Arial" w:eastAsia="Arial" w:hAnsi="Arial"/>
          <w:sz w:val="18"/>
          <w:szCs w:val="18"/>
          <w:i w:val="1"/>
          <w:iCs w:val="1"/>
          <w:color w:val="auto"/>
        </w:rPr>
        <w:t>Avis Budget Group Business Intelligence</w:t>
      </w:r>
      <w:r>
        <w:rPr>
          <w:rFonts w:ascii="Arial" w:cs="Arial" w:eastAsia="Arial" w:hAnsi="Arial"/>
          <w:sz w:val="18"/>
          <w:szCs w:val="18"/>
          <w:color w:val="auto"/>
        </w:rPr>
        <w:t>, a proprietary reporting solution that provides a centralized reporting tool and customer reporting portal for corporate clients in North America and Europe, enabling them to easily view and analyze their rental activity, allowing them to better manage their travel budgets and monitor employee compliance with applicable travel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685800"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 cy="31686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Car Rental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Budget brand is a leading supplier of vehicle rental and other mobility solutions focused primarily on more value-conscious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operate or license Budget car rental locations at airports and in cities worldwide.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approximate number of Budget locations as of December 31, 2023.</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rPr>
              <w:t>Budget Locations</w:t>
            </w:r>
            <w:r>
              <w:rPr>
                <w:rFonts w:ascii="Arial" w:cs="Arial" w:eastAsia="Arial" w:hAnsi="Arial"/>
                <w:sz w:val="14"/>
                <w:szCs w:val="14"/>
                <w:b w:val="1"/>
                <w:bCs w:val="1"/>
                <w:color w:val="auto"/>
              </w:rPr>
              <w:t>*</w:t>
            </w:r>
          </w:p>
        </w:tc>
        <w:tc>
          <w:tcPr>
            <w:tcW w:w="168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Americas</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International</w:t>
            </w:r>
          </w:p>
        </w:tc>
        <w:tc>
          <w:tcPr>
            <w:tcW w:w="168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80" w:type="dxa"/>
            <w:vAlign w:val="bottom"/>
            <w:tcBorders>
              <w:top w:val="single" w:sz="8" w:color="C6D9F1"/>
            </w:tcBorders>
            <w:shd w:val="clear" w:color="auto" w:fill="C6D9F1"/>
          </w:tcPr>
          <w:p>
            <w:pPr>
              <w:ind w:left="20"/>
              <w:spacing w:after="0"/>
              <w:rPr>
                <w:sz w:val="20"/>
                <w:szCs w:val="20"/>
                <w:color w:val="auto"/>
              </w:rPr>
            </w:pPr>
            <w:r>
              <w:rPr>
                <w:rFonts w:ascii="Arial" w:cs="Arial" w:eastAsia="Arial" w:hAnsi="Arial"/>
                <w:sz w:val="18"/>
                <w:szCs w:val="18"/>
                <w:color w:val="auto"/>
              </w:rPr>
              <w:t>Company-operated locations</w:t>
            </w:r>
          </w:p>
        </w:tc>
        <w:tc>
          <w:tcPr>
            <w:tcW w:w="166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top w:val="single" w:sz="8" w:color="C6D9F1"/>
            </w:tcBorders>
            <w:shd w:val="clear" w:color="auto" w:fill="C6D9F1"/>
          </w:tcPr>
          <w:p>
            <w:pPr>
              <w:spacing w:after="0"/>
              <w:rPr>
                <w:sz w:val="19"/>
                <w:szCs w:val="19"/>
                <w:color w:val="auto"/>
              </w:rPr>
            </w:pPr>
          </w:p>
        </w:tc>
        <w:tc>
          <w:tcPr>
            <w:tcW w:w="1680" w:type="dxa"/>
            <w:vAlign w:val="bottom"/>
            <w:tcBorders>
              <w:top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2,220</w:t>
            </w:r>
          </w:p>
        </w:tc>
      </w:tr>
      <w:tr>
        <w:trPr>
          <w:trHeight w:val="230"/>
        </w:trPr>
        <w:tc>
          <w:tcPr>
            <w:tcW w:w="5980" w:type="dxa"/>
            <w:vAlign w:val="bottom"/>
            <w:tcBorders>
              <w:bottom w:val="single" w:sz="8" w:color="C6D9F1"/>
            </w:tcBorders>
          </w:tcPr>
          <w:p>
            <w:pPr>
              <w:ind w:left="20"/>
              <w:spacing w:after="0"/>
              <w:rPr>
                <w:sz w:val="20"/>
                <w:szCs w:val="20"/>
                <w:color w:val="auto"/>
              </w:rPr>
            </w:pPr>
            <w:r>
              <w:rPr>
                <w:rFonts w:ascii="Arial" w:cs="Arial" w:eastAsia="Arial" w:hAnsi="Arial"/>
                <w:sz w:val="18"/>
                <w:szCs w:val="18"/>
                <w:color w:val="auto"/>
              </w:rPr>
              <w:t>Licensee locations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6D9F1"/>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w:t>
            </w:r>
          </w:p>
        </w:tc>
      </w:tr>
      <w:tr>
        <w:trPr>
          <w:trHeight w:val="248"/>
        </w:trPr>
        <w:tc>
          <w:tcPr>
            <w:tcW w:w="5980" w:type="dxa"/>
            <w:vAlign w:val="bottom"/>
            <w:tcBorders>
              <w:bottom w:val="single" w:sz="8" w:color="C6D9F1"/>
            </w:tcBorders>
            <w:shd w:val="clear" w:color="auto" w:fill="C6D9F1"/>
          </w:tcPr>
          <w:p>
            <w:pPr>
              <w:ind w:left="20"/>
              <w:spacing w:after="0"/>
              <w:rPr>
                <w:sz w:val="20"/>
                <w:szCs w:val="20"/>
                <w:color w:val="auto"/>
              </w:rPr>
            </w:pPr>
            <w:r>
              <w:rPr>
                <w:rFonts w:ascii="Arial" w:cs="Arial" w:eastAsia="Arial" w:hAnsi="Arial"/>
                <w:sz w:val="18"/>
                <w:szCs w:val="18"/>
                <w:b w:val="1"/>
                <w:bCs w:val="1"/>
                <w:color w:val="auto"/>
              </w:rPr>
              <w:t>Total Budget Locations</w:t>
            </w:r>
          </w:p>
        </w:tc>
        <w:tc>
          <w:tcPr>
            <w:tcW w:w="166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6D9F1"/>
            </w:tcBorders>
            <w:shd w:val="clear" w:color="auto" w:fill="C6D9F1"/>
          </w:tcPr>
          <w:p>
            <w:pPr>
              <w:spacing w:after="0"/>
              <w:rPr>
                <w:sz w:val="21"/>
                <w:szCs w:val="21"/>
                <w:color w:val="auto"/>
              </w:rPr>
            </w:pPr>
          </w:p>
        </w:tc>
        <w:tc>
          <w:tcPr>
            <w:tcW w:w="1680" w:type="dxa"/>
            <w:vAlign w:val="bottom"/>
            <w:tcBorders>
              <w:bottom w:val="single" w:sz="8" w:color="auto"/>
            </w:tcBorders>
            <w:shd w:val="clear" w:color="auto" w:fill="C6D9F1"/>
          </w:tcPr>
          <w:p>
            <w:pPr>
              <w:jc w:val="right"/>
              <w:spacing w:after="0"/>
              <w:rPr>
                <w:sz w:val="20"/>
                <w:szCs w:val="20"/>
                <w:color w:val="auto"/>
              </w:rPr>
            </w:pPr>
            <w:r>
              <w:rPr>
                <w:rFonts w:ascii="Arial" w:cs="Arial" w:eastAsia="Arial" w:hAnsi="Arial"/>
                <w:sz w:val="18"/>
                <w:szCs w:val="18"/>
                <w:color w:val="auto"/>
              </w:rPr>
              <w:t>3,735</w:t>
            </w:r>
          </w:p>
        </w:tc>
      </w:tr>
      <w:tr>
        <w:trPr>
          <w:trHeight w:val="20"/>
        </w:trPr>
        <w:tc>
          <w:tcPr>
            <w:tcW w:w="5980" w:type="dxa"/>
            <w:vAlign w:val="bottom"/>
            <w:tcBorders>
              <w:top w:val="single" w:sz="8" w:color="C6D9F1"/>
            </w:tcBorders>
          </w:tcPr>
          <w:p>
            <w:pPr>
              <w:spacing w:after="0" w:line="20" w:lineRule="exact"/>
              <w:rPr>
                <w:sz w:val="1"/>
                <w:szCs w:val="1"/>
                <w:color w:val="auto"/>
              </w:rPr>
            </w:pPr>
          </w:p>
        </w:tc>
        <w:tc>
          <w:tcPr>
            <w:tcW w:w="1660" w:type="dxa"/>
            <w:vAlign w:val="bottom"/>
            <w:tcBorders>
              <w:top w:val="single" w:sz="8" w:color="C6D9F1"/>
              <w:bottom w:val="single" w:sz="8" w:color="auto"/>
            </w:tcBorders>
          </w:tcPr>
          <w:p>
            <w:pPr>
              <w:spacing w:after="0" w:line="20" w:lineRule="exact"/>
              <w:rPr>
                <w:sz w:val="1"/>
                <w:szCs w:val="1"/>
                <w:color w:val="auto"/>
              </w:rPr>
            </w:pPr>
          </w:p>
        </w:tc>
        <w:tc>
          <w:tcPr>
            <w:tcW w:w="12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c>
          <w:tcPr>
            <w:tcW w:w="100" w:type="dxa"/>
            <w:vAlign w:val="bottom"/>
            <w:tcBorders>
              <w:top w:val="single" w:sz="8" w:color="C6D9F1"/>
            </w:tcBorders>
          </w:tcPr>
          <w:p>
            <w:pPr>
              <w:spacing w:after="0" w:line="20" w:lineRule="exact"/>
              <w:rPr>
                <w:sz w:val="1"/>
                <w:szCs w:val="1"/>
                <w:color w:val="auto"/>
              </w:rPr>
            </w:pPr>
          </w:p>
        </w:tc>
        <w:tc>
          <w:tcPr>
            <w:tcW w:w="1680" w:type="dxa"/>
            <w:vAlign w:val="bottom"/>
            <w:tcBorders>
              <w:top w:val="single" w:sz="8" w:color="C6D9F1"/>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locations support multiple brands.</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license the Budget brand to independent commercial owners who generally pay royalty fees to us based on a percentage of applicable revenues. In 2023, these royalty fees totaled approximately 1% of our Budget revenues.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Budget offers its customers several products and services similar to Avis, such as refueling options, roadside assistance, electronic toll collection, and other supplemental rental products, emailed receipts and special rental rates for frequent renters. In addition, Budget’s mobile application allows customers to reserve, modify and cancel reservations on their mobile device, and its </w:t>
      </w:r>
      <w:r>
        <w:rPr>
          <w:rFonts w:ascii="Arial" w:cs="Arial" w:eastAsia="Arial" w:hAnsi="Arial"/>
          <w:sz w:val="18"/>
          <w:szCs w:val="18"/>
          <w:i w:val="1"/>
          <w:iCs w:val="1"/>
          <w:color w:val="auto"/>
        </w:rPr>
        <w:t>Fastbreak</w:t>
      </w:r>
      <w:r>
        <w:rPr>
          <w:rFonts w:ascii="Arial" w:cs="Arial" w:eastAsia="Arial" w:hAnsi="Arial"/>
          <w:sz w:val="18"/>
          <w:szCs w:val="18"/>
          <w:color w:val="auto"/>
        </w:rPr>
        <w:t xml:space="preserve"> and </w:t>
      </w:r>
      <w:r>
        <w:rPr>
          <w:rFonts w:ascii="Arial" w:cs="Arial" w:eastAsia="Arial" w:hAnsi="Arial"/>
          <w:sz w:val="18"/>
          <w:szCs w:val="18"/>
          <w:i w:val="1"/>
          <w:iCs w:val="1"/>
          <w:color w:val="auto"/>
        </w:rPr>
        <w:t>QuickPass</w:t>
      </w:r>
      <w:r>
        <w:rPr>
          <w:rFonts w:ascii="Arial" w:cs="Arial" w:eastAsia="Arial" w:hAnsi="Arial"/>
          <w:sz w:val="18"/>
          <w:szCs w:val="18"/>
          <w:color w:val="auto"/>
        </w:rPr>
        <w:t xml:space="preserve"> service expedites rental service for frequent travelers.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Budget Truck</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Budget Truck rental business is one of the largest local and one-way truck and cargo van rental businesses in the United States. As of December 31, 2023, our Budget Truck fleet is comprised of approximately 21,000 vehicles that are rented through a network of approximately 440 dealer-operated and 415 Company-operated locations throughout the continental United States. These dealers are independently-owned businesses that generally operate other retail service businesses. In addition to their principal businesses, the dealers rent our light- and medium-duty trucks and commercial cargo vans to customers and are responsible for collecting payments on our behalf. The dealers receive a commission on all truck, van and ancillary equipment rentals. The Budget Truck rental business serves both the light commercial and consumer sectors. The light commercial sector consists of a wide range of businesses that rent light- to medium-duty trucks, which we define as trucks having a gross vehicle weight of less than 26,000 pounds, for a variety of commercial applications. The consumer sector consists primarily of individuals who rent trucks to move household goods on either a one-way or local basis.</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2023, our Company-operated Budget vehicle rental operations generated total revenues of approximately $4.5 billion. The following graphs present the approximate composition of our Budget revenues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437630" cy="1825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3763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Zipcar is a leading car sharing network, driven by a mission to enable simple and responsible urban living. With its wide variety of self-service vehicles available by the hour or day, Zipcar offers comprehensive, convenient and flexible car sharing options in urban areas and college campuses in hundreds of cities and towns. Zipcar provides its members on-demand, self-service vehicles in reserved parking spaces located in neighborhoods, business districts, office complexes and college campuses, as an alternative to car ownership. We continue to offer our Zipcar Flex product in London providing one-way rentals, including to and from Heathrow airport, which can be parked in public on-street parking spots in designated areas of the city.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Brands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other brands include the following:</w:t>
      </w:r>
    </w:p>
    <w:p>
      <w:pPr>
        <w:spacing w:after="0" w:line="252" w:lineRule="exact"/>
        <w:rPr>
          <w:sz w:val="20"/>
          <w:szCs w:val="20"/>
          <w:color w:val="auto"/>
        </w:rPr>
      </w:pPr>
    </w:p>
    <w:p>
      <w:pPr>
        <w:jc w:val="both"/>
        <w:ind w:left="66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Payless, a leading rental car supplier serving the deep-value segment of the industry, which we license or operate in approximately 270 locations worldwide, including more than 160 locations operated by licensees and approximately 110 Company-operated locations.</w:t>
      </w:r>
    </w:p>
    <w:p>
      <w:pPr>
        <w:spacing w:after="0" w:line="197" w:lineRule="exact"/>
        <w:rPr>
          <w:rFonts w:ascii="Arial" w:cs="Arial" w:eastAsia="Arial" w:hAnsi="Arial"/>
          <w:sz w:val="18"/>
          <w:szCs w:val="18"/>
          <w:color w:val="auto"/>
        </w:rPr>
      </w:pPr>
    </w:p>
    <w:p>
      <w:pPr>
        <w:ind w:left="1300" w:hanging="320"/>
        <w:spacing w:after="0" w:line="287" w:lineRule="auto"/>
        <w:tabs>
          <w:tab w:leader="none" w:pos="1323"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Company-operated Payless locations are primarily located in North America, the majority of which are at or near major airports. Payless’ rental fees are often lower than those of larger, more established vehicle rental brands.</w:t>
      </w:r>
    </w:p>
    <w:p>
      <w:pPr>
        <w:spacing w:after="0" w:line="179" w:lineRule="exact"/>
        <w:rPr>
          <w:rFonts w:ascii="Arial" w:cs="Arial" w:eastAsia="Arial" w:hAnsi="Arial"/>
          <w:sz w:val="18"/>
          <w:szCs w:val="18"/>
          <w:color w:val="auto"/>
        </w:rPr>
      </w:pPr>
    </w:p>
    <w:p>
      <w:pPr>
        <w:ind w:left="1300" w:hanging="320"/>
        <w:spacing w:after="0" w:line="287" w:lineRule="auto"/>
        <w:tabs>
          <w:tab w:leader="none" w:pos="132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Payless business model allows us to extend the life-cycle of a portion of our rental fleet, as we “cascade” certain vehicles that exceed certain Avis and Budget age or mileage thresholds to be used by Payless.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Maggiore and Morini Rent, leading vehicle rental brands in Italy.</w:t>
      </w:r>
    </w:p>
    <w:p>
      <w:pPr>
        <w:spacing w:after="0" w:line="251"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Maggiore has a strong local reputation and benefits from a strong presence at airport, off-airport and railway locations and from the integration of our existing operations and rental fleet management expertise. We operate or license in approximately 140 rental locations throughout the country.</w:t>
      </w:r>
    </w:p>
    <w:p>
      <w:pPr>
        <w:spacing w:after="0" w:line="1" w:lineRule="exact"/>
        <w:rPr>
          <w:rFonts w:ascii="Arial" w:cs="Arial" w:eastAsia="Arial" w:hAnsi="Arial"/>
          <w:sz w:val="18"/>
          <w:szCs w:val="18"/>
          <w:color w:val="auto"/>
        </w:rPr>
      </w:pPr>
    </w:p>
    <w:p>
      <w:pPr>
        <w:ind w:left="1300" w:hanging="320"/>
        <w:spacing w:after="0" w:line="266"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Morini Rent offers rental of cars, vans, and refrigerated vehicles. We operate in approximately 45 rental locations throughout the country.</w:t>
      </w:r>
    </w:p>
    <w:p>
      <w:pPr>
        <w:spacing w:after="0" w:line="19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FranceCars, which operates one of the largest light commercial vehicle rental fleets in France, in approximately 70 rental locations, and leverages our existing operational processes and local customer base.</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Apex, which operates in approximately 25 rental locations at, or near, major airports and in several metropolitan cities in New Zealand and Australia.</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Turiscar, a leading vehicle rental brand in Portugal, which operates primarily in the corporate market, including light commercial vehicles, at approximately 30 rental locations throughout the country.</w:t>
      </w:r>
    </w:p>
    <w:p>
      <w:pPr>
        <w:spacing w:after="0" w:line="206"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ACL Hire and McNicoll Hire, providers of quality vehicle rental and maintenance services in the UK, with a strong focus on light commercial vehicles.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RESERVATIONS, MARKETING AND SALES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Reservations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customers can make vehicle rental reservations through our brand-specific websites and toll-free reservation centers, through our brand-specific mobile applications, online travel agencies, travel agents or through selected partners, including many major airlines, associations and retailers. Travel agents can access our reservation systems through all major global distribution systems, which provide information with respect to rental locations, vehicle availability and applicable rate structures.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Zipcar members can reserve vehicles through Zipcar’s reservation system, which is accessible online or on a mobile device, by the hour or day, at rates that include fuel, secondary insurance and other costs typically associated with vehicle ownership.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Marketing and Sales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support our brands through a range of marketing channels and campaigns, including traditional media as well as digital media, including internet and email marketing, social media, streaming services, and mobile device applications. In 2023, we launched the </w:t>
      </w:r>
      <w:r>
        <w:rPr>
          <w:rFonts w:ascii="Arial" w:cs="Arial" w:eastAsia="Arial" w:hAnsi="Arial"/>
          <w:sz w:val="18"/>
          <w:szCs w:val="18"/>
          <w:i w:val="1"/>
          <w:iCs w:val="1"/>
          <w:color w:val="auto"/>
        </w:rPr>
        <w:t>Plan On Us</w:t>
      </w:r>
      <w:r>
        <w:rPr>
          <w:rFonts w:ascii="Arial" w:cs="Arial" w:eastAsia="Arial" w:hAnsi="Arial"/>
          <w:sz w:val="18"/>
          <w:szCs w:val="18"/>
          <w:color w:val="auto"/>
        </w:rPr>
        <w:t xml:space="preserve"> campaign as the Avis brand platform to highlight the trust our customers have in us. We also market through sponsorships of major sports entities and charitable organizations. We utilize a customer relationship management system that enables us to deliver more targeted and relevant offers to customers across online and offline channels, including an expedited and contactless rental process and loyalty programs that reward frequent renters with free rental days and car class upgrades.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able to reach and merchandise cars and rentals to a diverse demographic of consumers through our strategic partnerships with airlines, associations and hotel companies, and we maintain strong links to the travel industry. In addition, we have developed relationships that provide brand exposure and access to new customers, including deals to provide vehicles to ride-hail drivers in cities across North America.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2023, approximately 50% of vehicle rental transactions originating from Avis locations were generated by travelers who rented from Avis under contracts between Avis and their employers or through membership in an organization with which Avis has a contractual affiliation. We offer </w:t>
      </w:r>
      <w:r>
        <w:rPr>
          <w:rFonts w:ascii="Arial" w:cs="Arial" w:eastAsia="Arial" w:hAnsi="Arial"/>
          <w:sz w:val="18"/>
          <w:szCs w:val="18"/>
          <w:i w:val="1"/>
          <w:iCs w:val="1"/>
          <w:color w:val="auto"/>
        </w:rPr>
        <w:t>Avis Budget Group Business Intelligence</w:t>
      </w:r>
      <w:r>
        <w:rPr>
          <w:rFonts w:ascii="Arial" w:cs="Arial" w:eastAsia="Arial" w:hAnsi="Arial"/>
          <w:sz w:val="18"/>
          <w:szCs w:val="18"/>
          <w:color w:val="auto"/>
        </w:rPr>
        <w:t>, an online portal complete with rental summary dashboards, visualizations and detailed reports that provides our corporate customers with insight into their program’s performance, giving them direct access to more data in a customer-facing portal offering useful data insights, including options to customize and schedule reports. Avis also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maintains marketing relationships with other travel partners through which we are able to offer their customers incentives to rent from Avis.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Additionally, we offer </w:t>
      </w:r>
      <w:r>
        <w:rPr>
          <w:rFonts w:ascii="Arial" w:cs="Arial" w:eastAsia="Arial" w:hAnsi="Arial"/>
          <w:sz w:val="18"/>
          <w:szCs w:val="18"/>
          <w:i w:val="1"/>
          <w:iCs w:val="1"/>
          <w:color w:val="auto"/>
        </w:rPr>
        <w:t>Unlimited Rewards</w:t>
      </w:r>
      <w:r>
        <w:rPr>
          <w:rFonts w:ascii="Arial" w:cs="Arial" w:eastAsia="Arial" w:hAnsi="Arial"/>
          <w:sz w:val="18"/>
          <w:szCs w:val="18"/>
          <w:color w:val="auto"/>
        </w:rPr>
        <w:t>, our loyalty incentive program for travel agents, and Avis and Budget programs for small businesses that offer discounted rates, central billing options and rental credits to members.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Zipcar brand utilizes a diverse set of marketing and sales strategies to acquire and engage members, including digital marketing, email and in-app messaging, and social media engagement. Zipcar maintains close relationships with universities that provide access to campuses and various marketing channels to attract students who, upon graduation, may continue their relationship with us. Through our </w:t>
      </w:r>
      <w:r>
        <w:rPr>
          <w:rFonts w:ascii="Arial" w:cs="Arial" w:eastAsia="Arial" w:hAnsi="Arial"/>
          <w:sz w:val="18"/>
          <w:szCs w:val="18"/>
          <w:i w:val="1"/>
          <w:iCs w:val="1"/>
          <w:color w:val="auto"/>
        </w:rPr>
        <w:t>Zipcar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program, we also offer direct-bill accounts and employee benefit programs to companies and governments that support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Zipcar vehicles.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LICENSING</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licensees in approximately 175 countries throughout the world. Royalty fee revenues derived from our vehicle rental licensees in 2023 totaled $133 million, with approximately $ 92 million in our International segment and $41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In some geographies we facilitate one-way vehicle rentals between Company-operated and licensed locations, which enables us to offer an integrated network of locations to our customers.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under one or more of our brands in their assigned territory. These agreements impose obligations on the licensee regarding its operations, and most agreements restrict the licensee’s ability to sell, transfer or assign its rights granted under the license agreement or to change the control of its ownership without our consent.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optimize the Avis, Budget and Payless brands by issuing new license agreements and periodically acquiring licensees to grow our revenues and expand our global presence. Discussion of our acquisitions is included in Note 6 – Acquisitions to the Consolidated Financial Statements included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to revenues derived from time and mileage fees from our vehicle rentals and licensee royalties, we generate revenues from our customers through the sale and/or rental of optional ancillary products and services. We offer products to customers that will enhance their rental experience, including:</w:t>
      </w:r>
    </w:p>
    <w:p>
      <w:pPr>
        <w:spacing w:after="0" w:line="198" w:lineRule="exact"/>
        <w:rPr>
          <w:sz w:val="20"/>
          <w:szCs w:val="20"/>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collision and loss damage waivers, under which we agree to relieve a customer from financial responsibility arising from vehicle damage incurred during the rental;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additional/supplemental liability insurance or personal accident/effects insurance products which provide customers with additional protections for personal or third-party losses incurred;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for driving convenience such as fuel service options, roadside assistance services, electronic toll collection services, access to satellite radio, mobile WiFi devices, GPS navigation and child safety seat rentals;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products that supplement truck rental including automobile towing equipment and other moving accessories, such as hand trucks, furniture pads and moving supplies.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FLEET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offer a wide variety of vehicles in our rental fleet, including luxury vehicles, electrified vehicles, specialty-use vehicles and light commercial vehicles. Our fleet consists primarily of vehicles from the current and immediately preceding model year. We maintain a single fleet of vehicles for Avis and Budget in countries where we operate both brands. A substantial majority of Zipcar’s fleet is dedicated to use by Zipcar.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Purchases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a diverse rental fleet, in which no vehicle manufacturer represented more than 23% of our 2023 fleet purchases, and we regularly adjust our fleet levels to be consistent with demand. We participate in a variety of vehicle purchase programs with major vehicle manufacturers. In 2023, we primarily purchased vehicles from Stellantis N.V., General Motors Company, Renault-Nissan-Mitsubishi Alliance, Toyota Motor Corporation, Hyundai Motor Group, Ford Motor Company and Volkswagen Group.</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Fleet costs represented approximately 17% of our aggregate expenses in 2023. Fleet costs can vary from year to year based on the prices at which we are able to purchase and dispose of rental vehicles, the mix of risk and program vehicles, holding periods, and overall fleet mix.</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2023, approximately 10% of our average rental fleet was comprised of vehicles subject to agreements requiring automobile manufacturers to repurchase vehicles at a specified price during a specified time period or guarantee our rate of depreciation on the vehicles during a specified period of time; or vehicles subject to operating leases with a fixed lease period and interest rate. We refer to vehicles subject to these agreements as “program” vehicles and vehicles not subject to these agreements as “risk” vehicles because we retain the risk associated with such vehicles’ residual values at the time of their disposition. Our agreements with automobile manufacturers typically require that we pay more for program vehicles and maintain them in our fleet for a minimum number of months and impose certain return conditions, including vehicle condition and mileage requirements. When we return program vehicles to the manufacturer, we receive the price guaranteed at the time of purchase and are therefore protected from fluctuations in the price of previously-owned vehicles in the wholesale market. In 2023, approximately 20% of the vehicles we disposed of were program vehicles sold pursuant to repurchase or guaranteed depreciation programs. Over the past several years, program vehicles have comprised of a decreasing proportion of our fleet. The approximate percentage of program vehicles in our average rental fleet within each of our reporting segments in 2023 was 40% for International and less than 1% for the Americas. The future percentages of program and risk vehicles in our fleet will depend on several factors, including our expectations for future used vehicle prices, our seasonal needs and the availability and attractiveness of manufacturers’ repurchase and guaranteed depreciation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Dispositions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dispose of our risk vehicles largely through alternative disposition channels, including direct-to-consumer, online auctions, and direct-to-dealer sales, as well as through more traditional automobile auctions. Alternative disposition channels provide the opportunity to increase vehicle sales prices and reduce relevant fleet costs compared to selling vehicles at auctions. We sell vehicles direct to consumers through our retail locations, and through RubyCar, our online retail sales platform, which offers customers the ability to purchase well-maintained, late-model rental vehicles from our fleet. We dispose of our program vehicles in accordance with repurchase or guaranteed depreciation programs with major vehicle manufacturers.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Utilization</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2023, our average quarterly vehicle rental fleet size ranged from a low of approximately 621,000 vehicles in the first quarter to a high of approximately 754,000 vehicles in the third quarter. Average quarterly fleet utilization for 2023, which is based on the number of rental days (or portion thereof) that vehicles are rented compared to the total amount of time that vehicles are available for rent, ranged from approximately 65% to approximately 71%. Our average car rental fleet size and utilization are typically highest in the summer months. Our calculation of utilization may not be comparable to other companies’ calculation of similarly titled metrics.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Fleet Maintenance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place a strong emphasis on the quality of our vehicle maintenance for customer safety and customer satisfaction reasons, and because quick and proper repairs are critical to fleet utilization. To accomplish this task, we have developed and continue to evolve specialized training programs for our technicians. Our Supply Chain Department reviews, distributes, and makes accessible original equipment manufacturer (“OEM”) technical service bulletins that can be retrieved electronically at our repair locations. In addition, we have implemented policies and procedures to promptly address manufacturer recalls as part of our ongoing maintenance and repair efforts to maximize the customer experience.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SERVICE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commitment to delivering a consistently high level of customer service across all of our brands is a critical element of our success and business strategy. Our </w:t>
      </w:r>
      <w:r>
        <w:rPr>
          <w:rFonts w:ascii="Arial" w:cs="Arial" w:eastAsia="Arial" w:hAnsi="Arial"/>
          <w:sz w:val="18"/>
          <w:szCs w:val="18"/>
          <w:i w:val="1"/>
          <w:iCs w:val="1"/>
          <w:color w:val="auto"/>
        </w:rPr>
        <w:t>Customer Led, Service Driven</w:t>
      </w:r>
      <w:r>
        <w:rPr>
          <w:rFonts w:ascii="Arial" w:cs="Arial" w:eastAsia="Arial" w:hAnsi="Arial"/>
          <w:sz w:val="18"/>
          <w:szCs w:val="18"/>
          <w:color w:val="auto"/>
        </w:rPr>
        <w:t xml:space="preserve"> program focuses on continually improving the overall customer experience based on our research of customer service practices, improved customer insights, executing our customer relationship management strategy, delivering customer-centric employee training and leveraging our mobile applications technology and the enriched experience it provides our customers. In addition, our social media platform allows us to engage with our customers in their preferred channel, which enables us to meet the needs of our customers while promoting our brands to gain more market share and drive customer loyalty.</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employees at our Company-operated locations are trained and empowered to resolve many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offer rental options that provide greater control, self-service and contactless capabilities. While our mobile applications provide a fast customer experience, a company representative is available to meet customers’ needs. Our survey platform includes specific questions to learn more about individual preferences and find innovative ways to better serve and anticipate our customers’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AIRPORT CONCESSION AGREEMENTS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revenues (as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defined by each airport authority), often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in some cases provide for abatement of the minimum annual guarantee in the event of extended low passenger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05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OTHER BUSINESS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the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presents our quarterly revenues for the years ended December 31,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17780</wp:posOffset>
            </wp:positionV>
            <wp:extent cx="5709285" cy="2280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928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reliability, rental locations, product innovation and national or international distribution. In addition, competition is also influenced strongly by advertising, marketing, loyalty programs and brand reputation. We believe the prominence and service reputation of our brands, extensive worldwide ownership of mobility solutions and commitment to innovation provides us with a competitive advantage.</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use of technology has increased pricing transparency among vehicle rental companies and other mobility solutions providers enabling cost-conscious customers to more easily compare on the Internet and their mobile devices the rates available for the mobility solutions that fit their needs. This transparency has further increased the prevalence and intensity of price competition in the industry.</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vehicle rental operations compete primarily with Enterprise Holdings, Inc., which operates the Enterprise, National and Alamo car rental brands; Hertz Global Holdings, Inc., which operates the Hertz, Dollar and Thrifty brands; Europcar Mobility Group, which operates the Europcar, Goldcar, InterRent, Buchbinder, Fox Rent A Car and Ubeeqo brands; and Sixt SE. We also compete with smaller local and regional vehicle rental companies for vehicle rental market share, and with ride-hailing companies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industry. Our Budget Truck operations in the United States competes with several other local, regional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and nationwide truck rental companies including U-Haul International, Inc., Penske Truck Leasing Corporation, Ryder System, Inc., Enterprise Truck Rental, and Hertz Global Holdings,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AND RISK MANAGEMENT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vehicle rental and corporate operations expose us to various types of claims for bodily injury, death and property damage related to the use of our vehicles and/or properties, as well as general employment-related matters stemming from our operations. In addition, we currently purchase insurance coverage to limit our exposure to legal fees and expenses resulting from cybersecurity breaches. We generally retain economic exposure for liability to third parties arising from vehicle rental and car sharing services in the United States, Canada and Puerto Rico in accordance with the minimum financial responsibility requirements (“MFRs”) and primacy of coverage laws of the relevant jurisdiction. In certain cases, we assume liability above applicable MFRs, up to $5 million per occurrence, other than in cases involving a negligent act on the part of the Company, for which we purchase insurance coverage for exposures beyond retained amounts from a combination of unaffiliated excess insurers.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Europe, we insure the risk of liability to third parties arising from vehicle rental and car sharing services in accordance with local regulatory requirements primarily through insurance policies provided by unaffiliated insurers. We retain a portion of the insured risk of liability through local deductibles, and by reinsuring certain risks through our captive insurance subsidiary AEGIS Motor Insurance Limited. AEGIS Motor Insurance Limited reinsures certain risks through unaffiliated companies, which limits its liabilities. In Australasia, motor vehicle bodily injury insurance coverage is compulsory and provided upon vehicle registration. In addition, we provide our customers with third-party property damage insurance through an unaffiliated third-party insurer. We retain a share of property damage risk through local deductibles.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offer our United States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Company Limited. Additional personal accident insurance offered to our customers in Europe is provided by a third-party insurer, and primarily reinsured by our Avis Budget Europe International Reinsurance Limited subsidiary. We otherwise bear these and other risks, except to the extent that the risks are transferred through insurance or contractual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INTELLECTUAL PROPERTY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“Plan On Us,” “We Try Harder,” “We Know The Road” and “Own The Trip, Not The Car”, “Preferred” and “Fastbreak” are material to our vehicle rental and car sharing businesses. Our subsidiaries and licensees actively use these marks. All of the material marks used by Avis, Budget and Zipcar are registered (or have applications pending for registration) with the U.S.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and “Morini Rent” brands in Italy, the “FranceCars” brand in France and the “Turiscar” brand in Portugal. Our subsidiaries have also filed patent applications pertaining to fleet and connected car technology in the United States and other countries.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SOCIAL &amp; GOVERNANCE (“ESG”)</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recognize our role as one of the world’s leading mobility solutions providers. As a result, we are focused on supporting the transition to a low-carbon economy and employ practices designed to promote a more fair, just and equal workplace and community.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Environment: </w:t>
      </w:r>
      <w:r>
        <w:rPr>
          <w:rFonts w:ascii="Arial" w:cs="Arial" w:eastAsia="Arial" w:hAnsi="Arial"/>
          <w:sz w:val="18"/>
          <w:szCs w:val="18"/>
          <w:color w:val="auto"/>
        </w:rPr>
        <w:t>We are committed to offering safe and low-carbon transportation solutions:</w:t>
      </w:r>
    </w:p>
    <w:p>
      <w:pPr>
        <w:spacing w:after="0" w:line="252" w:lineRule="exact"/>
        <w:rPr>
          <w:sz w:val="20"/>
          <w:szCs w:val="20"/>
          <w:color w:val="auto"/>
        </w:rPr>
      </w:pPr>
    </w:p>
    <w:p>
      <w:pPr>
        <w:jc w:val="both"/>
        <w:ind w:left="66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Greenhouse Gas Emissions: As our corporate and leisure customers become increasingly aware and concerned about pollution and congestion caused by vehicles, we aim to provide more sustainable transportation solutions by leveraging connected vehicle technology and introducing more fuel efficient, low emission, and electric vehicles.</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Sustainable Operations Improvements: We are driving the efficiencies needed to reduce our environmental impact and enhance the sustainability of our operations. These are mainly driven by improvements in vehicle preventive maintenance, the incorporation of green building practices and by complying with environmental regulations.</w:t>
      </w:r>
    </w:p>
    <w:p>
      <w:pPr>
        <w:spacing w:after="0" w:line="19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Carbon Offset Program: We work closely with our corporate customers to help them achieve their environmental impact reduction targets through our carbon offset program.</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Sustainable Fleet: We are actively anticipating and driving changes in mobility. Connected and autonomous vehicles are likely to become a common feature worldwide, along with an increased use of electric and shared vehicles, which is why we are building on our core experience, data intelligence and technology to develop entirely new lines of business and extend our offering and capabilities for our customers, businesses and cities. Our efforts include:</w:t>
      </w:r>
    </w:p>
    <w:p>
      <w:pPr>
        <w:spacing w:after="0" w:line="189" w:lineRule="exact"/>
        <w:rPr>
          <w:rFonts w:ascii="Arial" w:cs="Arial" w:eastAsia="Arial" w:hAnsi="Arial"/>
          <w:sz w:val="18"/>
          <w:szCs w:val="18"/>
          <w:color w:val="auto"/>
        </w:rPr>
      </w:pPr>
    </w:p>
    <w:p>
      <w:pPr>
        <w:jc w:val="both"/>
        <w:ind w:left="980" w:hanging="324"/>
        <w:spacing w:after="0" w:line="262"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Car Sharing: Zipcar continually improves its car sharing technology, which includes its mobile member app, in-vehicle telematics hardware and reservation, fleet management and community management systems. Zipcar’s technology platform is key to providing a successful self-service experience for its members and effectively managing a distributed fleet of vehicles and associated parking locations.</w:t>
      </w:r>
    </w:p>
    <w:p>
      <w:pPr>
        <w:spacing w:after="0" w:line="203" w:lineRule="exact"/>
        <w:rPr>
          <w:rFonts w:ascii="Arial" w:cs="Arial" w:eastAsia="Arial" w:hAnsi="Arial"/>
          <w:sz w:val="18"/>
          <w:szCs w:val="18"/>
          <w:color w:val="auto"/>
        </w:rPr>
      </w:pPr>
    </w:p>
    <w:p>
      <w:pPr>
        <w:ind w:left="980" w:right="20" w:hanging="324"/>
        <w:spacing w:after="0" w:line="285" w:lineRule="auto"/>
        <w:tabs>
          <w:tab w:leader="none" w:pos="976"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Connected Vehicles: Connected vehicles support our ability to reduce emissions through a steadfast focus on fleet maintenance and optimization</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left="980" w:hanging="324"/>
        <w:spacing w:after="0" w:line="268" w:lineRule="auto"/>
        <w:tabs>
          <w:tab w:leader="none" w:pos="976"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Fleet Efficiency: We offer our customers the opportunity to choose from a wide variety of vehicles, including fuel-efficient, hybrid, or electric vehicles at almost all of our locations. Our fleet consists primarily of vehicles from the current and immediately preceding model year - this ensures the highest possible standards of air emissions control.</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Social: </w:t>
      </w:r>
      <w:r>
        <w:rPr>
          <w:rFonts w:ascii="Arial" w:cs="Arial" w:eastAsia="Arial" w:hAnsi="Arial"/>
          <w:sz w:val="18"/>
          <w:szCs w:val="18"/>
          <w:color w:val="auto"/>
        </w:rPr>
        <w:t>We believe that our success has its foundation in how we treat our employees. We seek to foster an environment where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among our employees is open, honest, and respectful; performance is recognized; growth is encouraged; and accomplishments - individual and collective - are celebrated. We also seek to support the well-being and development of the people we employ and the communities in which they work. Our efforts include:</w:t>
      </w:r>
    </w:p>
    <w:p>
      <w:pPr>
        <w:spacing w:after="0" w:line="203" w:lineRule="exact"/>
        <w:rPr>
          <w:sz w:val="20"/>
          <w:szCs w:val="20"/>
          <w:color w:val="auto"/>
        </w:rPr>
      </w:pPr>
    </w:p>
    <w:p>
      <w:pPr>
        <w:jc w:val="both"/>
        <w:ind w:left="660" w:hanging="328"/>
        <w:spacing w:after="0" w:line="26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Giving Back: We are a global company with local reach in numerous communities around the world. Whether we work individually or as a team, doing the right thing and supporting our communities helps employees feel their work is more than just a job, and makes them feel proud to be part of the Avis Budget Group family. As well as encouraging our employees to volunteer in their local communities, we are committed to supporting a variety of causes and charities that aid people in crisis situations.</w:t>
      </w:r>
    </w:p>
    <w:p>
      <w:pPr>
        <w:spacing w:after="0" w:line="20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Supporting Community Resilience: We have developed strong competencies in responding to business disruptions. Whether the disruption is man-made, an extreme weather event or a global health crisis, our business continuity programs are central to how we respond in times of crisis. Our program’s focus is on preparing and protecting our people, property and infrastructure. We utilize an “all hands on deck” approach within our incident management and command structure to ensure that we respond as rapidly and effectively as possible. We have also developed longstanding partnerships with leading national disaster response agencies, which strengthen our ability to provide support to affected customers, employees and communities.</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8"/>
          <w:szCs w:val="18"/>
          <w:i w:val="1"/>
          <w:iCs w:val="1"/>
          <w:color w:val="auto"/>
        </w:rPr>
        <w:t xml:space="preserve">Governance: </w:t>
      </w:r>
      <w:r>
        <w:rPr>
          <w:rFonts w:ascii="Arial" w:cs="Arial" w:eastAsia="Arial" w:hAnsi="Arial"/>
          <w:sz w:val="18"/>
          <w:szCs w:val="18"/>
          <w:color w:val="auto"/>
        </w:rPr>
        <w:t>Our Board of Directors monitors the effectiveness of our policy and decision making, including with respect to ESG,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and long-term value of our company.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most recent Corporate Governance documents are available on the Company’s website. The information contained on the Company’s website is not included in, or incorporated by reference into,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HUMAN CAPITAL RESOURCES AND MANAGEMENT</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human capital objectives include identifying, recruiting, retaining, incentivizing and integrating our existing and future or prospective employees. Our compensation program is designed to attract, retain and motivate highly qualified employees and executives.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2023, we employed approximately 24,500 people worldwide, of whom approximately 6,500 were employed on a part-time basis. Of our approximately 24,500 employees, approximately 8,500 were employed in our International segment. In our Americas segment, the majority of our employees are at-will employees and, therefore, not subject to any type of employment contract or agreement.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variety of union contracts and governmental regulations affecting, among other things, compensation, job retention rights and pensions.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strive to maintain satisfactory relationships with all of our employees, including the unions and work councils representing these employees. As of December 31, 2023, approximately 28% of our employees were covered by collective bargaining or similar agreements with various labor unions. We believe our employee relations are satisfactory. We have never experienced a large-scale work stoppage.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Supporting our employees with the right benefits is one of the most important things we do. We understand benefits are a key element to a total reward package, so ensuring we provide meaningful benefit programs and resources across the globe is an integral part of how we reward employees, including with respect to healthcare and retirement. As a global company, benefits will vary by country to reflect local practices and cultures, but our commitment to providing comprehensive and meaningful benefits and resources is consistent across the world. We continuously review and, when necessary, update our programs to ensure they remain flexible, competitive, and aligned to what is important for our employees and their families.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Gender Pay Equity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ensure we are compensating both men and women employees fairly and equitably, we utilize a global Center of Excellence total rewards function which standardizes and harmonizes our rewards programs across all countries. As a result, we have established pay programs that provide for equal incentive pay opportunity for all employees in same or similar positions across the globe. Additionally, we utilize global guidelines and standards to inform compensation decisions for all new hires and promotions. To monitor our performance for our management employees, we evaluate base salary placement relative to our internal salary ranges for men and women. For our hourly field workforce (non-management employees), we maintain pay equity through our standardized compensation practices in which all employees begin at the same start rate, based on their location and position, and annual pay increases are applied consistently to all employees based on tenure.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Recruitment and Development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talent strategy is solidly rooted in attracting and retaining a diverse workforce. Our Talent Acquisition teams have strong relationships with organizations that help us reach a diverse pool of candidates including those who identify as LGBTQ+ and those with disabilities. We believe that our employees possess a wealth of knowledge that could and should be shared with others. We have a wealth of established learning and talent programs that we make available to our employees, including a digital learning platform that has transformed the way we produce, manage and share learning resources.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Inclusion and Belonging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embrace diversity and inclusion. We value each employee around the world, whose talent, skill and personality has helped establish us as a leading global mobility provider. We believe that embracing and promoting diversity is a critical component of our success and we have committed to creating a safe, supportive and inclusive environment. As an equal-opportunity employer, we are proud to provide an inclusive workplace that embraces and celebrates demographic, cultural and lifestyle differences. We strive to have a diverse and inclusive work environment where employees feel valued for their uniqueness, recognized for their diverse talents, and where they can bring their whole selves to work. We have created employee resource groups (“ERGs”) to advocate for equality, provide opportunities for advancement, and facilitate discussion around better practices and resources to advance more targeted cultural and racial understanding and diversity. These ERGs provide a space where employees can foster connections and develop in a supportive environment. As of the end of 2023, we had the following ERGs: Power of Women, Power of Veterans, Power of Pride, and Power of Color.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health and safety of our employees is our highest priority because our people are our most valuable asset. Consistent with our operating philosophy, we are committed to safety and our core belief is that health and safety is every employee’s responsibility, not only for our employees but for our customers, vendors, and all stakeholders.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Well-being</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take a holistic approach to well-being. We understand that to deliver our best performance, our employees need to be healthy and happy in all areas of their lives. Our well-being program focuses on helping our people achieve all aspects of wellness through encouraging habits that promote physical, emotional and financial well-being.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a wide variety of laws and regulations in the countries in which we operate, including those relating to, among others, consumer protection, insurance products and rates, franchising,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ESG matters and local ownership or investment requirements. Additional information about the regulations that we are subject to can be found in Part I, Item 1A, “Risk Factors” in this Annual Report on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executive office is located at 379 Interpace Parkway, Parsippany, New Jersey 07054 (our telephone number is 973-496-4700). The Company files electronically with the Securities and Exchange Commission (the “SEC”) required reports on Form 8-K, Form 10-Q and Form 10-K; proxy materials; registration statements and other forms or reports as required. Certain of the Company’s officers, directors and stockholders also file statements of beneficial ownership and of changes in beneficial ownership on Forms 3, 4 and 5 with the SEC. Such materials may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(ir.avisbudgetgroup.com),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ind w:left="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405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t>ITEM 1A. RISK FACTORS</w:t>
      </w:r>
    </w:p>
    <w:p>
      <w:pPr>
        <w:sectPr>
          <w:pgSz w:w="11900" w:h="16838" w:orient="portrait"/>
          <w:cols w:equalWidth="0" w:num="1">
            <w:col w:w="11240"/>
          </w:cols>
          <w:pgMar w:left="320" w:top="985" w:right="339" w:bottom="1440" w:gutter="0" w:footer="0" w:header="0"/>
        </w:sect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is a discussion of the risks, uncertainties and assumptions that we believe are material to our business and should be considered carefully in conjunction with all of the other information set forth in this Annual Report on Form 10-K. Although the risks are organized by headings, and each risk is discussed separately, many are interrelated. In addition to the factors discussed elsewhere in this Annual Report on Form 10-K,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INDUSTRY AND THE BROADER ECONOMY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high level of competition in the mobility industry.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mobility industry is highly competitive, with price being one of the primary factors. To the extent that our competitors reduce their pricing and we do not provide competitive pricing, or if price increases we implement make us less competitive, we risk losing rental volume, and reducing the chances of success for bids for customer accounts. If competitive pressures lead us to lose rental volume or match any downward pricing and we are unable to reduce our operating costs, then our financial condition or results of operations could be materially adversely impacted.</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pricing in the vehicle rental industry is impacted by the size of rental fleets and the supply of vehicles available for rent. Any significant fluctuations in the supply of rental vehicles, including as a result of actions taken by our competitors that increases fleet significantly above market demand, could negatively affect our pricing, operating plans or results of operations.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competitive environment for our mobility services has become more intense as additional companies, including automobile manufacturers, ride-hailing companies, car sharing companies and other technology players in the mobility industry enter our existing markets or expand their operations, which may affect demand for rental vehicles. Some of these companies may have access to substantial capital, innovative technologies or have the ability to provide services at a relatively low cost. To the extent these companies can improve transportation efficiency, alter driving patterns or attitudes toward vehicle rental, offer more competitive prices, undertake more aggressive marketing campaigns, price their competing services below market or otherwise disrupt the mobility industry, we risk heightened pricing competition and/or loss of rental volume, which could adversely impact our business and results of operations.</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risk of competition on the basis of pricing in the truck rental industry can be even more impactful than in the car rental industry as it can be more difficult to reduce the size of our truck rental fleet in response to significantly reduced demand.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fleet costs and availability.</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Fleet costs typically represent our single largest expense and can vary from year to year based on the prices that we are able to purchase and dispose of our vehicles. We purchase program vehicles, which are guaranteed a rate of depreciation through agreements with auto manufacturers, and non-program, or risk vehicles. In 2023, on average approximately 90% of our rental fleet was comprised of risk vehicles.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costs of our risk vehicles may be adversely impacted by the relative strength of the used car market, particularly the market for one- to two-year old used vehicles, or potentially by the insolvency or bankruptcy of an auto manufacturer from whom we purchase vehicles. We currently sell risk vehicles through various sales channels in the used vehicle marketplace, including traditional auctions, and alternative disposition channels, including online auctions, direct-to-dealer sales and directly to consumers through either retail lots or online. These channels may not produce stable vehicle prices in the future, as the market for used vehicles is subject to changes in demand for such vehicles, consumer interests, inventory levels, new car pricing, interest rates, fuel costs, tariffs and general economic conditions, and recent reports have suggested that prices in the used vehicle market may decrease in 2024. A reduction in residual values for risk vehicles in our rental fleet could cause us 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sustain a substantial loss on the sale of such vehicles or require us to depreciate those vehicles at a more accelerated rate than previously anticipated while we own them.</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market value of the vehicles in our fleet is reduced or our ability to sell vehicles in the used vehicle marketplace were to become severely limited, we may have difficulty meeting collateral requirements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 anticipated. If that were to occur, the holders of our asset-backed debt may have the ability to exercise their right to instruct the trustee to direct the return of program vehicles and/or the sale of risk vehicles to generate proceeds sufficient to repay such debt.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 vehicles enable us to determine our depreciation expense in advance of purchase. Our program vehicles also generally provide us with flexibility to reduce the size of our fleet rapidly. This flexibility is negatively affected as the percentage of program vehicles in our fleet is reduced as has been the trend over the last several years, or if the features of the programs provided by auto manufacturers are less favorable. Our inability to reduce the size of our fleet in response to seasonal demand fluctuations, economic constraints or other changes in demand could have an adverse impact on our fleet costs and results of operations.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by a manufacturer to fulfill its obligations under any program agreement or incentive payment obligation, due to insolvency, bankruptcy or other reasons, could leave us with a material expense if we are unable to dispose of program vehicles at prices estimated at the time of purchase or with a substantial unpaid claim against the manufacturer, particularly with respect to program vehicles that were either (i) resold for an amount less than the amount guaranteed under the applicable program; or (ii) returned to the manufacturer, but for which we were not paid, and therefore we could incur a substantial loss as a result of such failure to perform.</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While we source our fleet purchases from a wide range of auto manufacturers, we are exposed to risk to the extent that any auto manufacturer significantly curtails production. Such production may be curtailed as a result of a wide range of factors, including impacts of a</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pandemic and supply chain impacts, including shortages of parts, which have impacted certain manufacturers in the past. We are also exposed to risk to the extent that any auto manufacturer increases the cost of vehicles, including as a result of inflation, labor shortages or disruptions, or supply chain disruptions, or declines to sell vehicles to us on terms or at prices consistent with past practice. Should any of these risks occur, we may be unable to obtain a sufficient number of vehicles to operate our business without significantly increasing our fleet costs or reducing our volumes.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safety recalls affecting our vehicles.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vehicles may be subject to safety recalls by their manufacturers, which could have an adverse impact on our business when we remove recalled vehicles from our rentable fleet. We cannot control nor predict the number of vehicles that will be subject to manufacturer recalls in the future. Recalls often require us to retrieve vehicles from customers and/or hold vehicles until we can arrange for the repairs described in the recalls to be completed. As such, recalls can increase our costs, negatively impact our revenues and/or reduce our fleet utilization. If a large number of vehicles were to be the subject of one or more recalls, or if needed replacement parts were not in adequate supply, we may be unable to utilize recalled vehicles for a significant period of time. We may also be subject to material liability claims or regulatory action related to vehicles subject to a safety recall. Depending on the nature and severity of the recall, it could create customer service problems, reduce the residual value of the vehicles involved, harm our reputation and/or have an adverse impact on our financial condition or results of operations.</w:t>
      </w:r>
    </w:p>
    <w:p>
      <w:pPr>
        <w:spacing w:after="0" w:line="21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Weakness or fluctuations in travel demand or general economic conditions, or a significant increase in fuel costs, can adversely impact our business.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Demand for vehicle rentals is generally subject to and impacted by international, national and local economic conditions and travel demand, which can be impacted by many factors, including inflation. When travel demand or economic conditions in the United States, Europe and/or worldwide weaken, our financial condition and results of operations are often adversely impacted.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significant airline capacity reductions, airfare or related fee increases, reduced flight schedules, or any events that disrupt or reduce business or leisure air travel or weaken travel demand and tourism, such as work stoppages, military conflicts, terrorist incidents, natural disasters, disease epidemics, or the response of governments to any such events, could have an adverse impact on our results of operations. For example, events of a global nature such as the COVID-19 pandemic have had, and may in the future have, material impacts on the Company. In addition, any significant increases in fuel prices, a severe protracted disruption in fuel supplies or rationing of fuel, or severe inflation that disrupts consumers’ discretionary spending patterns could discourage our customers from renting vehicles or reduce or disrupt air travel, which could also adversely impact our results of operations.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truck rental business can be impacted by the housing market. If conditions in the housing market were to weaken, we may see a reduction in truck rental transactions, which could have an adverse impact on our business. Our truck rental business can also be impacted by changes in the light commercial business sector. If the light commercial business develops their own package delivery service with a fleet of trucks and vans to use for their business, or other large competitors enter the package delivery service industry, in particular around the holiday season, we may see a reduction in truck rental transactions, which could have an adverse impact on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political, economic and commercial instability or uncertainty in the countries in which we operate.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global operations expose us to risks related to international, national and local economic and political conditions and instability.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our business in a number of different regions and countries exposes us to a number of other risks, including:</w:t>
      </w:r>
    </w:p>
    <w:p>
      <w:pPr>
        <w:spacing w:after="0" w:line="234" w:lineRule="exact"/>
        <w:rPr>
          <w:sz w:val="20"/>
          <w:szCs w:val="20"/>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and potentially conflicting laws, regulations, trade policies and agreements, and varying tax regimes that are subject to change;</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currency restrictions, restrictions on repatriation of earnings or other restraints, as well as difficulties in obtaining financing in foreign countries for local operations;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changes to import-export laws, trade treaties or tariffs in the countries where we purchase vehicles;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trade disruptions or disputes;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local ownership or investment requirements, or compliance with local laws, regulations or business practices;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uncertainty and changes to </w:t>
      </w:r>
      <w:r>
        <w:rPr>
          <w:rFonts w:ascii="Arial" w:cs="Arial" w:eastAsia="Arial" w:hAnsi="Arial"/>
          <w:sz w:val="18"/>
          <w:szCs w:val="18"/>
          <w:color w:val="333333"/>
        </w:rPr>
        <w:t>political and regulatory regimes as a result of changing social, political, regulatory and economic</w:t>
      </w:r>
      <w:r>
        <w:rPr>
          <w:rFonts w:ascii="Arial" w:cs="Arial" w:eastAsia="Arial" w:hAnsi="Arial"/>
          <w:sz w:val="18"/>
          <w:szCs w:val="18"/>
          <w:color w:val="auto"/>
        </w:rPr>
        <w:t xml:space="preserve"> </w:t>
      </w:r>
      <w:r>
        <w:rPr>
          <w:rFonts w:ascii="Arial" w:cs="Arial" w:eastAsia="Arial" w:hAnsi="Arial"/>
          <w:sz w:val="18"/>
          <w:szCs w:val="18"/>
          <w:color w:val="333333"/>
        </w:rPr>
        <w:t>environments in the United States and internationally;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international conflict, including terrorist acts;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 or civil unrest that may severely disrupt economic activity in affected countries.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Exposure to these risks may adversely impact our financial condition or results of operations. Our licensees’ vehicle rental operations may also be impacted by these risks, which in turn could impact the amount of royalty payments they make to us.</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ongoing military conflicts in the Middle East and Eastern Europe are causing uncertainty that may have an adverse impact on our business, financial condition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world economy and markets are experiencing volatility and disruption from the ongoing military conflicts in the Middle East and Eastern Europe, the length and impact of which are highly unpredictable. These conflicts have led to, and could in the future lead to, significant volatility in our costs, including fuel and fleet costs, including as a result of sanctions or any embargoes on oil sales imposed on or by the Russian government; impacts to fleet availability; and impacts on demand for travel as a result of weakness in economic conditions, increased inflation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or increases in the cost of fuel as well as other factors. In addition, as a result of the conflict in Eastern Europe, governmental and non-governmental entities have issued alerts noting the potential for increased cyber-attacks. Such risks and disruptions could adversely impact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NATURE OF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or brands may negatively impact our business.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reputation and global brands are integral to the success of our business. Maintenance of our Company’s reputation and brands depends on many factors, including the quality of our products and services and the trust we maintain with our customers. Negative claims or publicity regarding our Company or our operations, offerings, practices, among many other things, may damage our brands or reputation, even if such claims are untrue. Damage to our reputation or brands could adversely impact our revenue and profitability.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third-party distribution channels that we rely upon.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rely upon third-party distribution channels to generate a significant portion of our vehicle rental reservations, including:</w:t>
      </w:r>
    </w:p>
    <w:p>
      <w:pPr>
        <w:spacing w:after="0" w:line="252" w:lineRule="exact"/>
        <w:rPr>
          <w:sz w:val="20"/>
          <w:szCs w:val="20"/>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traditional and online travel agencies, airlines and hotel companies, marketing partners such as credit card companies and membership organizations and other entities that help us attract customers; and</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global distribution systems (“GDS”) that connect travel agents, travel service providers and corporations to our reservation systems.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property leases and vehicle rental concessions.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property leases or vehicle rental concessions at locations throughout the world, including at most airports where we operate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 Most leases and airport concessions have fixed obligations that can be required even if our volume drops significantly. While we have been successful at partially mitigating some of these requirements in the past, including when enplanements have decreased significantly, there is no guarantee that we will be able to do so in the future, and if we are not successful our costs as a percentage of revenue could increase.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seasonality of our business.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business, the third quarter of the year has historically been our most profitable quarter, as measured by net income and Adjusted EBITDA, due primarily to the increased level of summer leisure travel.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face risks related to acquisitions, including the acquisition of existing licensees or investments in or partnerships with other related businesses.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engage in strategic transactions, including the acquisition of, or investment in, existing licensees and/or other businesses, partnerships or joint ventures. The risks involved in engaging in these types of transactions include the possible failure to successfully integrate the operations of acquired businesses, or to realize expected benefits within the anticipated time frame, or at all, such as cost savings, synergies, sales and growth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opportunities. In addition, the integration of an acquired business or oversight of a partnership or joint venture may result in material unanticipated challenges, expenses, liabilities or competitive responses, including:</w:t>
      </w:r>
    </w:p>
    <w:p>
      <w:pPr>
        <w:spacing w:after="0" w:line="18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inconsistencies between our standards, procedures and policies and those of an acquired business, partnership and/or joint venture;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or inefficiencies associated with the integration of our operational and administrative systems;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increased scope and complexity of our operations could require significant attention from management and could impose constraints on our operations or other projects;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expenses, delays or conditions, including required regulatory or other third-party approvals or consents, or provisions in contracts with third parties that could limit our flexibility to take certain actions;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retain the customers, employees, suppliers and/or marketing partners of an acquired business, partnership or joint venture or generate new customers or revenue opportunities through a strategic partnership;</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compliance with local laws and regulations and the implementation of compliance processes, as well as the assumption of unexpected liabilities, litigation, penalties or other enforcement actions;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undetected malware and viruses embedded in the acquired IT systems of the acquired entity;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expected costs arising due to unforeseen changes in tax, trade, environmental, labor, safety, payroll or pension policies.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one of these factors could result in delays, increased costs or decreases in the amount of expected revenues related to or derived from a strategic transaction and could adversely impact our financial condition or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vehicle electrification.</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Vehicle electrification refers to a range of technologies that uses electricity to propel a vehicle and includes hybrid, plug-in, extended range and battery electric vehicles, as well as autonomous vehicles. We believe that the vehicle industry will continue to experience significant change in the coming years, in particular as it relates to vehicle electrification. Worldwide demand for electric and hybrid vehicles continues to increase, and manufacturers continue to invest more time and cost into producing these types of vehicles in an effort to reduce fuel consumption and greenhouse gas emissions, as mandated by various governmental standards and regulations. If we are not adequately prepared to meet consumer demand for electric, hybrid and autonomous vehicles as such demand develops, including if we are unable to attain an optimal and consistently reliable charging infrastructure and systems, which will require substantial capital investment, or if consumer demand for electric, hybrid and autonomous vehicles fails to meet our expectations, including due to slower or inadequate investments in charging infrastructure by third parties, our financial condition or results of operations could be adversely impacted.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liability and insurance.</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global operations expose us to several forms of liability, including claims for bodily injury, death and property damage related to the use of our vehicles, or for having our customers on our premises, as well as workers’ compensation and other claims. We may become exposed to uninsured liability at levels in excess of our historical levels, which may exceed the level of our reserves and could adversely impact our financial condition and results of operations. Furthermore, insurance with unaffiliated insurers may not continue to be available to us on economically reasonable terms or at all. Should we be subject to an adverse ruling, or experience other significant liability for which we did not plan and were not adequately insured, our results of operations, financial position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reinsure certain insurance exposures as well as offer optional insurance coverages through unaffiliated third-party insurers that then reinsure all or a portion of their risks through our insurance company subsidiaries, which subjects us to regulation under various insurance laws and statutes. Any changes in regulations that alter or impede our reinsurance obligations or insurance subsidiary operations, or any negative regulatory or other legal action against us with respect to our reinsurance, could adversely impact the economic benefits that we rely upon to support our reinsurance efforts, which in turn would adversely impact our financial condition or results of operations.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Optional insurance products that we offer to renters in the United States, including, but not limited to, supplemental or additional liability insurance, personal accident insurance and personal effects protection, are regulated under state laws. Our vehicle rental operations outside the United States must also comply with certain local laws and regulations regarding the sale of personal accident and effects insurance by intermediaries. Any changes in law that affect our operating requirements with respect to our sale of optional insurance products could increase our costs of compliance or make it uneconomical to offer such products, which would lead to a reduction in revenue and profitability. Should more of our customers decline to purchase optional liability insurance products as a result of any changes in these laws, or otherwise, our financial condition or results of operations could be adversely impacted.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and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Additionally, current United States. federal law pre-empts state laws that impute tort liability based solely on ownership of a vehicle involved in an accident. If such federal law were to change, our insurance liability exposure could materially increase.</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fluctuations in currency exchange rates.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operations generate revenue and incur operating costs in a variety of currencies. The financial position and results of operations of many of our foreign subsidiaries are reported in the relevant local currency and then translated to United States dollars at the applicable currency exchange rate for inclusion in our Consolidated Financial Statements. Changes in exchange rates among these currencies and the U.S. dollar have affected, and will continue to affect, among other things,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derivative instruments.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utilize derivative instruments to manage fluctuations in foreign exchange rates, interest rates and fuel prices. The derivative instruments we use to manage our risk are usually in the form of interest rate swaps and caps and foreign exchange and commodity contracts. Periodically, we are required to determine the change in fair value, called the “mark-to-market,” of some of these derivative instruments, which could expose us to substantial mark-to-market losses or gains if such rates or prices fluctuate materially from the time we entered into the derivatives. Accordingly, volatility in rates or prices may adversely impact our financial position or results of operations and could impact the cost and effectiveness of our derivative instruments in managing our risks.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for future periods may be impacted by impairment charges for goodwill and intangible assets.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carry a significant amount of goodwill and identifiable intangible assets on our Consolidated Balance Sheets. Goodwill is the excess of purchase price over the fair value of the net assets of acquired businesses. We assess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and indefinite-lived intangible assets for impairment each year, or more frequently if circumstances suggest an impairment may have occurred. We have determined in the past and may again determine in the future that a significant impairment has occurred in the value of our goodwill. Additionally, we have a significant amount of identifiable intangible assets and fixed assets that could also be subject to impairment. If we determine that a significant impairment has occurred in the value of our unamortized intangible assets or fixed assets, we could be required to write off a portion of our assets, which could adversely affect our consolidated financial condition or our reported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REGULATORY AND ENVIRONMENTAL, SOCIAL, AND GOVERNANCE (“ESG”) RELATED MATTERS</w:t>
      </w: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Costs associated with lawsuits, investigations or increases in legal reserves that we establish based on our assessment of contingent liabilities may have an adverse effect on our results of operations.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global operations expose us to various claims, lawsuits and other legal proceedings that arise in and outside of the ordinary course of our business in the countries in which we operate. We may be subject to complaints and/or litigation involving our customers, licensees, employees, independent operators and others with whom we conduct business, including claims for bodily injury, death and property damage related to use of our vehicles or our locations, or claims based on allegations of discrimination, misclassification as exempt, wage and hour pay disputes or allegations related to our business practices, and various other claims. We could be subject to substantial costs and/or adverse outcomes from such claims, which could have a material adverse effect on our financial condition, cash flows or results of operations.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some of our locations, we outsource to third-party independent contractors who operate the business as a separate entity and we pay these independent contractors a commission for operating their business under our brands. There is a growing trend in the United States aimed at the gig economy to define independent contractors as employees. As such, we are subject to legislative and or judicial determination that any such changes are applicable to these independent contractors. Such determinations may require us to change the business operations and make such independent contractor locations employee operated. This could potentially expose us to additional costs and material liability under federal and state labor and employment and tax laws.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Company may be reviewed or investigated by government regulators, which could lead to tax assessments, enforcement actions, fines and penalties or the assertion of private litigation claims. It is not possible to predict with certainty the outcome of claims, investigations and lawsuits, which could have an adverse impact on our financial condition or results of operations. In addition, while we maintain insurance coverage with respect to exposure for certain types of legal claims, we may not be able to obtain such insurance on acceptable terms in the future, if at all, and any such insurance may not provide adequate coverage against any such claims.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laws and regulations that could impact our global operations.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 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 trade-related laws and regulations.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regulation, trade treaties or tariffs,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certain countries where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seeking Advanced Pricing Agreements with certain tax authorities to obtain certainty regarding our transfer pricing policy. While this effort is ongoing, the process of negotiating and ultimately entering into these agreements has been lengthy and may take several more years. The ultimate results of our negotiations of these agreements with tax authorities, the expiration of such agreements, or changes in circumstances or in the interpretation of such agreements could increase our tax costs in these jurisdictions, including through the assessment of significant interest charges and/or penalties if non-compliance is adjudicated. To the extent we do not have an existing Advance Pricing Agreement or other agreement, governmental authorities could challenge our transfer pricing policy in the future and, if challenged, we may not prevail, which could increase our tax costs or reduce savings related to our transfer pricing policy.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environmental laws and regulations.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a wide variety of environmental laws and regulations in connection with our operations, including, among other things, with respect to the ownership or use of tanks for the storage of petroleum products such as gasoline, diesel fuel and motor and waste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 tanks has resulted in, and from time to time in the future may result in, spills, which may be significant and may require remediation and expose us to material uninsured liability or liabilities in excess of insurance.</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contamination at our owned and leased properties, as well as contamination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Governments are likely to continue to pursue measures related to climate change and greenhouse gas emissions, including vehicle travel restrictions. Should rules establishing limitations on greenhouse gas or other emissions or rules imposing fees on entities deemed to be responsible for greenhouse gas emissions, or rules establishing bans on diesel or fuel vehicles from entering certain locations become effective in the countries in which we operate, demand for our services could be affected, our fleet and/or other costs could increase, and our business could be adversely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ESG matters.</w:t>
      </w:r>
    </w:p>
    <w:p>
      <w:pPr>
        <w:spacing w:after="0" w:line="2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Increasing attention to climate change, increasing societal expectations on companies to address climate change, the increase in proposed and adopted ESG regulations and laws, both domestically (including in California) and globally (especially in the European continent) and potential consumer and customer use of substitutes to our products may result in increased costs, reduced demand for our products, reduced profits, increased investigations and litigation, reputational harm and negative impacts on our stock price and access to capital markets. We have developed certain initiatives, goals and practices relating to ESG matters. We may not be successful in implementing these initiatives, goals and practices, including due to factors beyond our control, and even if successful, they may not achieve our desired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expected outcomes. If our ESG initiatives, goals, and practices do not meet our expectations, those of our investors or other stakeholders, or requirements of local rules and regulations, each of which continue to evolve, we may incur additional costs, and our brand, reputation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may be adversely impacted.</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and investment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community divestment initiatives may lead to negative publicity or investor sentiment toward us and to the diversion of investment to other industries, which could have a negative impact on our stock price and our access to and costs of capital.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franchising or licensing laws and regulations.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 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Should our operations become subject to new laws or regulations that negatively impact our ability to engage in licensing activities, our financial condition or results of operations could be adversely impacted.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actions of, or failures to act by, our licensees, dealers, independent operators or third-party vendors.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vehicle rental licensee and dealer locations are independently owned and operated. We also operate many of our Company-owned locations through agreements with independent operators, which are third-party 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 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operational standards, we are unlikely to detect all misconduct or noncompliance by a third-party operator or its employees. It is our policy to vigorously seek to be dismissed from any claims involving third-party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changes in tax laws.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Tax Cuts and Jobs Act of 2017 (the “Tax Act”) eliminated the use of like-kind exchange for personal property and allowed for full expensing of qualified property purchases through 2022. From 2004 until its elimination, we utilized like-kind exchange to replace vehicles in a manner that allowed for a material deferral of United States (U.S.) federal and state income taxes. The effect of the repeal of the like-kind exchange treatment for vehicle sales has been largely offset through 2022 by the availability of full expensing for certain business assets (including our vehicles) in the year placed in service. During 2023, the full expensing provision has started to phase-out ratably over five years. While proposed legislation is presently under consideration in Congress to postpone this phase-out, no assurance can be given that the phase-out will be delayed. Certain U.S. states have modified their tax statutes as a result of the Tax Act, and such state legislation does not allow the use of full expensing benefits for state tax purposes, which negatively impacts our tax liability in such states. Other U.S. states continue to modify their tax statutes related to full expensing. Therefore, we cannot offer assurance that the benefits from the expected tax deductions will continue.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Inflation Reduction Act of 2022 (the “IRA”) includes a 15% corporate alternative minimum tax on certain large corporations and a 1% excise tax on certain corporate stock repurchases. The impact on the Company of these provisions, which became effective on January 1, 2023, will depend on several factors, including recently released and forthcoming interpretive regulatory guidance. The Company continues to review and assess the provisions of the IRA, and its potential impact on our financial condition, results of operations, liquidity, and cash flows.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is also a high level of uncertainty in today’s tax environment stemming from both global initiatives put forth by the Organisation for Economic Co-operation and Development (the “OECD”), and unilateral measures being implemented by various countries. As an example, the OECD has put forth two proposals—Pillar One and Pillar Two—that revise the existing profit allocation and nexus rules (profit allocation based on location of sales versus physical presence) and ensure a minimal level of taxation, respectively. During 2023, the OECD issued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guidance which provides for transition and safe harbor rules for the global minimum tax. Further, many countries have</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proposed or have begun to implement changes to existing tax laws in response to the OECD’s proposals. The Company continues to closely monitor any such developments and guidance issued to determine any impact on our effective tax rate, cash tax obligations and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CAPITAL STRUCTURE AND INDEBTEDNESS</w:t>
      </w:r>
    </w:p>
    <w:p>
      <w:pPr>
        <w:spacing w:after="0" w:line="25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face risks related to our current and future debt obligations, including risks related to conditions in the credit and asset-backed securities markets.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that may limit our ability to, among other things, incur additional debt; provide guarantees; pay dividends or distributions, redeem or repurchase capital stock; prepay, redeem or repurchase debt; create or incur liens; make distributions from our subsidiaries; sell assets and capital stock of our subsidiaries; and consolidate or merge with or into, or sell substantially all of our assets to, another person. These covenants and provisions also may limit our ability to respond to adverse changes in general economic, industry and competitive conditions, as well as changes in government regulation and changes to our business.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failure to comply with these restrictive covenants and provisions, if not waived, would cause a default under the applicable debt agreement and could result in a cross-default under several of our other debt obligations, including our United States and European asset-backed debt facilities. If such a default were to occur, we could be required to repay or accelerate debt payments to the lenders or holders of our debt, and there can be no assurance that we would be able to refinance or obtain a replacement for such financing programs.</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refinance existing debt or increase our indebtedness. In addition, we could be subject to increased collateral requirements to the extent that we request any amendment or renewal of any of our existing asset-backed or debt financings.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increases in interest rates.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our borrowings, primarily our vehicle-backed borrowings, bears interest at variable rates that expose us to interest rate risk. If interest rates continue to increase, whether due to continued increases in market interest rates or one or more increases in our own cost of borrowing, our debt service obligations for our variable rate indebtedness would increase even though the amount of borrowings remain the same, and our results of operations could be adversely affected. As of December 31, 2023, our total outstanding debt of approximately $23.9 billion included unhedged interest rate sensitive debt of approximately $7.6 billion. During our seasonal borrowing peak in 2023, outstanding unhedged interest rate sensitive debt totaled approximately $7.6 billion.</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Virtually all of our debt under vehicle programs and certain of our corporate indebtedness matures within the next five years. If we are unable to refinance maturing indebtedness at interest rates that are equivalent to or lower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than the interest rates on our maturing debt, our results of operations or our financial condition may be adversely affected.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certain risks related to our share repurchase program.</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previously authorized the repurchase of up to $8.1 billion of our common stock under a plan originally approved in 2013 and subsequently expanded most recently in February 2023 (the “Share Repurchase Program”). As of December 31, 2023, approximately $802 million remains available under the Share Repurchase Program. If we purchase additional shares of our common stock under the Share Repurchase Program, the percentage of our outstanding common stock owned by SRS Investment Management, LLC and its affiliates (“SRS”) may increase, even without further action by SRS. Under the terms of the Fourth Amended and Restated Cooperation Agreement between the Company and SRS, SRS has committed, with respect to shares of common stock SRS holds in excess of 35% of the Company’s outstanding common stock, to exercise its voting rights in the same proportion in which other shares of common stock are voted. Notwithstanding this commitment, the ownership by SRS of more than 50% of the Company’s outstanding common stock could trigger, or increase the likelihood that we trigger, certain change in control provisions in the indentures governing our senior notes. The Company must make a 101% change of control offer for the senior notes if, within 60 days following a change of control, the ratings on the notes are downgraded by one or more gradations or withdrawn and the applicable rating agency announces that such downgrade or withdrawal is attributable to the change of control.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MATTERS, DATA SECURITY AND PRIVACY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protection of our intellectual property.</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registered certain marks and designs as trademarks in the United States and in certain other countries. At times, competitors may adopt service names similar to ours, thereby impeding our ability to build brand identity and possibly leading to market confusion. In addition, we have been subject to, and from time to time in the future may be subject to, trade name or trademark infringement claims brought by owners of other registered trademarks or trademarks that incorporate variations of our registered trademarks. From time to time, we have acquired or attempted to acquire Internet domain names held by others when such names have caused consumer confusion or had the potential to cause consumer confusion.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reliance on communications networks and centralized information systems.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rely on third-party communications service and system providers for technology services. We have been subjected to, and from time to time in the future may be subject to, a failure or interruption that results in the unavailability of certain of our information systems. Such a failure or interruption, or a major disruption, could cause a loss of reservations, interfere with our fleet management, slow rental and sales processes, create negative publicity that damages our reputation or otherwise adversely impacts our ability to manage our business effectively. We may experience system interruptions or disruptions for a variety of reasons, including from network failures, power outages, cyber-attacks, employee errors, software errors, an unusually high volume of visitors attempting to access our systems, or other events such as fire, explosions, earthquakes, storms, floods, epidemics, strikes, acts of war, civil unrest or 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cybersecurity breaches of our systems and information technology.</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Threats to network and data security are becoming increasingly diverse and sophisticated. As cybersecurity threats become more frequent, intense and sophisticated, costs of proactive defense measures may increase.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Third parties may have the technology or expertise to breach the security of our customer transaction data and our security measures may not prevent or timely detect physical security or cybersecurity 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third-party service providers, including third-party hosted cloud environments, generally require that they have adequate security systems in place to protect our customer transaction data. Despite the implementation of cybersecurity measures (including access controls, data encryption, vulnerability assessments, continuous monitoring, and maintenance of backup and protective systems), our information technology systems or those used by our third-party service providers may still be vulnerable to a breach. Additionally, if a third-party service provider on which we rely experiences a breach, we may not learn of such breach in a timely manner, or at all, which may inhibit our ability to mitigate its impacts, and exacerbate the risks described in this paragraph.</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anyone who is able to circumvent our security measures, or those of our third-party service providers, could misappropriate proprietary information or cause interruptions in our operations. Risks of cybersecurity incidents caused by malicious third parties using sophisticated, targeted methods to circumvent firewalls, encryption, and other security defenses, could include hacking, viruses, malicious software, ransomware, phishing attacks, denial of service attacks and other attempts to capture, disrupt or gain unauthorized access to data are rapidly evolving and could lead to disruptions in our reservation system or other data systems, unauthorized release of confidential or otherwise protected information or corruption of data. The techniques used by third parties change frequently and may be difficult to detect for long periods of time. Any successful efforts by individuals to infiltrate, break into, disrupt, damage or otherwise steal from the Company’s, its licensees’ or its third-party service providers’ security or information systems could damage our reputation and expose us to increased cybersecurity protection costs, litigation or other liability that could adversely impact our financial condition or results of operations. A cybersecurity breach resulting in the unauthorized use or disclosure of certain personal information could put individuals at risk of identity theft and financial or other harm and result in costs to the Company in investigation, remediation, legal defense and in liability to parties who are financially harmed. Failure to appropriately address these issues could also give rise to potentially material legal risks and liabilities.</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privacy, data protection, data security and other regulations, as well as private industry standards, which could negatively impact our global operations and cause us to incur additional incremental expense or reputational harm that impacts our future operating results.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requires the secure processing and storage of personal information relating to our customers, employees, business partners and others. Current privacy and data protection laws, particularly the European Union’s General Data Protection Regulation (“GDPR”), the United Kingdom Data Protection Act (“UK DPA”), the California Consumer Privacy Act including modifications by the California Privacy Rights Act (collectively, the “CCPA”), the Virginia Consumer Data Protection Act (“VCDPA”), and other regulations in the jurisdictions in which we operate impose obligations and restrictions regarding the types of information that we may collect, process, sell and retain about our customers, employees and other individuals with whom we deal or propose to deal, some of which may be non-public personal data. A patchwork of new and proposed privacy and data protection legislation and regulation continues to evolve across the jurisdictions in which we operate. These laws and regulations, each wide-ranging in scope, provide individuals located in those jurisdictions with greater control over their personal data and impose various requirements on our business relating to the collection and processing of personal data. These laws also impose significant forfeitures and penalties for noncompliance and afford private rights of action to individuals under certain circumstances. The Company has adopted policies and procedures in compliance with these laws, which may need to be updated as new laws are passed or as additional guidance is made available from regulatory authorities or published enforcement decisions. Data protection laws in the countries where we operate are developing at a rapid pace and may be interpreted and applied inconsistently from jurisdiction to jurisdiction and impose inconsistent or conflicting requirements. Complying with varying jurisdictional privacy and data protection requirements could increase our operating costs, divert management attention or require additional changes to our business practices. Should we be found to not be in compliance with the GDPR, UK DPA, CCPA, VCDPA or similar privacy and data protection laws, we could be subject to substantial monetary penalties, government consent decrees, regulatory enforcement actions, and other sanctions that could negatively impact our operating results or harm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centralized nature of our information systems combined with the expansive nature of our global business requires the routine flow of information regarding employees, customers and potential customers, and suppliers across national borders, particularly in the United States, the United Kingdom, and Europe. Although new and updated personal data transfer mechanisms, such as the European Commission’s Standard Contractual Clauses, have been adopted by regulators following the invalidation of previously available transfer mechanisms in 2020 by the Court of Justice of the European Union, these mechanisms remain subject to legal uncertainty and face ongoing scrutiny from EU supervisory authorities. This continued uncertainty may affect our ability to process and transfer personal data, which could impact our ability to serve our customers and efficiently manage our employees and operations. Moreover,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privacy and security standards could result in substantial increased fees to credit card companies, other liabilities and/or loss of the right to collect credit card payments, which could adversely impact our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market price of our common stock.</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has experienced substantial volatility in the past and may fluctuate widely in the future, depending on many factors, some of which may be beyond our control, including, but not limited to, the factors described in this “Risk Factors” section and the section titled “Forward-Looking Statements.” If any of these factors materialize, it could cause our stock price to fall and may expose us to litigation, including class action lawsuits that, even if unsuccessful, could be costly to defend, distract management, and harm our reputation.</w:t>
      </w:r>
    </w:p>
    <w:p>
      <w:pPr>
        <w:spacing w:after="0" w:line="20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Certain provisions of our certificate of incorporation and by-laws and Delaware law could prevent or delay a potential acquisition of control of our Company, which could decrease the trading price of our common stock.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such potential acquisition of control. However, these provisions could apply even if such a potential acquisition of control of the Company may be considered beneficial by some stockholders and could delay or prevent an acquisition of control that our Board of Directors determines is not in the best interests of our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1B. UNRESOLVED STAFF COMMENTS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40575"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1C. CYBERSECURITY</w:t>
      </w:r>
    </w:p>
    <w:p>
      <w:pPr>
        <w:spacing w:after="0" w:line="260" w:lineRule="exact"/>
        <w:rPr>
          <w:sz w:val="20"/>
          <w:szCs w:val="20"/>
          <w:color w:val="auto"/>
        </w:rPr>
      </w:pPr>
    </w:p>
    <w:p>
      <w:pPr>
        <w:spacing w:after="0"/>
        <w:rPr>
          <w:sz w:val="20"/>
          <w:szCs w:val="20"/>
          <w:color w:val="auto"/>
        </w:rPr>
      </w:pPr>
      <w:r>
        <w:rPr>
          <w:rFonts w:ascii="Calibri" w:cs="Calibri" w:eastAsia="Calibri" w:hAnsi="Calibri"/>
          <w:sz w:val="20"/>
          <w:szCs w:val="20"/>
          <w:color w:val="auto"/>
        </w:rPr>
        <w:t>W</w:t>
      </w:r>
      <w:r>
        <w:rPr>
          <w:rFonts w:ascii="Arial" w:cs="Arial" w:eastAsia="Arial" w:hAnsi="Arial"/>
          <w:sz w:val="17"/>
          <w:szCs w:val="17"/>
          <w:color w:val="auto"/>
        </w:rPr>
        <w:t>e maintain processes for assessing, identifying and managing material risks from cybersecurity threats.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regularly use both outsourced and in -house information security expertise to employ a variety of administrative, technical, and physical data safeguards designed to both deter and mitigate cybersecurity risks, including cyber incident response procedures, endpoint threat detection and response solutions, employee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training, third-party risk reviews, penetration testing, technical control reviews, vulnerability assessments, and enterprise-wide risk assessments. These policies and procedures, which are based on the National Institute of Standards and Technology framework, align with international standards under ISO/IEC 27001 and are reviewed annually, including via an annual assessment of relevant IT SOX controls and Payment Card Industry Data Security Standard reviews performed both by external Qualified Security Assessors and authorized members of our internal information security team. Our third-party due diligence processes also include procedures for identifying cybersecurity threats associated with third-party service providers. Cybersecurity risks are also identified and evaluated through our enterprise risk management (ERM) processes, which are overseen by the Audit Committee of our Board of Directors. Through our ERM processes, key stakeholders across the business identify, assess, and manage risk, including material cybersecurity risks. These processes enable us to monitor and assess the evolving landscape of cybersecurity risks.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information security program is administered under the supervision of our EVP, Chief Digital and Innovation Officer (CDIO) and Vice President (VP) of Platforms, Infrastructure and Cybersecurity, who share responsibility for assessing and managing the Company’s cybersecurity risks. Both our CDIO and VP of Platforms, Infrastructure, and Cybersecurity have over 20 years of related experience, holding technical leadership roles at notable multinational organizations, across diverse industries.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CDIO and VP of Platforms, Infrastructure and Cybersecurity also monitor the prevention, detention, mitigation and remediation of cybersecurity incidents through the same processes described above for the identification and management of material cybersecurity risks.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of our Board of Directors oversees risks associated with information technology and cybersecurity. Cybersecurity risks and incidents identified through these processes are evaluated by our CDIO and VP of Platforms, Infrastructure and Cybersecurity. Our VP of Platforms, Infrastructure and Cybersecurity provides regular updates on a quarterly basis, and more frequently as required, on these matters to the Audit Committee of our Board of Directors. Such reports may include discussions on current control audits, risk assessments, proposed mitigation measures, and other key information technology and cyber initiatives.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material cybersecurity risks can be found in Part I, Item 1A, “Risk Factors”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2. PROPERTIES</w:t>
      </w:r>
    </w:p>
    <w:p>
      <w:pPr>
        <w:spacing w:after="0" w:line="3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offices are owned and located at 379 Interpace Parkway, Parsippany, New Jersey 07054. We own a facility in Virginia Beach, Virginia, which serves as a satellite administrative facility for our car and truck rental operations. We also lease office space in Tulsa, Oklahoma and Boston, Massachusetts, pursuant to leases expiring in 2028 and 2031, respectively. These locations primarily provide operational and administrative services or contact center operations for our Americas segment. We also lease office space in Bracknell, England, Barcelona, Spain and Budapest, Hungary, pursuant to leases expiring in 2032, 2026 and 2026, respectively, for corporate offices, contact center activities and other administrative functions, respectively, for our International segment. Other office locations throughout the world are leased for administrative, regional sales and operations activities.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lease or have vehicle rental concessions for our brands at locations throughout the world. We own approximately 3% of the locations from which we operate and in some cases we sublease to licensees or other third parties. The remaining locations from which we operate our vehicle rental businesses are leased or operated under concession agreements with governmental authorities and private entities. Those leases and concession agreements typically require the payment of minimum rents or minimum concession fees and often also require us to pay or reimburse operating expenses, to pay additional rent, or concession fees above guaranteed minimums based on a percentage of revenues or sales arising at the relevant premises, or to do both. See Note 3 – Leases to our Consolidated Financial Statements for information regarding lease commitments.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our properties are sufficient to meet our present needs and we do not anticipate any difficulty in securing additional space, as needed, on acceptable terms.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4057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3. LEGAL PROCEEDINGS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 15 – Commitments and Contingencies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4. MINE SAFETY DISCLOSURES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43"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FOR COMMON EQUITY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stock is currently traded on the Nasdaq Global Select Market (“Nasdaq”) under the symbol “CAR.” At January 31, 2024, the number of stockholders of record was 1,980.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our Board of Directors deems relevant. In December 2023, we declared and paid a $10.00 per share special cash dividend to all holders of our common stock as of December 15, 2023. We did not declare or pay any cash dividends in 2022 or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76"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 Shares Purchased as</w:t>
            </w:r>
          </w:p>
        </w:tc>
        <w:tc>
          <w:tcPr>
            <w:tcW w:w="140" w:type="dxa"/>
            <w:vAlign w:val="bottom"/>
          </w:tcPr>
          <w:p>
            <w:pPr>
              <w:spacing w:after="0"/>
              <w:rPr>
                <w:sz w:val="16"/>
                <w:szCs w:val="16"/>
                <w:color w:val="auto"/>
              </w:rPr>
            </w:pPr>
          </w:p>
        </w:tc>
        <w:tc>
          <w:tcPr>
            <w:tcW w:w="3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Average Price</w:t>
            </w:r>
          </w:p>
        </w:tc>
        <w:tc>
          <w:tcPr>
            <w:tcW w:w="3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 or</w:t>
            </w:r>
          </w:p>
        </w:tc>
        <w:tc>
          <w:tcPr>
            <w:tcW w:w="140" w:type="dxa"/>
            <w:vAlign w:val="bottom"/>
          </w:tcPr>
          <w:p>
            <w:pPr>
              <w:spacing w:after="0"/>
              <w:rPr>
                <w:sz w:val="14"/>
                <w:szCs w:val="14"/>
                <w:color w:val="auto"/>
              </w:rPr>
            </w:pPr>
          </w:p>
        </w:tc>
        <w:tc>
          <w:tcPr>
            <w:tcW w:w="31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Plans or Programs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Paid per Share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Programs (in millions)</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920" w:type="dxa"/>
            <w:vAlign w:val="bottom"/>
          </w:tcPr>
          <w:p>
            <w:pPr>
              <w:jc w:val="right"/>
              <w:ind w:right="95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08"/>
        </w:trPr>
        <w:tc>
          <w:tcPr>
            <w:tcW w:w="1160" w:type="dxa"/>
            <w:vAlign w:val="bottom"/>
          </w:tcPr>
          <w:p>
            <w:pPr>
              <w:jc w:val="right"/>
              <w:spacing w:after="0"/>
              <w:rPr>
                <w:sz w:val="20"/>
                <w:szCs w:val="20"/>
                <w:color w:val="auto"/>
              </w:rPr>
            </w:pPr>
            <w:r>
              <w:rPr>
                <w:rFonts w:ascii="Arial" w:cs="Arial" w:eastAsia="Arial" w:hAnsi="Arial"/>
                <w:sz w:val="16"/>
                <w:szCs w:val="16"/>
                <w:color w:val="auto"/>
              </w:rPr>
              <w:t>October 2023</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171.80</w:t>
            </w:r>
          </w:p>
        </w:tc>
        <w:tc>
          <w:tcPr>
            <w:tcW w:w="120" w:type="dxa"/>
            <w:vAlign w:val="bottom"/>
          </w:tcPr>
          <w:p>
            <w:pPr>
              <w:spacing w:after="0"/>
              <w:rPr>
                <w:sz w:val="18"/>
                <w:szCs w:val="18"/>
                <w:color w:val="auto"/>
              </w:rPr>
            </w:pPr>
          </w:p>
        </w:tc>
        <w:tc>
          <w:tcPr>
            <w:tcW w:w="3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140" w:type="dxa"/>
            <w:vAlign w:val="bottom"/>
          </w:tcPr>
          <w:p>
            <w:pPr>
              <w:spacing w:after="0"/>
              <w:rPr>
                <w:sz w:val="18"/>
                <w:szCs w:val="18"/>
                <w:color w:val="auto"/>
              </w:rPr>
            </w:pPr>
          </w:p>
        </w:tc>
        <w:tc>
          <w:tcPr>
            <w:tcW w:w="120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0" w:type="dxa"/>
            <w:vAlign w:val="bottom"/>
          </w:tcPr>
          <w:p>
            <w:pPr>
              <w:spacing w:after="0"/>
              <w:rPr>
                <w:sz w:val="1"/>
                <w:szCs w:val="1"/>
                <w:color w:val="auto"/>
              </w:rPr>
            </w:pPr>
          </w:p>
        </w:tc>
      </w:tr>
      <w:tr>
        <w:trPr>
          <w:trHeight w:val="215"/>
        </w:trPr>
        <w:tc>
          <w:tcPr>
            <w:tcW w:w="1160" w:type="dxa"/>
            <w:vAlign w:val="bottom"/>
          </w:tcPr>
          <w:p>
            <w:pPr>
              <w:jc w:val="right"/>
              <w:spacing w:after="0"/>
              <w:rPr>
                <w:sz w:val="20"/>
                <w:szCs w:val="20"/>
                <w:color w:val="auto"/>
              </w:rPr>
            </w:pPr>
            <w:r>
              <w:rPr>
                <w:rFonts w:ascii="Arial" w:cs="Arial" w:eastAsia="Arial" w:hAnsi="Arial"/>
                <w:sz w:val="16"/>
                <w:szCs w:val="16"/>
                <w:color w:val="auto"/>
              </w:rPr>
              <w:t>November 2023</w:t>
            </w:r>
          </w:p>
        </w:tc>
        <w:tc>
          <w:tcPr>
            <w:tcW w:w="1660" w:type="dxa"/>
            <w:vAlign w:val="bottom"/>
          </w:tcPr>
          <w:p>
            <w:pPr>
              <w:jc w:val="right"/>
              <w:spacing w:after="0"/>
              <w:rPr>
                <w:sz w:val="20"/>
                <w:szCs w:val="20"/>
                <w:color w:val="auto"/>
              </w:rPr>
            </w:pPr>
            <w:r>
              <w:rPr>
                <w:rFonts w:ascii="Arial" w:cs="Arial" w:eastAsia="Arial" w:hAnsi="Arial"/>
                <w:sz w:val="16"/>
                <w:szCs w:val="16"/>
                <w:color w:val="auto"/>
              </w:rPr>
              <w:t>0.55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189.29</w:t>
            </w:r>
          </w:p>
        </w:tc>
        <w:tc>
          <w:tcPr>
            <w:tcW w:w="120" w:type="dxa"/>
            <w:vAlign w:val="bottom"/>
          </w:tcPr>
          <w:p>
            <w:pPr>
              <w:spacing w:after="0"/>
              <w:rPr>
                <w:sz w:val="18"/>
                <w:szCs w:val="18"/>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0.55</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17"/>
        </w:trPr>
        <w:tc>
          <w:tcPr>
            <w:tcW w:w="1160" w:type="dxa"/>
            <w:vAlign w:val="bottom"/>
          </w:tcPr>
          <w:p>
            <w:pPr>
              <w:jc w:val="right"/>
              <w:spacing w:after="0"/>
              <w:rPr>
                <w:sz w:val="20"/>
                <w:szCs w:val="20"/>
                <w:color w:val="auto"/>
              </w:rPr>
            </w:pPr>
            <w:r>
              <w:rPr>
                <w:rFonts w:ascii="Arial" w:cs="Arial" w:eastAsia="Arial" w:hAnsi="Arial"/>
                <w:sz w:val="16"/>
                <w:szCs w:val="16"/>
                <w:color w:val="auto"/>
              </w:rPr>
              <w:t>December 2023</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192.48</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181.52</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340" w:type="dxa"/>
            <w:vAlign w:val="bottom"/>
            <w:gridSpan w:val="2"/>
          </w:tcPr>
          <w:p>
            <w:pPr>
              <w:jc w:val="right"/>
              <w:ind w:right="101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62626"/>
        </w:rPr>
        <w:t>Our Board of Directors has authorized the repurchase of up to approximately $8.1 billion of our common stock under a plan originally approved in 2013 and subsequently expanded, most recently in February 2023. Under our stock repurchase program, we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“Exchange Act”). The timing and amount of repurchase transactions is determined by management based on our evaluation of market conditions, our share price, legal requirements, restricted payment capacity under our debt instruments and other factors. Our stock repurchase program may be suspended, modified or discontinued without prior notice.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Set forth below are a line graph and table comparing the cumulative total stockholder return of our common stock against the cumulative total returns of the S&amp;P MidCap 400 Index and the Dow Jones US Transportation Average Index for the period of five fiscal years commencing December 31, 2018 and ending December 31, 2023. The broad equity market index used by the Company is the S&amp;P MidCap 400 Index, which measures the performance of mid-sized companies, and the published industry index used by the Company is the Dow Jones US Transportation Average Index, which measures the performance of transportation companies. The graph and table depict the result of an investment on December 31, 2018 of $100 in the Company’s common stock, the S&amp;P MidCap 400 Index and the Dow Jones US Transportation Average Index, including 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760720" cy="38144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0720" cy="381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2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As of December 31,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3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Avis Budget Group, Inc.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829.47</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S&amp;P MidCap 400 Index</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126.20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143.44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178.95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155.58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181.15</w:t>
            </w: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 Jones US Transportation Average Index</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40575"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8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40575"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60" w:right="2140" w:hanging="975"/>
        <w:spacing w:after="0" w:line="312" w:lineRule="auto"/>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Part I, Item 1, “Business”, Item 1A, “Risk Factors” and our Consolidated Financial Statements and accompanying Notes included in this Annual Report on Form 10-K commencing on page F-1. Our actual results of operations may differ materially from those discussed in forward-looking statements as a result of various factors, including but not limited to those included in Part I, Item 1A, “Risk Factors” and other portions of this Annual Report on Form 10-K. Unless otherwise noted, all dollar amounts in tables are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40575"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COMPANY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691,500 vehicles in 2023. We also license the use of our trademarks to licensees in the areas in which we do not operate directly. We and our licensees operate our brands in approximately 180 countries throughout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3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discussion regarding our financial condition and results of operations for the year ended December 31, 2023 compared to 2022 is presented below. A discussion regarding our financial condition and results of operations for the year ended December 31, 2022 compared to 2021 can be found under Part II, Item 7 in our Annual Report on Form 10-K for the year ended December 31, 2022, filed with the SEC on February 16, 2023, which is available on the SEC’s website at www.sec.gov and our Investor Relations website at ir.avisbudgetgroup.com.</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2023, we saw strong volume as normal seasonality returned to our industry. This coupled with revenue per day and inflationary pressures resulted in revenues of approximately $12.0 billion, net income of $1.6 billion and Adjusted EBITDA of $2.5 billion for the year ended December 31, 2023.</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disruption in the supply of new vehicles, used car values, and an economic downturn that may impact travel demand, all of which may be exacerbated by the ongoing military conflicts in the Middle East and Eastern Europe. We continue to monitor the potential favorable or unfavorable impacts of these and other factors on our business, operations, financial condition, and future results of operations. Our strategy continues to primarily focus on customer experience and costs to strengthen our Company, maximize profitability, and deliver stakeholder value.</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 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legal matters, net, which includes amounts recorded in excess of $5 million related to class action lawsuits and personal injury matters; non-operational charges related to shareholder activist activity, which includes third-party advisory, legal and other professional fees; COVID-19 charges, net; cloud computing costs; other (income) expense, net, and income taxes.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0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2023 vs. Year Ended December 31, 2022</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59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360"/>
              <w:spacing w:after="0" w:line="199" w:lineRule="exact"/>
              <w:rPr>
                <w:sz w:val="20"/>
                <w:szCs w:val="20"/>
                <w:color w:val="auto"/>
              </w:rPr>
            </w:pPr>
            <w:r>
              <w:rPr>
                <w:rFonts w:ascii="Arial" w:cs="Arial" w:eastAsia="Arial" w:hAnsi="Arial"/>
                <w:sz w:val="18"/>
                <w:szCs w:val="18"/>
                <w:b w:val="1"/>
                <w:bCs w:val="1"/>
                <w:color w:val="auto"/>
                <w:w w:val="98"/>
              </w:rPr>
              <w:t>Year Ended</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December 31,</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90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66"/>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5900" w:type="dxa"/>
            <w:vAlign w:val="bottom"/>
          </w:tcPr>
          <w:p>
            <w:pPr>
              <w:ind w:left="4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5"/>
        </w:trPr>
        <w:tc>
          <w:tcPr>
            <w:tcW w:w="59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2"/>
        </w:trPr>
        <w:tc>
          <w:tcPr>
            <w:tcW w:w="590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431"/>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35"/>
        </w:trPr>
        <w:tc>
          <w:tcPr>
            <w:tcW w:w="5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Avis Budget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for the year ended December 31, 2023 were consistent with the similar period in 2022, primarily due to a 5% increase in volume, partially offset by a 5% decrease in revenue per day, excluding exchange rate effects. Total expenses increased 21% for the year ended December 31, 2023, compared to the similar period in 2022, primarily due to increased fleet costs, interest costs, and the impact of inflation. Our effective tax rates for the years ended December 31, 2023 and 2022 were provisions of 14.6% and 24.2%, respectively. As a result of these items, our net income decreased by $1.1 billion compared to the similar period in 2022. For the years ended December 31, 2023 and 2022, we reported earnings per diluted share of $42.08 and $57.16, respectively.</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47.3% of revenue for the year ended December 31, 2023 compared to 44.1% during the similar period in 2022, primarily due to cost inflation. Vehicle depreciation and lease charges increased to 14.5% of revenue for the year ended December 31, 2023 compared to 6.9% during the similar period in 2022, primarily due to increased per unit fleet costs, excluding exchange rate effects, driven by increased fleet levels, increased depreciation rates, and a decrease in the gain on sale of vehicles. Selling, general and administrative costs increased to 11.7% of revenue for the year ended December 31, 2023 compared to 11.2% during the similar period in 2022, primarily due to increased marketing costs and inflation. Vehicle interest costs increased to 6.1% of revenue for the year ended December 31, 2023, compared to 3.4% during the similar period in 2022, primarily due to rising interest rates and additional funding for vehicles.</w:t>
      </w:r>
    </w:p>
    <w:p>
      <w:pPr>
        <w:spacing w:after="0" w:line="131" w:lineRule="exact"/>
        <w:rPr>
          <w:sz w:val="20"/>
          <w:szCs w:val="20"/>
          <w:color w:val="auto"/>
        </w:rPr>
      </w:pPr>
    </w:p>
    <w:p>
      <w:pPr>
        <w:ind w:right="660"/>
        <w:spacing w:after="0" w:line="273"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22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504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EBITDA</w:t>
            </w:r>
          </w:p>
        </w:tc>
        <w:tc>
          <w:tcPr>
            <w:tcW w:w="2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504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27"/>
        </w:trPr>
        <w:tc>
          <w:tcPr>
            <w:tcW w:w="504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37"/>
        </w:trPr>
        <w:tc>
          <w:tcPr>
            <w:tcW w:w="504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5040" w:type="dxa"/>
            <w:vAlign w:val="bottom"/>
          </w:tcPr>
          <w:p>
            <w:pPr>
              <w:ind w:left="28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Reconciliation of net income to</w:t>
      </w:r>
    </w:p>
    <w:p>
      <w:pPr>
        <w:jc w:val="center"/>
        <w:ind w:left="8140"/>
        <w:spacing w:after="0"/>
        <w:rPr>
          <w:sz w:val="20"/>
          <w:szCs w:val="20"/>
          <w:color w:val="auto"/>
        </w:rPr>
      </w:pPr>
      <w:r>
        <w:rPr>
          <w:rFonts w:ascii="Arial" w:cs="Arial" w:eastAsia="Arial" w:hAnsi="Arial"/>
          <w:sz w:val="18"/>
          <w:szCs w:val="18"/>
          <w:b w:val="1"/>
          <w:bCs w:val="1"/>
          <w:color w:val="auto"/>
        </w:rPr>
        <w:t>Adjusted EBITDA</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8"/>
        </w:trPr>
        <w:tc>
          <w:tcPr>
            <w:tcW w:w="8160" w:type="dxa"/>
            <w:vAlign w:val="bottom"/>
            <w:gridSpan w:val="2"/>
            <w:vMerge w:val="continue"/>
          </w:tcPr>
          <w:p>
            <w:pPr>
              <w:spacing w:after="0"/>
              <w:rPr>
                <w:sz w:val="18"/>
                <w:szCs w:val="18"/>
                <w:color w:val="auto"/>
              </w:rPr>
            </w:pP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1,635</w:t>
            </w:r>
          </w:p>
        </w:tc>
        <w:tc>
          <w:tcPr>
            <w:tcW w:w="1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35"/>
        </w:trPr>
        <w:tc>
          <w:tcPr>
            <w:tcW w:w="81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32"/>
        </w:trPr>
        <w:tc>
          <w:tcPr>
            <w:tcW w:w="8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1,914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Add:</w:t>
            </w:r>
          </w:p>
        </w:tc>
        <w:tc>
          <w:tcPr>
            <w:tcW w:w="7600" w:type="dxa"/>
            <w:vAlign w:val="bottom"/>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Interest expense related to corporate debt, net</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Early extinguishment of debt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Restructuring and other related charges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7"/>
        </w:trPr>
        <w:tc>
          <w:tcPr>
            <w:tcW w:w="56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Transaction-related costs, net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2"/>
        </w:trPr>
        <w:tc>
          <w:tcPr>
            <w:tcW w:w="560" w:type="dxa"/>
            <w:vAlign w:val="bottom"/>
          </w:tcPr>
          <w:p>
            <w:pPr>
              <w:spacing w:after="0"/>
              <w:rPr>
                <w:sz w:val="20"/>
                <w:szCs w:val="20"/>
                <w:color w:val="auto"/>
              </w:rPr>
            </w:pPr>
          </w:p>
        </w:tc>
        <w:tc>
          <w:tcPr>
            <w:tcW w:w="7600" w:type="dxa"/>
            <w:vAlign w:val="bottom"/>
          </w:tcPr>
          <w:p>
            <w:pPr>
              <w:ind w:left="180"/>
              <w:spacing w:after="0" w:line="232"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Reported within operating expenses: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Cloud computing costs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COVID-19 charges, net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5"/>
        </w:trPr>
        <w:tc>
          <w:tcPr>
            <w:tcW w:w="56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Legal matters, net</w:t>
            </w: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ind w:left="280" w:hanging="272"/>
        <w:spacing w:after="0" w:line="219" w:lineRule="auto"/>
        <w:tabs>
          <w:tab w:leader="none" w:pos="2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right="20" w:hanging="332"/>
        <w:spacing w:after="0" w:line="222" w:lineRule="auto"/>
        <w:tabs>
          <w:tab w:leader="none" w:pos="261"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48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9,474</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Revenues decreased 1% for the year ended December 31, 2023 compared to the similar period in 2022, primarily due to a 6% decrease in revenue per day, partially offset by a 5% increase in volume.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47.4% of revenue for the year ended December 31, 2023 compared to 43.8% during the similar period in 2022, primarily due to cost inflation. Vehicle depreciation and lease charges increased to 13.0% of revenue for the year ended December 31, 2023 compared to 4.4% during the similar period in 2022, primarily due to increased per-unit fleet costs, driven by increased fleet levels, increased depreciation rates, and a decrease in the gain on sale of vehicles. Selling, general and administrative costs were approximately 9.6% of revenue for the year ended December 31, 2023, consistent with the similar period in 2022, primarily due to increased marketing costs, offset by a decrease in other selling, general and administrative costs. Vehicle interest costs increased to 6.6% of revenue for the year ended December 31, 2023 compared to 3.7% during the similar period in 2022, primarily due to rising interest rates and additional funding for vehicles.</w:t>
      </w:r>
    </w:p>
    <w:p>
      <w:pPr>
        <w:spacing w:after="0" w:line="21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Adjusted EBITDA decreased 40% for the year ended December 31, 2023 compared to the similar period in 2022, primarily due to higher per-unit fleet costs and inflationary pressures.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4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1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48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6% for the year ended December 31, 2023 compared to the similar period in 2022, primarily due to a 6% increase in volume and a $25 million positive impact from currency exchange rate movements, partially offset by a 1% decrease in revenue per day, excluding exchange rate effects.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Operating expenses increased to 45.6% of revenue for the year ended December 31, 2023 compared to 44.3% during the similar period in 2022, primarily due to cost inflation. Vehicle depreciation and lease charges increased to 19.7% of revenue for the year ended December 31,</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2023 compared to 16.4% during the similar period in 2022, primarily due to increased per-unit fleet costs, excluding exchange rate effects, driven by increased fleet levels and increased depreciation rates. Selling, general and administrative costs increased to 15.4% of revenue for the year ended December 31, 2023 compared to 15.0% during the similar period in 2022, primarily due to increased marketing costs and inflation. Vehicle interest costs increased to 4.4% of revenue for the year ended December 31, 2023 compared to 2.2% during the similar period in 2022, primarily due to rising interest rates and additional funding for vehicles.</w:t>
      </w:r>
    </w:p>
    <w:p>
      <w:pPr>
        <w:spacing w:after="0" w:line="202"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Adjusted EBITDA decreased 29% for the year ended December 31, 2023 compared to the similar period in 2022, primarily due to higher per-unit fleet costs and inflationary pressures.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6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Corporate and Other</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48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16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480" w:type="dxa"/>
            <w:vAlign w:val="bottom"/>
            <w:gridSpan w:val="2"/>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640" w:type="dxa"/>
            <w:vAlign w:val="bottom"/>
          </w:tcPr>
          <w:p>
            <w:pPr>
              <w:jc w:val="center"/>
              <w:ind w:left="101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9"/>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n/m</w:t>
        <w:tab/>
        <w:t>Not meaningful.</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decreased 22% for the year ended December 31, 2023 compared to the similar period in 2022, primarily due to higher selling, general and administrative expenses related to computer technology transformation costs, which are not attributable to a particular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2040" w:type="dxa"/>
            <w:vAlign w:val="bottom"/>
            <w:tcBorders>
              <w:top w:val="single" w:sz="8" w:color="auto"/>
            </w:tcBorders>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5"/>
          </w:tcPr>
          <w:p>
            <w:pPr>
              <w:ind w:left="360"/>
              <w:spacing w:after="0"/>
              <w:rPr>
                <w:sz w:val="20"/>
                <w:szCs w:val="20"/>
                <w:color w:val="auto"/>
              </w:rPr>
            </w:pPr>
            <w:r>
              <w:rPr>
                <w:rFonts w:ascii="Arial" w:cs="Arial" w:eastAsia="Arial" w:hAnsi="Arial"/>
                <w:sz w:val="18"/>
                <w:szCs w:val="18"/>
                <w:b w:val="1"/>
                <w:bCs w:val="1"/>
                <w:color w:val="auto"/>
              </w:rPr>
              <w:t>As of December 31,</w:t>
            </w:r>
          </w:p>
        </w:tc>
        <w:tc>
          <w:tcPr>
            <w:tcW w:w="280" w:type="dxa"/>
            <w:vAlign w:val="bottom"/>
          </w:tcPr>
          <w:p>
            <w:pPr>
              <w:spacing w:after="0"/>
              <w:rPr>
                <w:sz w:val="24"/>
                <w:szCs w:val="24"/>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62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assets exclusive of assets under vehicle programs</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gridSpan w:val="2"/>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9,590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8,499</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Assets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Liabilities under vehicle programs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39"/>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assets exclusive of assets under vehicle programs compared to 2022 is principally related to the increase in operating lease right-of-use assets, deferred income taxes, other current assets and property and equipment. See Note 3 – Leases, Note 9 – Income Taxes, Note 10 – Other Current Assets and Note 11 – Property and Equipment, net to our Consolidated Financial Statements.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liabilities exclusive of liabilities under vehicle programs compared to 2022 is principally related to the increase in operating lease liabilities and corporate indebtedness from the issuance of senior notes. See “Liquidity and Capital Resources,” Note 3 – Leases and Note 13 – Long-term Corporate Debt and Borrowing Arrangements to our Consolidated Financial Statements.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increases in assets and liabilities under vehicle programs are principally related to the increase in the size and cost of our vehicle rental fleet to meet demand.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stockholders’ equity compared to 2022 is principally related to comprehensive income, partially offset by our share repurchase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July 2023, we issued €400 million of 7.250% euro-denominated Senior Notes due July 2030, at par, with interest payable semi-annually. In September 2023, we used net proceeds from the offering primarily to redeem all of the €300 million of our outstanding 4.125% euro-denominated Senior Notes due 2024 plus accrued interest.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2023, we issued $500 million of 8.000% Senior Notes due February 2031, at 99.3% of face value, with interest payable semi-annually. Net proceeds were used to fully redeem our 4.500% euro-denominated Senior Notes due 2025 and a portion of our outstanding balance on our Term Loan due 2029, with the remainder being used for general corporate purposes.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2023, our Avis Budget Rental Car Funding (AESOP) subsidiary issued approximately $3.9 billion of asset-backed notes with expected final payment dates ranging from October 2026 to February 2029, and a weighted average interest rate of 5.81%. In January 2024, AESOP issued $1.2 billion of asset-backed notes to investors with an expected final payment date of June 2029 and a weighted average interest rate of 5.51%. The proceeds from these borrowings were used to fund the repayment of maturing vehicle-backed debt and the acquisition of rental cars in the United States.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December 2023, we paid a special cash dividend of $10.00 per share to all holders of our common stock as of December 15, 2023, totaling approximately $355 million.</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February 2023. </w:t>
      </w:r>
      <w:r>
        <w:rPr>
          <w:rFonts w:ascii="Arial" w:cs="Arial" w:eastAsia="Arial" w:hAnsi="Arial"/>
          <w:sz w:val="18"/>
          <w:szCs w:val="18"/>
          <w:color w:val="000000"/>
        </w:rPr>
        <w:t>Our stock repurchases may occur through open market</w:t>
      </w:r>
      <w:r>
        <w:rPr>
          <w:rFonts w:ascii="Arial" w:cs="Arial" w:eastAsia="Arial" w:hAnsi="Arial"/>
          <w:sz w:val="18"/>
          <w:szCs w:val="18"/>
          <w:color w:val="262626"/>
        </w:rPr>
        <w:t xml:space="preserve"> </w:t>
      </w:r>
      <w:r>
        <w:rPr>
          <w:rFonts w:ascii="Arial" w:cs="Arial" w:eastAsia="Arial" w:hAnsi="Arial"/>
          <w:sz w:val="18"/>
          <w:szCs w:val="18"/>
          <w:color w:val="000000"/>
        </w:rPr>
        <w:t>purchases, privately negotiated transactions or trading plans pursuant to Rule 10b5-1 of the Exchange Act.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For the year ended December 31, 2023, we repurchased approximately 4.3 million shares of common stock at a cost of approximately $889 million (excluding excise taxes due under the Inflation Reduction Act of 2022) under the program. As of December 31, 2023, approximately $802 million of authorization remained available to repurchase common stock under the program.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6620" w:type="dxa"/>
            <w:vAlign w:val="bottom"/>
          </w:tcPr>
          <w:p>
            <w:pPr>
              <w:spacing w:after="0"/>
              <w:rPr>
                <w:sz w:val="20"/>
                <w:szCs w:val="20"/>
                <w:color w:val="auto"/>
              </w:rPr>
            </w:pPr>
            <w:r>
              <w:rPr>
                <w:rFonts w:ascii="Arial" w:cs="Arial" w:eastAsia="Arial" w:hAnsi="Arial"/>
                <w:sz w:val="18"/>
                <w:szCs w:val="18"/>
                <w:b w:val="1"/>
                <w:bCs w:val="1"/>
                <w:i w:val="1"/>
                <w:iCs w:val="1"/>
                <w:color w:val="auto"/>
              </w:rPr>
              <w:t>Year Ended December 31, 2023 vs. Year Ended December 31, 2022</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662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1"/>
                <w:szCs w:val="21"/>
                <w:color w:val="auto"/>
              </w:rPr>
            </w:pPr>
          </w:p>
        </w:tc>
        <w:tc>
          <w:tcPr>
            <w:tcW w:w="12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Cash provided by (used in):</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181"/>
        </w:trPr>
        <w:tc>
          <w:tcPr>
            <w:tcW w:w="6620" w:type="dxa"/>
            <w:vAlign w:val="bottom"/>
          </w:tcPr>
          <w:p>
            <w:pPr>
              <w:ind w:left="20"/>
              <w:spacing w:after="0" w:line="181" w:lineRule="exact"/>
              <w:rPr>
                <w:sz w:val="20"/>
                <w:szCs w:val="20"/>
                <w:color w:val="auto"/>
              </w:rPr>
            </w:pPr>
            <w:r>
              <w:rPr>
                <w:rFonts w:ascii="Arial" w:cs="Arial" w:eastAsia="Arial" w:hAnsi="Arial"/>
                <w:sz w:val="18"/>
                <w:szCs w:val="18"/>
                <w:color w:val="auto"/>
              </w:rPr>
              <w:t>Effect of changes in exchange rates on cash and cash equivalents, program and</w:t>
            </w:r>
          </w:p>
        </w:tc>
        <w:tc>
          <w:tcPr>
            <w:tcW w:w="2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66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 program and restricted cash</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cash provided by operating activities during 2023 compared with 2022 is primarily due to the decrease in our net income.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cash used in investing activities during 2023 compared with 2022 is primarily due to the increase in our net investment in vehicles.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cash provided by financing activities during 2023 compared with 2022 is primarily due to the increase in our net borrowings under vehicle programs and the decrease in our common stock repurchases, offset by the increase in our payments of corporate borrowings.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non-vehicle property and equipment additions will be approximately $285 million in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2023, we had approximately $23.8 billion of indebtedness (including corporate indebtedness of approximately $4.8 billion and debt under vehicle programs of approximately $18.9 billion). For information regarding our debt and borrowing arrangements, see Note 1 – Basis of Presentation, Note 13 – Long-term Corporate Debt and Borrowing Arrangements, and Note 14 – Debt Under Vehicle Programs and Borrowing Arrangements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4057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highlight w:val="lightGray"/>
        </w:rPr>
        <w:t>LIQUIDITY RISK</w:t>
      </w:r>
    </w:p>
    <w:p>
      <w:pPr>
        <w:spacing w:after="0" w:line="2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or the absence of a recovery or worsening of the United States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 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(see Part I, Item 1A, “Risk Factors” for further discussion).</w:t>
      </w:r>
    </w:p>
    <w:p>
      <w:pPr>
        <w:spacing w:after="0" w:line="12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December 31, 2023, we had access to $555 million of available cash and cash equivalents and available borrowings under our revolving credit facility of approximately $261 million, providing us with access to an approximate $816 million of total liquidity.</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December 31, 2023, we were in compliance with the financial covenants governing our indebtedness. For additional information regarding our liquidity risks, see Part I, Item 1A, “Risk Factors”.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contractual obligations for material cash requirements from known contractual and other obligations as part of a liquidity and capital resources discussion, see Note 3 – Leases, Note 13 – Long-term Corporate Debt and Borrowing Arrangements, Note 14 – Debt Under Vehicle Programs and Borrowing Arrangements, and Note 15 – Commitments and Contingencies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Goodwill and Other Indefinite-lived Intangible Assets. </w:t>
      </w:r>
      <w:r>
        <w:rPr>
          <w:rFonts w:ascii="Arial" w:cs="Arial" w:eastAsia="Arial" w:hAnsi="Arial"/>
          <w:sz w:val="18"/>
          <w:szCs w:val="18"/>
          <w:color w:val="auto"/>
        </w:rPr>
        <w:t>We have reviewed the carrying value of our goodwill and other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which include forecast of future revenue and Adjusted EBITDA. When appropriate, comparative market multiples and other factors are used to corroborate the discounted cash flow results.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goodwill and other indefinite-lived intangible assets are allocated among our reporting units. During 2023, 2022 and 2021, there was no impairment of goodwill and other intangible assets. See Note 7 – Intangible Assets to our Consolidated Financial Statements. For our Europe, Middle East and Africa (“EMEA”) reporting unit, the percentage by which the estimated fair value exceeded the carrying value as of October 1, 2023 was approximately 14% and the amount of goodwill allocated to our reporting unit was approximately $460 million. We will continue to closely monitor actual results versus our expectations, as well as any significant changes in events or conditions, and the resulting impact to our assumptions about future estimated cash flows, the discount rate and market multiples. In the future, failure to achieve our business plans, a significant deterioration of the macroeconomic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of our reporting units or intangible assets.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Vehicles. </w:t>
      </w:r>
      <w:r>
        <w:rPr>
          <w:rFonts w:ascii="Arial" w:cs="Arial" w:eastAsia="Arial" w:hAnsi="Arial"/>
          <w:sz w:val="18"/>
          <w:szCs w:val="18"/>
          <w:color w:val="auto"/>
        </w:rPr>
        <w:t>We present vehicles at cost, net of accumulated depreciation, on the Consolidated Balance Sheets. We record the initial cost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net of incentives and allowances from manufacturers.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at their expected dates of disposition. The estimation of residual values requires us to make assumptions regarding the age and mileage of the vehicle at the time of disposal, as well as expected used vehicle market conditions. We regularly evaluate estimated residual values and adjusts depreciation rates as appropriate. Differences between actual residual values and those estimated result in a gain or loss on disposal and are recorded as part of vehicle depreciation and lease charges, net, at the time of sale. See Note 2 – Summary of Significant Accounting Policies to our Consolidated Financial Statements. For a discussion of risk factors and assumptions relative to our vehicle valuations, refer to Item 1A, “Risk Factors”, included under Part 1 of this Annual Report on Form 10-K.</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which requires the recognition of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our tax loss carryforwards as there are adequate deferred tax liabilities that could be realized within the carryforward period.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2 – Summary of Significant Accounting Policies and Note 9 – Income Taxes to our Consolidated Financial Statements for more information regarding income taxes.</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Public Liability, Property Damage and Other Insurance Liabilities. </w:t>
      </w:r>
      <w:r>
        <w:rPr>
          <w:rFonts w:ascii="Arial" w:cs="Arial" w:eastAsia="Arial" w:hAnsi="Arial"/>
          <w:sz w:val="18"/>
          <w:szCs w:val="18"/>
          <w:color w:val="auto"/>
        </w:rPr>
        <w:t>Insurance liabilities on our Consolidated Balance Sheets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See Note 2 – Summary of Significant Accounting Policies to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 description of our adoption of new accounting pronouncements and the impact thereof on our business, see Note 2 – Summary of Significant Accounting Policies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a description of recently issued accounting pronouncements and the impact thereof on our business, see Note 2 – Summary of Significant Accounting Policies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fuel prices. We manage our exposure to market risks through our regular operating and financing activities and, when deemed appropriate, through the use of derivative financial instruments, particularly currency forward contracts to manage and reduce currency exchange rate risk; swap contracts, futures and options contracts, to manage and reduce the interest rate risk related to our debt; and derivative commodity instruments to manage and reduce the risk of changing unleaded fuel prices.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 13 – Long-term Corporate Debt and Borrowing Arrangements, Note 14 – Debt Under Vehicle Programs and Borrowing Arrangements and Note 20 – Financial Instruments to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 Management</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exposure to currency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assess our market risk based on changes in currency exchange rates utilizing a sensitivity analysis. The sensitivity analysis measures the potential impact on earnings, cash flows and fair values based on a hypothetical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 appreciation or depreciation in the value of the underlying currencies being hedged, against the U.S. dollar at December 31, 2023. With all other variables held constant, a hypothetical 10% change (increase or decrease) in currency exchange rates would not have a material impact on our 2023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primary interest rate exposure at December 31, 2023 was interest rate fluctuation in the United States due to its impact on variable rate borrowings and other interest rate sensitive liabilities. We use interest rate swaps and caps to manage our exposure to interest rate movements. We anticipate interest rate fluctuation will remain a primary market risk exposure for the foreseeable future.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market risk based on changes in interest rates utilizing a sensitivity analysis. Based on our interest rate exposures and derivatives as of December 31, 2023, we estimate that a 10% change in interest rates would not have a material impact on our 2023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Risk Management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commodity price exposure related to fluctuations in the price of fuel. We anticipate that such commodity risk will remain a market risk exposure for the foreseeable future. We determined that a hypothetical 10% change in the price of fuel would not have a material impact on our earnings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4057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9A. CONTROLS AND PROCEDURES</w:t>
      </w:r>
    </w:p>
    <w:p>
      <w:pPr>
        <w:spacing w:after="0" w:line="360" w:lineRule="exact"/>
        <w:rPr>
          <w:sz w:val="20"/>
          <w:szCs w:val="20"/>
          <w:color w:val="auto"/>
        </w:rPr>
      </w:pPr>
    </w:p>
    <w:p>
      <w:pPr>
        <w:jc w:val="both"/>
        <w:ind w:left="340" w:hanging="332"/>
        <w:spacing w:after="0" w:line="259" w:lineRule="auto"/>
        <w:tabs>
          <w:tab w:leader="none" w:pos="43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spacing w:after="0" w:line="206" w:lineRule="exact"/>
        <w:rPr>
          <w:rFonts w:ascii="Arial" w:cs="Arial" w:eastAsia="Arial" w:hAnsi="Arial"/>
          <w:sz w:val="18"/>
          <w:szCs w:val="18"/>
          <w:color w:val="auto"/>
        </w:rPr>
      </w:pPr>
    </w:p>
    <w:p>
      <w:pPr>
        <w:jc w:val="both"/>
        <w:ind w:left="340" w:hanging="332"/>
        <w:spacing w:after="0" w:line="255" w:lineRule="auto"/>
        <w:tabs>
          <w:tab w:leader="none" w:pos="557"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management is responsible for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maintaining adequate internal control over financial reporting, as defined in Rules 13a-15(f) and 15d-15(f) under the Exchange Act. Our management assessed the effectiveness of our internal control over financial reporting as of December 31, 2023.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our management believes that, as of December 31, 2023, our internal control over financial reporting was effective. The effectiveness of our internal control over financial reporting as of December 31, 2023 has been audited by Deloitte &amp; Touche LLP, an independent registered public accounting firm. Their attestation report is included below.</w:t>
      </w:r>
    </w:p>
    <w:p>
      <w:pPr>
        <w:spacing w:after="0" w:line="211" w:lineRule="exact"/>
        <w:rPr>
          <w:rFonts w:ascii="Arial" w:cs="Arial" w:eastAsia="Arial" w:hAnsi="Arial"/>
          <w:sz w:val="18"/>
          <w:szCs w:val="18"/>
          <w:color w:val="auto"/>
        </w:rPr>
      </w:pPr>
    </w:p>
    <w:p>
      <w:pPr>
        <w:ind w:left="340" w:hanging="332"/>
        <w:spacing w:after="0" w:line="28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fourth quarter of 2023, there was no change in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such term is defined in Rules 13a-15(f) and 15d-15(f) under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2" w:right="7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Parsippany, New Jersey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have audited the internal control over financial reporting of Avis Budget Group, Inc. and subsidiaries (the "Company") as of December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2023 of the Company and our report dated February 16, 2024 expressed an unqualified opinion on those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Annual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4057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December 31, 2023, no director or Section 16 officer of the Company adopted or terminated a "Rule 10b5-1 trading arrangement" or "non-Rule 10b5-1 trading arrangement," as each term is defined in Item 408(a)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2024 Annual Meeting of Stockholders to be filed with the SEC pursuant to Regulation 14A within 120 days after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11. EXECUTIVE COMPENSATION</w:t>
      </w:r>
    </w:p>
    <w:p>
      <w:pPr>
        <w:spacing w:after="0" w:line="3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2024 Annual Meeting of Stockholders to be filed with the SEC pursuant to Regulation 14A within 120 days after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2832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214" w:lineRule="exact"/>
        <w:rPr>
          <w:sz w:val="20"/>
          <w:szCs w:val="20"/>
          <w:color w:val="auto"/>
        </w:rPr>
      </w:pPr>
    </w:p>
    <w:p>
      <w:pPr>
        <w:ind w:left="40" w:right="640"/>
        <w:spacing w:after="0" w:line="26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2024 Annual Meeting of Stockholders to be filed with the SEC pursuant to Regulation 14A within 120 days after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2024 Annual Meeting of Stockholders to be filed with the SEC pursuant to Regulation 14A within 120 days after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3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the 2024 Annual Meeting of Stockholders to be filed with the SEC pursuant to Regulation 14A within 120 days after December 31, 2023.</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40575"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3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15(A)(1). 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See Consolidated Financial Statements and Consolidated Financial Statements Index commencing on page F-1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15(A)(2). FINANCIAL STATEMENT SCHEDULES</w:t>
      </w:r>
    </w:p>
    <w:p>
      <w:pPr>
        <w:spacing w:after="0" w:line="36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Schedule II – Valuation and Qualifying Accounts for the years ended December 31, 2023, 2022 and 2021 commencing on page G-1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4057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15(A)(3). EXHIBITS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H-1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4057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2" w:right="71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AVIS BUDGET GROUP, INC.</w:t>
      </w:r>
    </w:p>
    <w:p>
      <w:pPr>
        <w:spacing w:after="0" w:line="293" w:lineRule="exact"/>
        <w:rPr>
          <w:sz w:val="20"/>
          <w:szCs w:val="20"/>
          <w:color w:val="auto"/>
        </w:rPr>
      </w:pPr>
    </w:p>
    <w:tbl>
      <w:tblPr>
        <w:tblLayout w:type="fixed"/>
        <w:tblInd w:w="5920" w:type="dxa"/>
        <w:tblCellMar>
          <w:top w:w="0" w:type="dxa"/>
          <w:left w:w="0" w:type="dxa"/>
          <w:bottom w:w="0" w:type="dxa"/>
          <w:right w:w="0" w:type="dxa"/>
        </w:tblCellMar>
      </w:tblPr>
      <w:tr>
        <w:trPr>
          <w:trHeight w:val="23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CATHLEEN DEGENOVA</w:t>
            </w:r>
          </w:p>
        </w:tc>
      </w:tr>
      <w:tr>
        <w:trPr>
          <w:trHeight w:val="220"/>
        </w:trPr>
        <w:tc>
          <w:tcPr>
            <w:tcW w:w="80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rPr>
              <w:t>Cathleen DeGenova</w:t>
            </w:r>
          </w:p>
        </w:tc>
      </w:tr>
      <w:tr>
        <w:trPr>
          <w:trHeight w:val="228"/>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Vice President and Chief Accounting Officer</w:t>
            </w:r>
          </w:p>
        </w:tc>
      </w:tr>
      <w:tr>
        <w:trPr>
          <w:trHeight w:val="239"/>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ind w:left="20"/>
              <w:spacing w:after="0"/>
              <w:rPr>
                <w:sz w:val="20"/>
                <w:szCs w:val="20"/>
                <w:color w:val="auto"/>
              </w:rPr>
            </w:pPr>
            <w:r>
              <w:rPr>
                <w:rFonts w:ascii="Arial" w:cs="Arial" w:eastAsia="Arial" w:hAnsi="Arial"/>
                <w:sz w:val="18"/>
                <w:szCs w:val="18"/>
                <w:color w:val="auto"/>
              </w:rPr>
              <w:t>February 16, 2024</w:t>
            </w:r>
          </w:p>
        </w:tc>
      </w:tr>
    </w:tbl>
    <w:p>
      <w:pPr>
        <w:spacing w:after="0" w:line="3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2" w:right="339" w:bottom="1440" w:gutter="0" w:footer="0" w:header="0"/>
        </w:sectPr>
      </w:pPr>
    </w:p>
    <w:p>
      <w:pPr>
        <w:spacing w:after="0" w:line="252"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Signature</w:t>
      </w:r>
    </w:p>
    <w:p>
      <w:pPr>
        <w:spacing w:after="0" w:line="35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(Joseph A. Ferraro)</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IZILDA P.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(Izilda P. Martins)</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CATHLEEN DEGENOVA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(Cathleen DeGenova)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(Bernardo Hees)</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(Jagdeep Pahwa)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ANU HARIHARAN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(Anu Hariharan)</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(Lynn Krominga)</w:t>
      </w:r>
    </w:p>
    <w:p>
      <w:pPr>
        <w:spacing w:after="0" w:line="140"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(Glenn Lurie)</w:t>
      </w:r>
    </w:p>
    <w:p>
      <w:pPr>
        <w:spacing w:after="0" w:line="181"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/s/ 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3317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66"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(Karthik Sarma)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jc w:val="center"/>
              <w:ind w:right="299"/>
              <w:spacing w:after="0"/>
              <w:rPr>
                <w:sz w:val="20"/>
                <w:szCs w:val="20"/>
                <w:color w:val="auto"/>
              </w:rPr>
            </w:pPr>
            <w:r>
              <w:rPr>
                <w:rFonts w:ascii="Arial" w:cs="Arial" w:eastAsia="Arial" w:hAnsi="Arial"/>
                <w:sz w:val="16"/>
                <w:szCs w:val="16"/>
                <w:b w:val="1"/>
                <w:bCs w:val="1"/>
                <w:color w:val="auto"/>
                <w:w w:val="97"/>
              </w:rPr>
              <w:t>Title</w:t>
            </w:r>
          </w:p>
        </w:tc>
        <w:tc>
          <w:tcPr>
            <w:tcW w:w="1720" w:type="dxa"/>
            <w:vAlign w:val="bottom"/>
          </w:tcPr>
          <w:p>
            <w:pPr>
              <w:jc w:val="center"/>
              <w:ind w:left="31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78"/>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President and Chief Executive Officer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542"/>
        </w:trPr>
        <w:tc>
          <w:tcPr>
            <w:tcW w:w="3620" w:type="dxa"/>
            <w:vAlign w:val="bottom"/>
          </w:tcPr>
          <w:p>
            <w:pPr>
              <w:jc w:val="center"/>
              <w:ind w:right="319"/>
              <w:spacing w:after="0"/>
              <w:rPr>
                <w:sz w:val="20"/>
                <w:szCs w:val="20"/>
                <w:color w:val="auto"/>
              </w:rPr>
            </w:pPr>
            <w:r>
              <w:rPr>
                <w:rFonts w:ascii="Arial" w:cs="Arial" w:eastAsia="Arial" w:hAnsi="Arial"/>
                <w:sz w:val="16"/>
                <w:szCs w:val="16"/>
                <w:color w:val="auto"/>
              </w:rPr>
              <w:t>Executive Vice President and Chief Financial</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215"/>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Officer</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Vice President and Chief Accounting Officer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rPr>
              <w:t>Executive Chairman of the Board of Directors</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594"/>
        </w:trPr>
        <w:tc>
          <w:tcPr>
            <w:tcW w:w="3620" w:type="dxa"/>
            <w:vAlign w:val="bottom"/>
          </w:tcPr>
          <w:p>
            <w:pPr>
              <w:jc w:val="center"/>
              <w:ind w:right="319"/>
              <w:spacing w:after="0"/>
              <w:rPr>
                <w:sz w:val="20"/>
                <w:szCs w:val="20"/>
                <w:color w:val="auto"/>
              </w:rPr>
            </w:pPr>
            <w:r>
              <w:rPr>
                <w:rFonts w:ascii="Arial" w:cs="Arial" w:eastAsia="Arial" w:hAnsi="Arial"/>
                <w:sz w:val="16"/>
                <w:szCs w:val="16"/>
                <w:color w:val="auto"/>
              </w:rPr>
              <w:t>Vice Chairman of the Board of Directors</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59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634"/>
        </w:trPr>
        <w:tc>
          <w:tcPr>
            <w:tcW w:w="3620" w:type="dxa"/>
            <w:vAlign w:val="bottom"/>
          </w:tcPr>
          <w:p>
            <w:pPr>
              <w:jc w:val="center"/>
              <w:ind w:right="299"/>
              <w:spacing w:after="0"/>
              <w:rPr>
                <w:sz w:val="20"/>
                <w:szCs w:val="20"/>
                <w:color w:val="auto"/>
              </w:rPr>
            </w:pPr>
            <w:r>
              <w:rPr>
                <w:rFonts w:ascii="Arial" w:cs="Arial" w:eastAsia="Arial" w:hAnsi="Arial"/>
                <w:sz w:val="16"/>
                <w:szCs w:val="16"/>
                <w:color w:val="auto"/>
                <w:w w:val="99"/>
              </w:rPr>
              <w:t>Director</w:t>
            </w:r>
          </w:p>
        </w:tc>
        <w:tc>
          <w:tcPr>
            <w:tcW w:w="1720" w:type="dxa"/>
            <w:vAlign w:val="bottom"/>
            <w:vMerge w:val="restart"/>
          </w:tcPr>
          <w:p>
            <w:pPr>
              <w:jc w:val="center"/>
              <w:ind w:left="319"/>
              <w:spacing w:after="0"/>
              <w:rPr>
                <w:sz w:val="20"/>
                <w:szCs w:val="20"/>
                <w:color w:val="auto"/>
              </w:rPr>
            </w:pPr>
            <w:r>
              <w:rPr>
                <w:rFonts w:ascii="Arial" w:cs="Arial" w:eastAsia="Arial" w:hAnsi="Arial"/>
                <w:sz w:val="16"/>
                <w:szCs w:val="16"/>
                <w:color w:val="auto"/>
              </w:rPr>
              <w:t>February 16, 2024</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39" w:lineRule="exact"/>
        <w:rPr>
          <w:sz w:val="20"/>
          <w:szCs w:val="20"/>
          <w:color w:val="auto"/>
        </w:rPr>
      </w:pPr>
    </w:p>
    <w:p>
      <w:pPr>
        <w:sectPr>
          <w:pgSz w:w="11900" w:h="16838" w:orient="portrait"/>
          <w:cols w:equalWidth="0" w:num="2">
            <w:col w:w="4940" w:space="720"/>
            <w:col w:w="558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9840" w:type="dxa"/>
            <w:vAlign w:val="bottom"/>
            <w:gridSpan w:val="11"/>
          </w:tcPr>
          <w:p>
            <w:pPr>
              <w:spacing w:after="0"/>
              <w:rPr>
                <w:sz w:val="20"/>
                <w:szCs w:val="20"/>
                <w:color w:val="auto"/>
              </w:rPr>
            </w:pPr>
            <w:r>
              <w:rPr>
                <w:rFonts w:ascii="Arial" w:cs="Arial" w:eastAsia="Arial" w:hAnsi="Arial"/>
                <w:sz w:val="18"/>
                <w:szCs w:val="18"/>
                <w:color w:val="0000FF"/>
              </w:rPr>
              <w:t>Table of Contents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3"/>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8440" w:type="dxa"/>
            <w:vAlign w:val="bottom"/>
            <w:gridSpan w:val="9"/>
          </w:tcPr>
          <w:p>
            <w:pPr>
              <w:ind w:left="1940"/>
              <w:spacing w:after="0"/>
              <w:rPr>
                <w:sz w:val="20"/>
                <w:szCs w:val="20"/>
                <w:color w:val="auto"/>
              </w:rPr>
            </w:pPr>
            <w:r>
              <w:rPr>
                <w:rFonts w:ascii="Arial" w:cs="Arial" w:eastAsia="Arial" w:hAnsi="Arial"/>
                <w:sz w:val="18"/>
                <w:szCs w:val="18"/>
                <w:b w:val="1"/>
                <w:bCs w:val="1"/>
                <w:color w:val="auto"/>
              </w:rPr>
              <w:t>INDEX TO CONSOLIDATED FINANCIAL STATEMENTS</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820" w:type="dxa"/>
            <w:vAlign w:val="bottom"/>
            <w:gridSpan w:val="10"/>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7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rPr>
              <w:t>Consolidated Statements of Operations for the years ended December 31, 2023, 2022 and 2021</w:t>
            </w:r>
          </w:p>
        </w:tc>
        <w:tc>
          <w:tcPr>
            <w:tcW w:w="2080" w:type="dxa"/>
            <w:vAlign w:val="bottom"/>
            <w:gridSpan w:val="3"/>
          </w:tcPr>
          <w:p>
            <w:pPr>
              <w:spacing w:after="0"/>
              <w:rPr>
                <w:sz w:val="24"/>
                <w:szCs w:val="2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7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Consolidated Statements of Comprehensive Income for the years ended December 31, 2023, 2022 and 2021</w:t>
            </w:r>
          </w:p>
        </w:tc>
        <w:tc>
          <w:tcPr>
            <w:tcW w:w="1120" w:type="dxa"/>
            <w:vAlign w:val="bottom"/>
            <w:vMerge w:val="restart"/>
          </w:tcPr>
          <w:p>
            <w:pPr>
              <w:spacing w:after="0"/>
              <w:rPr>
                <w:sz w:val="24"/>
                <w:szCs w:val="24"/>
                <w:color w:val="auto"/>
              </w:rPr>
            </w:pPr>
          </w:p>
        </w:tc>
        <w:tc>
          <w:tcPr>
            <w:tcW w:w="1280" w:type="dxa"/>
            <w:vAlign w:val="bottom"/>
            <w:gridSpan w:val="2"/>
            <w:vMerge w:val="restart"/>
          </w:tcPr>
          <w:p>
            <w:pPr>
              <w:spacing w:after="0"/>
              <w:rPr>
                <w:sz w:val="24"/>
                <w:szCs w:val="24"/>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Arial" w:cs="Arial" w:eastAsia="Arial" w:hAnsi="Arial"/>
                <w:sz w:val="18"/>
                <w:szCs w:val="18"/>
                <w:color w:val="0000FF"/>
                <w:w w:val="99"/>
              </w:rPr>
              <w:t>Consolidated Balance Sheets as of December 31, 2023 and 2022</w:t>
            </w:r>
          </w:p>
        </w:tc>
        <w:tc>
          <w:tcPr>
            <w:tcW w:w="4580" w:type="dxa"/>
            <w:vAlign w:val="bottom"/>
            <w:gridSpan w:val="6"/>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740" w:type="dxa"/>
            <w:vAlign w:val="bottom"/>
            <w:gridSpan w:val="7"/>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2023, 2022 and 2021</w:t>
            </w:r>
          </w:p>
        </w:tc>
        <w:tc>
          <w:tcPr>
            <w:tcW w:w="2080" w:type="dxa"/>
            <w:vAlign w:val="bottom"/>
            <w:gridSpan w:val="3"/>
          </w:tcPr>
          <w:p>
            <w:pPr>
              <w:spacing w:after="0"/>
              <w:rPr>
                <w:sz w:val="24"/>
                <w:szCs w:val="24"/>
                <w:color w:val="auto"/>
              </w:rPr>
            </w:pPr>
          </w:p>
        </w:tc>
        <w:tc>
          <w:tcPr>
            <w:tcW w:w="1280" w:type="dxa"/>
            <w:vAlign w:val="bottom"/>
            <w:gridSpan w:val="2"/>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4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Consolidated Statements of Stockholders’ Equity for the years ended December 31, 2023, 2022 and 2021</w:t>
            </w:r>
          </w:p>
        </w:tc>
        <w:tc>
          <w:tcPr>
            <w:tcW w:w="1400" w:type="dxa"/>
            <w:vAlign w:val="bottom"/>
            <w:gridSpan w:val="2"/>
            <w:vMerge w:val="restart"/>
          </w:tcPr>
          <w:p>
            <w:pPr>
              <w:spacing w:after="0"/>
              <w:rPr>
                <w:sz w:val="24"/>
                <w:szCs w:val="24"/>
                <w:color w:val="auto"/>
              </w:rPr>
            </w:pPr>
          </w:p>
        </w:tc>
        <w:tc>
          <w:tcPr>
            <w:tcW w:w="1200" w:type="dxa"/>
            <w:vAlign w:val="bottom"/>
            <w:vMerge w:val="restart"/>
          </w:tcPr>
          <w:p>
            <w:pPr>
              <w:spacing w:after="0"/>
              <w:rPr>
                <w:sz w:val="24"/>
                <w:szCs w:val="24"/>
                <w:color w:val="auto"/>
              </w:rPr>
            </w:pPr>
          </w:p>
        </w:tc>
        <w:tc>
          <w:tcPr>
            <w:tcW w:w="2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79"/>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12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820" w:type="dxa"/>
            <w:vAlign w:val="bottom"/>
            <w:gridSpan w:val="10"/>
          </w:tcPr>
          <w:p>
            <w:pPr>
              <w:spacing w:after="0"/>
              <w:rPr>
                <w:sz w:val="20"/>
                <w:szCs w:val="20"/>
                <w:color w:val="auto"/>
              </w:rPr>
            </w:pPr>
            <w:r>
              <w:rPr>
                <w:rFonts w:ascii="Arial" w:cs="Arial" w:eastAsia="Arial" w:hAnsi="Arial"/>
                <w:sz w:val="18"/>
                <w:szCs w:val="18"/>
                <w:color w:val="0000FF"/>
              </w:rPr>
              <w:t>Notes to Consolidated Financial Statements</w:t>
            </w:r>
          </w:p>
        </w:tc>
        <w:tc>
          <w:tcPr>
            <w:tcW w:w="120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-1662430</wp:posOffset>
            </wp:positionV>
            <wp:extent cx="317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Avis Budget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audited the accompanying consolidated balance sheets of Avis Budget Group, Inc. and subsidiaries (the "Company") as of December 31, 2023 and 2022, the related consolidated statements of operations, comprehensive income, stockholders' equity, and cash flows for each of the three years in the period ended December 31, 2023, and the related notes and the schedule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three years in the period ended December 31, 2023, in conformity with accounting principles generally accepted in the United States of America.</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16,</w:t>
      </w:r>
      <w:r>
        <w:rPr>
          <w:rFonts w:ascii="Arial" w:cs="Arial" w:eastAsia="Arial" w:hAnsi="Arial"/>
          <w:sz w:val="18"/>
          <w:szCs w:val="18"/>
          <w:i w:val="1"/>
          <w:iCs w:val="1"/>
          <w:color w:val="auto"/>
        </w:rPr>
        <w:t xml:space="preserve"> </w:t>
      </w:r>
      <w:r>
        <w:rPr>
          <w:rFonts w:ascii="Arial" w:cs="Arial" w:eastAsia="Arial" w:hAnsi="Arial"/>
          <w:sz w:val="18"/>
          <w:szCs w:val="18"/>
          <w:color w:val="auto"/>
        </w:rPr>
        <w:t>2024, expressed an unqualified opinion on the Company's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w:t>
      </w:r>
    </w:p>
    <w:p>
      <w:pPr>
        <w:jc w:val="both"/>
        <w:spacing w:after="0" w:line="226" w:lineRule="auto"/>
        <w:rPr>
          <w:sz w:val="20"/>
          <w:szCs w:val="20"/>
          <w:color w:val="auto"/>
        </w:rPr>
      </w:pPr>
      <w:r>
        <w:rPr>
          <w:rFonts w:ascii="Arial" w:cs="Arial" w:eastAsia="Arial" w:hAnsi="Arial"/>
          <w:sz w:val="18"/>
          <w:szCs w:val="18"/>
          <w:color w:val="auto"/>
        </w:rPr>
        <w:t>audits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Vehicles - Depreciation Expense - United States Risk Vehicles - Refer to Notes 2 and 8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records rental vehicles at cost, net of accumulated depreciation. The initial cost of the vehicles is recorded net of incentives and allowances from manufacturers. Rental vehicles acquired by the Company outside of manufacturer repurchase and guaranteed depreciation programs are referred to as risk vehicles and the carrying values of these risk vehicles are depreciated based upon the vehicles’ estimated residual values at their expected dates of disposition. The estimation of residual values for risk vehicles requires the Company to</w:t>
      </w:r>
    </w:p>
    <w:p>
      <w:pPr>
        <w:jc w:val="both"/>
        <w:spacing w:after="0" w:line="226" w:lineRule="auto"/>
        <w:rPr>
          <w:sz w:val="20"/>
          <w:szCs w:val="20"/>
          <w:color w:val="auto"/>
        </w:rPr>
      </w:pPr>
      <w:r>
        <w:rPr>
          <w:rFonts w:ascii="Arial" w:cs="Arial" w:eastAsia="Arial" w:hAnsi="Arial"/>
          <w:sz w:val="18"/>
          <w:szCs w:val="18"/>
          <w:color w:val="auto"/>
        </w:rPr>
        <w:t>make assumptions regarding factors which include, but are not limited to, the anticipated age of the vehicles and market conditions for used vehicles at the time of disposal. The Company regularly evaluates estimated residual values and adjusts vehicle depreciation rates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appropriate. Any adjustments to depreciation are made prospectively.</w:t>
      </w:r>
    </w:p>
    <w:p>
      <w:pPr>
        <w:spacing w:after="0" w:line="221" w:lineRule="exact"/>
        <w:rPr>
          <w:sz w:val="20"/>
          <w:szCs w:val="20"/>
          <w:color w:val="auto"/>
        </w:rPr>
      </w:pPr>
    </w:p>
    <w:p>
      <w:pPr>
        <w:jc w:val="both"/>
        <w:spacing w:after="0"/>
        <w:rPr>
          <w:sz w:val="20"/>
          <w:szCs w:val="20"/>
          <w:color w:val="auto"/>
        </w:rPr>
      </w:pPr>
      <w:r>
        <w:rPr>
          <w:rFonts w:ascii="Arial" w:cs="Arial" w:eastAsia="Arial" w:hAnsi="Arial"/>
          <w:sz w:val="18"/>
          <w:szCs w:val="18"/>
          <w:color w:val="auto"/>
        </w:rPr>
        <w:t>Given the volume of risk vehicles in the United States and the significant estimation uncertainty and judgments made by management to calculate the estimated residual values of these risk vehicles, auditing the estimated residual values of United States risk vehicles and related vehicle depreciation expense required extensive audit effort to develop an independent expectation of residual values and depreciation expense, and a high degree of auditor judgment was required when performing audit procedures and evaluating the results of those procedures. The significant estimation uncertainty was primarily due to management’s assumptions regarding the impact of future consumer demand and general economic conditions on expected pricing of used vehicles. Additionally, auditing the calculation of the estimated residual values for United States risk vehicles was challenging due to the volume of data inputs utilized in management’s calculation, including historical sales data and data specific to the Company’s current fleet.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procedures to assess the reasonableness of the estimated residual values and vehicle depreciation expense related to United States risk vehicles included the following, among others:</w:t>
      </w:r>
    </w:p>
    <w:p>
      <w:pPr>
        <w:spacing w:after="0" w:line="167" w:lineRule="exact"/>
        <w:rPr>
          <w:sz w:val="20"/>
          <w:szCs w:val="20"/>
          <w:color w:val="auto"/>
        </w:rPr>
      </w:pPr>
    </w:p>
    <w:p>
      <w:pPr>
        <w:ind w:left="340" w:hanging="332"/>
        <w:spacing w:after="0" w:line="27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evaluated the appropriateness and consistency of the Company’s methods, significant assumptions and judgments to calculate the estimated residual values of risk vehicles and the expected dates of disposition.</w:t>
      </w:r>
    </w:p>
    <w:p>
      <w:pPr>
        <w:spacing w:after="0" w:line="180"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the effectiveness of controls over vehicle depreciation expense related to risk vehicles and management’s review of the significant assumptions and judgments to calculate the estimated residual values of risk vehicles, including those over the Company’s monitoring of residual values and used vehicle market conditions.</w:t>
      </w:r>
    </w:p>
    <w:p>
      <w:pPr>
        <w:spacing w:after="0" w:line="195" w:lineRule="exact"/>
        <w:rPr>
          <w:rFonts w:ascii="Arial" w:cs="Arial" w:eastAsia="Arial" w:hAnsi="Arial"/>
          <w:sz w:val="18"/>
          <w:szCs w:val="18"/>
          <w:color w:val="auto"/>
        </w:rPr>
      </w:pPr>
    </w:p>
    <w:p>
      <w:pPr>
        <w:ind w:left="340" w:right="20" w:hanging="332"/>
        <w:spacing w:after="0" w:line="27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assessed the reasonableness of the estimated residual values of risk vehicles by performing the following procedures on a selection of risk vehicles:</w:t>
      </w:r>
    </w:p>
    <w:p>
      <w:pPr>
        <w:spacing w:after="0" w:line="180" w:lineRule="exact"/>
        <w:rPr>
          <w:rFonts w:ascii="Arial" w:cs="Arial" w:eastAsia="Arial" w:hAnsi="Arial"/>
          <w:sz w:val="18"/>
          <w:szCs w:val="18"/>
          <w:color w:val="auto"/>
        </w:rPr>
      </w:pPr>
    </w:p>
    <w:p>
      <w:pPr>
        <w:ind w:left="660" w:hanging="324"/>
        <w:spacing w:after="0" w:line="271" w:lineRule="auto"/>
        <w:rPr>
          <w:rFonts w:ascii="Arial" w:cs="Arial" w:eastAsia="Arial" w:hAnsi="Arial"/>
          <w:sz w:val="18"/>
          <w:szCs w:val="18"/>
          <w:color w:val="auto"/>
        </w:rPr>
      </w:pPr>
      <w:r>
        <w:rPr>
          <w:rFonts w:ascii="Arial" w:cs="Arial" w:eastAsia="Arial" w:hAnsi="Arial"/>
          <w:sz w:val="18"/>
          <w:szCs w:val="18"/>
          <w:color w:val="auto"/>
        </w:rPr>
        <w:t>– We tested the underlying historical data that served as the basis for the Company’s calculation of the estimated residual values to evaluate the reasonableness of the inputs.</w:t>
      </w:r>
    </w:p>
    <w:p>
      <w:pPr>
        <w:spacing w:after="0" w:line="180" w:lineRule="exact"/>
        <w:rPr>
          <w:rFonts w:ascii="Arial" w:cs="Arial" w:eastAsia="Arial" w:hAnsi="Arial"/>
          <w:sz w:val="18"/>
          <w:szCs w:val="18"/>
          <w:color w:val="auto"/>
        </w:rPr>
      </w:pPr>
    </w:p>
    <w:p>
      <w:pPr>
        <w:ind w:left="660" w:hanging="324"/>
        <w:spacing w:after="0" w:line="271" w:lineRule="auto"/>
        <w:rPr>
          <w:rFonts w:ascii="Arial" w:cs="Arial" w:eastAsia="Arial" w:hAnsi="Arial"/>
          <w:sz w:val="18"/>
          <w:szCs w:val="18"/>
          <w:color w:val="auto"/>
        </w:rPr>
      </w:pPr>
      <w:r>
        <w:rPr>
          <w:rFonts w:ascii="Arial" w:cs="Arial" w:eastAsia="Arial" w:hAnsi="Arial"/>
          <w:sz w:val="18"/>
          <w:szCs w:val="18"/>
          <w:color w:val="auto"/>
        </w:rPr>
        <w:t>– We tested the mathematical accuracy of the Company’s calculation of the estimated residual values and vehicle depreciation expense rates.</w:t>
      </w:r>
    </w:p>
    <w:p>
      <w:pPr>
        <w:spacing w:after="0" w:line="180" w:lineRule="exact"/>
        <w:rPr>
          <w:rFonts w:ascii="Arial" w:cs="Arial" w:eastAsia="Arial" w:hAnsi="Arial"/>
          <w:sz w:val="18"/>
          <w:szCs w:val="18"/>
          <w:color w:val="auto"/>
        </w:rPr>
      </w:pPr>
    </w:p>
    <w:p>
      <w:pPr>
        <w:ind w:left="660" w:hanging="324"/>
        <w:spacing w:after="0" w:line="241" w:lineRule="auto"/>
        <w:rPr>
          <w:rFonts w:ascii="Arial" w:cs="Arial" w:eastAsia="Arial" w:hAnsi="Arial"/>
          <w:sz w:val="18"/>
          <w:szCs w:val="18"/>
          <w:color w:val="auto"/>
        </w:rPr>
      </w:pPr>
      <w:r>
        <w:rPr>
          <w:rFonts w:ascii="Arial" w:cs="Arial" w:eastAsia="Arial" w:hAnsi="Arial"/>
          <w:sz w:val="18"/>
          <w:szCs w:val="18"/>
          <w:color w:val="auto"/>
        </w:rPr>
        <w:t>– We tested significant assumptions and judgments used in the Company’s calculation by developing an independent expectation of residual values and compared them to the estimated residual values calculated by the Company. Our independent expectation was calculated using our professional judgment by reference to third-party data, information produced by the Company, subsequent vehicle sales, and inquiries of management.</w:t>
      </w:r>
    </w:p>
    <w:p>
      <w:pPr>
        <w:spacing w:after="0" w:line="208" w:lineRule="exact"/>
        <w:rPr>
          <w:rFonts w:ascii="Arial" w:cs="Arial" w:eastAsia="Arial" w:hAnsi="Arial"/>
          <w:sz w:val="18"/>
          <w:szCs w:val="18"/>
          <w:color w:val="auto"/>
        </w:rPr>
      </w:pPr>
    </w:p>
    <w:p>
      <w:pPr>
        <w:ind w:left="660" w:hanging="324"/>
        <w:spacing w:after="0" w:line="271" w:lineRule="auto"/>
        <w:rPr>
          <w:rFonts w:ascii="Arial" w:cs="Arial" w:eastAsia="Arial" w:hAnsi="Arial"/>
          <w:sz w:val="18"/>
          <w:szCs w:val="18"/>
          <w:color w:val="auto"/>
        </w:rPr>
      </w:pPr>
      <w:r>
        <w:rPr>
          <w:rFonts w:ascii="Arial" w:cs="Arial" w:eastAsia="Arial" w:hAnsi="Arial"/>
          <w:sz w:val="18"/>
          <w:szCs w:val="18"/>
          <w:color w:val="auto"/>
        </w:rPr>
        <w:t>– We searched for contradictory evidence associated with the significant assumptions and judgments made by management based on our knowledge of the industry and review of third-party industry data.</w:t>
      </w:r>
    </w:p>
    <w:p>
      <w:pPr>
        <w:spacing w:after="0" w:line="180" w:lineRule="exact"/>
        <w:rPr>
          <w:rFonts w:ascii="Arial" w:cs="Arial" w:eastAsia="Arial" w:hAnsi="Arial"/>
          <w:sz w:val="18"/>
          <w:szCs w:val="18"/>
          <w:color w:val="auto"/>
        </w:rPr>
      </w:pPr>
    </w:p>
    <w:p>
      <w:pPr>
        <w:ind w:left="340" w:hanging="332"/>
        <w:spacing w:after="0" w:line="271"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developed an independent expectation of depreciation expense based on, but not limited to, the vehicles’ age and results of our residual value testing and compared it to the amount recorded by the Company as depreciation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 - Public Liability and Property Damage Claims - United States - Refer to Note 2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is self-insured for public liability and property damage claims. These self-insurance reserves represent an estimate for both reported claims not yet paid and claims incurred but not yet reported. The estimated reserve requirements for such claims are calculated on an undiscounted basis using actuarial methods and various assumptions which include, but are not limited to, historical loss experience and projected loss development factors. The required liability is subject to adjustment in the future based upon changes in claims experience, including changes in the number of incidents for which the Company is ultimately liable and changes in the cost per incident.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Given the volume of public liability and property damage claims in the United States and the subjectivity of estimating the related self-insurance reserves for reported claims not yet paid and claims incurred but not yet reported due to uncertain exposure and projected loss development, performing audit procedures to evaluate whether these self-insurance reserves were appropriately recorded as of December 31, 2023 required a significant degree of auditor judgment and an increased extent of effort, including the need to involve our actuarial specialists.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audit procedures related to United States public liability and property damage self-insurance reserves included the following, among others:</w:t>
      </w:r>
    </w:p>
    <w:p>
      <w:pPr>
        <w:spacing w:after="0" w:line="181" w:lineRule="exact"/>
        <w:rPr>
          <w:sz w:val="20"/>
          <w:szCs w:val="20"/>
          <w:color w:val="auto"/>
        </w:rPr>
      </w:pPr>
    </w:p>
    <w:p>
      <w:pPr>
        <w:ind w:left="340" w:right="20" w:hanging="332"/>
        <w:spacing w:after="0" w:line="271"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review of significant assumptions, key inputs and methods used to calculate the estimate of the reported claims not yet paid and claims incurred but not yet reported.</w:t>
      </w:r>
    </w:p>
    <w:p>
      <w:pPr>
        <w:spacing w:after="0" w:line="180" w:lineRule="exact"/>
        <w:rPr>
          <w:rFonts w:ascii="Arial" w:cs="Arial" w:eastAsia="Arial" w:hAnsi="Arial"/>
          <w:sz w:val="18"/>
          <w:szCs w:val="18"/>
          <w:color w:val="auto"/>
        </w:rPr>
      </w:pPr>
    </w:p>
    <w:p>
      <w:pPr>
        <w:ind w:left="340" w:right="20" w:hanging="332"/>
        <w:spacing w:after="0" w:line="271"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tested the underlying data that served as the basis for the Company’s actuarial analysis, including historical claims, to test the reasonableness of the inputs to the actuarial estimate.</w:t>
      </w:r>
    </w:p>
    <w:p>
      <w:pPr>
        <w:spacing w:after="0" w:line="180" w:lineRule="exact"/>
        <w:rPr>
          <w:rFonts w:ascii="Arial" w:cs="Arial" w:eastAsia="Arial" w:hAnsi="Arial"/>
          <w:sz w:val="18"/>
          <w:szCs w:val="18"/>
          <w:color w:val="auto"/>
        </w:rPr>
      </w:pPr>
    </w:p>
    <w:p>
      <w:pPr>
        <w:jc w:val="both"/>
        <w:ind w:left="340" w:right="20" w:hanging="332"/>
        <w:spacing w:after="0" w:line="245"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developed an independent estimate of the self-insurance reserves, including assessment of loss data and claim development factors, and compared our estimate to management’s estimate. In addition, we performed the following:</w:t>
      </w:r>
    </w:p>
    <w:p>
      <w:pPr>
        <w:spacing w:after="0" w:line="203" w:lineRule="exact"/>
        <w:rPr>
          <w:rFonts w:ascii="Arial" w:cs="Arial" w:eastAsia="Arial" w:hAnsi="Arial"/>
          <w:sz w:val="18"/>
          <w:szCs w:val="18"/>
          <w:color w:val="auto"/>
        </w:rPr>
      </w:pPr>
    </w:p>
    <w:p>
      <w:pPr>
        <w:ind w:left="660" w:right="20" w:hanging="324"/>
        <w:spacing w:after="0" w:line="271" w:lineRule="auto"/>
        <w:rPr>
          <w:rFonts w:ascii="Arial" w:cs="Arial" w:eastAsia="Arial" w:hAnsi="Arial"/>
          <w:sz w:val="18"/>
          <w:szCs w:val="18"/>
          <w:color w:val="auto"/>
        </w:rPr>
      </w:pPr>
      <w:r>
        <w:rPr>
          <w:rFonts w:ascii="Arial" w:cs="Arial" w:eastAsia="Arial" w:hAnsi="Arial"/>
          <w:sz w:val="18"/>
          <w:szCs w:val="18"/>
          <w:color w:val="auto"/>
        </w:rPr>
        <w:t>– Evaluated the reasonableness of the methodologies used in management’s estimate based on actuarial methods followed in the insurance industry associated with such liabilities.</w:t>
      </w:r>
    </w:p>
    <w:p>
      <w:pPr>
        <w:spacing w:after="0" w:line="180" w:lineRule="exact"/>
        <w:rPr>
          <w:rFonts w:ascii="Arial" w:cs="Arial" w:eastAsia="Arial" w:hAnsi="Arial"/>
          <w:sz w:val="18"/>
          <w:szCs w:val="18"/>
          <w:color w:val="auto"/>
        </w:rPr>
      </w:pPr>
    </w:p>
    <w:p>
      <w:pPr>
        <w:ind w:left="660" w:hanging="324"/>
        <w:spacing w:after="0" w:line="253" w:lineRule="auto"/>
        <w:rPr>
          <w:rFonts w:ascii="Arial" w:cs="Arial" w:eastAsia="Arial" w:hAnsi="Arial"/>
          <w:sz w:val="18"/>
          <w:szCs w:val="18"/>
          <w:color w:val="auto"/>
        </w:rPr>
      </w:pPr>
      <w:r>
        <w:rPr>
          <w:rFonts w:ascii="Arial" w:cs="Arial" w:eastAsia="Arial" w:hAnsi="Arial"/>
          <w:sz w:val="18"/>
          <w:szCs w:val="18"/>
          <w:color w:val="auto"/>
        </w:rPr>
        <w:t>– Evaluated the reasonableness of the assumptions used in management’s estimate by comparing prior-year assumptions of expected development and ultimate loss to actuals incurred during the current year to identify potential bias in the determination of these liabilities.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59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Avis Budget Group, Inc.</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24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59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(In millions, except per share data)</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1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26"/>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420"/>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Vehicle depreciation and lease charges,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Vehicle interest,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Non-vehicle related depreciation and amortization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2"/>
          </w:tcPr>
          <w:p>
            <w:pPr>
              <w:ind w:left="6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7300" w:type="dxa"/>
            <w:vAlign w:val="bottom"/>
            <w:gridSpan w:val="2"/>
          </w:tcPr>
          <w:p>
            <w:pPr>
              <w:ind w:left="6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Restructuring and other related charges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99"/>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35"/>
        </w:trPr>
        <w:tc>
          <w:tcPr>
            <w:tcW w:w="7300" w:type="dxa"/>
            <w:vAlign w:val="bottom"/>
            <w:gridSpan w:val="2"/>
          </w:tcPr>
          <w:p>
            <w:pPr>
              <w:ind w:left="2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304"/>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23"/>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 income attributable to Avis Budget Group,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73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39"/>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40"/>
          </w:cols>
          <w:pgMar w:left="320" w:top="10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75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1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Avis Budget Group,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34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100" w:type="dxa"/>
            <w:vAlign w:val="bottom"/>
          </w:tcPr>
          <w:p>
            <w:pPr>
              <w:jc w:val="center"/>
              <w:ind w:left="2250"/>
              <w:spacing w:after="0"/>
              <w:rPr>
                <w:sz w:val="20"/>
                <w:szCs w:val="20"/>
                <w:color w:val="auto"/>
              </w:rPr>
            </w:pPr>
            <w:r>
              <w:rPr>
                <w:rFonts w:ascii="Arial" w:cs="Arial" w:eastAsia="Arial" w:hAnsi="Arial"/>
                <w:sz w:val="18"/>
                <w:szCs w:val="18"/>
                <w:b w:val="1"/>
                <w:bCs w:val="1"/>
                <w:color w:val="auto"/>
                <w:w w:val="98"/>
              </w:rPr>
              <w:t>(In millions)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14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20"/>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35"/>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Less: Net income (loss) attributable to non-controlling interests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Net income attributable to Avis Budget Group, Inc.</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374"/>
        </w:trPr>
        <w:tc>
          <w:tcPr>
            <w:tcW w:w="7500" w:type="dxa"/>
            <w:vAlign w:val="bottom"/>
            <w:gridSpan w:val="2"/>
          </w:tcPr>
          <w:p>
            <w:pPr>
              <w:ind w:left="80"/>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Currency translation adjustments: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460"/>
              <w:spacing w:after="0"/>
              <w:rPr>
                <w:sz w:val="20"/>
                <w:szCs w:val="20"/>
                <w:color w:val="auto"/>
              </w:rPr>
            </w:pPr>
            <w:r>
              <w:rPr>
                <w:rFonts w:ascii="Arial" w:cs="Arial" w:eastAsia="Arial" w:hAnsi="Arial"/>
                <w:sz w:val="18"/>
                <w:szCs w:val="18"/>
                <w:color w:val="auto"/>
              </w:rPr>
              <w:t>Currency translation adjustments, net of tax of $7, $(11) and $(20),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Reclassification of currency translation adjustments to earnings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Net unrealized holding gains (losses), net of tax of $(2), $(20), and $(6),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1"/>
        </w:trPr>
        <w:tc>
          <w:tcPr>
            <w:tcW w:w="750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Reclassification of cash flow hedges to earnings, net of tax of $5, $(2), and $(5),</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8"/>
        </w:trPr>
        <w:tc>
          <w:tcPr>
            <w:tcW w:w="7500" w:type="dxa"/>
            <w:vAlign w:val="bottom"/>
            <w:gridSpan w:val="2"/>
          </w:tcPr>
          <w:p>
            <w:pPr>
              <w:ind w:left="6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300"/>
              <w:spacing w:after="0"/>
              <w:rPr>
                <w:sz w:val="20"/>
                <w:szCs w:val="20"/>
                <w:color w:val="auto"/>
              </w:rPr>
            </w:pPr>
            <w:r>
              <w:rPr>
                <w:rFonts w:ascii="Arial" w:cs="Arial" w:eastAsia="Arial" w:hAnsi="Arial"/>
                <w:sz w:val="18"/>
                <w:szCs w:val="18"/>
                <w:color w:val="auto"/>
              </w:rPr>
              <w:t>Minimum pension liability adjustment: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20"/>
              <w:spacing w:after="0"/>
              <w:rPr>
                <w:sz w:val="20"/>
                <w:szCs w:val="20"/>
                <w:color w:val="auto"/>
              </w:rPr>
            </w:pPr>
            <w:r>
              <w:rPr>
                <w:rFonts w:ascii="Arial" w:cs="Arial" w:eastAsia="Arial" w:hAnsi="Arial"/>
                <w:sz w:val="18"/>
                <w:szCs w:val="18"/>
                <w:color w:val="auto"/>
              </w:rPr>
              <w:t>Pension and post-retirement benefits, net of tax of $6, $(4), and $(13), respectively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1"/>
        </w:trPr>
        <w:tc>
          <w:tcPr>
            <w:tcW w:w="750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Reclassification of pension and post-retirement benefits to earnings, net of tax of $(1),</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500" w:type="dxa"/>
            <w:vAlign w:val="bottom"/>
            <w:gridSpan w:val="2"/>
          </w:tcPr>
          <w:p>
            <w:pPr>
              <w:ind w:left="680"/>
              <w:spacing w:after="0"/>
              <w:rPr>
                <w:sz w:val="20"/>
                <w:szCs w:val="20"/>
                <w:color w:val="auto"/>
              </w:rPr>
            </w:pPr>
            <w:r>
              <w:rPr>
                <w:rFonts w:ascii="Arial" w:cs="Arial" w:eastAsia="Arial" w:hAnsi="Arial"/>
                <w:sz w:val="18"/>
                <w:szCs w:val="18"/>
                <w:color w:val="auto"/>
              </w:rPr>
              <w:t>$(2), and $(2), respectively</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Total comprehensive income attributable to Avis Budget Group, Inc.</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7500" w:type="dxa"/>
            <w:vAlign w:val="bottom"/>
            <w:gridSpan w:val="2"/>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Avis Budget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millions, except par value)</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5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8"/>
        </w:trPr>
        <w:tc>
          <w:tcPr>
            <w:tcW w:w="776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3"/>
                <w:szCs w:val="13"/>
                <w:color w:val="auto"/>
              </w:rPr>
              <w:t>Current assets: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6"/>
                <w:szCs w:val="16"/>
                <w:color w:val="auto"/>
              </w:rPr>
            </w:pPr>
          </w:p>
        </w:tc>
        <w:tc>
          <w:tcPr>
            <w:tcW w:w="6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Receivables (net of allowance for doubtful accounts of $87 and $86, respectively)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900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810</w:t>
            </w:r>
          </w:p>
        </w:tc>
        <w:tc>
          <w:tcPr>
            <w:tcW w:w="0" w:type="dxa"/>
            <w:vAlign w:val="bottom"/>
          </w:tcPr>
          <w:p>
            <w:pPr>
              <w:spacing w:after="0"/>
              <w:rPr>
                <w:sz w:val="1"/>
                <w:szCs w:val="1"/>
                <w:color w:val="auto"/>
              </w:rPr>
            </w:pPr>
          </w:p>
        </w:tc>
      </w:tr>
      <w:tr>
        <w:trPr>
          <w:trHeight w:val="194"/>
        </w:trPr>
        <w:tc>
          <w:tcPr>
            <w:tcW w:w="7760" w:type="dxa"/>
            <w:vAlign w:val="bottom"/>
          </w:tcPr>
          <w:p>
            <w:pPr>
              <w:ind w:left="200"/>
              <w:spacing w:after="0"/>
              <w:rPr>
                <w:sz w:val="20"/>
                <w:szCs w:val="20"/>
                <w:color w:val="auto"/>
              </w:rPr>
            </w:pPr>
            <w:r>
              <w:rPr>
                <w:rFonts w:ascii="Arial" w:cs="Arial" w:eastAsia="Arial" w:hAnsi="Arial"/>
                <w:sz w:val="13"/>
                <w:szCs w:val="13"/>
                <w:color w:val="auto"/>
              </w:rPr>
              <w:t>Other current assets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Total current assets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2,139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1,886</w:t>
            </w:r>
          </w:p>
        </w:tc>
        <w:tc>
          <w:tcPr>
            <w:tcW w:w="0" w:type="dxa"/>
            <w:vAlign w:val="bottom"/>
          </w:tcPr>
          <w:p>
            <w:pPr>
              <w:spacing w:after="0"/>
              <w:rPr>
                <w:sz w:val="1"/>
                <w:szCs w:val="1"/>
                <w:color w:val="auto"/>
              </w:rPr>
            </w:pPr>
          </w:p>
        </w:tc>
      </w:tr>
      <w:tr>
        <w:trPr>
          <w:trHeight w:val="283"/>
        </w:trPr>
        <w:tc>
          <w:tcPr>
            <w:tcW w:w="776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719</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Operating lease right-of-use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2,654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2,405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Deferred income taxes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1,868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1,379</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Goodwill</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1,099</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1,070</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Other intangibles,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3"/>
                <w:szCs w:val="13"/>
                <w:color w:val="auto"/>
              </w:rPr>
              <w:t>Other non-current assets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499</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color w:val="auto"/>
              </w:rPr>
              <w:t>Total assets exclusive of assets under vehicle programs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9,590</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8,499</w:t>
            </w:r>
          </w:p>
        </w:tc>
        <w:tc>
          <w:tcPr>
            <w:tcW w:w="0" w:type="dxa"/>
            <w:vAlign w:val="bottom"/>
          </w:tcPr>
          <w:p>
            <w:pPr>
              <w:spacing w:after="0"/>
              <w:rPr>
                <w:sz w:val="1"/>
                <w:szCs w:val="1"/>
                <w:color w:val="auto"/>
              </w:rPr>
            </w:pPr>
          </w:p>
        </w:tc>
      </w:tr>
      <w:tr>
        <w:trPr>
          <w:trHeight w:val="218"/>
        </w:trPr>
        <w:tc>
          <w:tcPr>
            <w:tcW w:w="7760" w:type="dxa"/>
            <w:vAlign w:val="bottom"/>
          </w:tcPr>
          <w:p>
            <w:pPr>
              <w:spacing w:after="0"/>
              <w:rPr>
                <w:sz w:val="20"/>
                <w:szCs w:val="20"/>
                <w:color w:val="auto"/>
              </w:rPr>
            </w:pPr>
            <w:r>
              <w:rPr>
                <w:rFonts w:ascii="Arial" w:cs="Arial" w:eastAsia="Arial" w:hAnsi="Arial"/>
                <w:sz w:val="13"/>
                <w:szCs w:val="13"/>
                <w:color w:val="auto"/>
              </w:rPr>
              <w:t>Assets under vehicle programs: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Program cash</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Vehicles,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21,240</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15,961</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Receivables from vehicle manufacturers and 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443</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Investment in Avis Budget Rental Car Funding (AESOP) LLC—related party</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1,211</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22,979</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17,428</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32,569</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25,927</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776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3"/>
                <w:szCs w:val="13"/>
                <w:color w:val="auto"/>
              </w:rPr>
              <w:t>Current liabilities: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Accounts payable and other current liabilities</w:t>
            </w: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2,627</w:t>
            </w:r>
          </w:p>
        </w:tc>
        <w:tc>
          <w:tcPr>
            <w:tcW w:w="100" w:type="dxa"/>
            <w:vAlign w:val="bottom"/>
          </w:tcPr>
          <w:p>
            <w:pPr>
              <w:spacing w:after="0"/>
              <w:rPr>
                <w:sz w:val="16"/>
                <w:szCs w:val="16"/>
                <w:color w:val="auto"/>
              </w:rPr>
            </w:pPr>
          </w:p>
        </w:tc>
        <w:tc>
          <w:tcPr>
            <w:tcW w:w="6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2,547</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Short-term debt and current portion of long-term debt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2,659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2,574</w:t>
            </w: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3"/>
                <w:szCs w:val="13"/>
                <w:color w:val="auto"/>
              </w:rPr>
              <w:t>Long-term debt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4,791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4,644</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3"/>
                <w:szCs w:val="13"/>
                <w:color w:val="auto"/>
              </w:rPr>
              <w:t>Long-term operating lease liabilities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2,117</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1,884</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554</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3"/>
                <w:szCs w:val="13"/>
                <w:color w:val="auto"/>
              </w:rPr>
              <w:t>Total liabilities exclusive of liabilities under vehicle programs</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10,095</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9,656</w:t>
            </w:r>
          </w:p>
        </w:tc>
        <w:tc>
          <w:tcPr>
            <w:tcW w:w="0" w:type="dxa"/>
            <w:vAlign w:val="bottom"/>
          </w:tcPr>
          <w:p>
            <w:pPr>
              <w:spacing w:after="0"/>
              <w:rPr>
                <w:sz w:val="1"/>
                <w:szCs w:val="1"/>
                <w:color w:val="auto"/>
              </w:rPr>
            </w:pPr>
          </w:p>
        </w:tc>
      </w:tr>
      <w:tr>
        <w:trPr>
          <w:trHeight w:val="218"/>
        </w:trPr>
        <w:tc>
          <w:tcPr>
            <w:tcW w:w="7760" w:type="dxa"/>
            <w:vAlign w:val="bottom"/>
          </w:tcPr>
          <w:p>
            <w:pPr>
              <w:spacing w:after="0"/>
              <w:rPr>
                <w:sz w:val="20"/>
                <w:szCs w:val="20"/>
                <w:color w:val="auto"/>
              </w:rPr>
            </w:pPr>
            <w:r>
              <w:rPr>
                <w:rFonts w:ascii="Arial" w:cs="Arial" w:eastAsia="Arial" w:hAnsi="Arial"/>
                <w:sz w:val="13"/>
                <w:szCs w:val="13"/>
                <w:color w:val="auto"/>
              </w:rPr>
              <w:t>Liabilities under vehicle programs: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Debt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3,496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2,534</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Debt due to Avis Budget Rental Car Funding (AESOP) LLC—related party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15,441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11,275</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3,418</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2,754</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Other</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22,817</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16,971</w:t>
            </w:r>
          </w:p>
        </w:tc>
        <w:tc>
          <w:tcPr>
            <w:tcW w:w="0" w:type="dxa"/>
            <w:vAlign w:val="bottom"/>
          </w:tcPr>
          <w:p>
            <w:pPr>
              <w:spacing w:after="0"/>
              <w:rPr>
                <w:sz w:val="1"/>
                <w:szCs w:val="1"/>
                <w:color w:val="auto"/>
              </w:rPr>
            </w:pPr>
          </w:p>
        </w:tc>
      </w:tr>
      <w:tr>
        <w:trPr>
          <w:trHeight w:val="218"/>
        </w:trPr>
        <w:tc>
          <w:tcPr>
            <w:tcW w:w="7760" w:type="dxa"/>
            <w:vAlign w:val="bottom"/>
          </w:tcPr>
          <w:p>
            <w:pPr>
              <w:spacing w:after="0"/>
              <w:rPr>
                <w:sz w:val="20"/>
                <w:szCs w:val="20"/>
                <w:color w:val="auto"/>
              </w:rPr>
            </w:pPr>
            <w:r>
              <w:rPr>
                <w:rFonts w:ascii="Arial" w:cs="Arial" w:eastAsia="Arial" w:hAnsi="Arial"/>
                <w:sz w:val="13"/>
                <w:szCs w:val="13"/>
                <w:color w:val="auto"/>
              </w:rPr>
              <w:t>Commitments and contingencies (Note 15)</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3"/>
                <w:szCs w:val="13"/>
                <w:color w:val="auto"/>
              </w:rPr>
              <w:t>Stockholders’ equity:</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Preferred stock, $.01 par value—authorized 10 shares; none issued and outstanding</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Common stock, $.01 par value—authorized 250 shares; issued 137 shares, respectively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Additional paid-in capital</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6,634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6,666</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Retained earnings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3,854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2,579</w:t>
            </w:r>
          </w:p>
        </w:tc>
        <w:tc>
          <w:tcPr>
            <w:tcW w:w="0" w:type="dxa"/>
            <w:vAlign w:val="bottom"/>
          </w:tcPr>
          <w:p>
            <w:pPr>
              <w:spacing w:after="0"/>
              <w:rPr>
                <w:sz w:val="1"/>
                <w:szCs w:val="1"/>
                <w:color w:val="auto"/>
              </w:rPr>
            </w:pPr>
          </w:p>
        </w:tc>
      </w:tr>
      <w:tr>
        <w:trPr>
          <w:trHeight w:val="189"/>
        </w:trPr>
        <w:tc>
          <w:tcPr>
            <w:tcW w:w="7760" w:type="dxa"/>
            <w:vAlign w:val="bottom"/>
          </w:tcPr>
          <w:p>
            <w:pPr>
              <w:ind w:left="200"/>
              <w:spacing w:after="0"/>
              <w:rPr>
                <w:sz w:val="20"/>
                <w:szCs w:val="20"/>
                <w:color w:val="auto"/>
              </w:rPr>
            </w:pPr>
            <w:r>
              <w:rPr>
                <w:rFonts w:ascii="Arial" w:cs="Arial" w:eastAsia="Arial" w:hAnsi="Arial"/>
                <w:sz w:val="13"/>
                <w:szCs w:val="13"/>
                <w:color w:val="auto"/>
              </w:rPr>
              <w:t>Accumulated other comprehensive loss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Arial" w:cs="Arial" w:eastAsia="Arial" w:hAnsi="Arial"/>
                <w:sz w:val="13"/>
                <w:szCs w:val="13"/>
                <w:color w:val="auto"/>
              </w:rPr>
              <w:t>Treasury stock, at cost 102 and 98 shares, respectively</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(10,742)</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(9,848)</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3"/>
                <w:szCs w:val="13"/>
                <w:color w:val="auto"/>
              </w:rPr>
              <w:t>Stockholders’ equity attributable to Avis Budget Group, Inc.</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(349)</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(703)</w:t>
            </w:r>
          </w:p>
        </w:tc>
        <w:tc>
          <w:tcPr>
            <w:tcW w:w="0" w:type="dxa"/>
            <w:vAlign w:val="bottom"/>
          </w:tcPr>
          <w:p>
            <w:pPr>
              <w:spacing w:after="0"/>
              <w:rPr>
                <w:sz w:val="1"/>
                <w:szCs w:val="1"/>
                <w:color w:val="auto"/>
              </w:rPr>
            </w:pPr>
          </w:p>
        </w:tc>
      </w:tr>
      <w:tr>
        <w:trPr>
          <w:trHeight w:val="194"/>
        </w:trPr>
        <w:tc>
          <w:tcPr>
            <w:tcW w:w="7760" w:type="dxa"/>
            <w:vAlign w:val="bottom"/>
          </w:tcPr>
          <w:p>
            <w:pPr>
              <w:ind w:left="200"/>
              <w:spacing w:after="0"/>
              <w:rPr>
                <w:sz w:val="20"/>
                <w:szCs w:val="20"/>
                <w:color w:val="auto"/>
              </w:rPr>
            </w:pPr>
            <w:r>
              <w:rPr>
                <w:rFonts w:ascii="Arial" w:cs="Arial" w:eastAsia="Arial" w:hAnsi="Arial"/>
                <w:sz w:val="13"/>
                <w:szCs w:val="13"/>
                <w:color w:val="auto"/>
              </w:rPr>
              <w:t>Non-controlling interests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3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32,569</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25,927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195"/>
        </w:trPr>
        <w:tc>
          <w:tcPr>
            <w:tcW w:w="7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1,635</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Vehicle depreciation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Amortization of right-of-use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(Gain) loss on sale of vehicles, net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Non-vehicle related 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Amortization of debt financing fees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Early extinguishment of debt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Net change in assets and liabilities: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Receivables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7700" w:type="dxa"/>
            <w:vAlign w:val="bottom"/>
          </w:tcPr>
          <w:p>
            <w:pPr>
              <w:ind w:left="400"/>
              <w:spacing w:after="0"/>
              <w:rPr>
                <w:sz w:val="20"/>
                <w:szCs w:val="20"/>
                <w:color w:val="auto"/>
              </w:rPr>
            </w:pPr>
            <w:r>
              <w:rPr>
                <w:rFonts w:ascii="Arial" w:cs="Arial" w:eastAsia="Arial" w:hAnsi="Arial"/>
                <w:sz w:val="16"/>
                <w:szCs w:val="16"/>
                <w:color w:val="auto"/>
              </w:rPr>
              <w:t>Accounts payable and other current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413"/>
        </w:trPr>
        <w:tc>
          <w:tcPr>
            <w:tcW w:w="77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Property and equipment additions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Proceeds received on asset sales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Net assets acquired (net of cash acquired)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 exclusive of vehicle programs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411"/>
        </w:trPr>
        <w:tc>
          <w:tcPr>
            <w:tcW w:w="770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Investment in vehicles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(10,054)</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Proceeds received on disposition of vehicles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4,077</w:t>
            </w:r>
          </w:p>
        </w:tc>
        <w:tc>
          <w:tcPr>
            <w:tcW w:w="0" w:type="dxa"/>
            <w:vAlign w:val="bottom"/>
          </w:tcPr>
          <w:p>
            <w:pPr>
              <w:spacing w:after="0"/>
              <w:rPr>
                <w:sz w:val="1"/>
                <w:szCs w:val="1"/>
                <w:color w:val="auto"/>
              </w:rPr>
            </w:pPr>
          </w:p>
        </w:tc>
      </w:tr>
      <w:tr>
        <w:trPr>
          <w:trHeight w:val="216"/>
        </w:trPr>
        <w:tc>
          <w:tcPr>
            <w:tcW w:w="7700" w:type="dxa"/>
            <w:vAlign w:val="bottom"/>
          </w:tcPr>
          <w:p>
            <w:pPr>
              <w:ind w:left="160"/>
              <w:spacing w:after="0"/>
              <w:rPr>
                <w:sz w:val="20"/>
                <w:szCs w:val="20"/>
                <w:color w:val="auto"/>
              </w:rPr>
            </w:pPr>
            <w:r>
              <w:rPr>
                <w:rFonts w:ascii="Arial" w:cs="Arial" w:eastAsia="Arial" w:hAnsi="Arial"/>
                <w:sz w:val="16"/>
                <w:szCs w:val="16"/>
                <w:color w:val="auto"/>
              </w:rPr>
              <w:t>Investment in debt securities of Avis Budget Rental Car Funding (AESOP)—related party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7"/>
        </w:trPr>
        <w:tc>
          <w:tcPr>
            <w:tcW w:w="7700" w:type="dxa"/>
            <w:vAlign w:val="bottom"/>
          </w:tcPr>
          <w:p>
            <w:pPr>
              <w:ind w:left="160"/>
              <w:spacing w:after="0"/>
              <w:rPr>
                <w:sz w:val="20"/>
                <w:szCs w:val="20"/>
                <w:color w:val="auto"/>
              </w:rPr>
            </w:pPr>
            <w:r>
              <w:rPr>
                <w:rFonts w:ascii="Arial" w:cs="Arial" w:eastAsia="Arial" w:hAnsi="Arial"/>
                <w:sz w:val="16"/>
                <w:szCs w:val="16"/>
                <w:color w:val="auto"/>
              </w:rPr>
              <w:t>Proceeds from debt securities of Avis Budget Rental Car Funding (AESOP)—related party</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(6,152)</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5"/>
        </w:trPr>
        <w:tc>
          <w:tcPr>
            <w:tcW w:w="7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Proceeds from long-term borrowings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Payments on long-term borrowings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Net change in short-term borrowings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Debt financing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Contributions from non-controlling interests</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Net cash used in financing activities exclusive of vehicle programs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452"/>
        </w:trPr>
        <w:tc>
          <w:tcPr>
            <w:tcW w:w="7620" w:type="dxa"/>
            <w:vAlign w:val="bottom"/>
          </w:tcPr>
          <w:p>
            <w:pPr>
              <w:spacing w:after="0"/>
              <w:rPr>
                <w:sz w:val="20"/>
                <w:szCs w:val="20"/>
                <w:color w:val="auto"/>
              </w:rPr>
            </w:pPr>
            <w:r>
              <w:rPr>
                <w:rFonts w:ascii="Arial" w:cs="Arial" w:eastAsia="Arial" w:hAnsi="Arial"/>
                <w:sz w:val="16"/>
                <w:szCs w:val="16"/>
                <w:i w:val="1"/>
                <w:iCs w:val="1"/>
                <w:color w:val="auto"/>
              </w:rPr>
              <w:t>Vehicle programs: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60"/>
              <w:spacing w:after="0"/>
              <w:rPr>
                <w:sz w:val="20"/>
                <w:szCs w:val="20"/>
                <w:color w:val="auto"/>
              </w:rPr>
            </w:pPr>
            <w:r>
              <w:rPr>
                <w:rFonts w:ascii="Arial" w:cs="Arial" w:eastAsia="Arial" w:hAnsi="Arial"/>
                <w:sz w:val="16"/>
                <w:szCs w:val="16"/>
                <w:color w:val="auto"/>
              </w:rPr>
              <w:t>Proceeds from borrowings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14,467</w:t>
            </w:r>
          </w:p>
        </w:tc>
        <w:tc>
          <w:tcPr>
            <w:tcW w:w="0" w:type="dxa"/>
            <w:vAlign w:val="bottom"/>
          </w:tcPr>
          <w:p>
            <w:pPr>
              <w:spacing w:after="0"/>
              <w:rPr>
                <w:sz w:val="1"/>
                <w:szCs w:val="1"/>
                <w:color w:val="auto"/>
              </w:rPr>
            </w:pPr>
          </w:p>
        </w:tc>
      </w:tr>
      <w:tr>
        <w:trPr>
          <w:trHeight w:val="216"/>
        </w:trPr>
        <w:tc>
          <w:tcPr>
            <w:tcW w:w="7620" w:type="dxa"/>
            <w:vAlign w:val="bottom"/>
          </w:tcPr>
          <w:p>
            <w:pPr>
              <w:ind w:left="160"/>
              <w:spacing w:after="0"/>
              <w:rPr>
                <w:sz w:val="20"/>
                <w:szCs w:val="20"/>
                <w:color w:val="auto"/>
              </w:rPr>
            </w:pPr>
            <w:r>
              <w:rPr>
                <w:rFonts w:ascii="Arial" w:cs="Arial" w:eastAsia="Arial" w:hAnsi="Arial"/>
                <w:sz w:val="16"/>
                <w:szCs w:val="16"/>
                <w:color w:val="auto"/>
              </w:rPr>
              <w:t>Payments on borrowings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(10,056)</w:t>
            </w:r>
          </w:p>
        </w:tc>
        <w:tc>
          <w:tcPr>
            <w:tcW w:w="0" w:type="dxa"/>
            <w:vAlign w:val="bottom"/>
          </w:tcPr>
          <w:p>
            <w:pPr>
              <w:spacing w:after="0"/>
              <w:rPr>
                <w:sz w:val="1"/>
                <w:szCs w:val="1"/>
                <w:color w:val="auto"/>
              </w:rPr>
            </w:pPr>
          </w:p>
        </w:tc>
      </w:tr>
      <w:tr>
        <w:trPr>
          <w:trHeight w:val="217"/>
        </w:trPr>
        <w:tc>
          <w:tcPr>
            <w:tcW w:w="7620" w:type="dxa"/>
            <w:vAlign w:val="bottom"/>
          </w:tcPr>
          <w:p>
            <w:pPr>
              <w:ind w:left="160"/>
              <w:spacing w:after="0"/>
              <w:rPr>
                <w:sz w:val="20"/>
                <w:szCs w:val="20"/>
                <w:color w:val="auto"/>
              </w:rPr>
            </w:pPr>
            <w:r>
              <w:rPr>
                <w:rFonts w:ascii="Arial" w:cs="Arial" w:eastAsia="Arial" w:hAnsi="Arial"/>
                <w:sz w:val="16"/>
                <w:szCs w:val="16"/>
                <w:color w:val="auto"/>
              </w:rPr>
              <w:t>Debt financing fees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7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412"/>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11"/>
        </w:trPr>
        <w:tc>
          <w:tcPr>
            <w:tcW w:w="7620" w:type="dxa"/>
            <w:vAlign w:val="bottom"/>
          </w:tcPr>
          <w:p>
            <w:pPr>
              <w:spacing w:after="0"/>
              <w:rPr>
                <w:sz w:val="20"/>
                <w:szCs w:val="20"/>
                <w:color w:val="auto"/>
              </w:rPr>
            </w:pPr>
            <w:r>
              <w:rPr>
                <w:rFonts w:ascii="Arial" w:cs="Arial" w:eastAsia="Arial" w:hAnsi="Arial"/>
                <w:sz w:val="16"/>
                <w:szCs w:val="16"/>
                <w:color w:val="auto"/>
              </w:rPr>
              <w:t>Net increase (decrease) in cash and cash equivalents, program and restricted cash</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b w:val="1"/>
                <w:bCs w:val="1"/>
                <w:color w:val="auto"/>
              </w:rPr>
              <w:t>Cash and cash equivalents, program and restricted cash,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2"/>
        </w:trPr>
        <w:tc>
          <w:tcPr>
            <w:tcW w:w="76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7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Interest payments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Income tax payments,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1440" w:type="dxa"/>
            <w:vAlign w:val="bottom"/>
            <w:gridSpan w:val="5"/>
          </w:tcPr>
          <w:p>
            <w:pPr>
              <w:ind w:left="28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rPr>
              <w:t>Additional</w:t>
            </w:r>
          </w:p>
        </w:tc>
        <w:tc>
          <w:tcPr>
            <w:tcW w:w="11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Retained Earnings</w:t>
            </w:r>
          </w:p>
        </w:tc>
        <w:tc>
          <w:tcPr>
            <w:tcW w:w="12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8"/>
              </w:rPr>
              <w:t>Accumulated Other</w:t>
            </w:r>
          </w:p>
        </w:tc>
        <w:tc>
          <w:tcPr>
            <w:tcW w:w="1480" w:type="dxa"/>
            <w:vAlign w:val="bottom"/>
            <w:gridSpan w:val="5"/>
          </w:tcPr>
          <w:p>
            <w:pPr>
              <w:ind w:left="300"/>
              <w:spacing w:after="0" w:line="122" w:lineRule="exact"/>
              <w:rPr>
                <w:sz w:val="20"/>
                <w:szCs w:val="20"/>
                <w:color w:val="auto"/>
              </w:rPr>
            </w:pPr>
            <w:r>
              <w:rPr>
                <w:rFonts w:ascii="Arial" w:cs="Arial" w:eastAsia="Arial" w:hAnsi="Arial"/>
                <w:sz w:val="11"/>
                <w:szCs w:val="11"/>
                <w:b w:val="1"/>
                <w:bCs w:val="1"/>
                <w:color w:val="auto"/>
              </w:rPr>
              <w:t>Treasury Stock</w:t>
            </w:r>
          </w:p>
        </w:tc>
        <w:tc>
          <w:tcPr>
            <w:tcW w:w="11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Equity Attributable</w:t>
            </w:r>
          </w:p>
        </w:tc>
        <w:tc>
          <w:tcPr>
            <w:tcW w:w="12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Non-</w:t>
            </w:r>
          </w:p>
        </w:tc>
        <w:tc>
          <w:tcPr>
            <w:tcW w:w="120" w:type="dxa"/>
            <w:vAlign w:val="bottom"/>
          </w:tcPr>
          <w:p>
            <w:pPr>
              <w:spacing w:after="0"/>
              <w:rPr>
                <w:sz w:val="10"/>
                <w:szCs w:val="10"/>
                <w:color w:val="auto"/>
              </w:rPr>
            </w:pPr>
          </w:p>
        </w:tc>
        <w:tc>
          <w:tcPr>
            <w:tcW w:w="8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4"/>
                <w:szCs w:val="4"/>
                <w:color w:val="auto"/>
              </w:rPr>
            </w:pPr>
          </w:p>
        </w:tc>
        <w:tc>
          <w:tcPr>
            <w:tcW w:w="1000" w:type="dxa"/>
            <w:vAlign w:val="bottom"/>
            <w:gridSpan w:val="2"/>
            <w:vMerge w:val="restart"/>
          </w:tcPr>
          <w:p>
            <w:pPr>
              <w:ind w:left="4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to Avis Budget</w:t>
            </w:r>
          </w:p>
        </w:tc>
        <w:tc>
          <w:tcPr>
            <w:tcW w:w="120" w:type="dxa"/>
            <w:vAlign w:val="bottom"/>
          </w:tcPr>
          <w:p>
            <w:pPr>
              <w:spacing w:after="0"/>
              <w:rPr>
                <w:sz w:val="4"/>
                <w:szCs w:val="4"/>
                <w:color w:val="auto"/>
              </w:rPr>
            </w:pPr>
          </w:p>
        </w:tc>
        <w:tc>
          <w:tcPr>
            <w:tcW w:w="86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controlling</w:t>
            </w:r>
          </w:p>
        </w:tc>
        <w:tc>
          <w:tcPr>
            <w:tcW w:w="120" w:type="dxa"/>
            <w:vAlign w:val="bottom"/>
          </w:tcPr>
          <w:p>
            <w:pPr>
              <w:spacing w:after="0"/>
              <w:rPr>
                <w:sz w:val="4"/>
                <w:szCs w:val="4"/>
                <w:color w:val="auto"/>
              </w:rPr>
            </w:pPr>
          </w:p>
        </w:tc>
        <w:tc>
          <w:tcPr>
            <w:tcW w:w="880" w:type="dxa"/>
            <w:vAlign w:val="bottom"/>
            <w:vMerge w:val="restart"/>
          </w:tcPr>
          <w:p>
            <w:pPr>
              <w:jc w:val="center"/>
              <w:ind w:right="6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40" w:type="dxa"/>
            <w:vAlign w:val="bottom"/>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Interests</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20"/>
                <w:szCs w:val="20"/>
                <w:color w:val="auto"/>
              </w:rPr>
            </w:pPr>
            <w:r>
              <w:rPr>
                <w:rFonts w:ascii="Arial" w:cs="Arial" w:eastAsia="Arial" w:hAnsi="Arial"/>
                <w:sz w:val="11"/>
                <w:szCs w:val="11"/>
                <w:b w:val="1"/>
                <w:bCs w:val="1"/>
                <w:color w:val="auto"/>
              </w:rPr>
              <w:t>Balance at January 1, 2021</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6,668</w:t>
            </w:r>
          </w:p>
        </w:tc>
        <w:tc>
          <w:tcPr>
            <w:tcW w:w="100" w:type="dxa"/>
            <w:vAlign w:val="bottom"/>
          </w:tcPr>
          <w:p>
            <w:pPr>
              <w:spacing w:after="0"/>
              <w:rPr>
                <w:sz w:val="12"/>
                <w:szCs w:val="12"/>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(1,470)</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(187)</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(67.3)</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(5,167)</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(155)</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1,283</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1,285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1,339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1,337</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1"/>
                <w:szCs w:val="11"/>
                <w:color w:val="auto"/>
              </w:rPr>
              <w:t>Contributions from non-controlling</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ind w:right="6"/>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20"/>
                <w:szCs w:val="20"/>
                <w:color w:val="auto"/>
              </w:rPr>
            </w:pPr>
            <w:r>
              <w:rPr>
                <w:rFonts w:ascii="Arial" w:cs="Arial" w:eastAsia="Arial" w:hAnsi="Arial"/>
                <w:sz w:val="11"/>
                <w:szCs w:val="11"/>
                <w:color w:val="auto"/>
              </w:rPr>
              <w:t>interests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20"/>
                <w:szCs w:val="20"/>
                <w:color w:val="auto"/>
              </w:rPr>
            </w:pPr>
            <w:r>
              <w:rPr>
                <w:rFonts w:ascii="Arial" w:cs="Arial" w:eastAsia="Arial" w:hAnsi="Arial"/>
                <w:sz w:val="11"/>
                <w:szCs w:val="11"/>
                <w:color w:val="auto"/>
              </w:rPr>
              <w:t>units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(1,443)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(1,443)</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1"/>
                <w:szCs w:val="11"/>
                <w:b w:val="1"/>
                <w:bCs w:val="1"/>
                <w:color w:val="auto"/>
              </w:rPr>
              <w:t>Balance at December 31, 2021</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6,676</w:t>
            </w:r>
          </w:p>
        </w:tc>
        <w:tc>
          <w:tcPr>
            <w:tcW w:w="10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(6,579)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2,764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2,764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2,756</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2,764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2,788</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1"/>
                <w:szCs w:val="11"/>
                <w:color w:val="auto"/>
              </w:rPr>
              <w:t>Contributions from non-controlling</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vMerge w:val="restart"/>
          </w:tcPr>
          <w:p>
            <w:pPr>
              <w:jc w:val="right"/>
              <w:ind w:right="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20"/>
                <w:szCs w:val="20"/>
                <w:color w:val="auto"/>
              </w:rPr>
            </w:pPr>
            <w:r>
              <w:rPr>
                <w:rFonts w:ascii="Arial" w:cs="Arial" w:eastAsia="Arial" w:hAnsi="Arial"/>
                <w:sz w:val="11"/>
                <w:szCs w:val="11"/>
                <w:color w:val="auto"/>
              </w:rPr>
              <w:t>interests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94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20"/>
                <w:szCs w:val="20"/>
                <w:color w:val="auto"/>
              </w:rPr>
            </w:pPr>
            <w:r>
              <w:rPr>
                <w:rFonts w:ascii="Arial" w:cs="Arial" w:eastAsia="Arial" w:hAnsi="Arial"/>
                <w:sz w:val="11"/>
                <w:szCs w:val="11"/>
                <w:color w:val="auto"/>
              </w:rPr>
              <w:t>units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(3,267)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(3,267)</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1"/>
                <w:szCs w:val="11"/>
                <w:b w:val="1"/>
                <w:bCs w:val="1"/>
                <w:color w:val="auto"/>
              </w:rPr>
              <w:t>Balance at December 31, 2022</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6,666</w:t>
            </w:r>
          </w:p>
        </w:tc>
        <w:tc>
          <w:tcPr>
            <w:tcW w:w="10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2,579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(97.6)</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(9,848)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(703)</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(700)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1,632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1,632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1,635</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1,632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1,637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1,640</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20"/>
                <w:szCs w:val="20"/>
                <w:color w:val="auto"/>
              </w:rPr>
            </w:pPr>
            <w:r>
              <w:rPr>
                <w:rFonts w:ascii="Arial" w:cs="Arial" w:eastAsia="Arial" w:hAnsi="Arial"/>
                <w:sz w:val="11"/>
                <w:szCs w:val="11"/>
                <w:color w:val="auto"/>
              </w:rPr>
              <w:t>units</w:t>
            </w: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40" w:type="dxa"/>
            <w:vAlign w:val="bottom"/>
          </w:tcPr>
          <w:p>
            <w:pPr>
              <w:spacing w:after="0"/>
              <w:rPr>
                <w:sz w:val="20"/>
                <w:szCs w:val="20"/>
                <w:color w:val="auto"/>
              </w:rPr>
            </w:pPr>
            <w:r>
              <w:rPr>
                <w:rFonts w:ascii="Arial" w:cs="Arial" w:eastAsia="Arial" w:hAnsi="Arial"/>
                <w:sz w:val="11"/>
                <w:szCs w:val="11"/>
                <w:color w:val="auto"/>
              </w:rPr>
              <w:t>Repurchases of common stock</w:t>
            </w:r>
            <w:r>
              <w:rPr>
                <w:rFonts w:ascii="Arial" w:cs="Arial" w:eastAsia="Arial" w:hAnsi="Arial"/>
                <w:sz w:val="14"/>
                <w:szCs w:val="14"/>
                <w:color w:val="auto"/>
                <w:vertAlign w:val="superscript"/>
              </w:rPr>
              <w:t>(a)</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(897)</w:t>
            </w:r>
          </w:p>
        </w:tc>
        <w:tc>
          <w:tcPr>
            <w:tcW w:w="0" w:type="dxa"/>
            <w:vAlign w:val="bottom"/>
          </w:tcPr>
          <w:p>
            <w:pPr>
              <w:spacing w:after="0"/>
              <w:rPr>
                <w:sz w:val="1"/>
                <w:szCs w:val="1"/>
                <w:color w:val="auto"/>
              </w:rPr>
            </w:pPr>
          </w:p>
        </w:tc>
      </w:tr>
      <w:tr>
        <w:trPr>
          <w:trHeight w:val="155"/>
        </w:trPr>
        <w:tc>
          <w:tcPr>
            <w:tcW w:w="1940" w:type="dxa"/>
            <w:vAlign w:val="bottom"/>
          </w:tcPr>
          <w:p>
            <w:pPr>
              <w:spacing w:after="0"/>
              <w:rPr>
                <w:sz w:val="20"/>
                <w:szCs w:val="20"/>
                <w:color w:val="auto"/>
              </w:rPr>
            </w:pPr>
            <w:r>
              <w:rPr>
                <w:rFonts w:ascii="Arial" w:cs="Arial" w:eastAsia="Arial" w:hAnsi="Arial"/>
                <w:sz w:val="11"/>
                <w:szCs w:val="11"/>
                <w:color w:val="auto"/>
              </w:rPr>
              <w:t>Dividends paid ($10.00 per share)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(355)</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20"/>
                <w:szCs w:val="20"/>
                <w:color w:val="auto"/>
              </w:rPr>
            </w:pPr>
            <w:r>
              <w:rPr>
                <w:rFonts w:ascii="Arial" w:cs="Arial" w:eastAsia="Arial" w:hAnsi="Arial"/>
                <w:sz w:val="11"/>
                <w:szCs w:val="11"/>
                <w:b w:val="1"/>
                <w:bCs w:val="1"/>
                <w:color w:val="auto"/>
              </w:rPr>
              <w:t>Balance at December 31, 2023</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6,634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3,854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(10,742)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(343)</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06"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13"/>
          <w:szCs w:val="13"/>
          <w:color w:val="auto"/>
          <w:vertAlign w:val="superscript"/>
        </w:rPr>
      </w:pPr>
      <w:r>
        <w:rPr>
          <w:rFonts w:ascii="Arial" w:cs="Arial" w:eastAsia="Arial" w:hAnsi="Arial"/>
          <w:sz w:val="10"/>
          <w:szCs w:val="10"/>
          <w:color w:val="auto"/>
        </w:rPr>
        <w:t>Amount includes excise taxes due under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07" w:lineRule="exact"/>
        <w:rPr>
          <w:sz w:val="20"/>
          <w:szCs w:val="20"/>
          <w:color w:val="auto"/>
        </w:rPr>
      </w:pPr>
    </w:p>
    <w:p>
      <w:pPr>
        <w:ind w:left="400" w:hanging="342"/>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“we”, “our”, “us”, or the “Company”).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300" w:hanging="482"/>
        <w:spacing w:after="0" w:line="268"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Americas - </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197" w:lineRule="exact"/>
        <w:rPr>
          <w:rFonts w:ascii="Arial" w:cs="Arial" w:eastAsia="Arial" w:hAnsi="Arial"/>
          <w:sz w:val="18"/>
          <w:szCs w:val="18"/>
          <w:color w:val="auto"/>
        </w:rPr>
      </w:pPr>
    </w:p>
    <w:p>
      <w:pPr>
        <w:ind w:left="1300" w:hanging="482"/>
        <w:spacing w:after="0" w:line="28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 </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have completed the business acquisitions discussed in Note 6 – Acquisitions to these Consolidated Financial Statements. The operating results of the acquired businesses are included in the accompanying Consolidated Financial Statements from the dates of acquisition.</w:t>
      </w:r>
    </w:p>
    <w:p>
      <w:pPr>
        <w:spacing w:after="0" w:line="11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ind w:left="500" w:right="7060" w:hanging="442"/>
        <w:spacing w:after="0" w:line="438" w:lineRule="auto"/>
        <w:tabs>
          <w:tab w:leader="none" w:pos="41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and include the accounts of our Company and all entities in which we have a direct or indirect controlling financial interest and variable interest entities for which we have determined we are the primary beneficiary.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 Intercompany transactions have been eliminated in consolidation.</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derive revenues primarily by providing vehicle rentals and other related products and mobility services to commercial and leisure customers, as well as through licensing of our rental brands.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roadside safety net, electronic toll collection,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access to satellite radio, mobile WiFi devices, GPS navigation, child safety seat rentals, and rentals of other supplemental items including automobile towing equipment and other moving accessories and supplies. We also receive payment from customers for certain operating expenses that we incur, including airport concession fees that are paid by us in exchange for the right to operate at airports and other locations, as well as vehicle licensing fees. In addition, we collect membership fees in connection with our car sharing business.</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combine all lease and non-lease components of our vehicle rental contracts for which the timing and pattern of transfer are the same and the lease component meets the classification of an operating lease. Vehicle rentals and other related products and mobility services are recognized evenly over the period of rental, which is on average approximately five days. (See Note 3 – Leases).</w:t>
      </w:r>
    </w:p>
    <w:p>
      <w:pPr>
        <w:spacing w:after="0" w:line="19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Licensing revenues principally consist of royalties paid by our licensees and are recorded as the licensees’ revenues are earned (over the rental period). We renew license agreements in the normal course of business and occasionally terminate, purchase or sell license agreements. In connection with ongoing fees that we receive from our licensees pursuant to license agreements, we are required to provide certain services, such as training, marketing and the operation of reservation systems.</w:t>
      </w:r>
    </w:p>
    <w:p>
      <w:pPr>
        <w:spacing w:after="0" w:line="203"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exclude from the measurement of our transaction price any tax assessed by a governmental authority that is both imposed on and concurrent with a specific revenue-producing transaction and collected from a customer. As a result, revenue is recorded net of such taxes collected. Revenues and expenses associated with fuel, airport concessions and vehicle licensing are recorded on a gross basis within revenues and operating expenses. Membership fees related to our car sharing business are generally nonrefundable, are deferred and recognized ratably over the period of membership.</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Revenues are recognized under Leases (Topic 842) with the exception of royalty fee revenue derived from our licensees and revenue related to our customer loyalty program, which were approximately $187 million, $165 million, and $127 million for the years ended December 31, 2023, 2022 and 2021, respectively.</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10"/>
          </w:tcPr>
          <w:p>
            <w:pPr>
              <w:jc w:val="center"/>
              <w:ind w:left="750"/>
              <w:spacing w:after="0"/>
              <w:rPr>
                <w:sz w:val="20"/>
                <w:szCs w:val="20"/>
                <w:color w:val="auto"/>
              </w:rPr>
            </w:pPr>
            <w:r>
              <w:rPr>
                <w:rFonts w:ascii="Arial" w:cs="Arial" w:eastAsia="Arial" w:hAnsi="Arial"/>
                <w:sz w:val="18"/>
                <w:szCs w:val="18"/>
                <w:b w:val="1"/>
                <w:bCs w:val="1"/>
                <w:color w:val="auto"/>
                <w:w w:val="99"/>
              </w:rPr>
              <w:t>Year Ended December 31,</w:t>
            </w:r>
          </w:p>
        </w:tc>
        <w:tc>
          <w:tcPr>
            <w:tcW w:w="1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Americas</w:t>
            </w: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vMerge w:val="continue"/>
          </w:tcPr>
          <w:p>
            <w:pPr>
              <w:spacing w:after="0"/>
              <w:rPr>
                <w:sz w:val="18"/>
                <w:szCs w:val="18"/>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9,347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9,474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6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540" w:type="dxa"/>
            <w:vAlign w:val="bottom"/>
            <w:gridSpan w:val="3"/>
          </w:tcPr>
          <w:p>
            <w:pPr>
              <w:spacing w:after="0"/>
              <w:rPr>
                <w:sz w:val="20"/>
                <w:szCs w:val="20"/>
                <w:color w:val="auto"/>
              </w:rPr>
            </w:pPr>
            <w:r>
              <w:rPr>
                <w:rFonts w:ascii="Arial" w:cs="Arial" w:eastAsia="Arial" w:hAnsi="Arial"/>
                <w:sz w:val="18"/>
                <w:szCs w:val="18"/>
                <w:color w:val="auto"/>
              </w:rPr>
              <w:t>The following table presents our revenues disaggregated by brand:</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Avis</w:t>
            </w: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Budget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We record deferred revenues when cash payments are received in advance of satisfying our performance obligations, including amounts that are refundable. In addition, certain customers earn loyalty points on rentals, for which we defer a portion of our rental revenues generally equivalent to the estimated retail value of points expected to be redeemed. We estimate points that will never be redeemed based upon actual redemption and expiration patterns. Currently, loyalty points expire after 12 months of member inactivity. Future changes to expiration assumptions or expiration policy, or to program rules, may result in changes to deferred revenue as well as recognized revenues from the program.</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deferred revenue associated with our customer loyalty program:</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68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vMerge w:val="restart"/>
          </w:tcPr>
          <w:p>
            <w:pPr>
              <w:spacing w:after="0"/>
              <w:rPr>
                <w:sz w:val="20"/>
                <w:szCs w:val="20"/>
                <w:color w:val="auto"/>
              </w:rPr>
            </w:pPr>
            <w:r>
              <w:rPr>
                <w:rFonts w:ascii="Arial" w:cs="Arial" w:eastAsia="Arial" w:hAnsi="Arial"/>
                <w:sz w:val="18"/>
                <w:szCs w:val="18"/>
                <w:color w:val="auto"/>
              </w:rPr>
              <w:t>Balance, January 1</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80" w:type="dxa"/>
            <w:vAlign w:val="bottom"/>
            <w:vMerge w:val="continue"/>
          </w:tcPr>
          <w:p>
            <w:pPr>
              <w:spacing w:after="0"/>
              <w:rPr>
                <w:sz w:val="18"/>
                <w:szCs w:val="18"/>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18"/>
                <w:szCs w:val="18"/>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Arial" w:cs="Arial" w:eastAsia="Arial" w:hAnsi="Arial"/>
                <w:sz w:val="18"/>
                <w:szCs w:val="18"/>
                <w:color w:val="auto"/>
              </w:rPr>
              <w:t>Revenue deferred</w:t>
            </w:r>
          </w:p>
        </w:tc>
        <w:tc>
          <w:tcPr>
            <w:tcW w:w="1140" w:type="dxa"/>
            <w:vAlign w:val="bottom"/>
          </w:tcPr>
          <w:p>
            <w:pPr>
              <w:spacing w:after="0"/>
              <w:rPr>
                <w:sz w:val="19"/>
                <w:szCs w:val="19"/>
                <w:color w:val="auto"/>
              </w:rPr>
            </w:pPr>
          </w:p>
        </w:tc>
        <w:tc>
          <w:tcPr>
            <w:tcW w:w="480" w:type="dxa"/>
            <w:vAlign w:val="bottom"/>
          </w:tcPr>
          <w:p>
            <w:pPr>
              <w:jc w:val="center"/>
              <w:ind w:left="30"/>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jc w:val="center"/>
              <w:ind w:left="3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35"/>
        </w:trPr>
        <w:tc>
          <w:tcPr>
            <w:tcW w:w="6880" w:type="dxa"/>
            <w:vAlign w:val="bottom"/>
          </w:tcPr>
          <w:p>
            <w:pPr>
              <w:ind w:left="200"/>
              <w:spacing w:after="0"/>
              <w:rPr>
                <w:sz w:val="20"/>
                <w:szCs w:val="20"/>
                <w:color w:val="auto"/>
              </w:rPr>
            </w:pPr>
            <w:r>
              <w:rPr>
                <w:rFonts w:ascii="Arial" w:cs="Arial" w:eastAsia="Arial" w:hAnsi="Arial"/>
                <w:sz w:val="18"/>
                <w:szCs w:val="18"/>
                <w:color w:val="auto"/>
              </w:rPr>
              <w:t>Revenue recognized</w:t>
            </w:r>
          </w:p>
        </w:tc>
        <w:tc>
          <w:tcPr>
            <w:tcW w:w="1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(52)</w:t>
            </w: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Balance, December 31</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67</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61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w:t>
      </w:r>
    </w:p>
    <w:p>
      <w:pPr>
        <w:spacing w:after="0" w:line="32" w:lineRule="exact"/>
        <w:rPr>
          <w:sz w:val="20"/>
          <w:szCs w:val="20"/>
          <w:color w:val="auto"/>
        </w:rPr>
      </w:pPr>
    </w:p>
    <w:p>
      <w:pPr>
        <w:jc w:val="both"/>
        <w:ind w:left="500" w:right="20"/>
        <w:spacing w:after="0" w:line="265" w:lineRule="auto"/>
        <w:rPr>
          <w:sz w:val="20"/>
          <w:szCs w:val="20"/>
          <w:color w:val="auto"/>
        </w:rPr>
      </w:pPr>
      <w:r>
        <w:rPr>
          <w:rFonts w:ascii="Arial" w:cs="Arial" w:eastAsia="Arial" w:hAnsi="Arial"/>
          <w:sz w:val="14"/>
          <w:szCs w:val="14"/>
          <w:color w:val="auto"/>
        </w:rPr>
        <w:t>At December 31, 2023 and 2022, $20 million and $15 million was included in accounts payable and other current liabilities, respectively, and $47 million and $46 million in other non-current liabilities, respectively. Non-current amounts are expected to be recognized as revenue within two to three years.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16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(See Note 16 – Stockholders' Equity). We have designated our euro-denominated Notes as a hedge of our investment in euro-denominated foreign operations and, accordingly, record the effective portion of gains or losses on this net investment hedge in accumulated other comprehensive income (loss) as part of currency translation adjustments.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and Cash Equivalents, Program Cash and Restricted Cash</w:t>
      </w:r>
    </w:p>
    <w:p>
      <w:pPr>
        <w:spacing w:after="0" w:line="169"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We consider highly liquid investments purchased with an original maturity of three months or less to be cash equivalents. Program cash primarily represents amounts specifically designated to purchase assets under vehicle programs and/or to repay the related debt, as such we consider it a restricted cash equivalent. The following table provides a detail of cash and cash equivalents, program and restricted cash reported within the Consolidated Balance Sheets to the amounts shown in the Consolidated Statements of Cash Flows:</w:t>
      </w:r>
    </w:p>
    <w:p>
      <w:pPr>
        <w:spacing w:after="0" w:line="38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6860" w:type="dxa"/>
            <w:vAlign w:val="bottom"/>
          </w:tcPr>
          <w:p>
            <w:pPr>
              <w:spacing w:after="0"/>
              <w:rPr>
                <w:sz w:val="20"/>
                <w:szCs w:val="20"/>
                <w:color w:val="auto"/>
              </w:rPr>
            </w:pPr>
          </w:p>
        </w:tc>
        <w:tc>
          <w:tcPr>
            <w:tcW w:w="28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860" w:type="dxa"/>
            <w:vAlign w:val="bottom"/>
            <w:vMerge w:val="continue"/>
          </w:tcPr>
          <w:p>
            <w:pPr>
              <w:spacing w:after="0"/>
              <w:rPr>
                <w:sz w:val="18"/>
                <w:szCs w:val="18"/>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Program cash</w:t>
            </w:r>
          </w:p>
        </w:tc>
        <w:tc>
          <w:tcPr>
            <w:tcW w:w="1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5"/>
        </w:trPr>
        <w:tc>
          <w:tcPr>
            <w:tcW w:w="686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0"/>
                <w:szCs w:val="10"/>
                <w:color w:val="auto"/>
              </w:rPr>
              <w:t>(a)</w:t>
            </w:r>
          </w:p>
        </w:tc>
        <w:tc>
          <w:tcPr>
            <w:tcW w:w="1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spacing w:after="0" w:line="24" w:lineRule="exact"/>
        <w:rPr>
          <w:sz w:val="20"/>
          <w:szCs w:val="20"/>
          <w:color w:val="auto"/>
        </w:rPr>
      </w:pPr>
    </w:p>
    <w:p>
      <w:pPr>
        <w:ind w:left="820" w:hanging="326"/>
        <w:spacing w:after="0"/>
        <w:tabs>
          <w:tab w:leader="none" w:pos="820" w:val="left"/>
        </w:tabs>
        <w:numPr>
          <w:ilvl w:val="0"/>
          <w:numId w:val="27"/>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(including leasehold improvements) are stated at cost, net of accumulated depreciation and amortization.</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(non-vehicle related) is computed utilizing the straight-line method over the estimated useful lives of the related assets.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Leasehold improvements are amortized over the shorter of the term of the lease or the estimated useful lives of the improvements.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Useful lives are as follows: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Buildings</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Furniture, fixtures &amp; equipment</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Capitalized software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Buses and support vehicles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30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 to 10 years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 to 15 years</w:t>
      </w:r>
    </w:p>
    <w:p>
      <w:pPr>
        <w:spacing w:after="0" w:line="211" w:lineRule="exact"/>
        <w:rPr>
          <w:sz w:val="20"/>
          <w:szCs w:val="20"/>
          <w:color w:val="auto"/>
        </w:rPr>
      </w:pPr>
    </w:p>
    <w:p>
      <w:pPr>
        <w:sectPr>
          <w:pgSz w:w="11900" w:h="16838" w:orient="portrait"/>
          <w:cols w:equalWidth="0" w:num="2">
            <w:col w:w="5100" w:space="720"/>
            <w:col w:w="5420"/>
          </w:cols>
          <w:pgMar w:left="320" w:top="122" w:right="339" w:bottom="1440" w:gutter="0" w:footer="0" w:header="0"/>
          <w:type w:val="continuous"/>
        </w:sectPr>
      </w:pP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capitalize the costs of software developed for internal use when the preliminary project stage is completed and management</w:t>
      </w:r>
    </w:p>
    <w:p>
      <w:pPr>
        <w:spacing w:after="0" w:line="27" w:lineRule="exact"/>
        <w:rPr>
          <w:sz w:val="20"/>
          <w:szCs w:val="20"/>
          <w:color w:val="auto"/>
        </w:rPr>
      </w:pPr>
    </w:p>
    <w:p>
      <w:pPr>
        <w:jc w:val="both"/>
        <w:ind w:left="500" w:hanging="6"/>
        <w:spacing w:after="0" w:line="255" w:lineRule="auto"/>
        <w:tabs>
          <w:tab w:leader="none" w:pos="7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was $143 million and $174 million as of December 31, 2023 and 2022, respectively.</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Goodwill represents the excess, if any, of the fair value of the consideration transferred by the acquirer and the fair value of any non-controlling interest remaining in the acquiree, if any, over the fair values of the identifiable net assets acquired. We do not amortize goodwill, but assess it for impairment at least annually and whenever events or changes in circumstances indicate that the carrying amounts of their respective reporting units exceed their fair values. We perform our annual impairment assessment in the fourth quarter of each year at the reporting unit level. We assess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spacing w:after="0" w:line="21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are required to assess long-lived assets for impairment whenever circumstances indicate impairment may have occurred. This analysis is performed by comparing the respective carrying values of the assets to the undiscounted expected future cash flows to be generated from such assets. Property and equipment is evaluated separately at the lowest level of identifiable cash flows. If such analysis indicates that the carrying value of these assets is not recoverable, the carrying value of such assets is reduced to fair value.</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Vehicles</w:t>
      </w:r>
    </w:p>
    <w:p>
      <w:pPr>
        <w:spacing w:after="0" w:line="16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Vehicles are stated at cost, net of accumulated depreciation. The initial cost of the vehicles is recorded net of incentives and allowances from manufacturers. We acquire a portion of our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We depreciate vehicles such that the net book value on the date of return to the manufacturers is intended to equal the contractual guaranteed residual values, thereby minimizing any gain or loss.</w:t>
      </w:r>
    </w:p>
    <w:p>
      <w:pPr>
        <w:spacing w:after="0" w:line="12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spacing w:after="0" w:line="117"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estimation of residual values requires us to make assumptions regarding the age and mileage of the car at the time of disposal, as well as expected used vehicle auction market conditions. We regularly evaluate estimated residual values and adjust depreciation rates as appropriate. Differences between actual residual values and those estimated result in a gain or loss on disposal and are recorded as part of</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vehicle depreciation at the time of sale. Vehicle-related interest expense amounts are net of vehicle-related interest income of $34 million, $1 million, and $1 million for 2023, 2022 and 2021, respectively.</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Advertising and digital marketing costs are generally expensed in the period incurred and are recorded within selling, general and administrative expenses in our Consolidated Statements of Operations. During 2023, 2022 and 2021, advertising costs were approximately $86 million, $64 million, and $81 million, respectively. In addition, during 2023, 2022 and 2021, digital marketing costs were approximately $86 million, $71 million, and $44 million, respectively.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Taxes</w:t>
      </w:r>
    </w:p>
    <w:p>
      <w:pPr>
        <w:spacing w:after="0" w:line="16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As a result of the provisions of the Tax Cuts and Jobs Act, we account for Global Intangible Low-Taxed Income (“GILTI”) as a component of current period income tax expense in the year incurred.</w:t>
      </w:r>
    </w:p>
    <w:p>
      <w:pPr>
        <w:spacing w:after="0" w:line="1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record net deferred tax assets to the extent we believe that it is more likely than not that these assets will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measure the fair value of assets and liabilities and discloses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spacing w:after="0" w:line="122"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fair value of our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we have determined that its carrying value approximates the fair value of this debt (Level 2 inputs). The carrying amounts of cash and cash equivalents, available-for-sale securities, accounts receivable, program cash and accounts payable and accrued liabilities approximate fair value due to the short-term maturities of these assets and liabilities.</w:t>
      </w:r>
    </w:p>
    <w:p>
      <w:pPr>
        <w:spacing w:after="0" w:line="131"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Our derivative assets and liabilities consist principally of currency exchange contracts, interest rate swaps, interest rate caps and commodity contracts, and are carried at fair value based on significant observable inputs (Level 2 inputs). Derivatives entered into by us are typically executed over-the-counter and are valued using internal valuation techniques, as no quoted market prices exist for such instruments. The valuation technique and inputs depend on the type of derivative and the nature of the underlying exposure. We principally use discounted cash flows to value these instruments. These models take into account a variety of factors including, where applicable, maturity, currency exchange rates, our interest rate yield curves and counterparties, credit curves, counterparty creditworthiness and commodity prices. These factors are applied on a consistent basis and are based upon observable inputs where available.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Derivative instruments are used as part of our overall strategy to manage exposure to market risks associated with fluctuations in currency exchange rates, interest rates and fuel costs. As a matter of policy, derivatives are not used for trading or speculative purposes.</w:t>
      </w:r>
    </w:p>
    <w:p>
      <w:pPr>
        <w:spacing w:after="0" w:line="11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All derivatives are recorded at fair value either as assets or liabilities. Changes in fair value of derivatives not designated as hedging instruments are recognized currently in earnings within the same line item as the hedged item. The changes in fair value of a derivative that is designated as either a cash flow or net investment hedge is recorded as a component of accumulated other comprehensive income (loss) and reclassified into earnings in the same period or periods during which the hedged transaction affects earnings and is presented in the same income statement line item as the earnings effect of the hedged item. Amounts related to our derivative instruments are recognized in the Consolidated Statements of Cash Flows consistent with the nature of the hedged item (principally operating activities).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Currency Transactions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Currency gains and losses resulting from foreign currency transactions are generally included in operating expenses within the Consolidated Statements of Operations; however, the net gain or loss of currency transactions on intercompany loans and the unrealized gain or loss on intercompany loan hedges are included within interest expense related to corporate debt, net.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6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Consolidated Balance Sheets include $397 million and $391 million of liabilities associated with retained risks of liability to third parties as of December 31, 2023 and 2022,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These amounts are included within accounts payable and other current liabilities and other non-current liabilities.</w:t>
      </w:r>
    </w:p>
    <w:p>
      <w:pPr>
        <w:spacing w:after="0" w:line="12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Consolidated Balance Sheets also include liabilities of approximately $ 49 million and $ 53 million as of December 31, 2023 and 2022,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 These amounts are included within accounts payable and other current liabilities and other non-current liabilities.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expense on a straight-line basis over the vesting period. Our policy is to record compensation expense for stock options, and restricted stock units that are time- and performance-based, for the portion of the award that vests. Compensation expense related to market-based restricted stock units is recognized provided that the requisite service is rendered, regardless of when, if ever, the market condition is satisfied. We estimate the fair value of restricted stock units using the market price of our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our publicly traded, near-the-money stock options, and the valuation period is based on the vesting period of the awards. The risk-free interest rate is derived from the U.S. Treasury yield curve in effect at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time of grant and, since we do not currently pay or plan to pay a recurring dividend on our common stock, the expected dividend yield was zero.</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We use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w:t>
      </w:r>
    </w:p>
    <w:p>
      <w:pPr>
        <w:spacing w:after="0" w:line="131"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Transaction-related Costs, net</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Transaction-related costs, net are classified separately in the Consolidated Statements of Operations. These costs are comprised of expenses primarily related to acquisition-related activities such as due-diligence and other advisory costs, expenses related to the integration of the acquiree’s operations with our comparable expenses, including the implementation of best practices and process improvements, non-cash gains and losses related to re-acquired rights, expenses related to pre-acquisition contingencies and contingent consideration related to acquisitions.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Investments</w:t>
      </w:r>
    </w:p>
    <w:p>
      <w:pPr>
        <w:spacing w:after="0" w:line="169"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account for investments for which we have the ability to exercise significant influence, but do not have a controlling interest, using the equity method of accounting and record our proportional share of net income or loss within operating expenses in the Consolidated Statements of Operations. We assess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2023 and 2022, we had investments with a carrying value of $93 million and $77 million, respectively, recorded within other non-current assets on the Consolidated Balance Sheets.</w:t>
      </w:r>
    </w:p>
    <w:p>
      <w:pPr>
        <w:spacing w:after="0" w:line="12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Aggregate realized gains and losses on equity investments and dividend income are recorded within operating expenses on the Consolidated Statements of Operations. During 2023, 2022 and 2021, the amounts realized from the sale of equity investments and dividend income was $12 million, $12 million, and $10 million, respectively. See Note 17 – Related Party Transactions for our equity method investment in our former subsidiary.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Divestitures</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classify long-lived assets and liabilities to be disposed of as held for sale in the period in which they are available for immediate sale in their present condition and the sale is probable and expected to be completed within one year. We initially measure assets and liabilities held for sale at the lower of their carrying value or fair value less costs to sell, and we reassess their fair value each reporting period until disposed. When the divestiture represents a strategic shift that has, or will have, a major effect on our operations and financial results, the disposal is presented as a discontinued operation.</w:t>
      </w:r>
    </w:p>
    <w:p>
      <w:pPr>
        <w:spacing w:after="0" w:line="125"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February 2022, we completed the sale of our operations in the United States Virgin Islands for $13 million, for the right to operate the Avis brand. During the year ended December 31, 2022, we recorded a gain of $2 million within restructuring and other related charges.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December 2021, we entered into a stock purchase agreement with Spuigroep B.V. to sell our operations in the Netherlands. In March 2022, we completed the sale of our operations in the Netherlands for $15 million, subject to working capital adjustments, for the right to operate the Avis and Budget brands. During the year ended December 31, 2022, we recorded a loss of $7 million, net of impact of foreign currency adjustments, within restructuring and other related charges. The Netherlands operations are reported within our International reporting segment.</w:t>
      </w:r>
    </w:p>
    <w:p>
      <w:pPr>
        <w:spacing w:after="0" w:line="125"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In May 2021, we completed the sale of our operation in Argentina to Urbiz S.A. for $4 million. As part of the sale, Urbiz S.A. agreed to pay the purchase price, plus interest, over two years for the right to operate the Avis and Budget brands. During the year ended December 31, 2021, we recorded a loss of $14 million, net of the impact of foreign currency adjustments, within restructuring and other related charges. In addition, we paid severance to terminated employees of $2 million.</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Variable Interest Entity (“VIE”)</w:t>
      </w:r>
    </w:p>
    <w:p>
      <w:pPr>
        <w:spacing w:after="0" w:line="16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 xml:space="preserve">We review our investments to determine if they are VIEs. </w:t>
      </w:r>
      <w:r>
        <w:rPr>
          <w:rFonts w:ascii="Arial" w:cs="Arial" w:eastAsia="Arial" w:hAnsi="Arial"/>
          <w:sz w:val="18"/>
          <w:szCs w:val="18"/>
          <w:color w:val="212529"/>
        </w:rPr>
        <w:t>A VIE is an entity in which either (i) the equity investors as a group lack the</w:t>
      </w:r>
      <w:r>
        <w:rPr>
          <w:rFonts w:ascii="Arial" w:cs="Arial" w:eastAsia="Arial" w:hAnsi="Arial"/>
          <w:sz w:val="18"/>
          <w:szCs w:val="18"/>
          <w:color w:val="auto"/>
        </w:rPr>
        <w:t xml:space="preserve"> </w:t>
      </w:r>
      <w:r>
        <w:rPr>
          <w:rFonts w:ascii="Arial" w:cs="Arial" w:eastAsia="Arial" w:hAnsi="Arial"/>
          <w:sz w:val="18"/>
          <w:szCs w:val="18"/>
          <w:color w:val="212529"/>
        </w:rPr>
        <w:t xml:space="preserve">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 The primary beneficiary</w:t>
      </w:r>
      <w:r>
        <w:rPr>
          <w:rFonts w:ascii="Arial" w:cs="Arial" w:eastAsia="Arial" w:hAnsi="Arial"/>
          <w:sz w:val="18"/>
          <w:szCs w:val="18"/>
          <w:color w:val="212529"/>
        </w:rPr>
        <w:t xml:space="preserve"> </w:t>
      </w:r>
      <w:r>
        <w:rPr>
          <w:rFonts w:ascii="Arial" w:cs="Arial" w:eastAsia="Arial" w:hAnsi="Arial"/>
          <w:sz w:val="18"/>
          <w:szCs w:val="18"/>
          <w:color w:val="000000"/>
        </w:rPr>
        <w:t>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17 – Related Party Transactions for our VIE investment in our former subsidiary.</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We apply the measurement alternative, which allows these investments to be recorded at cost, less impairment, if any, and subsequently adjust for observable price changes of identical or similar investments of the same issuer. Any changes in value are recorded within operating expenses. As of December 31, 2023 and 2022, our nonmarketable equity securities within non-current assets on our Consolidated Balance sheets were not material and no material adjustments were made to the carrying values of these securities during the years ended December 31, 2023, 2022 or 2021.</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December 2023, the FASB issued ASU 2023-09, “Improvements to Income Tax Disclosures,” which amends Topic 740 primarily through enhanced disclosures about an entity’s tax risks and tax planning. The amendments are effective for public business entities in annual periods beginning after December 15, 2024, with early adoption permitted on a prospective or retrospective basis. ASU 2023-09 will become effective for us on January 1, 2025. We are currently evaluating the impact of the adoption of this accounting pronouncement on our Consolidated Financial Statements.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Improvements to Reportable Segment Disclosures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November 2023, the FASB issued ASU 2023-07, “Improvements to Reportable Segment Disclosures,” which amends Topic 280 primarily through enhanced disclosures about significant segment expenses. The amendments are effective for fiscal years beginning after December 15, 2023 and interim periods within fiscal years beginning after December 15, 2024, with early adoption permitted. ASU 2023-07 became effective for us on January 1, 2024. We are currently evaluating the impact of the adoption of this accounting pronouncement on our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Contract Assets and Contract Liabilities from Contracts with Customers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October 2021, the FASB issued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became effective for us on January 1, 2023. The adoption of this accounting pronouncement did not have a material impact on our Consolidated Financial Statements.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Reference Rate Reform</w:t>
      </w:r>
    </w:p>
    <w:p>
      <w:pPr>
        <w:spacing w:after="0" w:line="25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In December 2022, the FASB also issued ASU 2022-06, “Reference Rate Reform (Topic 848): Deferral of the Sunset Date of Topic 848,” to defer the sunset date of ASC 848 from December 31, 2022 to December 31, 2024. As of December 31, 2023, this guidance had no impact on our Consolidated Financial Statements and we will continue to evaluate this guidance.</w:t>
      </w:r>
    </w:p>
    <w:p>
      <w:pPr>
        <w:spacing w:after="0" w:line="200" w:lineRule="exact"/>
        <w:rPr>
          <w:sz w:val="20"/>
          <w:szCs w:val="20"/>
          <w:color w:val="auto"/>
        </w:rPr>
      </w:pPr>
    </w:p>
    <w:p>
      <w:pPr>
        <w:spacing w:after="0" w:line="252" w:lineRule="exact"/>
        <w:rPr>
          <w:sz w:val="20"/>
          <w:szCs w:val="20"/>
          <w:color w:val="auto"/>
        </w:rPr>
      </w:pPr>
    </w:p>
    <w:p>
      <w:pPr>
        <w:jc w:val="right"/>
        <w:ind w:left="500" w:right="10200" w:hanging="442"/>
        <w:spacing w:after="0" w:line="563" w:lineRule="auto"/>
        <w:tabs>
          <w:tab w:leader="none" w:pos="414"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i w:val="1"/>
          <w:iCs w:val="1"/>
          <w:color w:val="auto"/>
        </w:rPr>
        <w:t>Lessor</w:t>
      </w: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our lease revenues disaggregated by geography:</w:t>
      </w:r>
    </w:p>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9"/>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Americas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480" w:type="dxa"/>
            <w:vAlign w:val="bottom"/>
            <w:vMerge w:val="continue"/>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9,261</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9,401</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35"/>
        </w:trPr>
        <w:tc>
          <w:tcPr>
            <w:tcW w:w="5480" w:type="dxa"/>
            <w:vAlign w:val="bottom"/>
          </w:tcPr>
          <w:p>
            <w:pPr>
              <w:ind w:left="20"/>
              <w:spacing w:after="0"/>
              <w:rPr>
                <w:sz w:val="20"/>
                <w:szCs w:val="20"/>
                <w:color w:val="auto"/>
              </w:rPr>
            </w:pPr>
            <w:r>
              <w:rPr>
                <w:rFonts w:ascii="Arial" w:cs="Arial" w:eastAsia="Arial" w:hAnsi="Arial"/>
                <w:sz w:val="18"/>
                <w:szCs w:val="18"/>
                <w:color w:val="auto"/>
              </w:rPr>
              <w:t>Asia and Australasia</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5920" w:type="dxa"/>
            <w:vAlign w:val="bottom"/>
            <w:gridSpan w:val="2"/>
          </w:tcPr>
          <w:p>
            <w:pPr>
              <w:spacing w:after="0"/>
              <w:rPr>
                <w:sz w:val="20"/>
                <w:szCs w:val="20"/>
                <w:color w:val="auto"/>
              </w:rPr>
            </w:pPr>
            <w:r>
              <w:rPr>
                <w:rFonts w:ascii="Arial" w:cs="Arial" w:eastAsia="Arial" w:hAnsi="Arial"/>
                <w:sz w:val="18"/>
                <w:szCs w:val="18"/>
                <w:color w:val="auto"/>
              </w:rPr>
              <w:t>The following table presents our lease revenues disaggregated by brand:</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9"/>
              </w:rPr>
              <w:t>Year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Avis</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480" w:type="dxa"/>
            <w:vAlign w:val="bottom"/>
            <w:vMerge w:val="continue"/>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6,660</w:t>
            </w:r>
          </w:p>
        </w:tc>
        <w:tc>
          <w:tcPr>
            <w:tcW w:w="8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Budget</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35"/>
        </w:trPr>
        <w:tc>
          <w:tcPr>
            <w:tcW w:w="5480" w:type="dxa"/>
            <w:vAlign w:val="bottom"/>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lease revenues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Lessee</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ROU assets and operating lease liabilities and are recorded as variable lease expense as incurred. Our operating leases for rental locations often also require us to pay or reimburse operating expenses.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lease a portion of our vehicles under operating leases. As of December 31, 2023 and 2022, we have guaranteed up to $ 52 million and $65 million, respectively, of residual values for these vehicles at the end of their respective lease terms. We believe that, based on current market conditions, the net proceeds from the sale of these vehicles at the end of their lease terms will equal or exceed their net book values and therefore have not recorded a liability related to guaranteed residual values.</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548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Property leases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54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20"/>
              <w:spacing w:after="0"/>
              <w:rPr>
                <w:sz w:val="20"/>
                <w:szCs w:val="20"/>
                <w:color w:val="auto"/>
              </w:rPr>
            </w:pPr>
            <w:r>
              <w:rPr>
                <w:rFonts w:ascii="Arial" w:cs="Arial" w:eastAsia="Arial" w:hAnsi="Arial"/>
                <w:sz w:val="18"/>
                <w:szCs w:val="18"/>
                <w:color w:val="auto"/>
              </w:rPr>
              <w:t>Operating lease expense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5480" w:type="dxa"/>
            <w:vAlign w:val="bottom"/>
          </w:tcPr>
          <w:p>
            <w:pPr>
              <w:ind w:left="220"/>
              <w:spacing w:after="0"/>
              <w:rPr>
                <w:sz w:val="20"/>
                <w:szCs w:val="20"/>
                <w:color w:val="auto"/>
              </w:rPr>
            </w:pPr>
            <w:r>
              <w:rPr>
                <w:rFonts w:ascii="Arial" w:cs="Arial" w:eastAsia="Arial" w:hAnsi="Arial"/>
                <w:sz w:val="18"/>
                <w:szCs w:val="18"/>
                <w:color w:val="auto"/>
              </w:rPr>
              <w:t>Variable lease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5"/>
        </w:trPr>
        <w:tc>
          <w:tcPr>
            <w:tcW w:w="5480" w:type="dxa"/>
            <w:vAlign w:val="bottom"/>
          </w:tcPr>
          <w:p>
            <w:pPr>
              <w:ind w:left="220"/>
              <w:spacing w:after="0"/>
              <w:rPr>
                <w:sz w:val="20"/>
                <w:szCs w:val="20"/>
                <w:color w:val="auto"/>
              </w:rPr>
            </w:pPr>
            <w:r>
              <w:rPr>
                <w:rFonts w:ascii="Arial" w:cs="Arial" w:eastAsia="Arial" w:hAnsi="Arial"/>
                <w:sz w:val="18"/>
                <w:szCs w:val="18"/>
                <w:color w:val="auto"/>
              </w:rPr>
              <w:t>Sublease income</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line="223" w:lineRule="exact"/>
              <w:rPr>
                <w:sz w:val="20"/>
                <w:szCs w:val="20"/>
                <w:color w:val="auto"/>
              </w:rPr>
            </w:pPr>
            <w:r>
              <w:rPr>
                <w:rFonts w:ascii="Arial" w:cs="Arial" w:eastAsia="Arial" w:hAnsi="Arial"/>
                <w:sz w:val="18"/>
                <w:szCs w:val="18"/>
                <w:b w:val="1"/>
                <w:bCs w:val="1"/>
                <w:color w:val="auto"/>
              </w:rPr>
              <w:t xml:space="preserve">Total property lease expense </w:t>
            </w:r>
            <w:r>
              <w:rPr>
                <w:rFonts w:ascii="Arial" w:cs="Arial" w:eastAsia="Arial" w:hAnsi="Arial"/>
                <w:sz w:val="23"/>
                <w:szCs w:val="23"/>
                <w:b w:val="1"/>
                <w:bCs w:val="1"/>
                <w:color w:val="auto"/>
                <w:vertAlign w:val="superscript"/>
              </w:rPr>
              <w:t>(a)</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1,256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Vehicle leases</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5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480" w:type="dxa"/>
            <w:vAlign w:val="bottom"/>
          </w:tcPr>
          <w:p>
            <w:pPr>
              <w:ind w:left="220"/>
              <w:spacing w:after="0"/>
              <w:rPr>
                <w:sz w:val="20"/>
                <w:szCs w:val="20"/>
                <w:color w:val="auto"/>
              </w:rPr>
            </w:pPr>
            <w:r>
              <w:rPr>
                <w:rFonts w:ascii="Arial" w:cs="Arial" w:eastAsia="Arial" w:hAnsi="Arial"/>
                <w:sz w:val="18"/>
                <w:szCs w:val="18"/>
                <w:color w:val="auto"/>
              </w:rPr>
              <w:t>Finance lease expense: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440"/>
              <w:spacing w:after="0" w:line="230" w:lineRule="exact"/>
              <w:rPr>
                <w:sz w:val="20"/>
                <w:szCs w:val="20"/>
                <w:color w:val="auto"/>
              </w:rPr>
            </w:pPr>
            <w:r>
              <w:rPr>
                <w:rFonts w:ascii="Arial" w:cs="Arial" w:eastAsia="Arial" w:hAnsi="Arial"/>
                <w:sz w:val="18"/>
                <w:szCs w:val="18"/>
                <w:color w:val="auto"/>
              </w:rPr>
              <w:t xml:space="preserve">Amortization of ROU assets </w:t>
            </w:r>
            <w:r>
              <w:rPr>
                <w:rFonts w:ascii="Arial" w:cs="Arial" w:eastAsia="Arial" w:hAnsi="Arial"/>
                <w:sz w:val="23"/>
                <w:szCs w:val="23"/>
                <w:color w:val="auto"/>
                <w:vertAlign w:val="superscript"/>
              </w:rPr>
              <w:t>(b)</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480" w:type="dxa"/>
            <w:vAlign w:val="bottom"/>
          </w:tcPr>
          <w:p>
            <w:pPr>
              <w:ind w:left="440"/>
              <w:spacing w:after="0" w:line="230" w:lineRule="exact"/>
              <w:rPr>
                <w:sz w:val="20"/>
                <w:szCs w:val="20"/>
                <w:color w:val="auto"/>
              </w:rPr>
            </w:pPr>
            <w:r>
              <w:rPr>
                <w:rFonts w:ascii="Arial" w:cs="Arial" w:eastAsia="Arial" w:hAnsi="Arial"/>
                <w:sz w:val="18"/>
                <w:szCs w:val="18"/>
                <w:color w:val="auto"/>
              </w:rPr>
              <w:t xml:space="preserve">Interest on lease liabilities </w:t>
            </w:r>
            <w:r>
              <w:rPr>
                <w:rFonts w:ascii="Arial" w:cs="Arial" w:eastAsia="Arial" w:hAnsi="Arial"/>
                <w:sz w:val="23"/>
                <w:szCs w:val="23"/>
                <w:color w:val="auto"/>
                <w:vertAlign w:val="superscript"/>
              </w:rPr>
              <w:t>(c)</w:t>
            </w:r>
          </w:p>
        </w:tc>
        <w:tc>
          <w:tcPr>
            <w:tcW w:w="9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480" w:type="dxa"/>
            <w:vAlign w:val="bottom"/>
          </w:tcPr>
          <w:p>
            <w:pPr>
              <w:ind w:left="220"/>
              <w:spacing w:after="0" w:line="237"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(b)</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Arial" w:cs="Arial" w:eastAsia="Arial" w:hAnsi="Arial"/>
                <w:sz w:val="18"/>
                <w:szCs w:val="18"/>
                <w:b w:val="1"/>
                <w:bCs w:val="1"/>
                <w:color w:val="auto"/>
              </w:rPr>
              <w:t>Total vehicle lease expense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ind w:left="820" w:hanging="326"/>
        <w:spacing w:after="0" w:line="218" w:lineRule="auto"/>
        <w:tabs>
          <w:tab w:leader="none" w:pos="882"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Primarily included in operating expenses and for the years ended December 31, 2022 and 2021, includes $(9) million and $(2) million of minimum annual guaranteed rent in excess of concession fees as defined in our rental concession agreements, respectively.</w:t>
      </w:r>
    </w:p>
    <w:p>
      <w:pPr>
        <w:spacing w:after="0" w:line="1" w:lineRule="exact"/>
        <w:rPr>
          <w:rFonts w:ascii="Arial" w:cs="Arial" w:eastAsia="Arial" w:hAnsi="Arial"/>
          <w:sz w:val="19"/>
          <w:szCs w:val="19"/>
          <w:color w:val="auto"/>
          <w:vertAlign w:val="superscript"/>
        </w:rPr>
      </w:pPr>
    </w:p>
    <w:p>
      <w:pPr>
        <w:ind w:left="760" w:hanging="266"/>
        <w:spacing w:after="0"/>
        <w:tabs>
          <w:tab w:leader="none" w:pos="760" w:val="left"/>
        </w:tabs>
        <w:numPr>
          <w:ilvl w:val="0"/>
          <w:numId w:val="30"/>
        </w:numPr>
        <w:rPr>
          <w:rFonts w:ascii="Arial" w:cs="Arial" w:eastAsia="Arial" w:hAnsi="Arial"/>
          <w:sz w:val="9"/>
          <w:szCs w:val="9"/>
          <w:color w:val="auto"/>
        </w:rPr>
      </w:pPr>
      <w:r>
        <w:rPr>
          <w:rFonts w:ascii="Arial" w:cs="Arial" w:eastAsia="Arial" w:hAnsi="Arial"/>
          <w:sz w:val="14"/>
          <w:szCs w:val="14"/>
          <w:color w:val="auto"/>
        </w:rPr>
        <w:t>Included in vehicle depreciation and lease charges, net.</w:t>
      </w:r>
    </w:p>
    <w:p>
      <w:pPr>
        <w:spacing w:after="0" w:line="14" w:lineRule="exact"/>
        <w:rPr>
          <w:rFonts w:ascii="Arial" w:cs="Arial" w:eastAsia="Arial" w:hAnsi="Arial"/>
          <w:sz w:val="9"/>
          <w:szCs w:val="9"/>
          <w:color w:val="auto"/>
        </w:rPr>
      </w:pPr>
    </w:p>
    <w:p>
      <w:pPr>
        <w:ind w:left="760" w:hanging="266"/>
        <w:spacing w:after="0" w:line="193" w:lineRule="auto"/>
        <w:tabs>
          <w:tab w:leader="none" w:pos="76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Included in vehicle interest,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75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7540" w:type="dxa"/>
            <w:vAlign w:val="bottom"/>
            <w:gridSpan w:val="2"/>
          </w:tcPr>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5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Property leases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4"/>
        </w:trPr>
        <w:tc>
          <w:tcPr>
            <w:tcW w:w="75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Operating lease ROU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2,654</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474"/>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23"/>
                <w:szCs w:val="23"/>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5"/>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2,117</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3"/>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Operating lease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8.1 years</w:t>
            </w: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8.2 years</w:t>
            </w:r>
          </w:p>
        </w:tc>
        <w:tc>
          <w:tcPr>
            <w:tcW w:w="0" w:type="dxa"/>
            <w:vAlign w:val="bottom"/>
          </w:tcPr>
          <w:p>
            <w:pPr>
              <w:spacing w:after="0"/>
              <w:rPr>
                <w:sz w:val="1"/>
                <w:szCs w:val="1"/>
                <w:color w:val="auto"/>
              </w:rPr>
            </w:pPr>
          </w:p>
        </w:tc>
      </w:tr>
      <w:tr>
        <w:trPr>
          <w:trHeight w:val="239"/>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492"/>
        </w:trPr>
        <w:tc>
          <w:tcPr>
            <w:tcW w:w="7540" w:type="dxa"/>
            <w:vAlign w:val="bottom"/>
            <w:gridSpan w:val="2"/>
          </w:tcPr>
          <w:p>
            <w:pPr>
              <w:ind w:left="520"/>
              <w:spacing w:after="0"/>
              <w:rPr>
                <w:sz w:val="20"/>
                <w:szCs w:val="20"/>
                <w:color w:val="auto"/>
              </w:rPr>
            </w:pPr>
            <w:r>
              <w:rPr>
                <w:rFonts w:ascii="Arial" w:cs="Arial" w:eastAsia="Arial" w:hAnsi="Arial"/>
                <w:sz w:val="18"/>
                <w:szCs w:val="18"/>
                <w:b w:val="1"/>
                <w:bCs w:val="1"/>
                <w:color w:val="auto"/>
              </w:rPr>
              <w:t>Vehicle leases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540" w:type="dxa"/>
            <w:vAlign w:val="bottom"/>
            <w:gridSpan w:val="2"/>
          </w:tcPr>
          <w:p>
            <w:pPr>
              <w:ind w:left="760"/>
              <w:spacing w:after="0"/>
              <w:rPr>
                <w:sz w:val="20"/>
                <w:szCs w:val="20"/>
                <w:color w:val="auto"/>
              </w:rPr>
            </w:pPr>
            <w:r>
              <w:rPr>
                <w:rFonts w:ascii="Arial" w:cs="Arial" w:eastAsia="Arial" w:hAnsi="Arial"/>
                <w:sz w:val="18"/>
                <w:szCs w:val="18"/>
                <w:b w:val="1"/>
                <w:bCs w:val="1"/>
                <w:i w:val="1"/>
                <w:iCs w:val="1"/>
                <w:color w:val="auto"/>
              </w:rPr>
              <w:t>Finance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760"/>
              <w:spacing w:after="0"/>
              <w:rPr>
                <w:sz w:val="20"/>
                <w:szCs w:val="20"/>
                <w:color w:val="auto"/>
              </w:rPr>
            </w:pPr>
            <w:r>
              <w:rPr>
                <w:rFonts w:ascii="Arial" w:cs="Arial" w:eastAsia="Arial" w:hAnsi="Arial"/>
                <w:sz w:val="18"/>
                <w:szCs w:val="18"/>
                <w:color w:val="auto"/>
              </w:rPr>
              <w:t>Finance lease ROU assets, gross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5"/>
        </w:trPr>
        <w:tc>
          <w:tcPr>
            <w:tcW w:w="7540" w:type="dxa"/>
            <w:vAlign w:val="bottom"/>
            <w:gridSpan w:val="2"/>
          </w:tcPr>
          <w:p>
            <w:pPr>
              <w:ind w:left="760"/>
              <w:spacing w:after="0"/>
              <w:rPr>
                <w:sz w:val="20"/>
                <w:szCs w:val="20"/>
                <w:color w:val="auto"/>
              </w:rPr>
            </w:pPr>
            <w:r>
              <w:rPr>
                <w:rFonts w:ascii="Arial" w:cs="Arial" w:eastAsia="Arial" w:hAnsi="Arial"/>
                <w:sz w:val="18"/>
                <w:szCs w:val="18"/>
                <w:color w:val="auto"/>
              </w:rPr>
              <w:t>Accumulated amortization</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540" w:type="dxa"/>
            <w:vAlign w:val="bottom"/>
            <w:gridSpan w:val="2"/>
          </w:tcPr>
          <w:p>
            <w:pPr>
              <w:ind w:left="760"/>
              <w:spacing w:after="0" w:line="223" w:lineRule="exact"/>
              <w:rPr>
                <w:sz w:val="20"/>
                <w:szCs w:val="20"/>
                <w:color w:val="auto"/>
              </w:rPr>
            </w:pPr>
            <w:r>
              <w:rPr>
                <w:rFonts w:ascii="Arial" w:cs="Arial" w:eastAsia="Arial" w:hAnsi="Arial"/>
                <w:sz w:val="18"/>
                <w:szCs w:val="18"/>
                <w:color w:val="auto"/>
              </w:rPr>
              <w:t xml:space="preserve">Finance lease ROU assets, net </w:t>
            </w:r>
            <w:r>
              <w:rPr>
                <w:rFonts w:ascii="Arial" w:cs="Arial" w:eastAsia="Arial" w:hAnsi="Arial"/>
                <w:sz w:val="23"/>
                <w:szCs w:val="23"/>
                <w:color w:val="auto"/>
                <w:vertAlign w:val="superscript"/>
              </w:rPr>
              <w:t>(b)</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
        </w:trPr>
        <w:tc>
          <w:tcPr>
            <w:tcW w:w="75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540" w:type="dxa"/>
            <w:vAlign w:val="bottom"/>
            <w:gridSpan w:val="2"/>
          </w:tcPr>
          <w:p>
            <w:pPr>
              <w:ind w:left="760"/>
              <w:spacing w:after="0"/>
              <w:rPr>
                <w:sz w:val="20"/>
                <w:szCs w:val="20"/>
                <w:color w:val="auto"/>
              </w:rPr>
            </w:pPr>
            <w:r>
              <w:rPr>
                <w:rFonts w:ascii="Arial" w:cs="Arial" w:eastAsia="Arial" w:hAnsi="Arial"/>
                <w:sz w:val="18"/>
                <w:szCs w:val="18"/>
                <w:color w:val="auto"/>
              </w:rPr>
              <w:t>Short-term vehicle finance lease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5"/>
        </w:trPr>
        <w:tc>
          <w:tcPr>
            <w:tcW w:w="7540" w:type="dxa"/>
            <w:vAlign w:val="bottom"/>
            <w:gridSpan w:val="2"/>
          </w:tcPr>
          <w:p>
            <w:pPr>
              <w:ind w:left="760"/>
              <w:spacing w:after="0"/>
              <w:rPr>
                <w:sz w:val="20"/>
                <w:szCs w:val="20"/>
                <w:color w:val="auto"/>
              </w:rPr>
            </w:pPr>
            <w:r>
              <w:rPr>
                <w:rFonts w:ascii="Arial" w:cs="Arial" w:eastAsia="Arial" w:hAnsi="Arial"/>
                <w:sz w:val="18"/>
                <w:szCs w:val="18"/>
                <w:color w:val="auto"/>
              </w:rPr>
              <w:t>Long-term vehicle finance lease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7540" w:type="dxa"/>
            <w:vAlign w:val="bottom"/>
            <w:gridSpan w:val="2"/>
          </w:tcPr>
          <w:p>
            <w:pPr>
              <w:ind w:left="760"/>
              <w:spacing w:after="0" w:line="223" w:lineRule="exact"/>
              <w:rPr>
                <w:sz w:val="20"/>
                <w:szCs w:val="20"/>
                <w:color w:val="auto"/>
              </w:rPr>
            </w:pPr>
            <w:r>
              <w:rPr>
                <w:rFonts w:ascii="Arial" w:cs="Arial" w:eastAsia="Arial" w:hAnsi="Arial"/>
                <w:sz w:val="18"/>
                <w:szCs w:val="18"/>
                <w:color w:val="auto"/>
              </w:rPr>
              <w:t xml:space="preserve">Vehicle finance lease liabilities </w:t>
            </w:r>
            <w:r>
              <w:rPr>
                <w:rFonts w:ascii="Arial" w:cs="Arial" w:eastAsia="Arial" w:hAnsi="Arial"/>
                <w:sz w:val="23"/>
                <w:szCs w:val="23"/>
                <w:color w:val="auto"/>
                <w:vertAlign w:val="superscript"/>
              </w:rPr>
              <w:t>(c)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540" w:type="dxa"/>
            <w:vAlign w:val="bottom"/>
            <w:gridSpan w:val="2"/>
          </w:tcPr>
          <w:p>
            <w:pPr>
              <w:ind w:left="760"/>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2.8 years</w:t>
            </w: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39"/>
        </w:trPr>
        <w:tc>
          <w:tcPr>
            <w:tcW w:w="7540" w:type="dxa"/>
            <w:vAlign w:val="bottom"/>
            <w:gridSpan w:val="2"/>
          </w:tcPr>
          <w:p>
            <w:pPr>
              <w:ind w:left="76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488"/>
        </w:trPr>
        <w:tc>
          <w:tcPr>
            <w:tcW w:w="7540" w:type="dxa"/>
            <w:vAlign w:val="bottom"/>
            <w:gridSpan w:val="2"/>
          </w:tcPr>
          <w:p>
            <w:pPr>
              <w:ind w:left="720"/>
              <w:spacing w:after="0"/>
              <w:rPr>
                <w:sz w:val="20"/>
                <w:szCs w:val="20"/>
                <w:color w:val="auto"/>
              </w:rPr>
            </w:pPr>
            <w:r>
              <w:rPr>
                <w:rFonts w:ascii="Arial" w:cs="Arial" w:eastAsia="Arial" w:hAnsi="Arial"/>
                <w:sz w:val="18"/>
                <w:szCs w:val="18"/>
                <w:b w:val="1"/>
                <w:bCs w:val="1"/>
                <w:i w:val="1"/>
                <w:iCs w:val="1"/>
                <w:color w:val="auto"/>
              </w:rPr>
              <w:t>Operating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540" w:type="dxa"/>
            <w:vAlign w:val="bottom"/>
            <w:gridSpan w:val="2"/>
          </w:tcPr>
          <w:p>
            <w:pPr>
              <w:ind w:left="720"/>
              <w:spacing w:after="0" w:line="237" w:lineRule="exact"/>
              <w:rPr>
                <w:sz w:val="20"/>
                <w:szCs w:val="20"/>
                <w:color w:val="auto"/>
              </w:rPr>
            </w:pPr>
            <w:r>
              <w:rPr>
                <w:rFonts w:ascii="Arial" w:cs="Arial" w:eastAsia="Arial" w:hAnsi="Arial"/>
                <w:sz w:val="18"/>
                <w:szCs w:val="18"/>
                <w:color w:val="auto"/>
              </w:rPr>
              <w:t xml:space="preserve">Vehicle operating lease ROU assets </w:t>
            </w:r>
            <w:r>
              <w:rPr>
                <w:rFonts w:ascii="Arial" w:cs="Arial" w:eastAsia="Arial" w:hAnsi="Arial"/>
                <w:sz w:val="23"/>
                <w:szCs w:val="23"/>
                <w:color w:val="auto"/>
                <w:vertAlign w:val="superscript"/>
              </w:rPr>
              <w:t>(d)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74"/>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Short-term vehicle operating lease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5"/>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Long-term vehicle operating lease liabilities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540" w:type="dxa"/>
            <w:vAlign w:val="bottom"/>
            <w:gridSpan w:val="2"/>
          </w:tcPr>
          <w:p>
            <w:pPr>
              <w:ind w:left="720"/>
              <w:spacing w:after="0" w:line="223" w:lineRule="exact"/>
              <w:rPr>
                <w:sz w:val="20"/>
                <w:szCs w:val="20"/>
                <w:color w:val="auto"/>
              </w:rPr>
            </w:pPr>
            <w:r>
              <w:rPr>
                <w:rFonts w:ascii="Arial" w:cs="Arial" w:eastAsia="Arial" w:hAnsi="Arial"/>
                <w:sz w:val="18"/>
                <w:szCs w:val="18"/>
                <w:color w:val="auto"/>
              </w:rPr>
              <w:t xml:space="preserve">Vehicle operating lease liabilities </w:t>
            </w:r>
            <w:r>
              <w:rPr>
                <w:rFonts w:ascii="Arial" w:cs="Arial" w:eastAsia="Arial" w:hAnsi="Arial"/>
                <w:sz w:val="23"/>
                <w:szCs w:val="23"/>
                <w:color w:val="auto"/>
                <w:vertAlign w:val="superscript"/>
              </w:rPr>
              <w:t>(e)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tcPr>
          <w:p>
            <w:pPr>
              <w:spacing w:after="0"/>
              <w:rPr>
                <w:sz w:val="24"/>
                <w:szCs w:val="24"/>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1.5 years</w:t>
            </w:r>
          </w:p>
        </w:tc>
        <w:tc>
          <w:tcPr>
            <w:tcW w:w="3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 years</w:t>
            </w:r>
          </w:p>
        </w:tc>
        <w:tc>
          <w:tcPr>
            <w:tcW w:w="0" w:type="dxa"/>
            <w:vAlign w:val="bottom"/>
          </w:tcPr>
          <w:p>
            <w:pPr>
              <w:spacing w:after="0"/>
              <w:rPr>
                <w:sz w:val="1"/>
                <w:szCs w:val="1"/>
                <w:color w:val="auto"/>
              </w:rPr>
            </w:pPr>
          </w:p>
        </w:tc>
      </w:tr>
      <w:tr>
        <w:trPr>
          <w:trHeight w:val="239"/>
        </w:trPr>
        <w:tc>
          <w:tcPr>
            <w:tcW w:w="7540" w:type="dxa"/>
            <w:vAlign w:val="bottom"/>
            <w:gridSpan w:val="2"/>
          </w:tcPr>
          <w:p>
            <w:pPr>
              <w:ind w:left="720"/>
              <w:spacing w:after="0"/>
              <w:rPr>
                <w:sz w:val="20"/>
                <w:szCs w:val="20"/>
                <w:color w:val="auto"/>
              </w:rPr>
            </w:pPr>
            <w:r>
              <w:rPr>
                <w:rFonts w:ascii="Arial" w:cs="Arial" w:eastAsia="Arial" w:hAnsi="Arial"/>
                <w:sz w:val="18"/>
                <w:szCs w:val="18"/>
                <w:color w:val="auto"/>
              </w:rPr>
              <w:t>Weighted average discount rate</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13" w:lineRule="auto"/>
        <w:tabs>
          <w:tab w:leader="none" w:pos="7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ind w:left="760" w:hanging="266"/>
        <w:spacing w:after="0"/>
        <w:tabs>
          <w:tab w:leader="none" w:pos="760"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Included in vehicles, net within assets under vehicle programs.</w:t>
      </w:r>
    </w:p>
    <w:p>
      <w:pPr>
        <w:spacing w:after="0" w:line="14" w:lineRule="exact"/>
        <w:rPr>
          <w:rFonts w:ascii="Arial" w:cs="Arial" w:eastAsia="Arial" w:hAnsi="Arial"/>
          <w:sz w:val="9"/>
          <w:szCs w:val="9"/>
          <w:color w:val="auto"/>
        </w:rPr>
      </w:pPr>
    </w:p>
    <w:p>
      <w:pPr>
        <w:ind w:left="760" w:hanging="266"/>
        <w:spacing w:after="0"/>
        <w:tabs>
          <w:tab w:leader="none" w:pos="760"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Included in debt within liabilities under vehicle programs.</w:t>
      </w:r>
    </w:p>
    <w:p>
      <w:pPr>
        <w:spacing w:after="0" w:line="14" w:lineRule="exact"/>
        <w:rPr>
          <w:rFonts w:ascii="Arial" w:cs="Arial" w:eastAsia="Arial" w:hAnsi="Arial"/>
          <w:sz w:val="9"/>
          <w:szCs w:val="9"/>
          <w:color w:val="auto"/>
        </w:rPr>
      </w:pPr>
    </w:p>
    <w:p>
      <w:pPr>
        <w:ind w:left="760" w:hanging="266"/>
        <w:spacing w:after="0" w:line="192" w:lineRule="auto"/>
        <w:tabs>
          <w:tab w:leader="none" w:pos="7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receivables from vehicle manufacturers and other within assets under vehicle programs.</w:t>
      </w:r>
    </w:p>
    <w:p>
      <w:pPr>
        <w:ind w:left="760" w:hanging="266"/>
        <w:spacing w:after="0" w:line="193" w:lineRule="auto"/>
        <w:tabs>
          <w:tab w:leader="none" w:pos="760"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Included in other within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8" w:right="9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jc w:val="right"/>
              <w:ind w:right="4520"/>
              <w:spacing w:after="0"/>
              <w:rPr>
                <w:sz w:val="20"/>
                <w:szCs w:val="20"/>
                <w:color w:val="auto"/>
              </w:rPr>
            </w:pPr>
            <w:r>
              <w:rPr>
                <w:rFonts w:ascii="Arial" w:cs="Arial" w:eastAsia="Arial" w:hAnsi="Arial"/>
                <w:sz w:val="18"/>
                <w:szCs w:val="18"/>
                <w:color w:val="0000FF"/>
                <w:w w:val="97"/>
              </w:rPr>
              <w:t>Table of Contents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20" w:type="dxa"/>
            <w:vAlign w:val="bottom"/>
            <w:gridSpan w:val="2"/>
          </w:tcPr>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10"/>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gridSpan w:val="2"/>
            <w:vMerge w:val="restart"/>
          </w:tcPr>
          <w:p>
            <w:pPr>
              <w:ind w:left="520"/>
              <w:spacing w:after="0"/>
              <w:rPr>
                <w:sz w:val="20"/>
                <w:szCs w:val="20"/>
                <w:color w:val="auto"/>
              </w:rPr>
            </w:pPr>
            <w:r>
              <w:rPr>
                <w:rFonts w:ascii="Arial" w:cs="Arial" w:eastAsia="Arial" w:hAnsi="Arial"/>
                <w:sz w:val="18"/>
                <w:szCs w:val="18"/>
                <w:color w:val="auto"/>
              </w:rPr>
              <w:t>Cash payments for lease liabilities within operating activities: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04"/>
        </w:trPr>
        <w:tc>
          <w:tcPr>
            <w:tcW w:w="59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Property operating leases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838</w:t>
            </w:r>
          </w:p>
        </w:tc>
        <w:tc>
          <w:tcPr>
            <w:tcW w:w="4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finance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operating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Cash payments for lease liabilities within financing activities: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finance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181"/>
        </w:trPr>
        <w:tc>
          <w:tcPr>
            <w:tcW w:w="5920" w:type="dxa"/>
            <w:vAlign w:val="bottom"/>
            <w:gridSpan w:val="2"/>
          </w:tcPr>
          <w:p>
            <w:pPr>
              <w:ind w:left="520"/>
              <w:spacing w:after="0" w:line="181" w:lineRule="exact"/>
              <w:rPr>
                <w:sz w:val="20"/>
                <w:szCs w:val="20"/>
                <w:color w:val="auto"/>
              </w:rPr>
            </w:pPr>
            <w:r>
              <w:rPr>
                <w:rFonts w:ascii="Arial" w:cs="Arial" w:eastAsia="Arial" w:hAnsi="Arial"/>
                <w:sz w:val="18"/>
                <w:szCs w:val="18"/>
                <w:color w:val="auto"/>
              </w:rPr>
              <w:t>Non-cash activities - increase in ROU assets in exchange for lease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20" w:type="dxa"/>
            <w:vAlign w:val="bottom"/>
            <w:gridSpan w:val="2"/>
          </w:tcPr>
          <w:p>
            <w:pPr>
              <w:jc w:val="right"/>
              <w:ind w:right="4520"/>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Property operating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finance leases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9"/>
        </w:trPr>
        <w:tc>
          <w:tcPr>
            <w:tcW w:w="5920" w:type="dxa"/>
            <w:vAlign w:val="bottom"/>
            <w:gridSpan w:val="2"/>
          </w:tcPr>
          <w:p>
            <w:pPr>
              <w:ind w:left="720"/>
              <w:spacing w:after="0"/>
              <w:rPr>
                <w:sz w:val="20"/>
                <w:szCs w:val="20"/>
                <w:color w:val="auto"/>
              </w:rPr>
            </w:pPr>
            <w:r>
              <w:rPr>
                <w:rFonts w:ascii="Arial" w:cs="Arial" w:eastAsia="Arial" w:hAnsi="Arial"/>
                <w:sz w:val="18"/>
                <w:szCs w:val="18"/>
                <w:color w:val="auto"/>
              </w:rPr>
              <w:t>Vehicle operating leases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554"/>
        </w:trPr>
        <w:tc>
          <w:tcPr>
            <w:tcW w:w="6180" w:type="dxa"/>
            <w:vAlign w:val="bottom"/>
            <w:gridSpan w:val="4"/>
          </w:tcPr>
          <w:p>
            <w:pPr>
              <w:ind w:left="500"/>
              <w:spacing w:after="0"/>
              <w:rPr>
                <w:sz w:val="20"/>
                <w:szCs w:val="20"/>
                <w:color w:val="auto"/>
              </w:rPr>
            </w:pPr>
            <w:r>
              <w:rPr>
                <w:rFonts w:ascii="Arial" w:cs="Arial" w:eastAsia="Arial" w:hAnsi="Arial"/>
                <w:sz w:val="18"/>
                <w:szCs w:val="18"/>
                <w:color w:val="auto"/>
              </w:rPr>
              <w:t>Maturities of lease liabilities as of December 31, 2023 are as follows:</w:t>
            </w: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line="199" w:lineRule="exact"/>
              <w:rPr>
                <w:sz w:val="20"/>
                <w:szCs w:val="20"/>
                <w:color w:val="auto"/>
              </w:rPr>
            </w:pPr>
            <w:r>
              <w:rPr>
                <w:rFonts w:ascii="Arial" w:cs="Arial" w:eastAsia="Arial" w:hAnsi="Arial"/>
                <w:sz w:val="18"/>
                <w:szCs w:val="18"/>
                <w:b w:val="1"/>
                <w:bCs w:val="1"/>
                <w:color w:val="auto"/>
                <w:w w:val="99"/>
              </w:rPr>
              <w:t>Property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4"/>
            <w:vMerge w:val="restart"/>
          </w:tcPr>
          <w:p>
            <w:pPr>
              <w:jc w:val="center"/>
              <w:ind w:right="420"/>
              <w:spacing w:after="0"/>
              <w:rPr>
                <w:sz w:val="20"/>
                <w:szCs w:val="20"/>
                <w:color w:val="auto"/>
              </w:rPr>
            </w:pPr>
            <w:r>
              <w:rPr>
                <w:rFonts w:ascii="Arial" w:cs="Arial" w:eastAsia="Arial" w:hAnsi="Arial"/>
                <w:sz w:val="18"/>
                <w:szCs w:val="18"/>
                <w:b w:val="1"/>
                <w:bCs w:val="1"/>
                <w:color w:val="auto"/>
                <w:w w:val="98"/>
              </w:rPr>
              <w:t>Vehicle</w:t>
            </w:r>
          </w:p>
        </w:tc>
        <w:tc>
          <w:tcPr>
            <w:tcW w:w="280" w:type="dxa"/>
            <w:vAlign w:val="bottom"/>
          </w:tcPr>
          <w:p>
            <w:pPr>
              <w:spacing w:after="0"/>
              <w:rPr>
                <w:sz w:val="17"/>
                <w:szCs w:val="17"/>
                <w:color w:val="auto"/>
              </w:rPr>
            </w:pPr>
          </w:p>
        </w:tc>
        <w:tc>
          <w:tcPr>
            <w:tcW w:w="1220" w:type="dxa"/>
            <w:vAlign w:val="bottom"/>
          </w:tcPr>
          <w:p>
            <w:pPr>
              <w:jc w:val="center"/>
              <w:ind w:right="190"/>
              <w:spacing w:after="0" w:line="199" w:lineRule="exact"/>
              <w:rPr>
                <w:sz w:val="20"/>
                <w:szCs w:val="20"/>
                <w:color w:val="auto"/>
              </w:rPr>
            </w:pPr>
            <w:r>
              <w:rPr>
                <w:rFonts w:ascii="Arial" w:cs="Arial" w:eastAsia="Arial" w:hAnsi="Arial"/>
                <w:sz w:val="18"/>
                <w:szCs w:val="18"/>
                <w:b w:val="1"/>
                <w:bCs w:val="1"/>
                <w:color w:val="auto"/>
                <w:w w:val="98"/>
              </w:rPr>
              <w:t>Vehicle</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8"/>
              </w:rPr>
              <w:t>Operating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Leases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9"/>
              </w:rPr>
              <w:t>Finance Leases</w:t>
            </w:r>
          </w:p>
        </w:tc>
        <w:tc>
          <w:tcPr>
            <w:tcW w:w="280" w:type="dxa"/>
            <w:vAlign w:val="bottom"/>
          </w:tcPr>
          <w:p>
            <w:pPr>
              <w:spacing w:after="0"/>
              <w:rPr>
                <w:sz w:val="21"/>
                <w:szCs w:val="21"/>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218"/>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Within 1 year</w:t>
            </w: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1 and 2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2 and 3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3 and 4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Between 4 and 5 years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Total lease payments</w:t>
            </w: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5"/>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92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400" w:hanging="342"/>
        <w:spacing w:after="0"/>
        <w:tabs>
          <w:tab w:leader="none" w:pos="4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vMerge w:val="restart"/>
          </w:tcPr>
          <w:p>
            <w:pPr>
              <w:ind w:left="520"/>
              <w:spacing w:after="0"/>
              <w:rPr>
                <w:sz w:val="20"/>
                <w:szCs w:val="20"/>
                <w:color w:val="auto"/>
              </w:rPr>
            </w:pPr>
            <w:r>
              <w:rPr>
                <w:rFonts w:ascii="Arial" w:cs="Arial" w:eastAsia="Arial" w:hAnsi="Arial"/>
                <w:sz w:val="18"/>
                <w:szCs w:val="18"/>
                <w:color w:val="auto"/>
              </w:rPr>
              <w:t>Net income attributable to Avis Budget Group, Inc. for basic and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940" w:type="dxa"/>
            <w:vAlign w:val="bottom"/>
            <w:vMerge w:val="continue"/>
          </w:tcPr>
          <w:p>
            <w:pPr>
              <w:spacing w:after="0"/>
              <w:rPr>
                <w:sz w:val="14"/>
                <w:szCs w:val="14"/>
                <w:color w:val="auto"/>
              </w:rPr>
            </w:pPr>
          </w:p>
        </w:tc>
        <w:tc>
          <w:tcPr>
            <w:tcW w:w="960" w:type="dxa"/>
            <w:vAlign w:val="bottom"/>
            <w:vMerge w:val="restart"/>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7"/>
              </w:rPr>
              <w:t>1,632</w:t>
            </w:r>
          </w:p>
        </w:tc>
        <w:tc>
          <w:tcPr>
            <w:tcW w:w="120" w:type="dxa"/>
            <w:vAlign w:val="bottom"/>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14"/>
                <w:szCs w:val="14"/>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1,285</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520"/>
              <w:spacing w:after="0"/>
              <w:rPr>
                <w:sz w:val="20"/>
                <w:szCs w:val="20"/>
                <w:color w:val="auto"/>
              </w:rPr>
            </w:pPr>
            <w:r>
              <w:rPr>
                <w:rFonts w:ascii="Arial" w:cs="Arial" w:eastAsia="Arial" w:hAnsi="Arial"/>
                <w:sz w:val="18"/>
                <w:szCs w:val="18"/>
                <w:color w:val="auto"/>
              </w:rPr>
              <w:t>diluted EPS</w:t>
            </w:r>
          </w:p>
        </w:tc>
        <w:tc>
          <w:tcPr>
            <w:tcW w:w="96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5940" w:type="dxa"/>
            <w:vAlign w:val="bottom"/>
          </w:tcPr>
          <w:p>
            <w:pPr>
              <w:ind w:left="520"/>
              <w:spacing w:after="0"/>
              <w:rPr>
                <w:sz w:val="20"/>
                <w:szCs w:val="20"/>
                <w:color w:val="auto"/>
              </w:rPr>
            </w:pPr>
            <w:r>
              <w:rPr>
                <w:rFonts w:ascii="Arial" w:cs="Arial" w:eastAsia="Arial" w:hAnsi="Arial"/>
                <w:sz w:val="18"/>
                <w:szCs w:val="18"/>
                <w:color w:val="auto"/>
              </w:rPr>
              <w:t>Basic weighted average shares outstanding</w:t>
            </w:r>
          </w:p>
        </w:tc>
        <w:tc>
          <w:tcPr>
            <w:tcW w:w="9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940" w:type="dxa"/>
            <w:vAlign w:val="bottom"/>
          </w:tcPr>
          <w:p>
            <w:pPr>
              <w:ind w:left="520"/>
              <w:spacing w:after="0"/>
              <w:rPr>
                <w:sz w:val="20"/>
                <w:szCs w:val="20"/>
                <w:color w:val="auto"/>
              </w:rPr>
            </w:pPr>
            <w:r>
              <w:rPr>
                <w:rFonts w:ascii="Arial" w:cs="Arial" w:eastAsia="Arial" w:hAnsi="Arial"/>
                <w:sz w:val="18"/>
                <w:szCs w:val="18"/>
                <w:color w:val="auto"/>
              </w:rPr>
              <w:t>Non-vested stock</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520"/>
              <w:spacing w:after="0"/>
              <w:rPr>
                <w:sz w:val="20"/>
                <w:szCs w:val="20"/>
                <w:color w:val="auto"/>
              </w:rPr>
            </w:pPr>
            <w:r>
              <w:rPr>
                <w:rFonts w:ascii="Arial" w:cs="Arial" w:eastAsia="Arial" w:hAnsi="Arial"/>
                <w:sz w:val="18"/>
                <w:szCs w:val="18"/>
                <w:color w:val="auto"/>
              </w:rPr>
              <w:t>Diluted weighted average shares outstanding</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520"/>
              <w:spacing w:after="0"/>
              <w:rPr>
                <w:sz w:val="20"/>
                <w:szCs w:val="20"/>
                <w:color w:val="auto"/>
              </w:rPr>
            </w:pPr>
            <w:r>
              <w:rPr>
                <w:rFonts w:ascii="Arial" w:cs="Arial" w:eastAsia="Arial" w:hAnsi="Arial"/>
                <w:sz w:val="18"/>
                <w:szCs w:val="18"/>
                <w:i w:val="1"/>
                <w:iCs w:val="1"/>
                <w:color w:val="auto"/>
              </w:rPr>
              <w:t>Earnings per share:</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5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72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42.57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40" w:type="dxa"/>
            <w:vAlign w:val="bottom"/>
          </w:tcPr>
          <w:p>
            <w:pPr>
              <w:ind w:left="72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42.08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19.44</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5"/>
        </w:trPr>
        <w:tc>
          <w:tcPr>
            <w:tcW w:w="5940" w:type="dxa"/>
            <w:vAlign w:val="bottom"/>
          </w:tcPr>
          <w:p>
            <w:pPr>
              <w:ind w:left="5440"/>
              <w:spacing w:after="0"/>
              <w:rPr>
                <w:sz w:val="20"/>
                <w:szCs w:val="20"/>
                <w:color w:val="auto"/>
              </w:rPr>
            </w:pPr>
            <w:r>
              <w:rPr>
                <w:rFonts w:ascii="Arial" w:cs="Arial" w:eastAsia="Arial" w:hAnsi="Arial"/>
                <w:sz w:val="18"/>
                <w:szCs w:val="18"/>
                <w:color w:val="auto"/>
              </w:rPr>
              <w:t>F-22</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9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Diluted EPS was computed using the treasury stock method for non-vested stock. The following table summarizes our outstanding common stock equivalents that were anti-dilutive and therefore excluded from the computation of diluted EPS (shares in millions):</w:t>
      </w:r>
    </w:p>
    <w:p>
      <w:pPr>
        <w:spacing w:after="0" w:line="139"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As of December 31,</w:t>
      </w:r>
    </w:p>
    <w:p>
      <w:pPr>
        <w:spacing w:after="0" w:line="28"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55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96"/>
        </w:trPr>
        <w:tc>
          <w:tcPr>
            <w:tcW w:w="5540" w:type="dxa"/>
            <w:vAlign w:val="bottom"/>
          </w:tcPr>
          <w:p>
            <w:pPr>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1"/>
          <w:numId w:val="33"/>
        </w:numPr>
        <w:rPr>
          <w:rFonts w:ascii="Arial" w:cs="Arial" w:eastAsia="Arial" w:hAnsi="Arial"/>
          <w:sz w:val="19"/>
          <w:szCs w:val="19"/>
          <w:color w:val="auto"/>
          <w:vertAlign w:val="superscript"/>
        </w:rPr>
      </w:pPr>
      <w:r>
        <w:rPr>
          <w:rFonts w:ascii="Arial" w:cs="Arial" w:eastAsia="Arial" w:hAnsi="Arial"/>
          <w:sz w:val="14"/>
          <w:szCs w:val="14"/>
          <w:color w:val="auto"/>
        </w:rPr>
        <w:t>The weighted average grant date fair value for anti-dilutive non-vested stock for 2023 and 2022 was $198.92 and $177.70, respectively.</w:t>
      </w:r>
    </w:p>
    <w:p>
      <w:pPr>
        <w:spacing w:after="0" w:line="205" w:lineRule="exact"/>
        <w:rPr>
          <w:rFonts w:ascii="Arial" w:cs="Arial" w:eastAsia="Arial" w:hAnsi="Arial"/>
          <w:sz w:val="19"/>
          <w:szCs w:val="19"/>
          <w:color w:val="auto"/>
          <w:vertAlign w:val="superscript"/>
        </w:rPr>
      </w:pPr>
    </w:p>
    <w:p>
      <w:pPr>
        <w:ind w:left="400" w:hanging="342"/>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During second quarter 2022, we initiated a restructuring plan to focus on consolidating our global operations by designing new processes and implementing new systems (“Cost Optimization”). As of December 31, 2023, we formally communicated the termination of employment to approximately 400 employees as part of this process, the majority of which have been terminated. We expect this initiative to be completed in 2024.</w:t>
      </w:r>
    </w:p>
    <w:p>
      <w:pPr>
        <w:spacing w:after="0" w:line="203"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During first quarter 2021, we initiated a global restructuring plan to focus on cost discipline by reviewing headcounts, facilities and contractor agreements. We transformed our business as we exited the COVID-19 crisis by controlling fixed costs and matching variable costs to demand (“T21”). This initiative is complete.</w:t>
      </w:r>
    </w:p>
    <w:p>
      <w:pPr>
        <w:spacing w:after="0" w:line="198"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During first quarter 2020, we initiated a global restructuring plan to reduce operating costs, such as headcount and facilities, due to declining reservations and revenue resulting from the COVID-19 outbreak (“2020 Optimization”). This initiative is complete.</w:t>
      </w:r>
    </w:p>
    <w:p>
      <w:pPr>
        <w:spacing w:after="0" w:line="180"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During third quarter 2019, we initiated a restructuring plan to exit our operations in Brazil by closing rental facilities, disposing of assets and terminating personnel (“Brazil”). This initiative is complete.</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During first quarter 2019, we initiated a restructuring plan to drive global efficiency by improving processes and consolidating functions, and to create new objectives and strategies for our truck rental operations in the United States by reducing headcount, large vehicles and rental locations (“T19”). This initiative is complete.</w:t>
      </w:r>
    </w:p>
    <w:p>
      <w:pPr>
        <w:spacing w:after="0" w:line="1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following tables summarize the change to our restructuring-related liabilities and identifies the amounts recorded within our reporting segments for restructuring charges and corresponding payments and utilizations: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43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1400" w:type="dxa"/>
            <w:vAlign w:val="bottom"/>
            <w:tcBorders>
              <w:top w:val="single" w:sz="8" w:color="0000FF"/>
            </w:tcBorders>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Personnel</w:t>
            </w:r>
          </w:p>
        </w:tc>
        <w:tc>
          <w:tcPr>
            <w:tcW w:w="160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Facility Related</w:t>
            </w:r>
          </w:p>
        </w:tc>
        <w:tc>
          <w:tcPr>
            <w:tcW w:w="320" w:type="dxa"/>
            <w:vAlign w:val="bottom"/>
          </w:tcPr>
          <w:p>
            <w:pPr>
              <w:spacing w:after="0"/>
              <w:rPr>
                <w:sz w:val="24"/>
                <w:szCs w:val="2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4"/>
                <w:szCs w:val="24"/>
                <w:color w:val="auto"/>
              </w:rPr>
            </w:pPr>
          </w:p>
        </w:tc>
        <w:tc>
          <w:tcPr>
            <w:tcW w:w="17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40" w:type="dxa"/>
            <w:vAlign w:val="bottom"/>
            <w:gridSpan w:val="2"/>
            <w:vMerge w:val="restart"/>
          </w:tcPr>
          <w:p>
            <w:pPr>
              <w:ind w:left="520"/>
              <w:spacing w:after="0"/>
              <w:rPr>
                <w:sz w:val="20"/>
                <w:szCs w:val="20"/>
                <w:color w:val="auto"/>
              </w:rPr>
            </w:pPr>
            <w:r>
              <w:rPr>
                <w:rFonts w:ascii="Arial" w:cs="Arial" w:eastAsia="Arial" w:hAnsi="Arial"/>
                <w:sz w:val="18"/>
                <w:szCs w:val="18"/>
                <w:color w:val="auto"/>
              </w:rPr>
              <w:t>Balance at January 1, 2021</w:t>
            </w:r>
          </w:p>
        </w:tc>
        <w:tc>
          <w:tcPr>
            <w:tcW w:w="2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Related</w:t>
            </w:r>
          </w:p>
        </w:tc>
        <w:tc>
          <w:tcPr>
            <w:tcW w:w="1600" w:type="dxa"/>
            <w:vAlign w:val="bottom"/>
            <w:gridSpan w:val="3"/>
            <w:vMerge w:val="continue"/>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4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2021</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2020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3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1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F-24</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40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Americas</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International</w:t>
            </w:r>
          </w:p>
        </w:tc>
        <w:tc>
          <w:tcPr>
            <w:tcW w:w="340" w:type="dxa"/>
            <w:vAlign w:val="bottom"/>
          </w:tcPr>
          <w:p>
            <w:pPr>
              <w:spacing w:after="0" w:line="20" w:lineRule="exact"/>
              <w:rPr>
                <w:sz w:val="1"/>
                <w:szCs w:val="1"/>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line="20" w:lineRule="exact"/>
              <w:rPr>
                <w:sz w:val="1"/>
                <w:szCs w:val="1"/>
                <w:color w:val="auto"/>
              </w:rPr>
            </w:pPr>
          </w:p>
        </w:tc>
      </w:tr>
      <w:tr>
        <w:trPr>
          <w:trHeight w:val="871"/>
        </w:trPr>
        <w:tc>
          <w:tcPr>
            <w:tcW w:w="5940" w:type="dxa"/>
            <w:vAlign w:val="bottom"/>
            <w:gridSpan w:val="2"/>
            <w:vMerge w:val="restart"/>
          </w:tcPr>
          <w:p>
            <w:pPr>
              <w:ind w:left="520"/>
              <w:spacing w:after="0"/>
              <w:rPr>
                <w:sz w:val="20"/>
                <w:szCs w:val="20"/>
                <w:color w:val="auto"/>
              </w:rPr>
            </w:pPr>
            <w:r>
              <w:rPr>
                <w:rFonts w:ascii="Arial" w:cs="Arial" w:eastAsia="Arial" w:hAnsi="Arial"/>
                <w:sz w:val="18"/>
                <w:szCs w:val="18"/>
                <w:color w:val="auto"/>
              </w:rPr>
              <w:t>Balance at January 1, 2021</w:t>
            </w:r>
          </w:p>
        </w:tc>
        <w:tc>
          <w:tcPr>
            <w:tcW w:w="1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940" w:type="dxa"/>
            <w:vAlign w:val="bottom"/>
            <w:gridSpan w:val="2"/>
            <w:vMerge w:val="continue"/>
          </w:tcPr>
          <w:p>
            <w:pPr>
              <w:spacing w:after="0"/>
              <w:rPr>
                <w:sz w:val="18"/>
                <w:szCs w:val="18"/>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2020 Optimization</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59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2021</w:t>
            </w:r>
          </w:p>
        </w:tc>
        <w:tc>
          <w:tcPr>
            <w:tcW w:w="1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T21</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2020 Optimization</w:t>
            </w:r>
          </w:p>
        </w:tc>
        <w:tc>
          <w:tcPr>
            <w:tcW w:w="12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T19</w:t>
            </w:r>
          </w:p>
        </w:tc>
        <w:tc>
          <w:tcPr>
            <w:tcW w:w="120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59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2022</w:t>
            </w: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expense:</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940" w:type="dxa"/>
            <w:vAlign w:val="bottom"/>
            <w:gridSpan w:val="2"/>
          </w:tcPr>
          <w:p>
            <w:pPr>
              <w:ind w:left="740"/>
              <w:spacing w:after="0"/>
              <w:rPr>
                <w:sz w:val="20"/>
                <w:szCs w:val="20"/>
                <w:color w:val="auto"/>
              </w:rPr>
            </w:pPr>
            <w:r>
              <w:rPr>
                <w:rFonts w:ascii="Arial" w:cs="Arial" w:eastAsia="Arial" w:hAnsi="Arial"/>
                <w:sz w:val="18"/>
                <w:szCs w:val="18"/>
                <w:color w:val="auto"/>
              </w:rPr>
              <w:t>Brazil</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40" w:type="dxa"/>
            <w:vAlign w:val="bottom"/>
            <w:gridSpan w:val="2"/>
          </w:tcPr>
          <w:p>
            <w:pPr>
              <w:ind w:left="640"/>
              <w:spacing w:after="0"/>
              <w:rPr>
                <w:sz w:val="20"/>
                <w:szCs w:val="20"/>
                <w:color w:val="auto"/>
              </w:rPr>
            </w:pPr>
            <w:r>
              <w:rPr>
                <w:rFonts w:ascii="Arial" w:cs="Arial" w:eastAsia="Arial" w:hAnsi="Arial"/>
                <w:sz w:val="18"/>
                <w:szCs w:val="18"/>
                <w:color w:val="auto"/>
              </w:rPr>
              <w:t>Restructuring payment/utilization:</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Cost Optimization</w:t>
            </w:r>
          </w:p>
        </w:tc>
        <w:tc>
          <w:tcPr>
            <w:tcW w:w="1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5940" w:type="dxa"/>
            <w:vAlign w:val="bottom"/>
            <w:gridSpan w:val="2"/>
          </w:tcPr>
          <w:p>
            <w:pPr>
              <w:ind w:left="720"/>
              <w:spacing w:after="0"/>
              <w:rPr>
                <w:sz w:val="20"/>
                <w:szCs w:val="20"/>
                <w:color w:val="auto"/>
              </w:rPr>
            </w:pPr>
            <w:r>
              <w:rPr>
                <w:rFonts w:ascii="Arial" w:cs="Arial" w:eastAsia="Arial" w:hAnsi="Arial"/>
                <w:sz w:val="18"/>
                <w:szCs w:val="18"/>
                <w:color w:val="auto"/>
              </w:rPr>
              <w:t>Brazil</w:t>
            </w:r>
          </w:p>
        </w:tc>
        <w:tc>
          <w:tcPr>
            <w:tcW w:w="1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40" w:type="dxa"/>
            <w:vAlign w:val="bottom"/>
            <w:gridSpan w:val="2"/>
          </w:tcPr>
          <w:p>
            <w:pPr>
              <w:ind w:left="520"/>
              <w:spacing w:after="0"/>
              <w:rPr>
                <w:sz w:val="20"/>
                <w:szCs w:val="20"/>
                <w:color w:val="auto"/>
              </w:rPr>
            </w:pPr>
            <w:r>
              <w:rPr>
                <w:rFonts w:ascii="Arial" w:cs="Arial" w:eastAsia="Arial" w:hAnsi="Arial"/>
                <w:sz w:val="18"/>
                <w:szCs w:val="18"/>
                <w:color w:val="auto"/>
              </w:rPr>
              <w:t>Balance as of December 31, 2023</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During the second quarter of 2021, our operations in our International segment offered a voluntary termination program to certain employees in field operations and general and administrative functions for a limited time. These employees, if qualified, elected resignation from employment in return for enhanced severance benefits to be settled in cash. During the year ended December 31, 2021, we recorded other related charges of approximately $17 million in connection with the LVOP. As of December 31, 2021, approximately 130 employees elected to participate in the plan and the participants have been terminated.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April 2022, we announced the departure of Veresh Sita as Executive Vice President and Chief Digital and Innovation Officer effective May 13, 2022. In connection with Mr. Sita’s separation, we recorded other related charges of approximately $1 million, inclusive of accelerated stock-based compensation expense,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9760" w:hanging="442"/>
        <w:spacing w:after="0" w:line="563" w:lineRule="auto"/>
        <w:tabs>
          <w:tab w:leader="none" w:pos="407"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u w:val="single" w:color="auto"/>
          <w:color w:val="auto"/>
        </w:rPr>
        <w:t>2023</w:t>
      </w:r>
    </w:p>
    <w:p>
      <w:pPr>
        <w:spacing w:after="0" w:line="1"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June 2023, we completed the acquisition of a licensee in North America for approximately $14 million, plus approximately $20 million for acquired fleet. This investment is in-line with our strategy to re-acquire licensees when advantageous to expand our footprint of Company-operated locations. The acquired fleet was financed under our existing financing arrangements. In connection with this acquisition, approximately $14 million was recorded to other intangibles related to license agreements. The license agreements are being amortized over a weighted average useful life of approximately five years. The fair value of the assets acquired and liabilities assumed has not yet been finalized and is therefore subject to change.</w:t>
      </w:r>
    </w:p>
    <w:p>
      <w:pPr>
        <w:spacing w:after="0" w:line="20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In September 2023, we completed the acquisition of McNicoll Vehicle Hire, a vehicle rental company in Scotland specializing in van and car rentals, for approximately $17 million, net of acquired cash. The investment enabled the Company to expand its footprint of vehicle rental services in Scotland. The excess of the purchase price over preliminary fair value of net assets acquired was allocated to goodwill, which was assigned to the Company’s International reportable segment. In connection with this acquisition, approximately $10 million was recorded to goodwill, $4 million was recorded to trade names, and $1 million was recorded to customer relationships. The trade names and customer relationships will be amortized over a weighted average useful life of approximately 10 years. The goodwill is not deductible for tax purposes. The fair value of the assets acquired and liabilities assumed has not yet been finalized and is therefore subject to change.</w:t>
      </w:r>
    </w:p>
    <w:p>
      <w:pPr>
        <w:spacing w:after="0" w:line="21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October 2023, we completed the acquisition of a licensee in North America for approximately $10 million, plus approximately $4 million for acquired fleet. This investment is in-line with our strategy to re-acquire licensees when advantageous to expand our footprint of Company-operated locations. The acquired fleet was financed under our existing financing arrangements. In connection with this acquisition, approximately $ 10 million was recorded to other intangibles related to license agreements. The license agreements are being amortized over a weighted average useful life of approximately three years. The fair value of the assets acquired and liabilities assumed has not yet been finalized and is therefore subject to change.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2021</w:t>
      </w:r>
    </w:p>
    <w:p>
      <w:pPr>
        <w:spacing w:after="0" w:line="25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During 2021, we completed the acquisitions of various licensees in Europe and North America, for approximately $23 million, plus $22 million for acquired fleet. These investments were in-line with our strategy to re-acquire licensees when advantageous to expand our footprint of Company-operated locations. The acquired fleet was financed under our existing financing arrangements. In connection with these acquisitions, approximately $28 million was recorded to other intangibles related to license agreements. The license agreements are being amortized over a weighted average useful life of approximately one year. Differences between the preliminary allocation of purchase price and the final allocation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380" w:val="left"/>
        </w:tabs>
        <w:rPr>
          <w:sz w:val="20"/>
          <w:szCs w:val="20"/>
          <w:color w:val="auto"/>
        </w:rPr>
      </w:pPr>
      <w:r>
        <w:rPr>
          <w:rFonts w:ascii="Arial" w:cs="Arial" w:eastAsia="Arial" w:hAnsi="Arial"/>
          <w:sz w:val="18"/>
          <w:szCs w:val="18"/>
          <w:b w:val="1"/>
          <w:bCs w:val="1"/>
          <w:color w:val="auto"/>
        </w:rPr>
        <w:t>7.</w:t>
        <w:tab/>
        <w:t>Intangible Assets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2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2023</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As of December 31, 2022</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Net Carrying</w:t>
            </w: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94"/>
        </w:trPr>
        <w:tc>
          <w:tcPr>
            <w:tcW w:w="256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60" w:type="dxa"/>
            <w:vAlign w:val="bottom"/>
          </w:tcPr>
          <w:p>
            <w:pPr>
              <w:spacing w:after="0" w:line="218" w:lineRule="exact"/>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2560" w:type="dxa"/>
            <w:vAlign w:val="bottom"/>
          </w:tcPr>
          <w:p>
            <w:pPr>
              <w:spacing w:after="0" w:line="216" w:lineRule="exact"/>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2560" w:type="dxa"/>
            <w:vAlign w:val="bottom"/>
          </w:tcPr>
          <w:p>
            <w:pPr>
              <w:spacing w:after="0" w:line="217"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8"/>
        </w:trPr>
        <w:tc>
          <w:tcPr>
            <w:tcW w:w="2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2"/>
        </w:trPr>
        <w:tc>
          <w:tcPr>
            <w:tcW w:w="256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6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19" w:lineRule="auto"/>
        <w:tabs>
          <w:tab w:leader="none" w:pos="8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0 to 40 years with a weighted average life of 15 years.</w:t>
      </w:r>
    </w:p>
    <w:p>
      <w:pPr>
        <w:ind w:left="820" w:hanging="326"/>
        <w:spacing w:after="0" w:line="192" w:lineRule="auto"/>
        <w:tabs>
          <w:tab w:leader="none" w:pos="82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3 to 20 years with a weighted average life of 11 years.</w:t>
      </w:r>
    </w:p>
    <w:p>
      <w:pPr>
        <w:ind w:left="800" w:hanging="306"/>
        <w:spacing w:after="0" w:line="193" w:lineRule="auto"/>
        <w:tabs>
          <w:tab w:leader="none" w:pos="80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Primarily amortized over a period ranging from 2 to 10 years with a weighted average life of 9 years.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relating to all intangible assets was as follows: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vMerge w:val="restart"/>
          </w:tcPr>
          <w:p>
            <w:pPr>
              <w:spacing w:after="0"/>
              <w:rPr>
                <w:sz w:val="20"/>
                <w:szCs w:val="20"/>
                <w:color w:val="auto"/>
              </w:rPr>
            </w:pPr>
            <w:r>
              <w:rPr>
                <w:rFonts w:ascii="Arial" w:cs="Arial" w:eastAsia="Arial" w:hAnsi="Arial"/>
                <w:sz w:val="18"/>
                <w:szCs w:val="18"/>
                <w:color w:val="auto"/>
              </w:rPr>
              <w:t>License agreements</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540" w:type="dxa"/>
            <w:vAlign w:val="bottom"/>
            <w:vMerge w:val="continue"/>
          </w:tcPr>
          <w:p>
            <w:pPr>
              <w:spacing w:after="0"/>
              <w:rPr>
                <w:sz w:val="18"/>
                <w:szCs w:val="18"/>
                <w:color w:val="auto"/>
              </w:rPr>
            </w:pP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Based on our amortizable intangible assets at December 31, 2023, we expect related amortization expense of approximately $29 million for 2024, $23 million for 2025, $21 million for 2026, $15 million for 2027 and $11 million for 2028 excluding effects of currency exchange rates.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of goodwill and related changes are as follows: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540" w:type="dxa"/>
            <w:vAlign w:val="bottom"/>
            <w:vMerge w:val="restart"/>
          </w:tcPr>
          <w:p>
            <w:pPr>
              <w:spacing w:after="0"/>
              <w:rPr>
                <w:sz w:val="20"/>
                <w:szCs w:val="20"/>
                <w:color w:val="auto"/>
              </w:rPr>
            </w:pPr>
            <w:r>
              <w:rPr>
                <w:rFonts w:ascii="Arial" w:cs="Arial" w:eastAsia="Arial" w:hAnsi="Arial"/>
                <w:sz w:val="18"/>
                <w:szCs w:val="18"/>
                <w:color w:val="auto"/>
              </w:rPr>
              <w:t>Goodwill as of January 1, 2022</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218"/>
        </w:trPr>
        <w:tc>
          <w:tcPr>
            <w:tcW w:w="5540" w:type="dxa"/>
            <w:vAlign w:val="bottom"/>
            <w:vMerge w:val="continue"/>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35"/>
        </w:trPr>
        <w:tc>
          <w:tcPr>
            <w:tcW w:w="5540" w:type="dxa"/>
            <w:vAlign w:val="bottom"/>
          </w:tcPr>
          <w:p>
            <w:pPr>
              <w:ind w:left="200"/>
              <w:spacing w:after="0"/>
              <w:rPr>
                <w:sz w:val="20"/>
                <w:szCs w:val="20"/>
                <w:color w:val="auto"/>
              </w:rPr>
            </w:pPr>
            <w:r>
              <w:rPr>
                <w:rFonts w:ascii="Arial" w:cs="Arial" w:eastAsia="Arial" w:hAnsi="Arial"/>
                <w:sz w:val="18"/>
                <w:szCs w:val="18"/>
                <w:color w:val="auto"/>
              </w:rPr>
              <w:t>Accumulated impairment losses as of January 1, 2022</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8"/>
        </w:trPr>
        <w:tc>
          <w:tcPr>
            <w:tcW w:w="5540" w:type="dxa"/>
            <w:vAlign w:val="bottom"/>
          </w:tcPr>
          <w:p>
            <w:pPr>
              <w:spacing w:after="0"/>
              <w:rPr>
                <w:sz w:val="20"/>
                <w:szCs w:val="20"/>
                <w:color w:val="auto"/>
              </w:rPr>
            </w:pPr>
            <w:r>
              <w:rPr>
                <w:rFonts w:ascii="Arial" w:cs="Arial" w:eastAsia="Arial" w:hAnsi="Arial"/>
                <w:sz w:val="18"/>
                <w:szCs w:val="18"/>
                <w:color w:val="auto"/>
              </w:rPr>
              <w:t>Goodwill as of January 1, 2022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35"/>
        </w:trPr>
        <w:tc>
          <w:tcPr>
            <w:tcW w:w="55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8"/>
        </w:trPr>
        <w:tc>
          <w:tcPr>
            <w:tcW w:w="5540" w:type="dxa"/>
            <w:vAlign w:val="bottom"/>
          </w:tcPr>
          <w:p>
            <w:pPr>
              <w:spacing w:after="0"/>
              <w:rPr>
                <w:sz w:val="20"/>
                <w:szCs w:val="20"/>
                <w:color w:val="auto"/>
              </w:rPr>
            </w:pPr>
            <w:r>
              <w:rPr>
                <w:rFonts w:ascii="Arial" w:cs="Arial" w:eastAsia="Arial" w:hAnsi="Arial"/>
                <w:sz w:val="18"/>
                <w:szCs w:val="18"/>
                <w:color w:val="auto"/>
              </w:rPr>
              <w:t>Goodwill as of December 31, 2022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5540" w:type="dxa"/>
            <w:vAlign w:val="bottom"/>
          </w:tcPr>
          <w:p>
            <w:pPr>
              <w:ind w:left="200"/>
              <w:spacing w:after="0"/>
              <w:rPr>
                <w:sz w:val="20"/>
                <w:szCs w:val="20"/>
                <w:color w:val="auto"/>
              </w:rPr>
            </w:pPr>
            <w:r>
              <w:rPr>
                <w:rFonts w:ascii="Arial" w:cs="Arial" w:eastAsia="Arial" w:hAnsi="Arial"/>
                <w:sz w:val="18"/>
                <w:szCs w:val="18"/>
                <w:color w:val="auto"/>
              </w:rPr>
              <w:t>Currency translation adjustments and other</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Goodwill as of December 31, 2023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7720" w:type="dxa"/>
            <w:vAlign w:val="bottom"/>
            <w:gridSpan w:val="2"/>
          </w:tcPr>
          <w:p>
            <w:pPr>
              <w:ind w:left="60"/>
              <w:spacing w:after="0"/>
              <w:rPr>
                <w:sz w:val="20"/>
                <w:szCs w:val="20"/>
                <w:color w:val="auto"/>
              </w:rPr>
            </w:pPr>
            <w:r>
              <w:rPr>
                <w:rFonts w:ascii="Arial" w:cs="Arial" w:eastAsia="Arial" w:hAnsi="Arial"/>
                <w:sz w:val="18"/>
                <w:szCs w:val="18"/>
                <w:b w:val="1"/>
                <w:bCs w:val="1"/>
                <w:color w:val="auto"/>
              </w:rPr>
              <w:t>8.  Vehicle Rental Activities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The components of vehicles, net within assets under vehicle programs are as follows: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4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20" w:type="dxa"/>
            <w:vAlign w:val="bottom"/>
            <w:gridSpan w:val="2"/>
            <w:vMerge w:val="restart"/>
          </w:tcPr>
          <w:p>
            <w:pPr>
              <w:ind w:left="520"/>
              <w:spacing w:after="0"/>
              <w:rPr>
                <w:sz w:val="20"/>
                <w:szCs w:val="20"/>
                <w:color w:val="auto"/>
              </w:rPr>
            </w:pPr>
            <w:r>
              <w:rPr>
                <w:rFonts w:ascii="Arial" w:cs="Arial" w:eastAsia="Arial" w:hAnsi="Arial"/>
                <w:sz w:val="18"/>
                <w:szCs w:val="18"/>
                <w:color w:val="auto"/>
              </w:rPr>
              <w:t>Rental vehicles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8"/>
        </w:trPr>
        <w:tc>
          <w:tcPr>
            <w:tcW w:w="7720" w:type="dxa"/>
            <w:vAlign w:val="bottom"/>
            <w:gridSpan w:val="2"/>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23,114</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17,819</w:t>
            </w:r>
          </w:p>
        </w:tc>
        <w:tc>
          <w:tcPr>
            <w:tcW w:w="0" w:type="dxa"/>
            <w:vAlign w:val="bottom"/>
          </w:tcPr>
          <w:p>
            <w:pPr>
              <w:spacing w:after="0"/>
              <w:rPr>
                <w:sz w:val="1"/>
                <w:szCs w:val="1"/>
                <w:color w:val="auto"/>
              </w:rPr>
            </w:pPr>
          </w:p>
        </w:tc>
      </w:tr>
      <w:tr>
        <w:trPr>
          <w:trHeight w:val="235"/>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Vehicles held for sale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5"/>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Vehicles, net investment in lease</w:t>
            </w:r>
            <w:r>
              <w:rPr>
                <w:rFonts w:ascii="Arial" w:cs="Arial" w:eastAsia="Arial" w:hAnsi="Arial"/>
                <w:sz w:val="10"/>
                <w:szCs w:val="10"/>
                <w:color w:val="auto"/>
              </w:rPr>
              <w:t>(a)</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Vehicles,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29" w:lineRule="auto"/>
        <w:tabs>
          <w:tab w:leader="none" w:pos="76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See Note 17 – Related Party Transactions.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vMerge w:val="restart"/>
          </w:tcPr>
          <w:p>
            <w:pPr>
              <w:spacing w:after="0"/>
              <w:rPr>
                <w:sz w:val="20"/>
                <w:szCs w:val="20"/>
                <w:color w:val="auto"/>
              </w:rPr>
            </w:pPr>
            <w:r>
              <w:rPr>
                <w:rFonts w:ascii="Arial" w:cs="Arial" w:eastAsia="Arial" w:hAnsi="Arial"/>
                <w:sz w:val="18"/>
                <w:szCs w:val="18"/>
                <w:color w:val="auto"/>
              </w:rPr>
              <w:t>Depreciation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70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Lease charges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5"/>
        </w:trPr>
        <w:tc>
          <w:tcPr>
            <w:tcW w:w="570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At December 31, 2023, 2022 and 2021, we had payables related to vehicle purchases included in liabilities under vehicle programs - other of $287 million, $265 million, and $142 million, respectively, and receivables related to vehicle sales included in assets under vehicle programs - receivables from vehicle manufacturers and other of $237 million, $212 million, and $134 million,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6240" w:type="dxa"/>
            <w:vAlign w:val="bottom"/>
            <w:gridSpan w:val="2"/>
          </w:tcPr>
          <w:p>
            <w:pPr>
              <w:ind w:left="60"/>
              <w:spacing w:after="0"/>
              <w:rPr>
                <w:sz w:val="20"/>
                <w:szCs w:val="20"/>
                <w:color w:val="auto"/>
              </w:rPr>
            </w:pPr>
            <w:r>
              <w:rPr>
                <w:rFonts w:ascii="Arial" w:cs="Arial" w:eastAsia="Arial" w:hAnsi="Arial"/>
                <w:sz w:val="18"/>
                <w:szCs w:val="18"/>
                <w:b w:val="1"/>
                <w:bCs w:val="1"/>
                <w:color w:val="auto"/>
              </w:rPr>
              <w:t>9.  Income Taxes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40" w:type="dxa"/>
            <w:vAlign w:val="bottom"/>
            <w:gridSpan w:val="2"/>
          </w:tcPr>
          <w:p>
            <w:pPr>
              <w:ind w:left="500"/>
              <w:spacing w:after="0"/>
              <w:rPr>
                <w:sz w:val="20"/>
                <w:szCs w:val="20"/>
                <w:color w:val="auto"/>
              </w:rPr>
            </w:pPr>
            <w:r>
              <w:rPr>
                <w:rFonts w:ascii="Arial" w:cs="Arial" w:eastAsia="Arial" w:hAnsi="Arial"/>
                <w:sz w:val="18"/>
                <w:szCs w:val="18"/>
                <w:color w:val="auto"/>
              </w:rPr>
              <w:t>The provision for income taxes consists of the following:</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8"/>
          </w:tcPr>
          <w:p>
            <w:pPr>
              <w:jc w:val="center"/>
              <w:ind w:left="610"/>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4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Current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6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5"/>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Current income tax provision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20"/>
        </w:trPr>
        <w:tc>
          <w:tcPr>
            <w:tcW w:w="6240" w:type="dxa"/>
            <w:vAlign w:val="bottom"/>
            <w:gridSpan w:val="2"/>
          </w:tcPr>
          <w:p>
            <w:pPr>
              <w:ind w:left="520"/>
              <w:spacing w:after="0"/>
              <w:rPr>
                <w:sz w:val="20"/>
                <w:szCs w:val="20"/>
                <w:color w:val="auto"/>
              </w:rPr>
            </w:pPr>
            <w:r>
              <w:rPr>
                <w:rFonts w:ascii="Arial" w:cs="Arial" w:eastAsia="Arial" w:hAnsi="Arial"/>
                <w:sz w:val="18"/>
                <w:szCs w:val="18"/>
                <w:b w:val="1"/>
                <w:bCs w:val="1"/>
                <w:color w:val="auto"/>
              </w:rPr>
              <w:t>Deferred</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9"/>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5"/>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Deferred income tax provision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3"/>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ind w:left="500"/>
              <w:spacing w:after="0"/>
              <w:rPr>
                <w:sz w:val="20"/>
                <w:szCs w:val="20"/>
                <w:color w:val="auto"/>
              </w:rPr>
            </w:pPr>
            <w:r>
              <w:rPr>
                <w:rFonts w:ascii="Arial" w:cs="Arial" w:eastAsia="Arial" w:hAnsi="Arial"/>
                <w:sz w:val="18"/>
                <w:szCs w:val="18"/>
                <w:color w:val="auto"/>
              </w:rPr>
              <w:t>Income before income taxes is comprised of the following:</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0"/>
        </w:trPr>
        <w:tc>
          <w:tcPr>
            <w:tcW w:w="6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8"/>
          </w:tcPr>
          <w:p>
            <w:pPr>
              <w:jc w:val="center"/>
              <w:ind w:left="610"/>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40" w:type="dxa"/>
            <w:vAlign w:val="bottom"/>
            <w:gridSpan w:val="2"/>
            <w:vMerge w:val="restart"/>
          </w:tcPr>
          <w:p>
            <w:pPr>
              <w:ind w:left="520"/>
              <w:spacing w:after="0"/>
              <w:rPr>
                <w:sz w:val="20"/>
                <w:szCs w:val="20"/>
                <w:color w:val="auto"/>
              </w:rPr>
            </w:pPr>
            <w:r>
              <w:rPr>
                <w:rFonts w:ascii="Arial" w:cs="Arial" w:eastAsia="Arial" w:hAnsi="Arial"/>
                <w:sz w:val="18"/>
                <w:szCs w:val="18"/>
                <w:color w:val="auto"/>
              </w:rPr>
              <w:t>United States (U.S.)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6240" w:type="dxa"/>
            <w:vAlign w:val="bottom"/>
            <w:gridSpan w:val="2"/>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35"/>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344"/>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1,914</w:t>
            </w:r>
          </w:p>
        </w:tc>
        <w:tc>
          <w:tcPr>
            <w:tcW w:w="40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ind w:left="500"/>
              <w:spacing w:after="0"/>
              <w:rPr>
                <w:sz w:val="20"/>
                <w:szCs w:val="20"/>
                <w:color w:val="auto"/>
              </w:rPr>
            </w:pPr>
            <w:r>
              <w:rPr>
                <w:rFonts w:ascii="Arial" w:cs="Arial" w:eastAsia="Arial" w:hAnsi="Arial"/>
                <w:sz w:val="18"/>
                <w:szCs w:val="18"/>
                <w:color w:val="auto"/>
              </w:rPr>
              <w:t>Deferred income tax assets, net is comprised of the following: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6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6240" w:type="dxa"/>
            <w:vAlign w:val="bottom"/>
            <w:gridSpan w:val="2"/>
            <w:vMerge w:val="restart"/>
          </w:tcPr>
          <w:p>
            <w:pPr>
              <w:ind w:left="520"/>
              <w:spacing w:after="0"/>
              <w:rPr>
                <w:sz w:val="20"/>
                <w:szCs w:val="20"/>
                <w:color w:val="auto"/>
              </w:rPr>
            </w:pPr>
            <w:r>
              <w:rPr>
                <w:rFonts w:ascii="Arial" w:cs="Arial" w:eastAsia="Arial" w:hAnsi="Arial"/>
                <w:sz w:val="18"/>
                <w:szCs w:val="18"/>
                <w:i w:val="1"/>
                <w:iCs w:val="1"/>
                <w:color w:val="auto"/>
              </w:rPr>
              <w:t>Deferred income tax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4"/>
        </w:trPr>
        <w:tc>
          <w:tcPr>
            <w:tcW w:w="62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Net tax loss carryforwards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Accrued liabilities and deferred revenue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Tax credits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5"/>
        </w:trPr>
        <w:tc>
          <w:tcPr>
            <w:tcW w:w="6240" w:type="dxa"/>
            <w:vAlign w:val="bottom"/>
            <w:gridSpan w:val="2"/>
          </w:tcPr>
          <w:p>
            <w:pPr>
              <w:ind w:left="720"/>
              <w:spacing w:after="0" w:line="235" w:lineRule="exact"/>
              <w:rPr>
                <w:sz w:val="20"/>
                <w:szCs w:val="20"/>
                <w:color w:val="auto"/>
              </w:rPr>
            </w:pPr>
            <w:r>
              <w:rPr>
                <w:rFonts w:ascii="Arial" w:cs="Arial" w:eastAsia="Arial" w:hAnsi="Arial"/>
                <w:sz w:val="18"/>
                <w:szCs w:val="18"/>
                <w:color w:val="auto"/>
              </w:rPr>
              <w:t xml:space="preserve">Valuation allowance </w:t>
            </w:r>
            <w:r>
              <w:rPr>
                <w:rFonts w:ascii="Arial" w:cs="Arial" w:eastAsia="Arial" w:hAnsi="Arial"/>
                <w:sz w:val="23"/>
                <w:szCs w:val="23"/>
                <w:color w:val="auto"/>
                <w:vertAlign w:val="superscript"/>
              </w:rPr>
              <w:t>(a)</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Deferred income tax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366"/>
        </w:trPr>
        <w:tc>
          <w:tcPr>
            <w:tcW w:w="6240" w:type="dxa"/>
            <w:vAlign w:val="bottom"/>
            <w:gridSpan w:val="2"/>
          </w:tcPr>
          <w:p>
            <w:pPr>
              <w:ind w:left="520"/>
              <w:spacing w:after="0"/>
              <w:rPr>
                <w:sz w:val="20"/>
                <w:szCs w:val="20"/>
                <w:color w:val="auto"/>
              </w:rPr>
            </w:pPr>
            <w:r>
              <w:rPr>
                <w:rFonts w:ascii="Arial" w:cs="Arial" w:eastAsia="Arial" w:hAnsi="Arial"/>
                <w:sz w:val="18"/>
                <w:szCs w:val="18"/>
                <w:i w:val="1"/>
                <w:iCs w:val="1"/>
                <w:color w:val="auto"/>
              </w:rPr>
              <w:t>Deferred income tax liabilities: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5"/>
        </w:trPr>
        <w:tc>
          <w:tcPr>
            <w:tcW w:w="624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240" w:type="dxa"/>
            <w:vAlign w:val="bottom"/>
            <w:gridSpan w:val="2"/>
          </w:tcPr>
          <w:p>
            <w:pPr>
              <w:ind w:left="52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3"/>
        </w:trPr>
        <w:tc>
          <w:tcPr>
            <w:tcW w:w="6240" w:type="dxa"/>
            <w:vAlign w:val="bottom"/>
            <w:gridSpan w:val="2"/>
          </w:tcPr>
          <w:p>
            <w:pPr>
              <w:ind w:left="520"/>
              <w:spacing w:after="0"/>
              <w:rPr>
                <w:sz w:val="20"/>
                <w:szCs w:val="20"/>
                <w:color w:val="auto"/>
              </w:rPr>
            </w:pPr>
            <w:r>
              <w:rPr>
                <w:rFonts w:ascii="Arial" w:cs="Arial" w:eastAsia="Arial" w:hAnsi="Arial"/>
                <w:sz w:val="18"/>
                <w:szCs w:val="18"/>
                <w:b w:val="1"/>
                <w:bCs w:val="1"/>
                <w:color w:val="auto"/>
              </w:rPr>
              <w:t>Deferred income tax assets, net</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pacing w:after="0" w:line="39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8" w:right="91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820" w:hanging="326"/>
        <w:spacing w:after="0" w:line="230" w:lineRule="auto"/>
        <w:tabs>
          <w:tab w:leader="none" w:pos="845" w:val="left"/>
        </w:tabs>
        <w:numPr>
          <w:ilvl w:val="0"/>
          <w:numId w:val="38"/>
        </w:numPr>
        <w:rPr>
          <w:rFonts w:ascii="Arial" w:cs="Arial" w:eastAsia="Arial" w:hAnsi="Arial"/>
          <w:sz w:val="21"/>
          <w:szCs w:val="21"/>
          <w:color w:val="auto"/>
          <w:vertAlign w:val="superscript"/>
        </w:rPr>
      </w:pPr>
      <w:r>
        <w:rPr>
          <w:rFonts w:ascii="Arial" w:cs="Arial" w:eastAsia="Arial" w:hAnsi="Arial"/>
          <w:sz w:val="14"/>
          <w:szCs w:val="14"/>
          <w:color w:val="auto"/>
        </w:rPr>
        <w:t>The valuation allowance at December 31, 2023 relates to tax loss carryforwards and certain deferred tax assets of $100 million and $3 million, respectively. The valuation allowance at December 31, 2022 relates to tax loss carryforwards and certain deferred tax assets of $97 million and $4 million, respectively. The valuation allowances will be reduced when and if we determine it is more likely than not that the related deferred income tax assets will be realized.</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income tax assets and liabilities related to vehicle programs are comprised of the following:</w:t>
      </w: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i w:val="1"/>
                <w:iCs w:val="1"/>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5"/>
        </w:trPr>
        <w:tc>
          <w:tcPr>
            <w:tcW w:w="72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20"/>
        </w:trPr>
        <w:tc>
          <w:tcPr>
            <w:tcW w:w="7200" w:type="dxa"/>
            <w:vAlign w:val="bottom"/>
          </w:tcPr>
          <w:p>
            <w:pPr>
              <w:spacing w:after="0"/>
              <w:rPr>
                <w:sz w:val="20"/>
                <w:szCs w:val="20"/>
                <w:color w:val="auto"/>
              </w:rPr>
            </w:pPr>
            <w:r>
              <w:rPr>
                <w:rFonts w:ascii="Arial" w:cs="Arial" w:eastAsia="Arial" w:hAnsi="Arial"/>
                <w:sz w:val="18"/>
                <w:szCs w:val="18"/>
                <w:i w:val="1"/>
                <w:iCs w:val="1"/>
                <w:color w:val="auto"/>
              </w:rPr>
              <w:t>Deferred income tax liabilities: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35"/>
        </w:trPr>
        <w:tc>
          <w:tcPr>
            <w:tcW w:w="7200" w:type="dxa"/>
            <w:vAlign w:val="bottom"/>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b w:val="1"/>
                <w:bCs w:val="1"/>
                <w:color w:val="auto"/>
              </w:rPr>
              <w:t>Deferred income tax liabilities under vehicle programs,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At December 31, 2023, we had U.S. federal net operating loss carryforwards of approximately $4.9 billion. The majority of the net operating loss carryforwards have an indefinite utilization period pursuant to the Tax Act and a significant remaining portion expires by 2031. Such net operating loss carryforwards are primarily related to accelerated depreciation of our U.S. vehicles. Currently, we do not record valuation allowances on the majority of our U.S. federal tax loss carryforwards as there are adequate deferred tax liabilities that could be realized within the carryforward period. At December 31, 2023, we had foreign net operating loss carryforwards of approximately $1.0 billion, the majority of which has an indefinite utilization period.</w:t>
      </w:r>
    </w:p>
    <w:p>
      <w:pPr>
        <w:spacing w:after="0" w:line="12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At December 31, 2023, we had undistributed earnings of certain foreign subsidiaries of approximately $1.6 billion that we have indefinitely reinvested, and on which we have not recognized deferred taxes. Estimating the amount of potential tax is not practicable because of the complexity and variety of assumptions necessary to compute the tax.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reconciliation between the U.S. federal income tax statutory rate and our effective income tax rate is as follows:</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460" w:type="dxa"/>
            <w:vAlign w:val="bottom"/>
          </w:tcPr>
          <w:p>
            <w:pPr>
              <w:spacing w:after="0"/>
              <w:rPr>
                <w:sz w:val="20"/>
                <w:szCs w:val="20"/>
                <w:color w:val="auto"/>
              </w:rPr>
            </w:pPr>
          </w:p>
        </w:tc>
        <w:tc>
          <w:tcPr>
            <w:tcW w:w="3580" w:type="dxa"/>
            <w:vAlign w:val="bottom"/>
            <w:tcBorders>
              <w:bottom w:val="single" w:sz="8" w:color="auto"/>
            </w:tcBorders>
            <w:gridSpan w:val="5"/>
          </w:tcPr>
          <w:p>
            <w:pPr>
              <w:ind w:left="124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vMerge w:val="restart"/>
          </w:tcPr>
          <w:p>
            <w:pPr>
              <w:spacing w:after="0"/>
              <w:rPr>
                <w:sz w:val="20"/>
                <w:szCs w:val="20"/>
                <w:color w:val="auto"/>
              </w:rPr>
            </w:pPr>
            <w:r>
              <w:rPr>
                <w:rFonts w:ascii="Arial" w:cs="Arial" w:eastAsia="Arial" w:hAnsi="Arial"/>
                <w:sz w:val="18"/>
                <w:szCs w:val="18"/>
                <w:color w:val="auto"/>
              </w:rPr>
              <w:t>U.S. federal statutory rate</w:t>
            </w: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Adjustments to reconcile to the effective rate:</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State and local income taxes, net of federal tax benefits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460" w:type="dxa"/>
            <w:vAlign w:val="bottom"/>
          </w:tcPr>
          <w:p>
            <w:pPr>
              <w:ind w:left="180"/>
              <w:spacing w:after="0"/>
              <w:rPr>
                <w:sz w:val="20"/>
                <w:szCs w:val="20"/>
                <w:color w:val="auto"/>
              </w:rPr>
            </w:pPr>
            <w:r>
              <w:rPr>
                <w:rFonts w:ascii="Arial" w:cs="Arial" w:eastAsia="Arial" w:hAnsi="Arial"/>
                <w:sz w:val="18"/>
                <w:szCs w:val="18"/>
                <w:color w:val="auto"/>
              </w:rPr>
              <w:t>Changes in valuation allowances</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81"/>
        </w:trPr>
        <w:tc>
          <w:tcPr>
            <w:tcW w:w="5460" w:type="dxa"/>
            <w:vAlign w:val="bottom"/>
          </w:tcPr>
          <w:p>
            <w:pPr>
              <w:ind w:left="180"/>
              <w:spacing w:after="0" w:line="181" w:lineRule="exact"/>
              <w:rPr>
                <w:sz w:val="20"/>
                <w:szCs w:val="20"/>
                <w:color w:val="auto"/>
              </w:rPr>
            </w:pPr>
            <w:r>
              <w:rPr>
                <w:rFonts w:ascii="Arial" w:cs="Arial" w:eastAsia="Arial" w:hAnsi="Arial"/>
                <w:sz w:val="18"/>
                <w:szCs w:val="18"/>
                <w:color w:val="auto"/>
              </w:rPr>
              <w:t>Taxes on foreign operations at rates different than U.S. federal</w:t>
            </w:r>
          </w:p>
        </w:tc>
        <w:tc>
          <w:tcPr>
            <w:tcW w:w="1500" w:type="dxa"/>
            <w:vAlign w:val="bottom"/>
            <w:vMerge w:val="restart"/>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1480" w:type="dxa"/>
            <w:vAlign w:val="bottom"/>
            <w:vMerge w:val="restart"/>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vMerge w:val="restart"/>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5"/>
        </w:trPr>
        <w:tc>
          <w:tcPr>
            <w:tcW w:w="5460" w:type="dxa"/>
            <w:vAlign w:val="bottom"/>
          </w:tcPr>
          <w:p>
            <w:pPr>
              <w:ind w:left="340"/>
              <w:spacing w:after="0"/>
              <w:rPr>
                <w:sz w:val="20"/>
                <w:szCs w:val="20"/>
                <w:color w:val="auto"/>
              </w:rPr>
            </w:pPr>
            <w:r>
              <w:rPr>
                <w:rFonts w:ascii="Arial" w:cs="Arial" w:eastAsia="Arial" w:hAnsi="Arial"/>
                <w:sz w:val="18"/>
                <w:szCs w:val="18"/>
                <w:color w:val="auto"/>
              </w:rPr>
              <w:t>statutory rates</w:t>
            </w: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460" w:type="dxa"/>
            <w:vAlign w:val="bottom"/>
          </w:tcPr>
          <w:p>
            <w:pPr>
              <w:ind w:left="180"/>
              <w:spacing w:after="0" w:line="232" w:lineRule="exact"/>
              <w:rPr>
                <w:sz w:val="20"/>
                <w:szCs w:val="20"/>
                <w:color w:val="auto"/>
              </w:rPr>
            </w:pPr>
            <w:r>
              <w:rPr>
                <w:rFonts w:ascii="Arial" w:cs="Arial" w:eastAsia="Arial" w:hAnsi="Arial"/>
                <w:sz w:val="18"/>
                <w:szCs w:val="18"/>
                <w:color w:val="auto"/>
              </w:rPr>
              <w:t xml:space="preserve">Tax credits </w:t>
            </w:r>
            <w:r>
              <w:rPr>
                <w:rFonts w:ascii="Arial" w:cs="Arial" w:eastAsia="Arial" w:hAnsi="Arial"/>
                <w:sz w:val="23"/>
                <w:szCs w:val="23"/>
                <w:color w:val="auto"/>
                <w:vertAlign w:val="superscript"/>
              </w:rPr>
              <w:t>(a)</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7"/>
        </w:trPr>
        <w:tc>
          <w:tcPr>
            <w:tcW w:w="5460" w:type="dxa"/>
            <w:vAlign w:val="bottom"/>
          </w:tcPr>
          <w:p>
            <w:pPr>
              <w:ind w:left="180"/>
              <w:spacing w:after="0"/>
              <w:rPr>
                <w:sz w:val="20"/>
                <w:szCs w:val="20"/>
                <w:color w:val="auto"/>
              </w:rPr>
            </w:pPr>
            <w:r>
              <w:rPr>
                <w:rFonts w:ascii="Arial" w:cs="Arial" w:eastAsia="Arial" w:hAnsi="Arial"/>
                <w:sz w:val="18"/>
                <w:szCs w:val="18"/>
                <w:color w:val="auto"/>
              </w:rPr>
              <w:t>Other non-deductible (non-taxable) items</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5460" w:type="dxa"/>
            <w:vAlign w:val="bottom"/>
          </w:tcPr>
          <w:p>
            <w:pPr>
              <w:ind w:left="180"/>
              <w:spacing w:after="0" w:line="23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(a)</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w:t>
      </w:r>
    </w:p>
    <w:p>
      <w:pPr>
        <w:spacing w:after="0" w:line="29" w:lineRule="exact"/>
        <w:rPr>
          <w:sz w:val="20"/>
          <w:szCs w:val="20"/>
          <w:color w:val="auto"/>
        </w:rPr>
      </w:pPr>
    </w:p>
    <w:p>
      <w:pPr>
        <w:ind w:left="820" w:hanging="326"/>
        <w:spacing w:after="0" w:line="219" w:lineRule="auto"/>
        <w:tabs>
          <w:tab w:leader="none" w:pos="81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2022, we reclassified (0.4%) of certain tax credits to conform to the current year presentation. This reclassification had no impact to our reported effective income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tabular reconciliation of the gross amount of unrecognized tax benefits for the year:</w:t>
      </w:r>
    </w:p>
    <w:p>
      <w:pPr>
        <w:spacing w:after="0" w:line="50"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720" w:type="dxa"/>
            <w:vAlign w:val="bottom"/>
            <w:vMerge w:val="restart"/>
          </w:tcPr>
          <w:p>
            <w:pPr>
              <w:spacing w:after="0"/>
              <w:rPr>
                <w:sz w:val="20"/>
                <w:szCs w:val="20"/>
                <w:color w:val="auto"/>
              </w:rPr>
            </w:pPr>
            <w:r>
              <w:rPr>
                <w:rFonts w:ascii="Arial" w:cs="Arial" w:eastAsia="Arial" w:hAnsi="Arial"/>
                <w:sz w:val="18"/>
                <w:szCs w:val="18"/>
                <w:color w:val="auto"/>
              </w:rPr>
              <w:t>Balance, January 1</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720" w:type="dxa"/>
            <w:vAlign w:val="bottom"/>
            <w:vMerge w:val="continue"/>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Additions for tax positions related to current year</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Additions for tax positions for prior years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Reductions for tax positions for prior years</w:t>
            </w:r>
          </w:p>
        </w:tc>
        <w:tc>
          <w:tcPr>
            <w:tcW w:w="10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Statute of limitations</w:t>
            </w: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72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0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Balance, December 31</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anticipate that total unrecognized tax benefits will change significantly in 2024.</w:t>
      </w:r>
    </w:p>
    <w:p>
      <w:pPr>
        <w:spacing w:after="0" w:line="171"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are subject to taxation in the United States and various foreign jurisdictions. As of December 31, 2023, the 2007 through 2022 tax years generally remain subject to examination by the federal tax authorities. The 2012 through 2022 tax years generally remain subject to examination by various state tax authorities. In significant foreign jurisdictions, the 2012 through 2022 tax years generally remain subject to examination by their respective tax authorities.</w:t>
      </w:r>
    </w:p>
    <w:p>
      <w:pPr>
        <w:spacing w:after="0" w:line="1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Substantially all of the gross amount of the unrecognized tax benefits at December 31, 2023, 2022 and 2021, if recognized, would affect our provision for income taxes. As of December 31, 2023, our unrecognized tax benefits were offset by tax loss carryforwards and other deferred tax assets in the amount of $28 million.</w:t>
      </w:r>
    </w:p>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The following table presents unrecognized tax benefits:</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22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As of December 31,</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20" w:type="dxa"/>
            <w:vAlign w:val="bottom"/>
            <w:vMerge w:val="restart"/>
          </w:tcPr>
          <w:p>
            <w:pPr>
              <w:ind w:left="20"/>
              <w:spacing w:after="0"/>
              <w:rPr>
                <w:sz w:val="20"/>
                <w:szCs w:val="20"/>
                <w:color w:val="auto"/>
              </w:rPr>
            </w:pPr>
            <w:r>
              <w:rPr>
                <w:rFonts w:ascii="Arial" w:cs="Arial" w:eastAsia="Arial" w:hAnsi="Arial"/>
                <w:sz w:val="18"/>
                <w:szCs w:val="18"/>
                <w:color w:val="auto"/>
              </w:rPr>
              <w:t xml:space="preserve">Unrecognized tax benefits in current income taxes payable </w:t>
            </w:r>
            <w:r>
              <w:rPr>
                <w:rFonts w:ascii="Arial" w:cs="Arial" w:eastAsia="Arial" w:hAnsi="Arial"/>
                <w:sz w:val="23"/>
                <w:szCs w:val="23"/>
                <w:color w:val="auto"/>
                <w:vertAlign w:val="superscript"/>
              </w:rPr>
              <w:t>(a)</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20" w:type="dxa"/>
            <w:vAlign w:val="bottom"/>
            <w:vMerge w:val="continue"/>
          </w:tcPr>
          <w:p>
            <w:pPr>
              <w:spacing w:after="0"/>
              <w:rPr>
                <w:sz w:val="18"/>
                <w:szCs w:val="18"/>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Unrecognized tax benefits in non-current income taxes payable </w:t>
            </w:r>
            <w:r>
              <w:rPr>
                <w:rFonts w:ascii="Arial" w:cs="Arial" w:eastAsia="Arial" w:hAnsi="Arial"/>
                <w:sz w:val="23"/>
                <w:szCs w:val="23"/>
                <w:color w:val="auto"/>
                <w:vertAlign w:val="superscript"/>
              </w:rPr>
              <w:t>(a)</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1"/>
        </w:trPr>
        <w:tc>
          <w:tcPr>
            <w:tcW w:w="7220" w:type="dxa"/>
            <w:vAlign w:val="bottom"/>
          </w:tcPr>
          <w:p>
            <w:pPr>
              <w:ind w:left="20"/>
              <w:spacing w:after="0"/>
              <w:rPr>
                <w:sz w:val="20"/>
                <w:szCs w:val="20"/>
                <w:color w:val="auto"/>
              </w:rPr>
            </w:pPr>
            <w:r>
              <w:rPr>
                <w:rFonts w:ascii="Arial" w:cs="Arial" w:eastAsia="Arial" w:hAnsi="Arial"/>
                <w:sz w:val="18"/>
                <w:szCs w:val="18"/>
                <w:color w:val="auto"/>
              </w:rPr>
              <w:t xml:space="preserve">Accrued interest payable on potential tax liabilities </w:t>
            </w:r>
            <w:r>
              <w:rPr>
                <w:rFonts w:ascii="Arial" w:cs="Arial" w:eastAsia="Arial" w:hAnsi="Arial"/>
                <w:sz w:val="23"/>
                <w:szCs w:val="23"/>
                <w:color w:val="auto"/>
                <w:vertAlign w:val="superscript"/>
              </w:rPr>
              <w:t>(b)</w:t>
            </w: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5" w:lineRule="exact"/>
        <w:rPr>
          <w:sz w:val="20"/>
          <w:szCs w:val="20"/>
          <w:color w:val="auto"/>
        </w:rPr>
      </w:pPr>
    </w:p>
    <w:p>
      <w:pPr>
        <w:jc w:val="both"/>
        <w:ind w:left="820" w:hanging="326"/>
        <w:spacing w:after="0" w:line="224" w:lineRule="auto"/>
        <w:tabs>
          <w:tab w:leader="none" w:pos="813" w:val="left"/>
        </w:tabs>
        <w:numPr>
          <w:ilvl w:val="1"/>
          <w:numId w:val="40"/>
        </w:numPr>
        <w:rPr>
          <w:rFonts w:ascii="Arial" w:cs="Arial" w:eastAsia="Arial" w:hAnsi="Arial"/>
          <w:sz w:val="19"/>
          <w:szCs w:val="19"/>
          <w:color w:val="auto"/>
          <w:vertAlign w:val="superscript"/>
        </w:rPr>
      </w:pPr>
      <w:r>
        <w:rPr>
          <w:rFonts w:ascii="Arial" w:cs="Arial" w:eastAsia="Arial" w:hAnsi="Arial"/>
          <w:sz w:val="14"/>
          <w:szCs w:val="14"/>
          <w:color w:val="auto"/>
        </w:rPr>
        <w:t>Pursuant to the agreements governing the disposition of certain subsidiaries in 2006, we are entitled to indemnification for certain predisposition tax contingencies. As of December 31, 2023, $17 million of unrecognized tax benefits in current income taxes payable are related to tax contingencies which we believe we are entitled to indemnification. As of December 31, 2022, $13 million unrecognized tax benefits in non-current income taxes payable are related to tax contingencies for which we believe we are entitled to indemnification.</w:t>
      </w:r>
    </w:p>
    <w:p>
      <w:pPr>
        <w:spacing w:after="0" w:line="1" w:lineRule="exact"/>
        <w:rPr>
          <w:rFonts w:ascii="Arial" w:cs="Arial" w:eastAsia="Arial" w:hAnsi="Arial"/>
          <w:sz w:val="19"/>
          <w:szCs w:val="19"/>
          <w:color w:val="auto"/>
          <w:vertAlign w:val="superscript"/>
        </w:rPr>
      </w:pPr>
    </w:p>
    <w:p>
      <w:pPr>
        <w:jc w:val="both"/>
        <w:ind w:left="820" w:hanging="326"/>
        <w:spacing w:after="0" w:line="268" w:lineRule="auto"/>
        <w:tabs>
          <w:tab w:leader="none" w:pos="813" w:val="left"/>
        </w:tabs>
        <w:numPr>
          <w:ilvl w:val="1"/>
          <w:numId w:val="40"/>
        </w:numPr>
        <w:rPr>
          <w:rFonts w:ascii="Arial" w:cs="Arial" w:eastAsia="Arial" w:hAnsi="Arial"/>
          <w:sz w:val="9"/>
          <w:szCs w:val="9"/>
          <w:color w:val="auto"/>
        </w:rPr>
      </w:pPr>
      <w:r>
        <w:rPr>
          <w:rFonts w:ascii="Arial" w:cs="Arial" w:eastAsia="Arial" w:hAnsi="Arial"/>
          <w:sz w:val="14"/>
          <w:szCs w:val="14"/>
          <w:color w:val="auto"/>
        </w:rPr>
        <w:t>We recognize potential interest related to unrecognized tax benefits within interest expense related to corporate debt, net on the accompanying Consolidated Statements of Operations. Penalties incurred during the years ended December 31, 2023, 2022 and 2021, were not significant and were recognized as a component of the provision for income taxes</w:t>
      </w:r>
      <w:r>
        <w:rPr>
          <w:rFonts w:ascii="Arial" w:cs="Arial" w:eastAsia="Arial" w:hAnsi="Arial"/>
          <w:sz w:val="16"/>
          <w:szCs w:val="16"/>
          <w:color w:val="auto"/>
        </w:rPr>
        <w:t>.</w:t>
      </w:r>
    </w:p>
    <w:p>
      <w:pPr>
        <w:spacing w:after="0" w:line="194" w:lineRule="exact"/>
        <w:rPr>
          <w:rFonts w:ascii="Arial" w:cs="Arial" w:eastAsia="Arial" w:hAnsi="Arial"/>
          <w:sz w:val="9"/>
          <w:szCs w:val="9"/>
          <w:color w:val="auto"/>
        </w:rPr>
      </w:pPr>
    </w:p>
    <w:p>
      <w:pPr>
        <w:ind w:left="500" w:hanging="44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7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As of December 31,</w:t>
            </w: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color w:val="auto"/>
              </w:rPr>
              <w:t>Prepaid expenses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0" w:type="dxa"/>
            <w:vAlign w:val="bottom"/>
            <w:vMerge w:val="continue"/>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Sales and use taxes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Other current assets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7720" w:type="dxa"/>
            <w:vAlign w:val="bottom"/>
            <w:gridSpan w:val="2"/>
          </w:tcPr>
          <w:p>
            <w:pPr>
              <w:ind w:left="60"/>
              <w:spacing w:after="0"/>
              <w:rPr>
                <w:sz w:val="20"/>
                <w:szCs w:val="20"/>
                <w:color w:val="auto"/>
              </w:rPr>
            </w:pPr>
            <w:r>
              <w:rPr>
                <w:rFonts w:ascii="Arial" w:cs="Arial" w:eastAsia="Arial" w:hAnsi="Arial"/>
                <w:sz w:val="18"/>
                <w:szCs w:val="18"/>
                <w:b w:val="1"/>
                <w:bCs w:val="1"/>
                <w:color w:val="auto"/>
              </w:rPr>
              <w:t>11.  Property and Equipment, net</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Property and equipment, net consisted of:</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720" w:type="dxa"/>
            <w:vAlign w:val="bottom"/>
            <w:gridSpan w:val="2"/>
            <w:vMerge w:val="restart"/>
          </w:tcPr>
          <w:p>
            <w:pPr>
              <w:ind w:left="5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8"/>
        </w:trPr>
        <w:tc>
          <w:tcPr>
            <w:tcW w:w="7720" w:type="dxa"/>
            <w:vAlign w:val="bottom"/>
            <w:gridSpan w:val="2"/>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Projects in process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5"/>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Buses and support vehicles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5"/>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3"/>
        </w:trPr>
        <w:tc>
          <w:tcPr>
            <w:tcW w:w="772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Depreciation and amortization expense relating to property and equipment during 2023, 2022 and 2021 was $187 million, $181 million, and $205 million, respectively (including $101 million, $115 million, and $105 million, respectively, of amortization expense relating to capitalized software). At December 31, 2023, we had payables related to property and equipment included in accounts payable and other current liabilities and in other non-current liabilities of $18 million and $6 million, respectively. At December 31, 2022, we had payables related to property and equipment included in accounts payable and other current liabilities and in other non-current liabilities of $19 million and $1 million, respectively.</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7660" w:type="dxa"/>
            <w:vAlign w:val="bottom"/>
          </w:tcPr>
          <w:p>
            <w:pPr>
              <w:spacing w:after="0"/>
              <w:rPr>
                <w:sz w:val="20"/>
                <w:szCs w:val="20"/>
                <w:color w:val="auto"/>
              </w:rPr>
            </w:pPr>
            <w:r>
              <w:rPr>
                <w:rFonts w:ascii="Arial" w:cs="Arial" w:eastAsia="Arial" w:hAnsi="Arial"/>
                <w:sz w:val="18"/>
                <w:szCs w:val="18"/>
                <w:b w:val="1"/>
                <w:bCs w:val="1"/>
                <w:color w:val="auto"/>
              </w:rPr>
              <w:t>12.  Accounts Payable and Other Current Liabilities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7660" w:type="dxa"/>
            <w:vAlign w:val="bottom"/>
          </w:tcPr>
          <w:p>
            <w:pPr>
              <w:ind w:left="440"/>
              <w:spacing w:after="0"/>
              <w:rPr>
                <w:sz w:val="20"/>
                <w:szCs w:val="20"/>
                <w:color w:val="auto"/>
              </w:rPr>
            </w:pPr>
            <w:r>
              <w:rPr>
                <w:rFonts w:ascii="Arial" w:cs="Arial" w:eastAsia="Arial" w:hAnsi="Arial"/>
                <w:sz w:val="18"/>
                <w:szCs w:val="18"/>
                <w:color w:val="auto"/>
              </w:rPr>
              <w:t>Accounts payable and other current liabilities consisted of:</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6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660" w:type="dxa"/>
            <w:vAlign w:val="bottom"/>
            <w:vMerge w:val="restart"/>
          </w:tcPr>
          <w:p>
            <w:pPr>
              <w:ind w:left="460"/>
              <w:spacing w:after="0"/>
              <w:rPr>
                <w:sz w:val="20"/>
                <w:szCs w:val="20"/>
                <w:color w:val="auto"/>
              </w:rPr>
            </w:pPr>
            <w:r>
              <w:rPr>
                <w:rFonts w:ascii="Arial" w:cs="Arial" w:eastAsia="Arial" w:hAnsi="Arial"/>
                <w:sz w:val="18"/>
                <w:szCs w:val="18"/>
                <w:color w:val="auto"/>
              </w:rPr>
              <w:t>Short-term operating lease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8"/>
        </w:trPr>
        <w:tc>
          <w:tcPr>
            <w:tcW w:w="766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Accrued advertising and marketing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Accrued sales and use taxes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Accrued payroll and related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7660" w:type="dxa"/>
            <w:vAlign w:val="bottom"/>
          </w:tcPr>
          <w:p>
            <w:pPr>
              <w:ind w:left="460"/>
              <w:spacing w:after="0"/>
              <w:rPr>
                <w:sz w:val="20"/>
                <w:szCs w:val="20"/>
                <w:color w:val="auto"/>
              </w:rPr>
            </w:pPr>
            <w:r>
              <w:rPr>
                <w:rFonts w:ascii="Arial" w:cs="Arial" w:eastAsia="Arial" w:hAnsi="Arial"/>
                <w:sz w:val="18"/>
                <w:szCs w:val="18"/>
                <w:color w:val="auto"/>
              </w:rPr>
              <w:t>Deferred lease revenues – current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7660" w:type="dxa"/>
            <w:vAlign w:val="bottom"/>
          </w:tcPr>
          <w:p>
            <w:pPr>
              <w:ind w:left="46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5"/>
        </w:trPr>
        <w:tc>
          <w:tcPr>
            <w:tcW w:w="7660" w:type="dxa"/>
            <w:vAlign w:val="bottom"/>
          </w:tcPr>
          <w:p>
            <w:pPr>
              <w:ind w:left="4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3"/>
        </w:trPr>
        <w:tc>
          <w:tcPr>
            <w:tcW w:w="7660" w:type="dxa"/>
            <w:vAlign w:val="bottom"/>
          </w:tcPr>
          <w:p>
            <w:pPr>
              <w:ind w:left="46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5660" w:hanging="442"/>
        <w:spacing w:after="0" w:line="417" w:lineRule="auto"/>
        <w:tabs>
          <w:tab w:leader="none" w:pos="514"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tbl>
      <w:tblPr>
        <w:tblLayout w:type="fixed"/>
        <w:tblInd w:w="52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3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line="20" w:lineRule="exact"/>
              <w:rPr>
                <w:sz w:val="1"/>
                <w:szCs w:val="1"/>
                <w:color w:val="auto"/>
              </w:rPr>
            </w:pPr>
          </w:p>
        </w:tc>
      </w:tr>
      <w:tr>
        <w:trPr>
          <w:trHeight w:val="216"/>
        </w:trPr>
        <w:tc>
          <w:tcPr>
            <w:tcW w:w="5500" w:type="dxa"/>
            <w:vAlign w:val="bottom"/>
            <w:vMerge w:val="restart"/>
          </w:tcPr>
          <w:p>
            <w:pPr>
              <w:spacing w:after="0"/>
              <w:rPr>
                <w:sz w:val="20"/>
                <w:szCs w:val="20"/>
                <w:color w:val="auto"/>
              </w:rPr>
            </w:pPr>
            <w:r>
              <w:rPr>
                <w:rFonts w:ascii="Arial" w:cs="Arial" w:eastAsia="Arial" w:hAnsi="Arial"/>
                <w:sz w:val="16"/>
                <w:szCs w:val="16"/>
                <w:color w:val="auto"/>
              </w:rPr>
              <w:t>4.125% euro-denominated Senior Notes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00" w:type="dxa"/>
            <w:vAlign w:val="bottom"/>
            <w:vMerge w:val="continue"/>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November 2024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4.500%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4.750%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5.750%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4.750%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5.375%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7.250% euro-denominated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July 2030</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6"/>
                <w:szCs w:val="16"/>
                <w:color w:val="auto"/>
              </w:rPr>
              <w:t>8.000% Senior Notes</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2031</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50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1,176</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2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6"/>
        </w:trPr>
        <w:tc>
          <w:tcPr>
            <w:tcW w:w="550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6"/>
                <w:szCs w:val="16"/>
                <w:color w:val="auto"/>
              </w:rPr>
              <w:t>Total</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4,671</w:t>
            </w:r>
          </w:p>
        </w:tc>
        <w:tc>
          <w:tcPr>
            <w:tcW w:w="0" w:type="dxa"/>
            <w:vAlign w:val="bottom"/>
          </w:tcPr>
          <w:p>
            <w:pPr>
              <w:spacing w:after="0"/>
              <w:rPr>
                <w:sz w:val="1"/>
                <w:szCs w:val="1"/>
                <w:color w:val="auto"/>
              </w:rPr>
            </w:pPr>
          </w:p>
        </w:tc>
      </w:tr>
      <w:tr>
        <w:trPr>
          <w:trHeight w:val="215"/>
        </w:trPr>
        <w:tc>
          <w:tcPr>
            <w:tcW w:w="550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Arial" w:cs="Arial" w:eastAsia="Arial" w:hAnsi="Arial"/>
                <w:sz w:val="16"/>
                <w:szCs w:val="16"/>
                <w:color w:val="auto"/>
              </w:rPr>
              <w:t>Long-term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spacing w:after="0" w:line="15" w:lineRule="exact"/>
        <w:rPr>
          <w:sz w:val="20"/>
          <w:szCs w:val="20"/>
          <w:color w:val="auto"/>
        </w:rPr>
      </w:pPr>
    </w:p>
    <w:p>
      <w:pPr>
        <w:ind w:left="820" w:hanging="326"/>
        <w:spacing w:after="0" w:line="227" w:lineRule="auto"/>
        <w:tabs>
          <w:tab w:leader="none" w:pos="813"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loans are part of our senior revolving credit facility, which is secured by pledges of capital stock of certain of our subsidiaries, and liens on substantially all of our intellectual property and certain other real and personal property.</w:t>
      </w:r>
    </w:p>
    <w:p>
      <w:pPr>
        <w:ind w:left="820" w:hanging="326"/>
        <w:spacing w:after="0" w:line="193" w:lineRule="auto"/>
        <w:tabs>
          <w:tab w:leader="none" w:pos="82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Term Loan</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Floating Rate Term Loan due 2027. </w:t>
      </w:r>
      <w:r>
        <w:rPr>
          <w:rFonts w:ascii="Arial" w:cs="Arial" w:eastAsia="Arial" w:hAnsi="Arial"/>
          <w:sz w:val="18"/>
          <w:szCs w:val="18"/>
          <w:color w:val="auto"/>
        </w:rPr>
        <w:t>In February 2020, we amended our Floating Rate Term Loan and extended its maturity term to</w:t>
      </w:r>
      <w:r>
        <w:rPr>
          <w:rFonts w:ascii="Arial" w:cs="Arial" w:eastAsia="Arial" w:hAnsi="Arial"/>
          <w:sz w:val="18"/>
          <w:szCs w:val="18"/>
          <w:i w:val="1"/>
          <w:iCs w:val="1"/>
          <w:color w:val="auto"/>
        </w:rPr>
        <w:t xml:space="preserve"> </w:t>
      </w:r>
      <w:r>
        <w:rPr>
          <w:rFonts w:ascii="Arial" w:cs="Arial" w:eastAsia="Arial" w:hAnsi="Arial"/>
          <w:sz w:val="18"/>
          <w:szCs w:val="18"/>
          <w:color w:val="auto"/>
        </w:rPr>
        <w:t>2027. As of December 31, 2023, the loan bears interest at one-month Secured Overnight Financing Rate (“SOFR”) plus 1.75%, for an aggregate rate of 7.22%; however, we entered into an interest rate swap to hedge $750 million of our interest rate exposure related to the floating rate term loan at an aggregate rate of 3.26%.</w:t>
      </w:r>
    </w:p>
    <w:p>
      <w:pPr>
        <w:spacing w:after="0" w:line="12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Floating Rate Term Loan due 2029. </w:t>
      </w:r>
      <w:r>
        <w:rPr>
          <w:rFonts w:ascii="Arial" w:cs="Arial" w:eastAsia="Arial" w:hAnsi="Arial"/>
          <w:sz w:val="18"/>
          <w:szCs w:val="18"/>
          <w:color w:val="auto"/>
        </w:rPr>
        <w:t>In March 2022, we entered into a $750 million Floating Rate Term Loan due March 2029, at a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97% of the aggregate principal amount, with interest paid monthly. In December 2023, we redeemed approximately $200 million of our outstanding balance using the proceeds from the issuance of our 8.000% Senior Notes due February 2031. The Term Loan bears interest at one-month SOFR plus 3.00% for an aggregate rate of 8.46%.</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Notes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4.125% euro-denominated Senior Notes due 2024. </w:t>
      </w:r>
      <w:r>
        <w:rPr>
          <w:rFonts w:ascii="Arial" w:cs="Arial" w:eastAsia="Arial" w:hAnsi="Arial"/>
          <w:sz w:val="18"/>
          <w:szCs w:val="18"/>
          <w:color w:val="auto"/>
        </w:rPr>
        <w:t>In September 2016, we issued €300 million of 4.125%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2024 at par, with interest payable semi-annually. We have the right to redeem these notes in whole or in part at any time on or after November 15, 2019 at specified redemption prices plus accrued interest. In October 2016, we used the net proceeds from the offering primarily to redeem €275 million of our outstanding 6.000% euro-denominated Senior Notes due 2021. We redeemed these notes in September 2023 using the proceeds from our 7.250% euro-denominated Senior Notes due July 2030.</w:t>
      </w:r>
    </w:p>
    <w:p>
      <w:pPr>
        <w:spacing w:after="0" w:line="20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4.500% euro-denominated Senior Notes due 2025. </w:t>
      </w:r>
      <w:r>
        <w:rPr>
          <w:rFonts w:ascii="Arial" w:cs="Arial" w:eastAsia="Arial" w:hAnsi="Arial"/>
          <w:sz w:val="18"/>
          <w:szCs w:val="18"/>
          <w:color w:val="auto"/>
        </w:rPr>
        <w:t>In March 2017, we issued €250 million of 4.500% euro-denominated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due 2025, at par, with interest payable semi-annually. We have the right to redeem these notes in whole or in part on or after May 15, 2020 at specified redemption prices plus accrued interest. In April 2017, we used the net proceeds from the offering to redeem our outstanding €175 million principal amount of 6.000% euro-denominated Senior Notes due 2021 for €180 million plus accrued interest. In June 2017, we used the remaining proceeds to redeem a portion of our Floating Rate Senior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Notes due 2017. We redeemed these notes in November 2023 using the proceeds from our 8.000% Senior Notes due February 2031.</w:t>
      </w:r>
    </w:p>
    <w:p>
      <w:pPr>
        <w:spacing w:after="0" w:line="25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4.750% euro-denominated Senior Notes due 2026. </w:t>
      </w:r>
      <w:r>
        <w:rPr>
          <w:rFonts w:ascii="Arial" w:cs="Arial" w:eastAsia="Arial" w:hAnsi="Arial"/>
          <w:sz w:val="18"/>
          <w:szCs w:val="18"/>
          <w:color w:val="auto"/>
        </w:rPr>
        <w:t>In October 2018, we issued €350 million of 4.750%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2026, at par, with interest payable semi-annually. We have the right to redeem these notes in whole or in part on or after September 30, 2021 at specified redemption prices plus accrued interest. In October 2018, we used the net proceeds from the offering to redeem our 5.125% Senior Notes due June 2022 for $410 million plus accrued interest.</w:t>
      </w:r>
    </w:p>
    <w:p>
      <w:pPr>
        <w:spacing w:after="0" w:line="20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5.750% Senior Notes due 2027. </w:t>
      </w:r>
      <w:r>
        <w:rPr>
          <w:rFonts w:ascii="Arial" w:cs="Arial" w:eastAsia="Arial" w:hAnsi="Arial"/>
          <w:sz w:val="18"/>
          <w:szCs w:val="18"/>
          <w:color w:val="auto"/>
        </w:rPr>
        <w:t>In July 2019, we issued $400 million of 5.750% Senior Notes due July 2027,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semi-annually. We used the net proceeds from the offering to redeem $400 million principal amount of our 5.500% Senior Notes due April 2023. In August 2020, we issued $350 million of additional 5.750% Senior Notes due July 2027, at 92% of face value, under the indenture governing our existing 5.750% Senior Notes. We used the proceeds from this offering to redeem the outstanding $100 million in aggregate principal amount of our 5.500% Senior Notes due 2023, with the remainder being used for general corporate purposes.</w:t>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4.750% Senior Notes due 2028. </w:t>
      </w:r>
      <w:r>
        <w:rPr>
          <w:rFonts w:ascii="Arial" w:cs="Arial" w:eastAsia="Arial" w:hAnsi="Arial"/>
          <w:sz w:val="18"/>
          <w:szCs w:val="18"/>
          <w:color w:val="auto"/>
        </w:rPr>
        <w:t>In March 2021, we issued $500 million of 4.750% Senior Notes due April 2028,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paid semiannually. We have the right to redeem these notes in whole or in part at any time on or after April 1, 2024 at specified redemption prices plus accrued interest. Net proceeds, together with cash on hand, were used to redeem all of the outstanding 6.375% Senior Notes due 2024 for $356 million plus accrued interest and a portion of our outstanding 5.250% Senior Notes due 2025 for $142 million plus accrued interest.</w:t>
      </w:r>
    </w:p>
    <w:p>
      <w:pPr>
        <w:spacing w:after="0" w:line="20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5.375% Senior Notes due 2029. </w:t>
      </w:r>
      <w:r>
        <w:rPr>
          <w:rFonts w:ascii="Arial" w:cs="Arial" w:eastAsia="Arial" w:hAnsi="Arial"/>
          <w:sz w:val="18"/>
          <w:szCs w:val="18"/>
          <w:color w:val="auto"/>
        </w:rPr>
        <w:t>In March 2021, we issued $600 million of 5.375% Senior Notes due March 2029, at par, with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paid semiannually. We have the right to redeem these notes in whole or in part at any time on or after March 1, 2024 at specified redemption prices plus accrued interest. Net proceeds, together with cash on hand, were used to redeem all of the outstanding 10.500% Senior Secured Notes due 2025 for $599 million plus accrued interest.</w:t>
      </w:r>
    </w:p>
    <w:p>
      <w:pPr>
        <w:spacing w:after="0" w:line="203"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7.250% euro-denominated Senior Notes due July 2030</w:t>
      </w:r>
      <w:r>
        <w:rPr>
          <w:rFonts w:ascii="Arial" w:cs="Arial" w:eastAsia="Arial" w:hAnsi="Arial"/>
          <w:sz w:val="18"/>
          <w:szCs w:val="18"/>
          <w:color w:val="auto"/>
        </w:rPr>
        <w:t>. In July 2023, we issued €400 million of 7.250% euro-denominated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July 2030, at par, with interest payable semi-annually. We have the right to redeem these notes in whole or in part at any time on or after July 2026 at a specified redemption price plus accrued interest. In September 2023, we used net proceeds from the offering primarily to redeem all of the €300 million of our outstanding 4.125% euro-denominated Senior Notes due 2024 plus accrued interest.</w:t>
      </w:r>
    </w:p>
    <w:p>
      <w:pPr>
        <w:spacing w:after="0" w:line="206"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8.000% Senior Notes due February 2031</w:t>
      </w:r>
      <w:r>
        <w:rPr>
          <w:rFonts w:ascii="Arial" w:cs="Arial" w:eastAsia="Arial" w:hAnsi="Arial"/>
          <w:sz w:val="18"/>
          <w:szCs w:val="18"/>
          <w:color w:val="auto"/>
        </w:rPr>
        <w:t>. In November 2023, we issued $ 500 million of 8.000% Senior Notes due February 2031, at</w:t>
      </w:r>
      <w:r>
        <w:rPr>
          <w:rFonts w:ascii="Arial" w:cs="Arial" w:eastAsia="Arial" w:hAnsi="Arial"/>
          <w:sz w:val="18"/>
          <w:szCs w:val="18"/>
          <w:i w:val="1"/>
          <w:iCs w:val="1"/>
          <w:color w:val="auto"/>
        </w:rPr>
        <w:t xml:space="preserve"> </w:t>
      </w:r>
      <w:r>
        <w:rPr>
          <w:rFonts w:ascii="Arial" w:cs="Arial" w:eastAsia="Arial" w:hAnsi="Arial"/>
          <w:sz w:val="18"/>
          <w:szCs w:val="18"/>
          <w:color w:val="auto"/>
        </w:rPr>
        <w:t>99.3% of face value, with interest payable semi-annually. We have the right to redeem these notes in whole or in part at any time on or after November 2026 at a specified redemption price plus accrued interest. Net proceeds were used to fully redeem our 4.500% euro-denominated Senior Notes due 2025 and a portion of our outstanding balance on our Term Loan due 2029, with the remainder being used for general corporate purposes.</w:t>
      </w:r>
    </w:p>
    <w:p>
      <w:pPr>
        <w:spacing w:after="0" w:line="20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In connection with the debt amendments and repayments for the years ended December 31, 2023 and 2021, we recorded $5 million and $136 million in early extinguishment of debt costs, respectively.</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5.750% Senior Notes, the 4.750% Senior Notes, the 5.375% Senior Notes and the 8.000% Senior Notes are senior unsecured obligations of our Avis Budget Car Rental, LLC (“ABCR”) subsidiary, are guaranteed by us and certain of our domestic subsidiaries and rank equally in right of payment with all of our existing and future senior unsecured indebtedness.</w:t>
      </w:r>
    </w:p>
    <w:p>
      <w:pPr>
        <w:spacing w:after="0" w:line="19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4.125% euro-denominated Senior Notes and 4.500% euro-denominated Senior Notes were, and the 4.750% euro-denominated Senior Notes and the 7.250% euro-denominated Senior Notes are, unsecured obligations of our Avis Budget Finance plc subsidiary, and are (or were) guaranteed on a senior basis by us and certain of our domestic subsidiaries and rank (or ranked) equally with all of our existing senior unsecured debt.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8740" w:type="dxa"/>
            <w:vAlign w:val="bottom"/>
          </w:tcPr>
          <w:p>
            <w:pPr>
              <w:spacing w:after="0"/>
              <w:rPr>
                <w:sz w:val="20"/>
                <w:szCs w:val="20"/>
                <w:color w:val="auto"/>
              </w:rPr>
            </w:pPr>
            <w:r>
              <w:rPr>
                <w:rFonts w:ascii="Arial" w:cs="Arial" w:eastAsia="Arial" w:hAnsi="Arial"/>
                <w:sz w:val="18"/>
                <w:szCs w:val="18"/>
                <w:b w:val="1"/>
                <w:bCs w:val="1"/>
                <w:color w:val="auto"/>
              </w:rPr>
              <w:t>Debt Maturities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370"/>
        </w:trPr>
        <w:tc>
          <w:tcPr>
            <w:tcW w:w="8740" w:type="dxa"/>
            <w:vAlign w:val="bottom"/>
          </w:tcPr>
          <w:p>
            <w:pPr>
              <w:spacing w:after="0"/>
              <w:rPr>
                <w:sz w:val="20"/>
                <w:szCs w:val="20"/>
                <w:color w:val="auto"/>
              </w:rPr>
            </w:pPr>
            <w:r>
              <w:rPr>
                <w:rFonts w:ascii="Arial" w:cs="Arial" w:eastAsia="Arial" w:hAnsi="Arial"/>
                <w:sz w:val="18"/>
                <w:szCs w:val="18"/>
                <w:color w:val="auto"/>
              </w:rPr>
              <w:t>The following table provides contractual maturities of our corporate debt at December 31, 2023:</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Year</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18"/>
        </w:trPr>
        <w:tc>
          <w:tcPr>
            <w:tcW w:w="8740" w:type="dxa"/>
            <w:vAlign w:val="bottom"/>
          </w:tcPr>
          <w:p>
            <w:pPr>
              <w:ind w:left="20"/>
              <w:spacing w:after="0" w:line="218" w:lineRule="exact"/>
              <w:rPr>
                <w:sz w:val="20"/>
                <w:szCs w:val="20"/>
                <w:color w:val="auto"/>
              </w:rPr>
            </w:pPr>
            <w:r>
              <w:rPr>
                <w:rFonts w:ascii="Arial" w:cs="Arial" w:eastAsia="Arial" w:hAnsi="Arial"/>
                <w:sz w:val="18"/>
                <w:szCs w:val="18"/>
                <w:color w:val="auto"/>
              </w:rPr>
              <w:t xml:space="preserve">2024 </w:t>
            </w:r>
            <w:r>
              <w:rPr>
                <w:rFonts w:ascii="Arial" w:cs="Arial" w:eastAsia="Arial" w:hAnsi="Arial"/>
                <w:sz w:val="23"/>
                <w:szCs w:val="23"/>
                <w:color w:val="auto"/>
                <w:vertAlign w:val="superscript"/>
              </w:rPr>
              <w:t>(a)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74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35"/>
        </w:trPr>
        <w:tc>
          <w:tcPr>
            <w:tcW w:w="8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r>
      <w:tr>
        <w:trPr>
          <w:trHeight w:val="223"/>
        </w:trPr>
        <w:tc>
          <w:tcPr>
            <w:tcW w:w="87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w:t>
            </w:r>
          </w:p>
        </w:tc>
      </w:tr>
      <w:tr>
        <w:trPr>
          <w:trHeight w:val="21"/>
        </w:trPr>
        <w:tc>
          <w:tcPr>
            <w:tcW w:w="8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These short-term borrowings have weighted average interest rates which range from 6.19% to 6.68% as of December 31, 2023.</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2023, the committed corporate credit facilities available to us and/or our subsidiaries were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 Capacity</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15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Letters of Credit</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Borrowings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78"/>
        </w:trPr>
        <w:tc>
          <w:tcPr>
            <w:tcW w:w="4180" w:type="dxa"/>
            <w:vAlign w:val="bottom"/>
          </w:tcPr>
          <w:p>
            <w:pPr>
              <w:spacing w:after="0"/>
              <w:rPr>
                <w:sz w:val="20"/>
                <w:szCs w:val="20"/>
                <w:color w:val="auto"/>
              </w:rPr>
            </w:pPr>
            <w:r>
              <w:rPr>
                <w:rFonts w:ascii="Arial" w:cs="Arial" w:eastAsia="Arial" w:hAnsi="Arial"/>
                <w:sz w:val="16"/>
                <w:szCs w:val="16"/>
                <w:color w:val="auto"/>
              </w:rPr>
              <w:t xml:space="preserve">Senior revolving credit facility maturing 2028 </w:t>
            </w:r>
            <w:r>
              <w:rPr>
                <w:rFonts w:ascii="Arial" w:cs="Arial" w:eastAsia="Arial" w:hAnsi="Arial"/>
                <w:sz w:val="21"/>
                <w:szCs w:val="21"/>
                <w:color w:val="auto"/>
                <w:vertAlign w:val="superscript"/>
              </w:rPr>
              <w:t>(a)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1,739</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jc w:val="both"/>
        <w:ind w:left="820" w:hanging="326"/>
        <w:spacing w:after="0" w:line="244" w:lineRule="auto"/>
        <w:tabs>
          <w:tab w:leader="none" w:pos="813"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1.75% and is part of our senior credit facilities, which include the floating rate term loan and the senior revolving credit facility, and which are secured by pledges of capital stock of certain of our subsidiaries, and liens on substantially all of our intellectual property and certain other real and personal property. In December 2023, we amended our senior revolving credit facility and extended its maturity term to December 2028.</w:t>
      </w:r>
    </w:p>
    <w:p>
      <w:pPr>
        <w:spacing w:after="0" w:line="20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5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December 31, 2023, we were in compliance with the financial covenants governing our indebtedness.</w:t>
      </w:r>
    </w:p>
    <w:p>
      <w:pPr>
        <w:spacing w:after="0" w:line="203" w:lineRule="exact"/>
        <w:rPr>
          <w:sz w:val="20"/>
          <w:szCs w:val="20"/>
          <w:color w:val="auto"/>
        </w:rPr>
      </w:pPr>
    </w:p>
    <w:p>
      <w:pPr>
        <w:ind w:left="500" w:hanging="44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171" w:lineRule="exact"/>
        <w:rPr>
          <w:rFonts w:ascii="Arial" w:cs="Arial" w:eastAsia="Arial" w:hAnsi="Arial"/>
          <w:sz w:val="18"/>
          <w:szCs w:val="18"/>
          <w:b w:val="1"/>
          <w:bCs w:val="1"/>
          <w:color w:val="auto"/>
        </w:rPr>
      </w:pPr>
    </w:p>
    <w:p>
      <w:pPr>
        <w:ind w:left="500" w:right="140"/>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8"/>
        </w:trPr>
        <w:tc>
          <w:tcPr>
            <w:tcW w:w="720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15,502</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5"/>
        </w:trPr>
        <w:tc>
          <w:tcPr>
            <w:tcW w:w="7200" w:type="dxa"/>
            <w:vAlign w:val="bottom"/>
          </w:tcPr>
          <w:p>
            <w:pPr>
              <w:spacing w:after="0" w:line="235"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December 31, 2023 and 2022 were $61 million and $47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Americas</w:t>
      </w:r>
    </w:p>
    <w:p>
      <w:pPr>
        <w:spacing w:after="0" w:line="252" w:lineRule="exact"/>
        <w:rPr>
          <w:sz w:val="20"/>
          <w:szCs w:val="20"/>
          <w:color w:val="auto"/>
        </w:rPr>
      </w:pPr>
    </w:p>
    <w:p>
      <w:pPr>
        <w:jc w:val="both"/>
        <w:ind w:left="500"/>
        <w:spacing w:after="0" w:line="251" w:lineRule="auto"/>
        <w:rPr>
          <w:sz w:val="20"/>
          <w:szCs w:val="20"/>
          <w:color w:val="auto"/>
        </w:rPr>
      </w:pPr>
      <w:r>
        <w:rPr>
          <w:rFonts w:ascii="Arial" w:cs="Arial" w:eastAsia="Arial" w:hAnsi="Arial"/>
          <w:sz w:val="18"/>
          <w:szCs w:val="18"/>
          <w:i w:val="1"/>
          <w:iCs w:val="1"/>
          <w:color w:val="auto"/>
        </w:rPr>
        <w:t>Debt due to Avis Budget Rental Car Funding</w:t>
      </w:r>
      <w:r>
        <w:rPr>
          <w:rFonts w:ascii="Arial" w:cs="Arial" w:eastAsia="Arial" w:hAnsi="Arial"/>
          <w:sz w:val="18"/>
          <w:szCs w:val="18"/>
          <w:color w:val="auto"/>
        </w:rPr>
        <w:t>. Avis Budget Rental Car Funding, an unconsolidated bankruptcy remote qualifying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limited liability company, issues privately placed notes to investors as well as to banks and bank-sponsored conduit entities. Avis Budget Rental Car Funding uses the proceeds from its note issuances to make loans to our wholly-owned subsidiary, AESOP Leasing LP (“AESOP Leasing”), on a continuing basis. AESOP Leasing is required to use the proceeds of such loans to acquire or finance the acquisition of vehicles used in our rental car operations. By issuing debt through the Avis Budget Rental Car Funding program, we pay a lower rate of interest than if we had issued debt directly to third parties. Avis Budget Rental Car Funding is not consolidated, as we are not the “primary beneficiary” of Avis Budget Rental Car Funding. We determined that we are not the primary beneficiary because we do not have the obligation to absorb the potential losses or receive the benefits of Avis Budget Rental Car Funding’s activities since our only significant source of variability in the earnings, losses or cash flows of Avis Budget Rental Car Funding is exposure to our own creditworthiness, due to our loan from Avis Budget Rental Car Funding. Because Avis Budget Rental Car Funding is not consolidated, AESOP Leasing’s loan obligations to Avis Budget Rental Car Funding are reflected as related party debt on our Consolidated Balance Sheets. We also have an asset within Assets under vehicle programs on our Consolidated Balance Sheets which represents securities issued to us by Avis Budget Rental Car Funding. AESOP Leasing is consolidated, as we are the “primary beneficiary” of AESOP Leasing; as a result, the vehicles purchased by AESOP Leasing remain on our Consolidated Balance Sheets. We determined we are the primary beneficiary of AESOP Leasing, as we have the ability to direct its activities, an obligation to absorb a majority of its expected losses and the right to receive the benefits of AESOP Leasing’s activities. AESOP Leasing’s vehicles and related assets, which as of December 31, 2023, approximate $18 billion and some of which are subject to manufacturer repurchase and guaranteed depreciation agreements, collateralize the debt issued by Avis Budget Rental Car Funding. The assets and liabilities of AESOP Leasing are presented on our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our general credit. We periodically provide Avis Budget Rental Car Funding with non-contractually required support, in the form of equity and loans, to serve as additional collateral for the debt issued by Avis Budget Rental Car Funding.</w:t>
      </w:r>
    </w:p>
    <w:p>
      <w:pPr>
        <w:spacing w:after="0" w:line="1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business activities of Avis Budget Rental Car Funding are limited primarily to issuing indebtedness and using the proceeds thereof to make loans to AESOP Leasing for the purpose of acquiring or financing the acquisition of vehicles to be leased to our rental car subsidiaries and pledging its assets to secure the indebtedness. Because Avis Budget Rental Car Funding is not consolidated by us, its results of operations and cash flows are not reflected within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summary of debt issued by AESOP during the years ended December 31, 2023 and 2022:</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5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Issuance Date</w:t>
            </w:r>
          </w:p>
        </w:tc>
        <w:tc>
          <w:tcPr>
            <w:tcW w:w="2520" w:type="dxa"/>
            <w:vAlign w:val="bottom"/>
            <w:gridSpan w:val="2"/>
            <w:vMerge w:val="restart"/>
          </w:tcPr>
          <w:p>
            <w:pPr>
              <w:ind w:left="640"/>
              <w:spacing w:after="0"/>
              <w:rPr>
                <w:sz w:val="20"/>
                <w:szCs w:val="20"/>
                <w:color w:val="auto"/>
              </w:rPr>
            </w:pPr>
            <w:r>
              <w:rPr>
                <w:rFonts w:ascii="Arial" w:cs="Arial" w:eastAsia="Arial" w:hAnsi="Arial"/>
                <w:sz w:val="18"/>
                <w:szCs w:val="18"/>
                <w:b w:val="1"/>
                <w:bCs w:val="1"/>
                <w:color w:val="auto"/>
              </w:rPr>
              <w:t>Maturity Date</w:t>
            </w:r>
          </w:p>
        </w:tc>
        <w:tc>
          <w:tcPr>
            <w:tcW w:w="318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9"/>
              </w:rPr>
              <w:t>Weighted Average</w:t>
            </w:r>
          </w:p>
        </w:tc>
        <w:tc>
          <w:tcPr>
            <w:tcW w:w="1960" w:type="dxa"/>
            <w:vAlign w:val="bottom"/>
          </w:tcPr>
          <w:p>
            <w:pPr>
              <w:jc w:val="right"/>
              <w:ind w:right="79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2500" w:type="dxa"/>
            <w:vAlign w:val="bottom"/>
            <w:gridSpan w:val="2"/>
            <w:vMerge w:val="continue"/>
          </w:tcPr>
          <w:p>
            <w:pPr>
              <w:spacing w:after="0"/>
              <w:rPr>
                <w:sz w:val="21"/>
                <w:szCs w:val="21"/>
                <w:color w:val="auto"/>
              </w:rPr>
            </w:pPr>
          </w:p>
        </w:tc>
        <w:tc>
          <w:tcPr>
            <w:tcW w:w="2520" w:type="dxa"/>
            <w:vAlign w:val="bottom"/>
            <w:gridSpan w:val="2"/>
            <w:vMerge w:val="continue"/>
          </w:tcPr>
          <w:p>
            <w:pPr>
              <w:spacing w:after="0"/>
              <w:rPr>
                <w:sz w:val="21"/>
                <w:szCs w:val="21"/>
                <w:color w:val="auto"/>
              </w:rPr>
            </w:pPr>
          </w:p>
        </w:tc>
        <w:tc>
          <w:tcPr>
            <w:tcW w:w="318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rPr>
              <w:t>Interest Rate</w:t>
            </w:r>
          </w:p>
        </w:tc>
        <w:tc>
          <w:tcPr>
            <w:tcW w:w="1960" w:type="dxa"/>
            <w:vAlign w:val="bottom"/>
          </w:tcPr>
          <w:p>
            <w:pPr>
              <w:jc w:val="right"/>
              <w:ind w:right="850"/>
              <w:spacing w:after="0"/>
              <w:rPr>
                <w:sz w:val="20"/>
                <w:szCs w:val="20"/>
                <w:color w:val="auto"/>
              </w:rPr>
            </w:pPr>
            <w:r>
              <w:rPr>
                <w:rFonts w:ascii="Arial" w:cs="Arial" w:eastAsia="Arial" w:hAnsi="Arial"/>
                <w:sz w:val="18"/>
                <w:szCs w:val="18"/>
                <w:b w:val="1"/>
                <w:bCs w:val="1"/>
                <w:color w:val="auto"/>
              </w:rPr>
              <w:t>Issued</w:t>
            </w:r>
          </w:p>
        </w:tc>
        <w:tc>
          <w:tcPr>
            <w:tcW w:w="0" w:type="dxa"/>
            <w:vAlign w:val="bottom"/>
          </w:tcPr>
          <w:p>
            <w:pPr>
              <w:spacing w:after="0"/>
              <w:rPr>
                <w:sz w:val="1"/>
                <w:szCs w:val="1"/>
                <w:color w:val="auto"/>
              </w:rPr>
            </w:pPr>
          </w:p>
        </w:tc>
      </w:tr>
      <w:tr>
        <w:trPr>
          <w:trHeight w:val="218"/>
        </w:trPr>
        <w:tc>
          <w:tcPr>
            <w:tcW w:w="2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April 2022</w:t>
            </w:r>
          </w:p>
        </w:tc>
        <w:tc>
          <w:tcPr>
            <w:tcW w:w="100" w:type="dxa"/>
            <w:vAlign w:val="bottom"/>
          </w:tcPr>
          <w:p>
            <w:pPr>
              <w:spacing w:after="0"/>
              <w:rPr>
                <w:sz w:val="18"/>
                <w:szCs w:val="18"/>
                <w:color w:val="auto"/>
              </w:rPr>
            </w:pPr>
          </w:p>
        </w:tc>
        <w:tc>
          <w:tcPr>
            <w:tcW w:w="2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August 2027</w:t>
            </w:r>
          </w:p>
        </w:tc>
        <w:tc>
          <w:tcPr>
            <w:tcW w:w="100" w:type="dxa"/>
            <w:vAlign w:val="bottom"/>
          </w:tcPr>
          <w:p>
            <w:pPr>
              <w:spacing w:after="0"/>
              <w:rPr>
                <w:sz w:val="18"/>
                <w:szCs w:val="18"/>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3.96 %</w:t>
            </w: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May 2022</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2025</w:t>
            </w:r>
          </w:p>
        </w:tc>
        <w:tc>
          <w:tcPr>
            <w:tcW w:w="2580" w:type="dxa"/>
            <w:vAlign w:val="bottom"/>
          </w:tcPr>
          <w:p>
            <w:pPr>
              <w:jc w:val="right"/>
              <w:spacing w:after="0"/>
              <w:rPr>
                <w:sz w:val="20"/>
                <w:szCs w:val="20"/>
                <w:color w:val="auto"/>
              </w:rPr>
            </w:pPr>
            <w:r>
              <w:rPr>
                <w:rFonts w:ascii="Arial" w:cs="Arial" w:eastAsia="Arial" w:hAnsi="Arial"/>
                <w:sz w:val="18"/>
                <w:szCs w:val="18"/>
                <w:color w:val="auto"/>
              </w:rPr>
              <w:t>5.43 %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May 2022</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March 2023</w:t>
            </w:r>
          </w:p>
        </w:tc>
        <w:tc>
          <w:tcPr>
            <w:tcW w:w="2580" w:type="dxa"/>
            <w:vAlign w:val="bottom"/>
          </w:tcPr>
          <w:p>
            <w:pPr>
              <w:jc w:val="right"/>
              <w:spacing w:after="0"/>
              <w:rPr>
                <w:sz w:val="20"/>
                <w:szCs w:val="20"/>
                <w:color w:val="auto"/>
              </w:rPr>
            </w:pPr>
            <w:r>
              <w:rPr>
                <w:rFonts w:ascii="Arial" w:cs="Arial" w:eastAsia="Arial" w:hAnsi="Arial"/>
                <w:sz w:val="18"/>
                <w:szCs w:val="18"/>
                <w:color w:val="auto"/>
              </w:rPr>
              <w:t>4.56 %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May 2022</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2023</w:t>
            </w:r>
          </w:p>
        </w:tc>
        <w:tc>
          <w:tcPr>
            <w:tcW w:w="2580" w:type="dxa"/>
            <w:vAlign w:val="bottom"/>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2022</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2026</w:t>
            </w:r>
          </w:p>
        </w:tc>
        <w:tc>
          <w:tcPr>
            <w:tcW w:w="2580" w:type="dxa"/>
            <w:vAlign w:val="bottom"/>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July 2022</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2028</w:t>
            </w:r>
          </w:p>
        </w:tc>
        <w:tc>
          <w:tcPr>
            <w:tcW w:w="2580" w:type="dxa"/>
            <w:vAlign w:val="bottom"/>
          </w:tcPr>
          <w:p>
            <w:pPr>
              <w:jc w:val="right"/>
              <w:spacing w:after="0"/>
              <w:rPr>
                <w:sz w:val="20"/>
                <w:szCs w:val="20"/>
                <w:color w:val="auto"/>
              </w:rPr>
            </w:pPr>
            <w:r>
              <w:rPr>
                <w:rFonts w:ascii="Arial" w:cs="Arial" w:eastAsia="Arial" w:hAnsi="Arial"/>
                <w:sz w:val="18"/>
                <w:szCs w:val="18"/>
                <w:color w:val="auto"/>
              </w:rPr>
              <w:t>4.99 %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November 2022</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2026</w:t>
            </w:r>
          </w:p>
        </w:tc>
        <w:tc>
          <w:tcPr>
            <w:tcW w:w="258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2023</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2028</w:t>
            </w:r>
          </w:p>
        </w:tc>
        <w:tc>
          <w:tcPr>
            <w:tcW w:w="2580" w:type="dxa"/>
            <w:vAlign w:val="bottom"/>
          </w:tcPr>
          <w:p>
            <w:pPr>
              <w:jc w:val="right"/>
              <w:spacing w:after="0"/>
              <w:rPr>
                <w:sz w:val="20"/>
                <w:szCs w:val="20"/>
                <w:color w:val="auto"/>
              </w:rPr>
            </w:pPr>
            <w:r>
              <w:rPr>
                <w:rFonts w:ascii="Arial" w:cs="Arial" w:eastAsia="Arial" w:hAnsi="Arial"/>
                <w:sz w:val="18"/>
                <w:szCs w:val="18"/>
                <w:color w:val="auto"/>
              </w:rPr>
              <w:t>5.36 %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2023</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2026</w:t>
            </w:r>
          </w:p>
        </w:tc>
        <w:tc>
          <w:tcPr>
            <w:tcW w:w="2580" w:type="dxa"/>
            <w:vAlign w:val="bottom"/>
          </w:tcPr>
          <w:p>
            <w:pPr>
              <w:jc w:val="right"/>
              <w:spacing w:after="0"/>
              <w:rPr>
                <w:sz w:val="20"/>
                <w:szCs w:val="20"/>
                <w:color w:val="auto"/>
              </w:rPr>
            </w:pPr>
            <w:r>
              <w:rPr>
                <w:rFonts w:ascii="Arial" w:cs="Arial" w:eastAsia="Arial" w:hAnsi="Arial"/>
                <w:sz w:val="18"/>
                <w:szCs w:val="18"/>
                <w:color w:val="auto"/>
              </w:rPr>
              <w:t>5.31 %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2023</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2027</w:t>
            </w:r>
          </w:p>
        </w:tc>
        <w:tc>
          <w:tcPr>
            <w:tcW w:w="2580" w:type="dxa"/>
            <w:vAlign w:val="bottom"/>
          </w:tcPr>
          <w:p>
            <w:pPr>
              <w:jc w:val="right"/>
              <w:spacing w:after="0"/>
              <w:rPr>
                <w:sz w:val="20"/>
                <w:szCs w:val="20"/>
                <w:color w:val="auto"/>
              </w:rPr>
            </w:pPr>
            <w:r>
              <w:rPr>
                <w:rFonts w:ascii="Arial" w:cs="Arial" w:eastAsia="Arial" w:hAnsi="Arial"/>
                <w:sz w:val="18"/>
                <w:szCs w:val="18"/>
                <w:color w:val="auto"/>
              </w:rPr>
              <w:t>5.67 %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2023</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2028</w:t>
            </w:r>
          </w:p>
        </w:tc>
        <w:tc>
          <w:tcPr>
            <w:tcW w:w="2580" w:type="dxa"/>
            <w:vAlign w:val="bottom"/>
          </w:tcPr>
          <w:p>
            <w:pPr>
              <w:jc w:val="right"/>
              <w:spacing w:after="0"/>
              <w:rPr>
                <w:sz w:val="20"/>
                <w:szCs w:val="20"/>
                <w:color w:val="auto"/>
              </w:rPr>
            </w:pPr>
            <w:r>
              <w:rPr>
                <w:rFonts w:ascii="Arial" w:cs="Arial" w:eastAsia="Arial" w:hAnsi="Arial"/>
                <w:sz w:val="18"/>
                <w:szCs w:val="18"/>
                <w:color w:val="auto"/>
              </w:rPr>
              <w:t>5.76 %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2023</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April 2027</w:t>
            </w:r>
          </w:p>
        </w:tc>
        <w:tc>
          <w:tcPr>
            <w:tcW w:w="2580" w:type="dxa"/>
            <w:vAlign w:val="bottom"/>
          </w:tcPr>
          <w:p>
            <w:pPr>
              <w:jc w:val="right"/>
              <w:spacing w:after="0"/>
              <w:rPr>
                <w:sz w:val="20"/>
                <w:szCs w:val="20"/>
                <w:color w:val="auto"/>
              </w:rPr>
            </w:pPr>
            <w:r>
              <w:rPr>
                <w:rFonts w:ascii="Arial" w:cs="Arial" w:eastAsia="Arial" w:hAnsi="Arial"/>
                <w:sz w:val="18"/>
                <w:szCs w:val="18"/>
                <w:color w:val="auto"/>
              </w:rPr>
              <w:t>5.91 %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2023</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2028</w:t>
            </w:r>
          </w:p>
        </w:tc>
        <w:tc>
          <w:tcPr>
            <w:tcW w:w="2580" w:type="dxa"/>
            <w:vAlign w:val="bottom"/>
          </w:tcPr>
          <w:p>
            <w:pPr>
              <w:jc w:val="right"/>
              <w:spacing w:after="0"/>
              <w:rPr>
                <w:sz w:val="20"/>
                <w:szCs w:val="20"/>
                <w:color w:val="auto"/>
              </w:rPr>
            </w:pPr>
            <w:r>
              <w:rPr>
                <w:rFonts w:ascii="Arial" w:cs="Arial" w:eastAsia="Arial" w:hAnsi="Arial"/>
                <w:sz w:val="18"/>
                <w:szCs w:val="18"/>
                <w:color w:val="auto"/>
              </w:rPr>
              <w:t>5.98 %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2023</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August 2027</w:t>
            </w:r>
          </w:p>
        </w:tc>
        <w:tc>
          <w:tcPr>
            <w:tcW w:w="2580" w:type="dxa"/>
            <w:vAlign w:val="bottom"/>
          </w:tcPr>
          <w:p>
            <w:pPr>
              <w:jc w:val="right"/>
              <w:spacing w:after="0"/>
              <w:rPr>
                <w:sz w:val="20"/>
                <w:szCs w:val="20"/>
                <w:color w:val="auto"/>
              </w:rPr>
            </w:pPr>
            <w:r>
              <w:rPr>
                <w:rFonts w:ascii="Arial" w:cs="Arial" w:eastAsia="Arial" w:hAnsi="Arial"/>
                <w:sz w:val="18"/>
                <w:szCs w:val="18"/>
                <w:color w:val="auto"/>
              </w:rPr>
              <w:t>6.09 %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9"/>
        </w:trPr>
        <w:tc>
          <w:tcPr>
            <w:tcW w:w="2500" w:type="dxa"/>
            <w:vAlign w:val="bottom"/>
            <w:gridSpan w:val="2"/>
          </w:tcPr>
          <w:p>
            <w:pPr>
              <w:jc w:val="right"/>
              <w:ind w:right="120"/>
              <w:spacing w:after="0"/>
              <w:rPr>
                <w:sz w:val="20"/>
                <w:szCs w:val="20"/>
                <w:color w:val="auto"/>
              </w:rPr>
            </w:pPr>
            <w:r>
              <w:rPr>
                <w:rFonts w:ascii="Arial" w:cs="Arial" w:eastAsia="Arial" w:hAnsi="Arial"/>
                <w:sz w:val="18"/>
                <w:szCs w:val="18"/>
                <w:color w:val="auto"/>
              </w:rPr>
              <w:t>September 2023</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2029</w:t>
            </w:r>
          </w:p>
        </w:tc>
        <w:tc>
          <w:tcPr>
            <w:tcW w:w="2580" w:type="dxa"/>
            <w:vAlign w:val="bottom"/>
          </w:tcPr>
          <w:p>
            <w:pPr>
              <w:jc w:val="right"/>
              <w:spacing w:after="0"/>
              <w:rPr>
                <w:sz w:val="20"/>
                <w:szCs w:val="20"/>
                <w:color w:val="auto"/>
              </w:rPr>
            </w:pPr>
            <w:r>
              <w:rPr>
                <w:rFonts w:ascii="Arial" w:cs="Arial" w:eastAsia="Arial" w:hAnsi="Arial"/>
                <w:sz w:val="18"/>
                <w:szCs w:val="18"/>
                <w:color w:val="auto"/>
              </w:rPr>
              <w:t>6.21 %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4.99% and 4.07% as of December 31, 2023 and 2022 respectively.</w:t>
      </w:r>
    </w:p>
    <w:p>
      <w:pPr>
        <w:spacing w:after="0" w:line="117"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We finance the acquisition of vehicles used in our Canadian rental operations through a consolidated,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remote special-purpose entity, which issues privately placed notes to investors and bank-sponsored conduits. We finance the acquisition of fleet for our truck rental operations in the United States through a combination of debt facilities and leases. These debt borrowings represent a mix of fixed and floating rate debt and had a weighted average interest rate of 5.77% and 4.26% as of December 31, 2023 and 2022 respectively.</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International</w:t>
      </w:r>
    </w:p>
    <w:p>
      <w:pPr>
        <w:spacing w:after="0" w:line="239"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i w:val="1"/>
          <w:iCs w:val="1"/>
          <w:color w:val="auto"/>
        </w:rPr>
        <w:t>Debt borrowings</w:t>
      </w:r>
      <w:r>
        <w:rPr>
          <w:rFonts w:ascii="Arial" w:cs="Arial" w:eastAsia="Arial" w:hAnsi="Arial"/>
          <w:sz w:val="18"/>
          <w:szCs w:val="18"/>
          <w:color w:val="auto"/>
        </w:rPr>
        <w:t>. In EMEA we operate a €1.7 billion European rental fleet securitization program, with maturity in 2024, which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to finance fleet purchases for certain of our European operations. The International borrowings primarily represent floating rate notes and had a weighted average interest rate of 5.51% and 3.92% as of December 31, 2023 and 2022, respectively.</w:t>
      </w:r>
    </w:p>
    <w:p>
      <w:pPr>
        <w:spacing w:after="0" w:line="19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Finance leases. </w:t>
      </w:r>
      <w:r>
        <w:rPr>
          <w:rFonts w:ascii="Arial" w:cs="Arial" w:eastAsia="Arial" w:hAnsi="Arial"/>
          <w:sz w:val="18"/>
          <w:szCs w:val="18"/>
          <w:color w:val="auto"/>
        </w:rPr>
        <w:t>We obtain a portion of our International vehicles under finance lease arrangements.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and 2022, the weighted average interest rate on these borrowings was 3.68% and 1.82% respectively. All finance leases are on a fixed repayment basis and interest rates are fixed at the contract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171"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December 31, 2023:</w:t>
      </w:r>
    </w:p>
    <w:p>
      <w:pPr>
        <w:spacing w:after="0" w:line="11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34"/>
              <w:spacing w:after="0"/>
              <w:rPr>
                <w:sz w:val="20"/>
                <w:szCs w:val="20"/>
                <w:color w:val="auto"/>
              </w:rPr>
            </w:pPr>
            <w:r>
              <w:rPr>
                <w:rFonts w:ascii="Arial" w:cs="Arial" w:eastAsia="Arial" w:hAnsi="Arial"/>
                <w:sz w:val="18"/>
                <w:szCs w:val="18"/>
                <w:b w:val="1"/>
                <w:bCs w:val="1"/>
                <w:color w:val="auto"/>
              </w:rPr>
              <w:t>Debt under</w:t>
            </w:r>
          </w:p>
        </w:tc>
        <w:tc>
          <w:tcPr>
            <w:tcW w:w="0" w:type="dxa"/>
            <w:vAlign w:val="bottom"/>
          </w:tcPr>
          <w:p>
            <w:pPr>
              <w:spacing w:after="0"/>
              <w:rPr>
                <w:sz w:val="1"/>
                <w:szCs w:val="1"/>
                <w:color w:val="auto"/>
              </w:rPr>
            </w:pPr>
          </w:p>
        </w:tc>
      </w:tr>
      <w:tr>
        <w:trPr>
          <w:trHeight w:val="176"/>
        </w:trPr>
        <w:tc>
          <w:tcPr>
            <w:tcW w:w="8560" w:type="dxa"/>
            <w:vAlign w:val="bottom"/>
          </w:tcPr>
          <w:p>
            <w:pPr>
              <w:spacing w:after="0"/>
              <w:rPr>
                <w:sz w:val="15"/>
                <w:szCs w:val="15"/>
                <w:color w:val="auto"/>
              </w:rPr>
            </w:pPr>
          </w:p>
        </w:tc>
        <w:tc>
          <w:tcPr>
            <w:tcW w:w="158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9"/>
              </w:rPr>
              <w:t>Vehicle Programs</w:t>
            </w: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634"/>
              <w:spacing w:after="0"/>
              <w:rPr>
                <w:sz w:val="20"/>
                <w:szCs w:val="20"/>
                <w:color w:val="auto"/>
              </w:rPr>
            </w:pP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24"/>
        </w:trPr>
        <w:tc>
          <w:tcPr>
            <w:tcW w:w="8560" w:type="dxa"/>
            <w:vAlign w:val="bottom"/>
            <w:vMerge w:val="restart"/>
          </w:tcPr>
          <w:p>
            <w:pPr>
              <w:spacing w:after="0" w:line="258" w:lineRule="exact"/>
              <w:rPr>
                <w:sz w:val="20"/>
                <w:szCs w:val="20"/>
                <w:color w:val="auto"/>
              </w:rPr>
            </w:pPr>
            <w:r>
              <w:rPr>
                <w:rFonts w:ascii="Arial" w:cs="Arial" w:eastAsia="Arial" w:hAnsi="Arial"/>
                <w:sz w:val="18"/>
                <w:szCs w:val="18"/>
                <w:color w:val="auto"/>
              </w:rPr>
              <w:t xml:space="preserve">2024 </w:t>
            </w:r>
            <w:r>
              <w:rPr>
                <w:rFonts w:ascii="Arial" w:cs="Arial" w:eastAsia="Arial" w:hAnsi="Arial"/>
                <w:sz w:val="23"/>
                <w:szCs w:val="23"/>
                <w:color w:val="auto"/>
                <w:vertAlign w:val="superscript"/>
              </w:rPr>
              <w:t>(b)</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560" w:type="dxa"/>
            <w:vAlign w:val="bottom"/>
            <w:vMerge w:val="continue"/>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32"/>
        </w:trPr>
        <w:tc>
          <w:tcPr>
            <w:tcW w:w="8560" w:type="dxa"/>
            <w:vAlign w:val="bottom"/>
          </w:tcPr>
          <w:p>
            <w:pPr>
              <w:spacing w:after="0" w:line="232" w:lineRule="exact"/>
              <w:rPr>
                <w:sz w:val="20"/>
                <w:szCs w:val="20"/>
                <w:color w:val="auto"/>
              </w:rPr>
            </w:pPr>
            <w:r>
              <w:rPr>
                <w:rFonts w:ascii="Arial" w:cs="Arial" w:eastAsia="Arial" w:hAnsi="Arial"/>
                <w:sz w:val="18"/>
                <w:szCs w:val="18"/>
                <w:color w:val="auto"/>
              </w:rPr>
              <w:t xml:space="preserve">2025 </w:t>
            </w:r>
            <w:r>
              <w:rPr>
                <w:rFonts w:ascii="Arial" w:cs="Arial" w:eastAsia="Arial" w:hAnsi="Arial"/>
                <w:sz w:val="23"/>
                <w:szCs w:val="23"/>
                <w:color w:val="auto"/>
                <w:vertAlign w:val="superscript"/>
              </w:rPr>
              <w:t>(c)</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6,717</w:t>
            </w:r>
          </w:p>
        </w:tc>
        <w:tc>
          <w:tcPr>
            <w:tcW w:w="0" w:type="dxa"/>
            <w:vAlign w:val="bottom"/>
          </w:tcPr>
          <w:p>
            <w:pPr>
              <w:spacing w:after="0"/>
              <w:rPr>
                <w:sz w:val="1"/>
                <w:szCs w:val="1"/>
                <w:color w:val="auto"/>
              </w:rPr>
            </w:pPr>
          </w:p>
        </w:tc>
      </w:tr>
      <w:tr>
        <w:trPr>
          <w:trHeight w:val="227"/>
        </w:trPr>
        <w:tc>
          <w:tcPr>
            <w:tcW w:w="8560" w:type="dxa"/>
            <w:vAlign w:val="bottom"/>
          </w:tcPr>
          <w:p>
            <w:pPr>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32"/>
        </w:trPr>
        <w:tc>
          <w:tcPr>
            <w:tcW w:w="8560" w:type="dxa"/>
            <w:vAlign w:val="bottom"/>
          </w:tcPr>
          <w:p>
            <w:pPr>
              <w:spacing w:after="0" w:line="232" w:lineRule="exact"/>
              <w:rPr>
                <w:sz w:val="20"/>
                <w:szCs w:val="20"/>
                <w:color w:val="auto"/>
              </w:rPr>
            </w:pPr>
            <w:r>
              <w:rPr>
                <w:rFonts w:ascii="Arial" w:cs="Arial" w:eastAsia="Arial" w:hAnsi="Arial"/>
                <w:sz w:val="18"/>
                <w:szCs w:val="18"/>
                <w:color w:val="auto"/>
              </w:rPr>
              <w:t xml:space="preserve">2027 </w:t>
            </w:r>
            <w:r>
              <w:rPr>
                <w:rFonts w:ascii="Arial" w:cs="Arial" w:eastAsia="Arial" w:hAnsi="Arial"/>
                <w:sz w:val="23"/>
                <w:szCs w:val="23"/>
                <w:color w:val="auto"/>
                <w:vertAlign w:val="superscript"/>
              </w:rPr>
              <w:t>(d)</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35"/>
        </w:trPr>
        <w:tc>
          <w:tcPr>
            <w:tcW w:w="856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19,007</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760" w:hanging="266"/>
        <w:spacing w:after="0" w:line="219" w:lineRule="auto"/>
        <w:tabs>
          <w:tab w:leader="none" w:pos="76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92" w:lineRule="auto"/>
        <w:tabs>
          <w:tab w:leader="none" w:pos="76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Includes $2.4 billion of bank and bank-sponsored facilities. These short-term borrowings have a weighted average interest rate of 4.80% as of December 31, 2023.</w:t>
      </w:r>
    </w:p>
    <w:p>
      <w:pPr>
        <w:ind w:left="760" w:hanging="266"/>
        <w:spacing w:after="0" w:line="187" w:lineRule="auto"/>
        <w:tabs>
          <w:tab w:leader="none" w:pos="76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Includes $4.5 billion of bank and bank-sponsored facilities.</w:t>
      </w:r>
    </w:p>
    <w:p>
      <w:pPr>
        <w:ind w:left="760" w:hanging="266"/>
        <w:spacing w:after="0"/>
        <w:tabs>
          <w:tab w:leader="none" w:pos="760" w:val="left"/>
        </w:tabs>
        <w:numPr>
          <w:ilvl w:val="0"/>
          <w:numId w:val="48"/>
        </w:numPr>
        <w:rPr>
          <w:rFonts w:ascii="Arial" w:cs="Arial" w:eastAsia="Arial" w:hAnsi="Arial"/>
          <w:sz w:val="9"/>
          <w:szCs w:val="9"/>
          <w:color w:val="auto"/>
        </w:rPr>
      </w:pPr>
      <w:r>
        <w:rPr>
          <w:rFonts w:ascii="Arial" w:cs="Arial" w:eastAsia="Arial" w:hAnsi="Arial"/>
          <w:sz w:val="14"/>
          <w:szCs w:val="14"/>
          <w:color w:val="auto"/>
        </w:rPr>
        <w:t>Includes $0.1 billion of bank and bank-sponsored facilities.</w:t>
      </w: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171"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 Avis Budget Rental Car Funding, at December 31, 2023:</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Outstanding</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Total Capacity </w:t>
            </w:r>
            <w:r>
              <w:rPr>
                <w:rFonts w:ascii="Arial" w:cs="Arial" w:eastAsia="Arial" w:hAnsi="Arial"/>
                <w:sz w:val="22"/>
                <w:szCs w:val="22"/>
                <w:color w:val="auto"/>
                <w:vertAlign w:val="superscript"/>
              </w:rPr>
              <w:t>(a)</w:t>
            </w:r>
          </w:p>
        </w:tc>
        <w:tc>
          <w:tcPr>
            <w:tcW w:w="18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 xml:space="preserve">Borrowings </w:t>
            </w:r>
            <w:r>
              <w:rPr>
                <w:rFonts w:ascii="Arial" w:cs="Arial" w:eastAsia="Arial" w:hAnsi="Arial"/>
                <w:sz w:val="22"/>
                <w:szCs w:val="22"/>
                <w:color w:val="auto"/>
                <w:w w:val="97"/>
                <w:vertAlign w:val="superscript"/>
              </w:rPr>
              <w:t>(b)</w:t>
            </w:r>
          </w:p>
        </w:tc>
        <w:tc>
          <w:tcPr>
            <w:tcW w:w="1560" w:type="dxa"/>
            <w:vAlign w:val="bottom"/>
            <w:gridSpan w:val="2"/>
          </w:tcPr>
          <w:p>
            <w:pPr>
              <w:ind w:left="20"/>
              <w:spacing w:after="0"/>
              <w:rPr>
                <w:sz w:val="20"/>
                <w:szCs w:val="20"/>
                <w:color w:val="auto"/>
              </w:rPr>
            </w:pPr>
            <w:r>
              <w:rPr>
                <w:rFonts w:ascii="Arial" w:cs="Arial" w:eastAsia="Arial" w:hAnsi="Arial"/>
                <w:sz w:val="17"/>
                <w:szCs w:val="17"/>
                <w:b w:val="1"/>
                <w:bCs w:val="1"/>
                <w:color w:val="auto"/>
              </w:rPr>
              <w:t>Available Capacity</w:t>
            </w:r>
          </w:p>
        </w:tc>
        <w:tc>
          <w:tcPr>
            <w:tcW w:w="0" w:type="dxa"/>
            <w:vAlign w:val="bottom"/>
          </w:tcPr>
          <w:p>
            <w:pPr>
              <w:spacing w:after="0"/>
              <w:rPr>
                <w:sz w:val="1"/>
                <w:szCs w:val="1"/>
                <w:color w:val="auto"/>
              </w:rPr>
            </w:pPr>
          </w:p>
        </w:tc>
      </w:tr>
      <w:tr>
        <w:trPr>
          <w:trHeight w:val="58"/>
        </w:trPr>
        <w:tc>
          <w:tcPr>
            <w:tcW w:w="5180" w:type="dxa"/>
            <w:vAlign w:val="bottom"/>
            <w:vMerge w:val="restart"/>
          </w:tcPr>
          <w:p>
            <w:pPr>
              <w:spacing w:after="0"/>
              <w:rPr>
                <w:sz w:val="20"/>
                <w:szCs w:val="20"/>
                <w:color w:val="auto"/>
              </w:rPr>
            </w:pPr>
            <w:r>
              <w:rPr>
                <w:rFonts w:ascii="Arial" w:cs="Arial" w:eastAsia="Arial" w:hAnsi="Arial"/>
                <w:sz w:val="17"/>
                <w:szCs w:val="17"/>
                <w:color w:val="auto"/>
              </w:rPr>
              <w:t>Americas – Debt due to Avis Budget Rental Car Funding</w:t>
            </w:r>
          </w:p>
        </w:tc>
        <w:tc>
          <w:tcPr>
            <w:tcW w:w="1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1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15,537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15,502</w:t>
            </w:r>
          </w:p>
        </w:tc>
        <w:tc>
          <w:tcPr>
            <w:tcW w:w="12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25"/>
        </w:trPr>
        <w:tc>
          <w:tcPr>
            <w:tcW w:w="5180" w:type="dxa"/>
            <w:vAlign w:val="bottom"/>
          </w:tcPr>
          <w:p>
            <w:pPr>
              <w:spacing w:after="0"/>
              <w:rPr>
                <w:sz w:val="20"/>
                <w:szCs w:val="20"/>
                <w:color w:val="auto"/>
              </w:rPr>
            </w:pPr>
            <w:r>
              <w:rPr>
                <w:rFonts w:ascii="Arial" w:cs="Arial" w:eastAsia="Arial" w:hAnsi="Arial"/>
                <w:sz w:val="17"/>
                <w:szCs w:val="17"/>
                <w:color w:val="auto"/>
              </w:rPr>
              <w:t>Americas – Debt borrowings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1,075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7"/>
                <w:szCs w:val="17"/>
                <w:color w:val="auto"/>
              </w:rPr>
              <w:t>International – Debt borrowings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2,203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613</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7"/>
                <w:szCs w:val="17"/>
                <w:color w:val="auto"/>
              </w:rPr>
              <w:t>International – Finance leases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18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19,007</w:t>
            </w:r>
          </w:p>
        </w:tc>
        <w:tc>
          <w:tcPr>
            <w:tcW w:w="120" w:type="dxa"/>
            <w:vAlign w:val="bottom"/>
          </w:tcPr>
          <w:p>
            <w:pPr>
              <w:spacing w:after="0"/>
              <w:rPr>
                <w:sz w:val="19"/>
                <w:szCs w:val="19"/>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3"/>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jc w:val="both"/>
        <w:ind w:left="820" w:hanging="326"/>
        <w:spacing w:after="0" w:line="261" w:lineRule="auto"/>
        <w:tabs>
          <w:tab w:leader="none" w:pos="813" w:val="left"/>
        </w:tabs>
        <w:numPr>
          <w:ilvl w:val="0"/>
          <w:numId w:val="49"/>
        </w:numPr>
        <w:rPr>
          <w:rFonts w:ascii="Arial" w:cs="Arial" w:eastAsia="Arial" w:hAnsi="Arial"/>
          <w:sz w:val="9"/>
          <w:szCs w:val="9"/>
          <w:color w:val="auto"/>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an amendment and renewal of our asset-backed variable funding financing facilities during March 2023 and was most recently amended during January 2024.</w:t>
      </w:r>
    </w:p>
    <w:p>
      <w:pPr>
        <w:spacing w:after="0" w:line="1" w:lineRule="exact"/>
        <w:rPr>
          <w:rFonts w:ascii="Arial" w:cs="Arial" w:eastAsia="Arial" w:hAnsi="Arial"/>
          <w:sz w:val="9"/>
          <w:szCs w:val="9"/>
          <w:color w:val="auto"/>
        </w:rPr>
      </w:pPr>
    </w:p>
    <w:p>
      <w:pPr>
        <w:ind w:left="820" w:hanging="326"/>
        <w:spacing w:after="0" w:line="213" w:lineRule="auto"/>
        <w:tabs>
          <w:tab w:leader="none" w:pos="813"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$17.4 billion for Americas - Debt due to Avis Budget Rental Car Funding; $1.5 billion for Americas - Debt borrowings; $2.8 billion for International - Debt borrowings; and $0.2 billion for International - Finance leases.</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17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December 31, 2023, we are not aware of any instances of non-compliance with any of the financial or restrictive covenants contained in the debt agreements under our vehicle-backed funding programs.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right="7880" w:hanging="442"/>
        <w:spacing w:after="0" w:line="484" w:lineRule="auto"/>
        <w:tabs>
          <w:tab w:leader="none" w:pos="514"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2"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 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have filed a petition for rehearing and intend to vigorously pursue this matter. We are also named in litigation that is primarily related to the businesses of our former subsidiaries, including Realogy and Wyndham. We are entitled to indemnification from such entities for any liability resulting from such litigation.</w:t>
      </w:r>
    </w:p>
    <w:p>
      <w:pPr>
        <w:spacing w:after="0" w:line="214"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On October 10, 2023, plaintiffs’ motion for class certification was denied as to their proposed nationwide class and granted as to a subclass, created at the Court’s discretion, of Avis Preferred and Budget Fastbreak members. We have been named as a defendant in other purported consumer class action lawsuits, including two class actions filed against us in New Jersey, one seeking damages in connection with a breach of contract claim and another related to ancillary charges at our Payless subsidiary. However, the Company intends to vigorously defend them.</w:t>
      </w:r>
    </w:p>
    <w:p>
      <w:pPr>
        <w:spacing w:after="0" w:line="194" w:lineRule="exact"/>
        <w:rPr>
          <w:rFonts w:ascii="Arial" w:cs="Arial" w:eastAsia="Arial" w:hAnsi="Arial"/>
          <w:sz w:val="18"/>
          <w:szCs w:val="18"/>
          <w:b w:val="1"/>
          <w:bCs w:val="1"/>
          <w:color w:val="auto"/>
        </w:rPr>
      </w:pPr>
    </w:p>
    <w:p>
      <w:pPr>
        <w:jc w:val="both"/>
        <w:ind w:left="50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We are a defendant in a number of legal proceedings for personal injury arising from the operation of our vehicles. In June 2023, two of our subsidiaries were named as defendants in a lawsuit filed in Dallas, Texas alleging that one of our employees caused the death of an individual with one of our vehicles: Peggy Dawson Edwards, Individually and as Anticipated Representative of the Estate of Michael Edwards, Sr., et. al. v. Avis Budget Car Rental, LLC; PV Holding Corp.; and Kevin Barnes, Cause No. CC-23-03188-E, pending in County Court at Law No. 5 for Dallas County, Texas. The complaint alleges that our subsidiaries are responsible for Mr. Edwards’ death and seeks compensatory and punitive damages in an unspecified amount exceeding $1 million. The court has set a trial date in November 2024 for this lawsuit. Given the early stages of the legal proceedings, it is not possible to predict the outcome of the claim. However, the Company intends to vigorously defend it.</w:t>
      </w:r>
    </w:p>
    <w:p>
      <w:pPr>
        <w:spacing w:after="0" w:line="220"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December 31, 2023. We do not believe that the impact should result in a material liability to us in relation to our consolidated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$6.8 billion of vehicles from manufacturers over the next 12 months, which is consistent with December 31, 2022,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169"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the normal course of business, we make various commitments to purchase other goods or services from specific suppliers, including those related to marketing, advertising, computer services and capital expenditures. As of December 31, 2023, we had approximately $149 million of purchase obligations, which extend through 2028.</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Concentrations of credit risk at December 31, 2023, include (i) risks related to our repurchase and guaranteed depreciation agreements with domestic and foreign car manufacturers and primarily with respect to receivables for program cars that have been disposed, but for which we have not yet received payment from the manufacturers and (ii) risks related to Realogy and Wyndham, including receivables of $38 million and $23 million, respectively, related to certain contingent, income tax and other corporate liabilities assumed by Realogy and Wyndham in connection with their disposition.</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We maintain a liability for asset retirement obligations. An asset retirement obligation is a legal obligation to perform certain activities in connection with the retirement, disposal or abandonment of assets. Our asset retirement obligations, which are measured at discounted fair values, are primarily related to the removal of underground fuel storage tanks at our rental facilities. The Consolidated Balance Sheets include a liability for asset retirement obligations of approximately $27 million and $26 million at December 31, 2023 and 2022, respectively.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Standard Guarantees/Indemnifications</w:t>
      </w:r>
    </w:p>
    <w:p>
      <w:pPr>
        <w:spacing w:after="0" w:line="169"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the ordinary course of business, we enter into numerous agreements that contain standard guarantees and indemnities whereby we agree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w:t>
      </w:r>
    </w:p>
    <w:p>
      <w:pPr>
        <w:spacing w:after="0" w:line="3" w:lineRule="exact"/>
        <w:rPr>
          <w:sz w:val="20"/>
          <w:szCs w:val="20"/>
          <w:color w:val="auto"/>
        </w:rPr>
      </w:pPr>
    </w:p>
    <w:p>
      <w:pPr>
        <w:jc w:val="both"/>
        <w:ind w:left="500" w:hanging="6"/>
        <w:spacing w:after="0" w:line="250" w:lineRule="auto"/>
        <w:tabs>
          <w:tab w:leader="none" w:pos="811" w:val="left"/>
        </w:tabs>
        <w:numPr>
          <w:ilvl w:val="1"/>
          <w:numId w:val="51"/>
        </w:numPr>
        <w:rPr>
          <w:rFonts w:ascii="Arial" w:cs="Arial" w:eastAsia="Arial" w:hAnsi="Arial"/>
          <w:sz w:val="18"/>
          <w:szCs w:val="18"/>
          <w:color w:val="auto"/>
        </w:rPr>
      </w:pPr>
      <w:r>
        <w:rPr>
          <w:rFonts w:ascii="Arial" w:cs="Arial" w:eastAsia="Arial" w:hAnsi="Arial"/>
          <w:sz w:val="18"/>
          <w:szCs w:val="18"/>
          <w:color w:val="auto"/>
        </w:rPr>
        <w:t>licensing of trademarks, (iv) access to credit facilities and use of derivatives and (v) issuances of debt or equity securities. The guarantees or indemnifications issued are for the benefit of the (i) buyers in sale agreements and sellers in purchase agreements,</w:t>
      </w:r>
    </w:p>
    <w:p>
      <w:pPr>
        <w:jc w:val="both"/>
        <w:ind w:left="500" w:hanging="6"/>
        <w:spacing w:after="0" w:line="252" w:lineRule="auto"/>
        <w:tabs>
          <w:tab w:leader="none" w:pos="762" w:val="left"/>
        </w:tabs>
        <w:numPr>
          <w:ilvl w:val="1"/>
          <w:numId w:val="52"/>
        </w:numPr>
        <w:rPr>
          <w:rFonts w:ascii="Arial" w:cs="Arial" w:eastAsia="Arial" w:hAnsi="Arial"/>
          <w:sz w:val="18"/>
          <w:szCs w:val="18"/>
          <w:color w:val="auto"/>
        </w:rPr>
      </w:pPr>
      <w:r>
        <w:rPr>
          <w:rFonts w:ascii="Arial" w:cs="Arial" w:eastAsia="Arial" w:hAnsi="Arial"/>
          <w:sz w:val="18"/>
          <w:szCs w:val="18"/>
          <w:color w:val="auto"/>
        </w:rPr>
        <w:t>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we could be required to make under these guarantees, nor are we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us, we maintain insurance coverage that mitigates our potential exposure.</w:t>
      </w:r>
    </w:p>
    <w:p>
      <w:pPr>
        <w:spacing w:after="0" w:line="214" w:lineRule="exact"/>
        <w:rPr>
          <w:rFonts w:ascii="Arial" w:cs="Arial" w:eastAsia="Arial" w:hAnsi="Arial"/>
          <w:sz w:val="18"/>
          <w:szCs w:val="18"/>
          <w:color w:val="auto"/>
        </w:rPr>
      </w:pPr>
    </w:p>
    <w:p>
      <w:pPr>
        <w:ind w:left="500" w:right="8600" w:hanging="442"/>
        <w:spacing w:after="0" w:line="464" w:lineRule="auto"/>
        <w:tabs>
          <w:tab w:leader="none" w:pos="514"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Cash Dividend Payments</w:t>
      </w:r>
    </w:p>
    <w:p>
      <w:pPr>
        <w:ind w:left="50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In December 2023, we paid a special cash dividend of $10.00 per share to all holders of our common stock as of December 15, 2023, totaling approximately $355 million. During 2022 and 2021, we did not declare 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pay any cash dividends. Our ability to pay dividends to holders of our common stock is limited by our senior credit facility, the indentures governing our senior notes and our vehicle financing programs.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6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262626"/>
        </w:rPr>
        <w:t xml:space="preserve">Our Board of Directors authorized the repurchase of up to approximately $8.1 billion of our common stock under a plan originally approved in 2013 and subsequently expanded most recently in February 2023 (the “Stock Repurchase Program”). </w:t>
      </w:r>
      <w:r>
        <w:rPr>
          <w:rFonts w:ascii="Arial" w:cs="Arial" w:eastAsia="Arial" w:hAnsi="Arial"/>
          <w:sz w:val="18"/>
          <w:szCs w:val="18"/>
          <w:color w:val="000000"/>
        </w:rPr>
        <w:t>During 2023, 2022</w:t>
      </w:r>
      <w:r>
        <w:rPr>
          <w:rFonts w:ascii="Arial" w:cs="Arial" w:eastAsia="Arial" w:hAnsi="Arial"/>
          <w:sz w:val="18"/>
          <w:szCs w:val="18"/>
          <w:color w:val="262626"/>
        </w:rPr>
        <w:t xml:space="preserve"> </w:t>
      </w:r>
      <w:r>
        <w:rPr>
          <w:rFonts w:ascii="Arial" w:cs="Arial" w:eastAsia="Arial" w:hAnsi="Arial"/>
          <w:sz w:val="18"/>
          <w:szCs w:val="18"/>
          <w:color w:val="000000"/>
        </w:rPr>
        <w:t xml:space="preserve">and 2021, we repurchased approximately </w:t>
      </w:r>
      <w:r>
        <w:rPr>
          <w:rFonts w:ascii="Arial" w:cs="Arial" w:eastAsia="Arial" w:hAnsi="Arial"/>
          <w:sz w:val="18"/>
          <w:szCs w:val="18"/>
          <w:color w:val="262626"/>
        </w:rPr>
        <w:t>35.4 million</w:t>
      </w:r>
      <w:r>
        <w:rPr>
          <w:rFonts w:ascii="Arial" w:cs="Arial" w:eastAsia="Arial" w:hAnsi="Arial"/>
          <w:sz w:val="18"/>
          <w:szCs w:val="18"/>
          <w:color w:val="000000"/>
        </w:rPr>
        <w:t xml:space="preserve"> shares of common stock at a cost of approximately </w:t>
      </w:r>
      <w:r>
        <w:rPr>
          <w:rFonts w:ascii="Arial" w:cs="Arial" w:eastAsia="Arial" w:hAnsi="Arial"/>
          <w:sz w:val="18"/>
          <w:szCs w:val="18"/>
          <w:color w:val="262626"/>
        </w:rPr>
        <w:t>$5.6 billion</w:t>
      </w:r>
      <w:r>
        <w:rPr>
          <w:rFonts w:ascii="Arial" w:cs="Arial" w:eastAsia="Arial" w:hAnsi="Arial"/>
          <w:sz w:val="18"/>
          <w:szCs w:val="18"/>
          <w:color w:val="000000"/>
        </w:rPr>
        <w:t xml:space="preserve"> (excluding excise taxes due for 2023 repurchases under the Inflation Reduction Act of 2022) under the program. As of December 31, 2023, approximately </w:t>
      </w:r>
      <w:r>
        <w:rPr>
          <w:rFonts w:ascii="Arial" w:cs="Arial" w:eastAsia="Arial" w:hAnsi="Arial"/>
          <w:sz w:val="18"/>
          <w:szCs w:val="18"/>
          <w:color w:val="262626"/>
        </w:rPr>
        <w:t>$802 million</w:t>
      </w:r>
      <w:r>
        <w:rPr>
          <w:rFonts w:ascii="Arial" w:cs="Arial" w:eastAsia="Arial" w:hAnsi="Arial"/>
          <w:sz w:val="18"/>
          <w:szCs w:val="18"/>
          <w:color w:val="000000"/>
        </w:rPr>
        <w:t xml:space="preserve"> of authorization remained available to repurchase common stock under this plan.</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are as follows:</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Currency Translation</w:t>
            </w:r>
          </w:p>
        </w:tc>
        <w:tc>
          <w:tcPr>
            <w:tcW w:w="8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Net Unrealized</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Minimum Pension</w:t>
            </w:r>
          </w:p>
        </w:tc>
        <w:tc>
          <w:tcPr>
            <w:tcW w:w="100" w:type="dxa"/>
            <w:vAlign w:val="bottom"/>
          </w:tcPr>
          <w:p>
            <w:pPr>
              <w:spacing w:after="0"/>
              <w:rPr>
                <w:sz w:val="13"/>
                <w:szCs w:val="13"/>
                <w:color w:val="auto"/>
              </w:rPr>
            </w:pPr>
          </w:p>
        </w:tc>
        <w:tc>
          <w:tcPr>
            <w:tcW w:w="132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22"/>
        </w:trPr>
        <w:tc>
          <w:tcPr>
            <w:tcW w:w="414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40" w:type="dxa"/>
            <w:vAlign w:val="bottom"/>
          </w:tcPr>
          <w:p>
            <w:pPr>
              <w:spacing w:after="0"/>
              <w:rPr>
                <w:sz w:val="10"/>
                <w:szCs w:val="10"/>
                <w:color w:val="auto"/>
              </w:rPr>
            </w:pPr>
          </w:p>
        </w:tc>
        <w:tc>
          <w:tcPr>
            <w:tcW w:w="14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Liability</w:t>
            </w:r>
          </w:p>
        </w:tc>
        <w:tc>
          <w:tcPr>
            <w:tcW w:w="100" w:type="dxa"/>
            <w:vAlign w:val="bottom"/>
          </w:tcPr>
          <w:p>
            <w:pPr>
              <w:spacing w:after="0"/>
              <w:rPr>
                <w:sz w:val="10"/>
                <w:szCs w:val="10"/>
                <w:color w:val="auto"/>
              </w:rPr>
            </w:pPr>
          </w:p>
        </w:tc>
        <w:tc>
          <w:tcPr>
            <w:tcW w:w="132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 xml:space="preserve">Adjustments </w:t>
            </w:r>
            <w:r>
              <w:rPr>
                <w:rFonts w:ascii="Arial" w:cs="Arial" w:eastAsia="Arial" w:hAnsi="Arial"/>
                <w:sz w:val="16"/>
                <w:szCs w:val="16"/>
                <w:b w:val="1"/>
                <w:bCs w:val="1"/>
                <w:color w:val="auto"/>
                <w:w w:val="94"/>
                <w:vertAlign w:val="superscript"/>
              </w:rPr>
              <w:t>(a)</w:t>
            </w:r>
          </w:p>
        </w:tc>
        <w:tc>
          <w:tcPr>
            <w:tcW w:w="80" w:type="dxa"/>
            <w:vAlign w:val="bottom"/>
          </w:tcPr>
          <w:p>
            <w:pPr>
              <w:spacing w:after="0"/>
              <w:rPr>
                <w:sz w:val="16"/>
                <w:szCs w:val="16"/>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 xml:space="preserve">Cash Flow Hedges </w:t>
            </w:r>
            <w:r>
              <w:rPr>
                <w:rFonts w:ascii="Arial" w:cs="Arial" w:eastAsia="Arial" w:hAnsi="Arial"/>
                <w:sz w:val="16"/>
                <w:szCs w:val="16"/>
                <w:b w:val="1"/>
                <w:bCs w:val="1"/>
                <w:color w:val="auto"/>
                <w:w w:val="94"/>
                <w:vertAlign w:val="superscript"/>
              </w:rPr>
              <w:t>(b)</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 xml:space="preserve">Adjustment </w:t>
            </w:r>
            <w:r>
              <w:rPr>
                <w:rFonts w:ascii="Arial" w:cs="Arial" w:eastAsia="Arial" w:hAnsi="Arial"/>
                <w:sz w:val="16"/>
                <w:szCs w:val="16"/>
                <w:b w:val="1"/>
                <w:bCs w:val="1"/>
                <w:color w:val="auto"/>
                <w:w w:val="95"/>
                <w:vertAlign w:val="superscript"/>
              </w:rPr>
              <w:t>(c)</w:t>
            </w:r>
          </w:p>
        </w:tc>
        <w:tc>
          <w:tcPr>
            <w:tcW w:w="100" w:type="dxa"/>
            <w:vAlign w:val="bottom"/>
          </w:tcPr>
          <w:p>
            <w:pPr>
              <w:spacing w:after="0"/>
              <w:rPr>
                <w:sz w:val="16"/>
                <w:szCs w:val="16"/>
                <w:color w:val="auto"/>
              </w:rPr>
            </w:pPr>
          </w:p>
        </w:tc>
        <w:tc>
          <w:tcPr>
            <w:tcW w:w="132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163"/>
        </w:trPr>
        <w:tc>
          <w:tcPr>
            <w:tcW w:w="4140" w:type="dxa"/>
            <w:vAlign w:val="bottom"/>
          </w:tcPr>
          <w:p>
            <w:pPr>
              <w:spacing w:after="0" w:line="146" w:lineRule="exact"/>
              <w:rPr>
                <w:sz w:val="20"/>
                <w:szCs w:val="20"/>
                <w:color w:val="auto"/>
              </w:rPr>
            </w:pPr>
            <w:r>
              <w:rPr>
                <w:rFonts w:ascii="Arial" w:cs="Arial" w:eastAsia="Arial" w:hAnsi="Arial"/>
                <w:sz w:val="13"/>
                <w:szCs w:val="13"/>
                <w:color w:val="auto"/>
              </w:rPr>
              <w:t>Balance, January 1, 2021</w:t>
            </w: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66"/>
        </w:trPr>
        <w:tc>
          <w:tcPr>
            <w:tcW w:w="4140" w:type="dxa"/>
            <w:vAlign w:val="bottom"/>
          </w:tcPr>
          <w:p>
            <w:pPr>
              <w:ind w:left="320"/>
              <w:spacing w:after="0" w:line="148" w:lineRule="exact"/>
              <w:rPr>
                <w:sz w:val="20"/>
                <w:szCs w:val="20"/>
                <w:color w:val="auto"/>
              </w:rPr>
            </w:pPr>
            <w:r>
              <w:rPr>
                <w:rFonts w:ascii="Arial" w:cs="Arial" w:eastAsia="Arial" w:hAnsi="Arial"/>
                <w:sz w:val="13"/>
                <w:szCs w:val="13"/>
                <w:color w:val="auto"/>
              </w:rPr>
              <w:t>Other comprehensive income (loss) before reclassifications</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1"/>
        </w:trPr>
        <w:tc>
          <w:tcPr>
            <w:tcW w:w="4140" w:type="dxa"/>
            <w:vAlign w:val="bottom"/>
          </w:tcPr>
          <w:p>
            <w:pPr>
              <w:ind w:left="320"/>
              <w:spacing w:after="0" w:line="131" w:lineRule="exact"/>
              <w:rPr>
                <w:sz w:val="20"/>
                <w:szCs w:val="20"/>
                <w:color w:val="auto"/>
              </w:rPr>
            </w:pPr>
            <w:r>
              <w:rPr>
                <w:rFonts w:ascii="Arial" w:cs="Arial" w:eastAsia="Arial" w:hAnsi="Arial"/>
                <w:sz w:val="13"/>
                <w:szCs w:val="13"/>
                <w:color w:val="auto"/>
              </w:rPr>
              <w:t>Amounts reclassified from accumulated other comprehensive</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320"/>
              <w:spacing w:after="0"/>
              <w:rPr>
                <w:sz w:val="20"/>
                <w:szCs w:val="20"/>
                <w:color w:val="auto"/>
              </w:rPr>
            </w:pPr>
            <w:r>
              <w:rPr>
                <w:rFonts w:ascii="Arial" w:cs="Arial" w:eastAsia="Arial" w:hAnsi="Arial"/>
                <w:sz w:val="13"/>
                <w:szCs w:val="13"/>
                <w:color w:val="auto"/>
              </w:rPr>
              <w:t>income (loss)</w:t>
            </w: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9"/>
        </w:trPr>
        <w:tc>
          <w:tcPr>
            <w:tcW w:w="4140" w:type="dxa"/>
            <w:vAlign w:val="bottom"/>
          </w:tcPr>
          <w:p>
            <w:pPr>
              <w:ind w:left="160"/>
              <w:spacing w:after="0" w:line="148"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9"/>
        </w:trPr>
        <w:tc>
          <w:tcPr>
            <w:tcW w:w="4140" w:type="dxa"/>
            <w:vAlign w:val="bottom"/>
          </w:tcPr>
          <w:p>
            <w:pPr>
              <w:spacing w:after="0" w:line="148" w:lineRule="exact"/>
              <w:rPr>
                <w:sz w:val="20"/>
                <w:szCs w:val="20"/>
                <w:color w:val="auto"/>
              </w:rPr>
            </w:pPr>
            <w:r>
              <w:rPr>
                <w:rFonts w:ascii="Arial" w:cs="Arial" w:eastAsia="Arial" w:hAnsi="Arial"/>
                <w:sz w:val="13"/>
                <w:szCs w:val="13"/>
                <w:color w:val="auto"/>
              </w:rPr>
              <w:t>Balance, December 31, 2021</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6"/>
        </w:trPr>
        <w:tc>
          <w:tcPr>
            <w:tcW w:w="4140" w:type="dxa"/>
            <w:vAlign w:val="bottom"/>
          </w:tcPr>
          <w:p>
            <w:pPr>
              <w:ind w:left="320"/>
              <w:spacing w:after="0" w:line="148" w:lineRule="exact"/>
              <w:rPr>
                <w:sz w:val="20"/>
                <w:szCs w:val="20"/>
                <w:color w:val="auto"/>
              </w:rPr>
            </w:pPr>
            <w:r>
              <w:rPr>
                <w:rFonts w:ascii="Arial" w:cs="Arial" w:eastAsia="Arial" w:hAnsi="Arial"/>
                <w:sz w:val="13"/>
                <w:szCs w:val="13"/>
                <w:color w:val="auto"/>
              </w:rPr>
              <w:t>Other comprehensive income (loss) before reclassifications</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1"/>
        </w:trPr>
        <w:tc>
          <w:tcPr>
            <w:tcW w:w="4140" w:type="dxa"/>
            <w:vAlign w:val="bottom"/>
          </w:tcPr>
          <w:p>
            <w:pPr>
              <w:ind w:left="320"/>
              <w:spacing w:after="0" w:line="131" w:lineRule="exact"/>
              <w:rPr>
                <w:sz w:val="20"/>
                <w:szCs w:val="20"/>
                <w:color w:val="auto"/>
              </w:rPr>
            </w:pPr>
            <w:r>
              <w:rPr>
                <w:rFonts w:ascii="Arial" w:cs="Arial" w:eastAsia="Arial" w:hAnsi="Arial"/>
                <w:sz w:val="13"/>
                <w:szCs w:val="13"/>
                <w:color w:val="auto"/>
              </w:rPr>
              <w:t>Amounts reclassified from accumulated other comprehensive</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320"/>
              <w:spacing w:after="0"/>
              <w:rPr>
                <w:sz w:val="20"/>
                <w:szCs w:val="20"/>
                <w:color w:val="auto"/>
              </w:rPr>
            </w:pPr>
            <w:r>
              <w:rPr>
                <w:rFonts w:ascii="Arial" w:cs="Arial" w:eastAsia="Arial" w:hAnsi="Arial"/>
                <w:sz w:val="13"/>
                <w:szCs w:val="13"/>
                <w:color w:val="auto"/>
              </w:rPr>
              <w:t>income (loss)</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9"/>
        </w:trPr>
        <w:tc>
          <w:tcPr>
            <w:tcW w:w="4140" w:type="dxa"/>
            <w:vAlign w:val="bottom"/>
          </w:tcPr>
          <w:p>
            <w:pPr>
              <w:ind w:left="160"/>
              <w:spacing w:after="0" w:line="148"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9"/>
        </w:trPr>
        <w:tc>
          <w:tcPr>
            <w:tcW w:w="4140" w:type="dxa"/>
            <w:vAlign w:val="bottom"/>
          </w:tcPr>
          <w:p>
            <w:pPr>
              <w:spacing w:after="0" w:line="148" w:lineRule="exact"/>
              <w:rPr>
                <w:sz w:val="20"/>
                <w:szCs w:val="20"/>
                <w:color w:val="auto"/>
              </w:rPr>
            </w:pPr>
            <w:r>
              <w:rPr>
                <w:rFonts w:ascii="Arial" w:cs="Arial" w:eastAsia="Arial" w:hAnsi="Arial"/>
                <w:sz w:val="13"/>
                <w:szCs w:val="13"/>
                <w:color w:val="auto"/>
              </w:rPr>
              <w:t>Balance, December 31, 2022</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66"/>
        </w:trPr>
        <w:tc>
          <w:tcPr>
            <w:tcW w:w="4140" w:type="dxa"/>
            <w:vAlign w:val="bottom"/>
          </w:tcPr>
          <w:p>
            <w:pPr>
              <w:ind w:left="320"/>
              <w:spacing w:after="0" w:line="148" w:lineRule="exact"/>
              <w:rPr>
                <w:sz w:val="20"/>
                <w:szCs w:val="20"/>
                <w:color w:val="auto"/>
              </w:rPr>
            </w:pPr>
            <w:r>
              <w:rPr>
                <w:rFonts w:ascii="Arial" w:cs="Arial" w:eastAsia="Arial" w:hAnsi="Arial"/>
                <w:sz w:val="13"/>
                <w:szCs w:val="13"/>
                <w:color w:val="auto"/>
              </w:rPr>
              <w:t>Other comprehensive income (loss) before reclassifications</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1"/>
        </w:trPr>
        <w:tc>
          <w:tcPr>
            <w:tcW w:w="4140" w:type="dxa"/>
            <w:vAlign w:val="bottom"/>
          </w:tcPr>
          <w:p>
            <w:pPr>
              <w:ind w:left="320"/>
              <w:spacing w:after="0" w:line="131" w:lineRule="exact"/>
              <w:rPr>
                <w:sz w:val="20"/>
                <w:szCs w:val="20"/>
                <w:color w:val="auto"/>
              </w:rPr>
            </w:pPr>
            <w:r>
              <w:rPr>
                <w:rFonts w:ascii="Arial" w:cs="Arial" w:eastAsia="Arial" w:hAnsi="Arial"/>
                <w:sz w:val="13"/>
                <w:szCs w:val="13"/>
                <w:color w:val="auto"/>
              </w:rPr>
              <w:t>Amounts reclassified from accumulated other comprehensive</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140" w:type="dxa"/>
            <w:vAlign w:val="bottom"/>
          </w:tcPr>
          <w:p>
            <w:pPr>
              <w:ind w:left="320"/>
              <w:spacing w:after="0"/>
              <w:rPr>
                <w:sz w:val="20"/>
                <w:szCs w:val="20"/>
                <w:color w:val="auto"/>
              </w:rPr>
            </w:pPr>
            <w:r>
              <w:rPr>
                <w:rFonts w:ascii="Arial" w:cs="Arial" w:eastAsia="Arial" w:hAnsi="Arial"/>
                <w:sz w:val="13"/>
                <w:szCs w:val="13"/>
                <w:color w:val="auto"/>
              </w:rPr>
              <w:t>income (loss)</w:t>
            </w:r>
          </w:p>
        </w:tc>
        <w:tc>
          <w:tcPr>
            <w:tcW w:w="18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9"/>
        </w:trPr>
        <w:tc>
          <w:tcPr>
            <w:tcW w:w="4140" w:type="dxa"/>
            <w:vAlign w:val="bottom"/>
          </w:tcPr>
          <w:p>
            <w:pPr>
              <w:ind w:left="160"/>
              <w:spacing w:after="0" w:line="148" w:lineRule="exact"/>
              <w:rPr>
                <w:sz w:val="20"/>
                <w:szCs w:val="20"/>
                <w:color w:val="auto"/>
              </w:rPr>
            </w:pPr>
            <w:r>
              <w:rPr>
                <w:rFonts w:ascii="Arial" w:cs="Arial" w:eastAsia="Arial" w:hAnsi="Arial"/>
                <w:sz w:val="13"/>
                <w:szCs w:val="13"/>
                <w:color w:val="auto"/>
              </w:rPr>
              <w:t>Net current-period other comprehensive income (loss)</w:t>
            </w: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4140" w:type="dxa"/>
            <w:vAlign w:val="bottom"/>
          </w:tcPr>
          <w:p>
            <w:pPr>
              <w:spacing w:after="0" w:line="148" w:lineRule="exact"/>
              <w:rPr>
                <w:sz w:val="20"/>
                <w:szCs w:val="20"/>
                <w:color w:val="auto"/>
              </w:rPr>
            </w:pPr>
            <w:r>
              <w:rPr>
                <w:rFonts w:ascii="Arial" w:cs="Arial" w:eastAsia="Arial" w:hAnsi="Arial"/>
                <w:sz w:val="13"/>
                <w:szCs w:val="13"/>
                <w:color w:val="auto"/>
              </w:rPr>
              <w:t>Balance, December 31, 2023</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jc w:val="both"/>
        <w:ind w:left="500"/>
        <w:spacing w:after="0" w:line="254"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(see Note 9 – Income Taxes) and include a $93 million gain, net of tax, related to our hedge of our investment in euro-denominated foreign operations (See Note 20 – Financial Instruments).</w:t>
      </w:r>
    </w:p>
    <w:p>
      <w:pPr>
        <w:spacing w:after="0" w:line="2" w:lineRule="exact"/>
        <w:rPr>
          <w:sz w:val="20"/>
          <w:szCs w:val="20"/>
          <w:color w:val="auto"/>
        </w:rPr>
      </w:pPr>
    </w:p>
    <w:p>
      <w:pPr>
        <w:ind w:left="820" w:hanging="326"/>
        <w:spacing w:after="0" w:line="261" w:lineRule="auto"/>
        <w:tabs>
          <w:tab w:leader="none" w:pos="813" w:val="left"/>
        </w:tabs>
        <w:numPr>
          <w:ilvl w:val="1"/>
          <w:numId w:val="54"/>
        </w:numPr>
        <w:rPr>
          <w:rFonts w:ascii="Arial" w:cs="Arial" w:eastAsia="Arial" w:hAnsi="Arial"/>
          <w:sz w:val="9"/>
          <w:szCs w:val="9"/>
          <w:color w:val="auto"/>
        </w:rPr>
      </w:pPr>
      <w:r>
        <w:rPr>
          <w:rFonts w:ascii="Arial" w:cs="Arial" w:eastAsia="Arial" w:hAnsi="Arial"/>
          <w:sz w:val="14"/>
          <w:szCs w:val="14"/>
          <w:color w:val="auto"/>
        </w:rPr>
        <w:t>For the year ended December 31, 2021 the amounts were reclassified from accumulated other comprehensive income (loss) into restructuring and other related charges.</w:t>
      </w:r>
    </w:p>
    <w:p>
      <w:pPr>
        <w:jc w:val="both"/>
        <w:ind w:left="820" w:hanging="326"/>
        <w:spacing w:after="0" w:line="235" w:lineRule="auto"/>
        <w:tabs>
          <w:tab w:leader="none" w:pos="813" w:val="left"/>
        </w:tabs>
        <w:numPr>
          <w:ilvl w:val="1"/>
          <w:numId w:val="54"/>
        </w:numPr>
        <w:rPr>
          <w:rFonts w:ascii="Arial" w:cs="Arial" w:eastAsia="Arial" w:hAnsi="Arial"/>
          <w:sz w:val="19"/>
          <w:szCs w:val="19"/>
          <w:color w:val="auto"/>
          <w:vertAlign w:val="superscript"/>
        </w:rPr>
      </w:pPr>
      <w:r>
        <w:rPr>
          <w:rFonts w:ascii="Arial" w:cs="Arial" w:eastAsia="Arial" w:hAnsi="Arial"/>
          <w:sz w:val="14"/>
          <w:szCs w:val="14"/>
          <w:color w:val="auto"/>
        </w:rPr>
        <w:t>For the years ended December 31, 2023, 2022 and 2021, the amounts reclassified from accumulated other comprehensive income (loss) into corporate interest expense were income of $18 million ($13 million, net of tax), losses of $9 million ($7 million, net of tax) and losses of $17 million ($12 million, net of tax), respectively. For the year ended December 31, 2021, the amount reclassified from accumulated other comprehensive income (loss) into vehicle interest expense was losses of $2 million ($2 million, net of tax).</w:t>
      </w:r>
    </w:p>
    <w:p>
      <w:pPr>
        <w:spacing w:after="0" w:line="1" w:lineRule="exact"/>
        <w:rPr>
          <w:rFonts w:ascii="Arial" w:cs="Arial" w:eastAsia="Arial" w:hAnsi="Arial"/>
          <w:sz w:val="19"/>
          <w:szCs w:val="19"/>
          <w:color w:val="auto"/>
          <w:vertAlign w:val="superscript"/>
        </w:rPr>
      </w:pPr>
    </w:p>
    <w:p>
      <w:pPr>
        <w:ind w:left="820" w:right="20" w:hanging="326"/>
        <w:spacing w:after="0" w:line="284" w:lineRule="auto"/>
        <w:tabs>
          <w:tab w:leader="none" w:pos="807" w:val="left"/>
        </w:tabs>
        <w:numPr>
          <w:ilvl w:val="1"/>
          <w:numId w:val="54"/>
        </w:numPr>
        <w:rPr>
          <w:rFonts w:ascii="Arial" w:cs="Arial" w:eastAsia="Arial" w:hAnsi="Arial"/>
          <w:sz w:val="9"/>
          <w:szCs w:val="9"/>
          <w:color w:val="auto"/>
        </w:rPr>
      </w:pPr>
      <w:r>
        <w:rPr>
          <w:rFonts w:ascii="Arial" w:cs="Arial" w:eastAsia="Arial" w:hAnsi="Arial"/>
          <w:sz w:val="14"/>
          <w:szCs w:val="14"/>
          <w:color w:val="auto"/>
        </w:rPr>
        <w:t>For the years ended December 31, 2023, 2022 and 2021, amounts reclassified from accumulated other comprehensive income (loss) into selling, general and administrative expenses were losses of $5 million ($4 million, net of tax), $5 million ($3 million, net of tax) and $9 million ($7 million, net of tax), respectively.</w:t>
      </w:r>
    </w:p>
    <w:p>
      <w:pPr>
        <w:spacing w:after="0" w:line="189" w:lineRule="exact"/>
        <w:rPr>
          <w:rFonts w:ascii="Arial" w:cs="Arial" w:eastAsia="Arial" w:hAnsi="Arial"/>
          <w:sz w:val="9"/>
          <w:szCs w:val="9"/>
          <w:color w:val="auto"/>
        </w:rPr>
      </w:pPr>
    </w:p>
    <w:p>
      <w:pPr>
        <w:jc w:val="both"/>
        <w:ind w:left="500" w:right="8380" w:hanging="442"/>
        <w:spacing w:after="0" w:line="563" w:lineRule="auto"/>
        <w:tabs>
          <w:tab w:leader="none" w:pos="514"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SRS Mobility Ventures, LLC</w:t>
      </w:r>
    </w:p>
    <w:p>
      <w:pPr>
        <w:ind w:left="50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179" w:lineRule="exact"/>
        <w:rPr>
          <w:rFonts w:ascii="Arial" w:cs="Arial" w:eastAsia="Arial" w:hAnsi="Arial"/>
          <w:sz w:val="17"/>
          <w:szCs w:val="17"/>
          <w:b w:val="1"/>
          <w:bCs w:val="1"/>
          <w:color w:val="auto"/>
        </w:rPr>
      </w:pPr>
    </w:p>
    <w:p>
      <w:pPr>
        <w:jc w:val="both"/>
        <w:ind w:left="50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On September 1, 2022, through the issuance of Class B Preferred Voting Membership Interests, SRS Mobility Ventures, LLC increased their ownership in this subsidiary to 51% at a fair value of $62 million. As a result, we deconsolidated our former subsidiary, Avis Mobility Ventures LLC (“AMV”), from our financial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statements and began to report our proportional share of the former subsidiary’s income or loss within other (income) expense, net in our Consolidated Statements of Operations as we do not have the ability to direct the significant activities of the former subsidiary and are therefore no longer primary beneficiary of the VIE. In August and October 2023, SRS made capital contributions to AMV, increasing their ownership to approximately 65%.</w:t>
      </w:r>
    </w:p>
    <w:p>
      <w:pPr>
        <w:spacing w:after="0" w:line="203"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Upon deconsolidation, our former subsidiary had a net asset carrying amount of $ 49 million resulting in a gain of $10 million, which was reported within other (income) expense, net during the year ended December 31, 2022.</w:t>
      </w:r>
    </w:p>
    <w:p>
      <w:pPr>
        <w:spacing w:after="0" w:line="20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continue to provide vehicles, related fleet services, and certain administrative services to AMV to support their operations. For the years ended December 31, 2023 and 2022, we recorded $ 22 million and $7 million of related income within other (income) expense, net, respectively. For the years ended December 31, 2023 and 2022, we recorded losses of $25 million and $10 million within other (income) expense, net, related to our equity method investment, respectively.</w:t>
      </w:r>
    </w:p>
    <w:p>
      <w:pPr>
        <w:spacing w:after="0" w:line="203"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As of December 31, 2023 and 2022, receivables from AMV related to these services were $2 million and $6 million, respectively, and our net investment in vehicle finance lease with AMV, which is included in vehicles, net, was $31 million and $36 million, respectively. The carrying value of our equity investment in AMV as of December 31, 2023 and 2022 was approximately $24 million and $49 million, respectively, which is included in other non-current assets.</w:t>
      </w:r>
    </w:p>
    <w:p>
      <w:pPr>
        <w:spacing w:after="0" w:line="203" w:lineRule="exact"/>
        <w:rPr>
          <w:sz w:val="20"/>
          <w:szCs w:val="20"/>
          <w:color w:val="auto"/>
        </w:rPr>
      </w:pPr>
    </w:p>
    <w:p>
      <w:pPr>
        <w:ind w:left="500" w:hanging="44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Amended and Restated Equity and Incentive Plan provides for the grant of options, stock appreciation rights, restricted stock, restricted stock units (“RSUs”) and other stock- or cash-based awards to employees, directors and other individuals who perform services for us and our subsidiaries. The maximum number of shares reserved for grant of awards under the plan is 22.5 million, with approximately 3.9 million shares available as of December 31, 2023. We typically settle stock-based awards with treasury shares.</w:t>
      </w:r>
    </w:p>
    <w:p>
      <w:pPr>
        <w:spacing w:after="0" w:line="122"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Time-based awards generally vest ratably over a three-year period following the date of grant, and performance- or market-based awards generally vest three years following the date of grant based on the attainment of performance- or market-based goals, all of which are subject to a service condition.</w:t>
      </w:r>
    </w:p>
    <w:p>
      <w:pPr>
        <w:spacing w:after="0" w:line="11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Unit Awards</w:t>
      </w:r>
    </w:p>
    <w:p>
      <w:pPr>
        <w:spacing w:after="0" w:line="169"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Stock unit awards entitle the holder to receive shares of common stock upon vesting on a one-to-one basis. Certain performance-based RSUs vest based upon the level of performance attained, but vesting can increase (typically by up to 20%) if certain relative total shareholder return goals are achieved. Market-based RSUs generally vest based on the level of total shareholder return or absolute stock price attainment.</w:t>
      </w:r>
    </w:p>
    <w:p>
      <w:pPr>
        <w:spacing w:after="0" w:line="122"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part of our declaration and payment of a special cash dividend in December 2023, we granted additional RSUs to our award holders with unvested shares as a dividend equivalent, which has been deferred until, and will not be paid unless, the shares of stock underlying the award vest.</w:t>
      </w:r>
    </w:p>
    <w:p>
      <w:pPr>
        <w:spacing w:after="0" w:line="116"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2020, we granted market-based RSUs that vest based on absolute stock price attainment. The grant date fair value of this award is estimated using a Monte Carlo simulation model. The weighted average assumptions used in the model are outlined in the table below. During the years ended December 31, 2023 and 2022, we did not issue any stock unit awards containing a market condition.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520"/>
              <w:spacing w:after="0"/>
              <w:rPr>
                <w:sz w:val="20"/>
                <w:szCs w:val="20"/>
                <w:color w:val="auto"/>
              </w:rPr>
            </w:pPr>
            <w:r>
              <w:rPr>
                <w:rFonts w:ascii="Arial" w:cs="Arial" w:eastAsia="Arial" w:hAnsi="Arial"/>
                <w:sz w:val="18"/>
                <w:szCs w:val="18"/>
                <w:color w:val="auto"/>
              </w:rPr>
              <w:t>Expected volatility of stock price</w:t>
            </w:r>
          </w:p>
        </w:tc>
        <w:tc>
          <w:tcPr>
            <w:tcW w:w="6980" w:type="dxa"/>
            <w:vAlign w:val="bottom"/>
          </w:tcPr>
          <w:p>
            <w:pPr>
              <w:jc w:val="center"/>
              <w:ind w:left="3250"/>
              <w:spacing w:after="0"/>
              <w:rPr>
                <w:sz w:val="20"/>
                <w:szCs w:val="20"/>
                <w:color w:val="auto"/>
              </w:rPr>
            </w:pPr>
            <w:r>
              <w:rPr>
                <w:rFonts w:ascii="Arial" w:cs="Arial" w:eastAsia="Arial" w:hAnsi="Arial"/>
                <w:sz w:val="18"/>
                <w:szCs w:val="18"/>
                <w:color w:val="auto"/>
                <w:w w:val="99"/>
              </w:rPr>
              <w:t>91%</w:t>
            </w:r>
          </w:p>
        </w:tc>
      </w:tr>
      <w:tr>
        <w:trPr>
          <w:trHeight w:val="230"/>
        </w:trPr>
        <w:tc>
          <w:tcPr>
            <w:tcW w:w="4260" w:type="dxa"/>
            <w:vAlign w:val="bottom"/>
          </w:tcPr>
          <w:p>
            <w:pPr>
              <w:ind w:left="520"/>
              <w:spacing w:after="0"/>
              <w:rPr>
                <w:sz w:val="20"/>
                <w:szCs w:val="20"/>
                <w:color w:val="auto"/>
              </w:rPr>
            </w:pPr>
            <w:r>
              <w:rPr>
                <w:rFonts w:ascii="Arial" w:cs="Arial" w:eastAsia="Arial" w:hAnsi="Arial"/>
                <w:sz w:val="18"/>
                <w:szCs w:val="18"/>
                <w:color w:val="auto"/>
              </w:rPr>
              <w:t>Risk-free interest rate</w:t>
            </w:r>
          </w:p>
        </w:tc>
        <w:tc>
          <w:tcPr>
            <w:tcW w:w="6980" w:type="dxa"/>
            <w:vAlign w:val="bottom"/>
          </w:tcPr>
          <w:p>
            <w:pPr>
              <w:jc w:val="center"/>
              <w:ind w:left="3230"/>
              <w:spacing w:after="0"/>
              <w:rPr>
                <w:sz w:val="20"/>
                <w:szCs w:val="20"/>
                <w:color w:val="auto"/>
              </w:rPr>
            </w:pPr>
            <w:r>
              <w:rPr>
                <w:rFonts w:ascii="Arial" w:cs="Arial" w:eastAsia="Arial" w:hAnsi="Arial"/>
                <w:sz w:val="18"/>
                <w:szCs w:val="18"/>
                <w:color w:val="auto"/>
                <w:w w:val="97"/>
              </w:rPr>
              <w:t>0.18%</w:t>
            </w:r>
          </w:p>
        </w:tc>
      </w:tr>
      <w:tr>
        <w:trPr>
          <w:trHeight w:val="230"/>
        </w:trPr>
        <w:tc>
          <w:tcPr>
            <w:tcW w:w="4260" w:type="dxa"/>
            <w:vAlign w:val="bottom"/>
          </w:tcPr>
          <w:p>
            <w:pPr>
              <w:ind w:left="520"/>
              <w:spacing w:after="0"/>
              <w:rPr>
                <w:sz w:val="20"/>
                <w:szCs w:val="20"/>
                <w:color w:val="auto"/>
              </w:rPr>
            </w:pPr>
            <w:r>
              <w:rPr>
                <w:rFonts w:ascii="Arial" w:cs="Arial" w:eastAsia="Arial" w:hAnsi="Arial"/>
                <w:sz w:val="18"/>
                <w:szCs w:val="18"/>
                <w:color w:val="auto"/>
              </w:rPr>
              <w:t>Valuation period</w:t>
            </w:r>
          </w:p>
        </w:tc>
        <w:tc>
          <w:tcPr>
            <w:tcW w:w="6980" w:type="dxa"/>
            <w:vAlign w:val="bottom"/>
          </w:tcPr>
          <w:p>
            <w:pPr>
              <w:ind w:left="4860"/>
              <w:spacing w:after="0"/>
              <w:rPr>
                <w:sz w:val="20"/>
                <w:szCs w:val="20"/>
                <w:color w:val="auto"/>
              </w:rPr>
            </w:pPr>
            <w:r>
              <w:rPr>
                <w:rFonts w:ascii="Arial" w:cs="Arial" w:eastAsia="Arial" w:hAnsi="Arial"/>
                <w:sz w:val="18"/>
                <w:szCs w:val="18"/>
                <w:color w:val="auto"/>
              </w:rPr>
              <w:t>3 years</w:t>
            </w:r>
          </w:p>
        </w:tc>
      </w:tr>
      <w:tr>
        <w:trPr>
          <w:trHeight w:val="239"/>
        </w:trPr>
        <w:tc>
          <w:tcPr>
            <w:tcW w:w="4260" w:type="dxa"/>
            <w:vAlign w:val="bottom"/>
          </w:tcPr>
          <w:p>
            <w:pPr>
              <w:ind w:left="520"/>
              <w:spacing w:after="0"/>
              <w:rPr>
                <w:sz w:val="20"/>
                <w:szCs w:val="20"/>
                <w:color w:val="auto"/>
              </w:rPr>
            </w:pPr>
            <w:r>
              <w:rPr>
                <w:rFonts w:ascii="Arial" w:cs="Arial" w:eastAsia="Arial" w:hAnsi="Arial"/>
                <w:sz w:val="18"/>
                <w:szCs w:val="18"/>
                <w:color w:val="auto"/>
              </w:rPr>
              <w:t>Dividend yield</w:t>
            </w:r>
          </w:p>
        </w:tc>
        <w:tc>
          <w:tcPr>
            <w:tcW w:w="6980" w:type="dxa"/>
            <w:vAlign w:val="bottom"/>
          </w:tcPr>
          <w:p>
            <w:pPr>
              <w:jc w:val="center"/>
              <w:ind w:left="3230"/>
              <w:spacing w:after="0"/>
              <w:rPr>
                <w:sz w:val="20"/>
                <w:szCs w:val="20"/>
                <w:color w:val="auto"/>
              </w:rPr>
            </w:pPr>
            <w:r>
              <w:rPr>
                <w:rFonts w:ascii="Arial" w:cs="Arial" w:eastAsia="Arial" w:hAnsi="Arial"/>
                <w:sz w:val="18"/>
                <w:szCs w:val="18"/>
                <w:color w:val="auto"/>
                <w:w w:val="99"/>
              </w:rPr>
              <w:t>—%</w:t>
            </w:r>
          </w:p>
        </w:tc>
      </w:tr>
      <w:tr>
        <w:trPr>
          <w:trHeight w:val="904"/>
        </w:trPr>
        <w:tc>
          <w:tcPr>
            <w:tcW w:w="4260" w:type="dxa"/>
            <w:vAlign w:val="bottom"/>
          </w:tcPr>
          <w:p>
            <w:pPr>
              <w:spacing w:after="0"/>
              <w:rPr>
                <w:sz w:val="24"/>
                <w:szCs w:val="24"/>
                <w:color w:val="auto"/>
              </w:rPr>
            </w:pPr>
          </w:p>
        </w:tc>
        <w:tc>
          <w:tcPr>
            <w:tcW w:w="6980" w:type="dxa"/>
            <w:vAlign w:val="bottom"/>
          </w:tcPr>
          <w:p>
            <w:pPr>
              <w:ind w:left="1180"/>
              <w:spacing w:after="0"/>
              <w:rPr>
                <w:sz w:val="20"/>
                <w:szCs w:val="20"/>
                <w:color w:val="auto"/>
              </w:rPr>
            </w:pPr>
            <w:r>
              <w:rPr>
                <w:rFonts w:ascii="Arial" w:cs="Arial" w:eastAsia="Arial" w:hAnsi="Arial"/>
                <w:sz w:val="18"/>
                <w:szCs w:val="18"/>
                <w:color w:val="auto"/>
              </w:rPr>
              <w:t>F-42</w:t>
            </w:r>
          </w:p>
        </w:tc>
      </w:tr>
      <w:tr>
        <w:trPr>
          <w:trHeight w:val="111"/>
        </w:trPr>
        <w:tc>
          <w:tcPr>
            <w:tcW w:w="4260" w:type="dxa"/>
            <w:vAlign w:val="bottom"/>
            <w:tcBorders>
              <w:bottom w:val="single" w:sz="8" w:color="9A9A9A"/>
            </w:tcBorders>
          </w:tcPr>
          <w:p>
            <w:pPr>
              <w:spacing w:after="0"/>
              <w:rPr>
                <w:sz w:val="9"/>
                <w:szCs w:val="9"/>
                <w:color w:val="auto"/>
              </w:rPr>
            </w:pPr>
          </w:p>
        </w:tc>
        <w:tc>
          <w:tcPr>
            <w:tcW w:w="6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Annual activity related to stock units consisted of (in thousands of shares):</w:t>
      </w:r>
    </w:p>
    <w:p>
      <w:pPr>
        <w:spacing w:after="0" w:line="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1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Grant Date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Term</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Intrinsic Value (in</w:t>
            </w:r>
          </w:p>
        </w:tc>
        <w:tc>
          <w:tcPr>
            <w:tcW w:w="0" w:type="dxa"/>
            <w:vAlign w:val="bottom"/>
          </w:tcPr>
          <w:p>
            <w:pPr>
              <w:spacing w:after="0"/>
              <w:rPr>
                <w:sz w:val="1"/>
                <w:szCs w:val="1"/>
                <w:color w:val="auto"/>
              </w:rPr>
            </w:pPr>
          </w:p>
        </w:tc>
      </w:tr>
      <w:tr>
        <w:trPr>
          <w:trHeight w:val="189"/>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100" w:type="dxa"/>
            <w:vAlign w:val="bottom"/>
          </w:tcPr>
          <w:p>
            <w:pPr>
              <w:jc w:val="center"/>
              <w:ind w:right="10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80"/>
        </w:trPr>
        <w:tc>
          <w:tcPr>
            <w:tcW w:w="4720" w:type="dxa"/>
            <w:vAlign w:val="bottom"/>
            <w:vMerge w:val="continue"/>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January 1, 2023</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451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92.06</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38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204.17</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38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53.44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380"/>
              <w:spacing w:after="0"/>
              <w:rPr>
                <w:sz w:val="20"/>
                <w:szCs w:val="20"/>
                <w:color w:val="auto"/>
              </w:rPr>
            </w:pPr>
            <w:r>
              <w:rPr>
                <w:rFonts w:ascii="Arial" w:cs="Arial" w:eastAsia="Arial" w:hAnsi="Arial"/>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165.67</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80"/>
              <w:spacing w:after="0" w:line="200" w:lineRule="exact"/>
              <w:rPr>
                <w:sz w:val="20"/>
                <w:szCs w:val="20"/>
                <w:color w:val="auto"/>
              </w:rPr>
            </w:pPr>
            <w:r>
              <w:rPr>
                <w:rFonts w:ascii="Arial" w:cs="Arial" w:eastAsia="Arial" w:hAnsi="Arial"/>
                <w:sz w:val="14"/>
                <w:szCs w:val="14"/>
                <w:color w:val="auto"/>
              </w:rPr>
              <w:t xml:space="preserve">Outstanding and expected to vest at December 31, 2023 </w:t>
            </w:r>
            <w:r>
              <w:rPr>
                <w:rFonts w:ascii="Arial" w:cs="Arial" w:eastAsia="Arial" w:hAnsi="Arial"/>
                <w:sz w:val="18"/>
                <w:szCs w:val="18"/>
                <w:color w:val="auto"/>
                <w:vertAlign w:val="superscript"/>
              </w:rPr>
              <w:t>(c)</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161.87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January 1, 2023</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691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57.56</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38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204.13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38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20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380"/>
              <w:spacing w:after="0"/>
              <w:rPr>
                <w:sz w:val="20"/>
                <w:szCs w:val="20"/>
                <w:color w:val="auto"/>
              </w:rPr>
            </w:pPr>
            <w:r>
              <w:rPr>
                <w:rFonts w:ascii="Arial" w:cs="Arial" w:eastAsia="Arial" w:hAnsi="Arial"/>
                <w:sz w:val="14"/>
                <w:szCs w:val="14"/>
                <w:color w:val="auto"/>
              </w:rPr>
              <w:t>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148.96</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80"/>
              <w:spacing w:after="0"/>
              <w:rPr>
                <w:sz w:val="20"/>
                <w:szCs w:val="20"/>
                <w:color w:val="auto"/>
              </w:rPr>
            </w:pPr>
            <w:r>
              <w:rPr>
                <w:rFonts w:ascii="Arial" w:cs="Arial" w:eastAsia="Arial" w:hAnsi="Arial"/>
                <w:sz w:val="14"/>
                <w:szCs w:val="14"/>
                <w:color w:val="auto"/>
              </w:rPr>
              <w:t>Outstanding at December 31, 2023</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128.77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180"/>
              <w:spacing w:after="0"/>
              <w:rPr>
                <w:sz w:val="20"/>
                <w:szCs w:val="20"/>
                <w:color w:val="auto"/>
              </w:rPr>
            </w:pPr>
            <w:r>
              <w:rPr>
                <w:rFonts w:ascii="Arial" w:cs="Arial" w:eastAsia="Arial" w:hAnsi="Arial"/>
                <w:sz w:val="14"/>
                <w:szCs w:val="14"/>
                <w:color w:val="auto"/>
              </w:rPr>
              <w:t xml:space="preserve">Outstanding and expected to vest at December 31, 2023 </w:t>
            </w:r>
            <w:r>
              <w:rPr>
                <w:rFonts w:ascii="Arial" w:cs="Arial" w:eastAsia="Arial" w:hAnsi="Arial"/>
                <w:sz w:val="18"/>
                <w:szCs w:val="18"/>
                <w:color w:val="auto"/>
                <w:vertAlign w:val="superscript"/>
              </w:rPr>
              <w:t>(c)</w:t>
            </w: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112.18</w:t>
            </w:r>
          </w:p>
        </w:tc>
        <w:tc>
          <w:tcPr>
            <w:tcW w:w="10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line="20" w:lineRule="exact"/>
              <w:rPr>
                <w:sz w:val="1"/>
                <w:szCs w:val="1"/>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45"/>
        </w:trPr>
        <w:tc>
          <w:tcPr>
            <w:tcW w:w="4720" w:type="dxa"/>
            <w:vAlign w:val="bottom"/>
            <w:vMerge w:val="continue"/>
          </w:tcPr>
          <w:p>
            <w:pPr>
              <w:spacing w:after="0"/>
              <w:rPr>
                <w:sz w:val="21"/>
                <w:szCs w:val="21"/>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333</w:t>
            </w:r>
          </w:p>
        </w:tc>
        <w:tc>
          <w:tcPr>
            <w:tcW w:w="30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820" w:hanging="326"/>
        <w:spacing w:after="0" w:line="261" w:lineRule="auto"/>
        <w:tabs>
          <w:tab w:leader="none" w:pos="813" w:val="left"/>
        </w:tabs>
        <w:numPr>
          <w:ilvl w:val="0"/>
          <w:numId w:val="57"/>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which are discussed separately below. The weighted-average fair value of time-based RSUs, and performance-based and market-based RSUs granted in 2022 was $172.34 and $193.48, respectively, and the weighted-average fair value of time-based RSUs and performance-based RSUs granted in 2021 was $65.23 and $62.27, respectively.</w:t>
      </w:r>
    </w:p>
    <w:p>
      <w:pPr>
        <w:spacing w:after="0" w:line="1" w:lineRule="exact"/>
        <w:rPr>
          <w:rFonts w:ascii="Arial" w:cs="Arial" w:eastAsia="Arial" w:hAnsi="Arial"/>
          <w:sz w:val="9"/>
          <w:szCs w:val="9"/>
          <w:color w:val="auto"/>
        </w:rPr>
      </w:pPr>
    </w:p>
    <w:p>
      <w:pPr>
        <w:ind w:left="820" w:hanging="326"/>
        <w:spacing w:after="0" w:line="187" w:lineRule="auto"/>
        <w:tabs>
          <w:tab w:leader="none" w:pos="82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2023, 2022 and 2021 was $21 million, $22 million and $17 million, respectively.</w:t>
      </w:r>
    </w:p>
    <w:p>
      <w:pPr>
        <w:ind w:left="820" w:hanging="326"/>
        <w:spacing w:after="0" w:line="284" w:lineRule="auto"/>
        <w:tabs>
          <w:tab w:leader="none" w:pos="807" w:val="left"/>
        </w:tabs>
        <w:numPr>
          <w:ilvl w:val="0"/>
          <w:numId w:val="57"/>
        </w:numPr>
        <w:rPr>
          <w:rFonts w:ascii="Arial" w:cs="Arial" w:eastAsia="Arial" w:hAnsi="Arial"/>
          <w:sz w:val="9"/>
          <w:szCs w:val="9"/>
          <w:color w:val="auto"/>
        </w:rPr>
      </w:pPr>
      <w:r>
        <w:rPr>
          <w:rFonts w:ascii="Arial" w:cs="Arial" w:eastAsia="Arial" w:hAnsi="Arial"/>
          <w:sz w:val="14"/>
          <w:szCs w:val="14"/>
          <w:color w:val="auto"/>
        </w:rPr>
        <w:t>Aggregate unrecognized compensation expense related to time-based RSUs and performance-based and market-based RSUs amounted to $45 million and will be recognized over a weighted average vesting period of 1.0 year.</w:t>
      </w: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Non-employee Directors Deferred Compensation Plan</w:t>
      </w:r>
    </w:p>
    <w:p>
      <w:pPr>
        <w:spacing w:after="0" w:line="21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grant stock awards on an annual basis to non-employee directors representing between 50% and 100% of a director’s annual compensation and such awards could be deferred under the Non-employee Directors Deferred Compensation Plan. During 2023, 2022 and 2021, we granted 4,000, 2,500, and 8,800 awards, respectively, to non-employee directors.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Stock-Compensation Expense</w:t>
      </w:r>
    </w:p>
    <w:p>
      <w:pPr>
        <w:spacing w:after="0" w:line="210"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During 2023, 2022 and 2021, we recorded stock-based compensation expense of $30 million ($21 million, net of tax), $25 million ($17 million, net of tax), and $30 million ($21 million, net of tax), respectively.</w:t>
      </w:r>
    </w:p>
    <w:p>
      <w:pPr>
        <w:spacing w:after="0" w:line="180" w:lineRule="exact"/>
        <w:rPr>
          <w:sz w:val="20"/>
          <w:szCs w:val="20"/>
          <w:color w:val="auto"/>
        </w:rPr>
      </w:pPr>
    </w:p>
    <w:p>
      <w:pPr>
        <w:ind w:left="500" w:hanging="44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7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Defined Contribution Savings Plans</w:t>
      </w:r>
    </w:p>
    <w:p>
      <w:pPr>
        <w:spacing w:after="0" w:line="169"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sponsor several defined contribution savings plans in the United States and certain foreign subsidiaries that provide certain of our eligible employees an opportunity to accumulate funds for retirement. We match portions of the contributions of participating employees on the basis specified by the plans. Our contributions to these plans were $29 million, $26 million, and $22 million during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169"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sponsor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w:t>
      </w:r>
    </w:p>
    <w:p>
      <w:pPr>
        <w:spacing w:after="0" w:line="12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loss, net of tax.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periodic (benefit) cost consisted of the following:</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7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vMerge w:val="restart"/>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23"/>
                <w:szCs w:val="23"/>
                <w:color w:val="auto"/>
                <w:vertAlign w:val="superscript"/>
              </w:rPr>
              <w:t>(a)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5"/>
        </w:trPr>
        <w:tc>
          <w:tcPr>
            <w:tcW w:w="5760" w:type="dxa"/>
            <w:vAlign w:val="bottom"/>
            <w:vMerge w:val="continue"/>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760" w:type="dxa"/>
            <w:vAlign w:val="bottom"/>
          </w:tcPr>
          <w:p>
            <w:pPr>
              <w:spacing w:after="0" w:line="230" w:lineRule="exact"/>
              <w:rPr>
                <w:sz w:val="20"/>
                <w:szCs w:val="20"/>
                <w:color w:val="auto"/>
              </w:rPr>
            </w:pPr>
            <w:r>
              <w:rPr>
                <w:rFonts w:ascii="Arial" w:cs="Arial" w:eastAsia="Arial" w:hAnsi="Arial"/>
                <w:sz w:val="18"/>
                <w:szCs w:val="18"/>
                <w:color w:val="auto"/>
              </w:rPr>
              <w:t xml:space="preserve">Interest cost </w:t>
            </w:r>
            <w:r>
              <w:rPr>
                <w:rFonts w:ascii="Arial" w:cs="Arial" w:eastAsia="Arial" w:hAnsi="Arial"/>
                <w:sz w:val="23"/>
                <w:szCs w:val="23"/>
                <w:color w:val="auto"/>
                <w:vertAlign w:val="superscript"/>
              </w:rPr>
              <w:t>(b)</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760" w:type="dxa"/>
            <w:vAlign w:val="bottom"/>
          </w:tcPr>
          <w:p>
            <w:pPr>
              <w:spacing w:after="0" w:line="230" w:lineRule="exact"/>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23"/>
                <w:szCs w:val="23"/>
                <w:color w:val="auto"/>
                <w:vertAlign w:val="superscript"/>
              </w:rPr>
              <w:t>(b)</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5760" w:type="dxa"/>
            <w:vAlign w:val="bottom"/>
          </w:tcPr>
          <w:p>
            <w:pPr>
              <w:spacing w:after="0" w:line="237" w:lineRule="exact"/>
              <w:rPr>
                <w:sz w:val="20"/>
                <w:szCs w:val="20"/>
                <w:color w:val="auto"/>
              </w:rPr>
            </w:pPr>
            <w:r>
              <w:rPr>
                <w:rFonts w:ascii="Arial" w:cs="Arial" w:eastAsia="Arial" w:hAnsi="Arial"/>
                <w:sz w:val="18"/>
                <w:szCs w:val="18"/>
                <w:color w:val="auto"/>
              </w:rPr>
              <w:t xml:space="preserve">Amortization of unrecognized amounts </w:t>
            </w:r>
            <w:r>
              <w:rPr>
                <w:rFonts w:ascii="Arial" w:cs="Arial" w:eastAsia="Arial" w:hAnsi="Arial"/>
                <w:sz w:val="23"/>
                <w:szCs w:val="23"/>
                <w:color w:val="auto"/>
                <w:vertAlign w:val="superscript"/>
              </w:rPr>
              <w:t>(b)</w:t>
            </w:r>
          </w:p>
        </w:tc>
        <w:tc>
          <w:tcPr>
            <w:tcW w:w="9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line="261" w:lineRule="auto"/>
        <w:tabs>
          <w:tab w:leader="none" w:pos="813" w:val="left"/>
        </w:tabs>
        <w:numPr>
          <w:ilvl w:val="0"/>
          <w:numId w:val="59"/>
        </w:numPr>
        <w:rPr>
          <w:rFonts w:ascii="Arial" w:cs="Arial" w:eastAsia="Arial" w:hAnsi="Arial"/>
          <w:sz w:val="9"/>
          <w:szCs w:val="9"/>
          <w:color w:val="auto"/>
        </w:rPr>
      </w:pPr>
      <w:r>
        <w:rPr>
          <w:rFonts w:ascii="Arial" w:cs="Arial" w:eastAsia="Arial" w:hAnsi="Arial"/>
          <w:sz w:val="14"/>
          <w:szCs w:val="14"/>
          <w:color w:val="auto"/>
        </w:rPr>
        <w:t>For the years ended December 31, 2023, 2022, and 2021, $3 million, $4 million, and $4 million was included in operating expenses, respectively. For the years ended December 31, 2022 and 2021, $1 million, and $2 million was included in selling, general and administrative expenses, respectively.</w:t>
      </w:r>
    </w:p>
    <w:p>
      <w:pPr>
        <w:ind w:left="820" w:hanging="326"/>
        <w:spacing w:after="0" w:line="193" w:lineRule="auto"/>
        <w:tabs>
          <w:tab w:leader="none" w:pos="820"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Included in selling, general and administrative expenses.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a measurement date of December 31 for our pension plans. The funded status of the pension plans were as follows:</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Change in Benefit Obligation</w:t>
            </w:r>
          </w:p>
        </w:tc>
        <w:tc>
          <w:tcPr>
            <w:tcW w:w="3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83"/>
        </w:trPr>
        <w:tc>
          <w:tcPr>
            <w:tcW w:w="7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Benefit obligation at end of prior year</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280" w:type="dxa"/>
            <w:vAlign w:val="bottom"/>
            <w:gridSpan w:val="3"/>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5"/>
        </w:trPr>
        <w:tc>
          <w:tcPr>
            <w:tcW w:w="728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Benefit obligation at end of current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331"/>
        </w:trPr>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Change in Plan Assets</w:t>
            </w:r>
          </w:p>
        </w:tc>
        <w:tc>
          <w:tcPr>
            <w:tcW w:w="53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80" w:type="dxa"/>
            <w:vAlign w:val="bottom"/>
            <w:gridSpan w:val="3"/>
          </w:tcPr>
          <w:p>
            <w:pPr>
              <w:spacing w:after="0"/>
              <w:rPr>
                <w:sz w:val="20"/>
                <w:szCs w:val="20"/>
                <w:color w:val="auto"/>
              </w:rPr>
            </w:pPr>
            <w:r>
              <w:rPr>
                <w:rFonts w:ascii="Arial" w:cs="Arial" w:eastAsia="Arial" w:hAnsi="Arial"/>
                <w:sz w:val="18"/>
                <w:szCs w:val="18"/>
                <w:color w:val="auto"/>
              </w:rPr>
              <w:t>Fair value of assets at end of prior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7280" w:type="dxa"/>
            <w:vAlign w:val="bottom"/>
            <w:gridSpan w:val="3"/>
          </w:tcPr>
          <w:p>
            <w:pPr>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5"/>
        </w:trPr>
        <w:tc>
          <w:tcPr>
            <w:tcW w:w="7280" w:type="dxa"/>
            <w:vAlign w:val="bottom"/>
            <w:gridSpan w:val="3"/>
          </w:tcPr>
          <w:p>
            <w:pPr>
              <w:spacing w:after="0"/>
              <w:rPr>
                <w:sz w:val="20"/>
                <w:szCs w:val="20"/>
                <w:color w:val="auto"/>
              </w:rPr>
            </w:pPr>
            <w:r>
              <w:rPr>
                <w:rFonts w:ascii="Arial" w:cs="Arial" w:eastAsia="Arial" w:hAnsi="Arial"/>
                <w:sz w:val="18"/>
                <w:szCs w:val="18"/>
                <w:color w:val="auto"/>
              </w:rPr>
              <w:t>Net benefits paid</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Fair value of assets at end of current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7300" w:type="dxa"/>
            <w:vAlign w:val="bottom"/>
            <w:gridSpan w:val="3"/>
          </w:tcPr>
          <w:p>
            <w:pPr>
              <w:spacing w:after="0"/>
              <w:rPr>
                <w:sz w:val="20"/>
                <w:szCs w:val="20"/>
                <w:color w:val="auto"/>
              </w:rPr>
            </w:pPr>
            <w:r>
              <w:rPr>
                <w:rFonts w:ascii="Arial" w:cs="Arial" w:eastAsia="Arial" w:hAnsi="Arial"/>
                <w:sz w:val="18"/>
                <w:szCs w:val="18"/>
                <w:color w:val="auto"/>
              </w:rPr>
              <w:t>Amounts recognized in the statement of financial position consist of the following:</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Status</w:t>
            </w: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10"/>
              <w:spacing w:after="0" w:line="156"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390"/>
              <w:spacing w:after="0" w:line="156" w:lineRule="exact"/>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7280" w:type="dxa"/>
            <w:vAlign w:val="bottom"/>
            <w:gridSpan w:val="2"/>
            <w:vMerge w:val="restart"/>
          </w:tcPr>
          <w:p>
            <w:pPr>
              <w:ind w:left="160"/>
              <w:spacing w:after="0"/>
              <w:rPr>
                <w:sz w:val="20"/>
                <w:szCs w:val="20"/>
                <w:color w:val="auto"/>
              </w:rPr>
            </w:pPr>
            <w:r>
              <w:rPr>
                <w:rFonts w:ascii="Arial" w:cs="Arial" w:eastAsia="Arial" w:hAnsi="Arial"/>
                <w:sz w:val="18"/>
                <w:szCs w:val="18"/>
                <w:color w:val="auto"/>
              </w:rPr>
              <w:t>Classification of net balance sheet assets (liabilities):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2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160"/>
              <w:spacing w:after="0"/>
              <w:rPr>
                <w:sz w:val="20"/>
                <w:szCs w:val="20"/>
                <w:color w:val="auto"/>
              </w:rPr>
            </w:pPr>
            <w:r>
              <w:rPr>
                <w:rFonts w:ascii="Arial" w:cs="Arial" w:eastAsia="Arial" w:hAnsi="Arial"/>
                <w:sz w:val="18"/>
                <w:szCs w:val="18"/>
                <w:color w:val="auto"/>
              </w:rPr>
              <w:t>Net funded status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The following assumptions were used to determine pension obligations and pension costs for the principal plans in which our employees participated:</w:t>
      </w:r>
    </w:p>
    <w:p>
      <w:pPr>
        <w:spacing w:after="0" w:line="139"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340" w:type="dxa"/>
            <w:vAlign w:val="bottom"/>
            <w:vMerge w:val="restart"/>
          </w:tcPr>
          <w:p>
            <w:pPr>
              <w:spacing w:after="0"/>
              <w:rPr>
                <w:sz w:val="20"/>
                <w:szCs w:val="20"/>
                <w:color w:val="auto"/>
              </w:rPr>
            </w:pPr>
            <w:r>
              <w:rPr>
                <w:rFonts w:ascii="Arial" w:cs="Arial" w:eastAsia="Arial" w:hAnsi="Arial"/>
                <w:sz w:val="18"/>
                <w:szCs w:val="18"/>
                <w:b w:val="1"/>
                <w:bCs w:val="1"/>
                <w:color w:val="auto"/>
              </w:rPr>
              <w:t>U.S. Pension Benefit Plans</w:t>
            </w:r>
          </w:p>
        </w:tc>
        <w:tc>
          <w:tcPr>
            <w:tcW w:w="384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8"/>
              </w:rPr>
              <w:t>For the Year Ended December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04"/>
        </w:trPr>
        <w:tc>
          <w:tcPr>
            <w:tcW w:w="5340" w:type="dxa"/>
            <w:vAlign w:val="bottom"/>
          </w:tcPr>
          <w:p>
            <w:pPr>
              <w:spacing w:after="0" w:line="204" w:lineRule="exact"/>
              <w:rPr>
                <w:sz w:val="20"/>
                <w:szCs w:val="20"/>
                <w:color w:val="auto"/>
              </w:rPr>
            </w:pPr>
            <w:r>
              <w:rPr>
                <w:rFonts w:ascii="Arial" w:cs="Arial" w:eastAsia="Arial" w:hAnsi="Arial"/>
                <w:sz w:val="18"/>
                <w:szCs w:val="18"/>
                <w:color w:val="auto"/>
              </w:rPr>
              <w:t>Discount rate:</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5.18 %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5.18 %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6.25 %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6.75 %</w:t>
            </w:r>
          </w:p>
        </w:tc>
        <w:tc>
          <w:tcPr>
            <w:tcW w:w="0" w:type="dxa"/>
            <w:vAlign w:val="bottom"/>
          </w:tcPr>
          <w:p>
            <w:pPr>
              <w:spacing w:after="0"/>
              <w:rPr>
                <w:sz w:val="1"/>
                <w:szCs w:val="1"/>
                <w:color w:val="auto"/>
              </w:rPr>
            </w:pPr>
          </w:p>
        </w:tc>
      </w:tr>
      <w:tr>
        <w:trPr>
          <w:trHeight w:val="436"/>
        </w:trPr>
        <w:tc>
          <w:tcPr>
            <w:tcW w:w="5340" w:type="dxa"/>
            <w:vAlign w:val="bottom"/>
          </w:tcPr>
          <w:p>
            <w:pPr>
              <w:spacing w:after="0"/>
              <w:rPr>
                <w:sz w:val="20"/>
                <w:szCs w:val="20"/>
                <w:color w:val="auto"/>
              </w:rPr>
            </w:pPr>
            <w:r>
              <w:rPr>
                <w:rFonts w:ascii="Arial" w:cs="Arial" w:eastAsia="Arial" w:hAnsi="Arial"/>
                <w:sz w:val="18"/>
                <w:szCs w:val="18"/>
                <w:b w:val="1"/>
                <w:bCs w:val="1"/>
                <w:color w:val="auto"/>
              </w:rPr>
              <w:t>Non-U.S. Pension Benefit Plans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Discount rate: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Net periodic benefit cost</w:t>
            </w:r>
          </w:p>
        </w:tc>
        <w:tc>
          <w:tcPr>
            <w:tcW w:w="1540" w:type="dxa"/>
            <w:vAlign w:val="bottom"/>
          </w:tcPr>
          <w:p>
            <w:pPr>
              <w:jc w:val="right"/>
              <w:spacing w:after="0"/>
              <w:rPr>
                <w:sz w:val="20"/>
                <w:szCs w:val="20"/>
                <w:color w:val="auto"/>
              </w:rPr>
            </w:pPr>
            <w:r>
              <w:rPr>
                <w:rFonts w:ascii="Arial" w:cs="Arial" w:eastAsia="Arial" w:hAnsi="Arial"/>
                <w:sz w:val="18"/>
                <w:szCs w:val="18"/>
                <w:color w:val="auto"/>
              </w:rPr>
              <w:t>4.79 %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4.40 %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4.79 %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39"/>
        </w:trPr>
        <w:tc>
          <w:tcPr>
            <w:tcW w:w="5340" w:type="dxa"/>
            <w:vAlign w:val="bottom"/>
          </w:tcPr>
          <w:p>
            <w:pPr>
              <w:spacing w:after="0"/>
              <w:rPr>
                <w:sz w:val="20"/>
                <w:szCs w:val="20"/>
                <w:color w:val="auto"/>
              </w:rPr>
            </w:pPr>
            <w:r>
              <w:rPr>
                <w:rFonts w:ascii="Arial" w:cs="Arial" w:eastAsia="Arial" w:hAnsi="Arial"/>
                <w:sz w:val="18"/>
                <w:szCs w:val="18"/>
                <w:color w:val="auto"/>
              </w:rPr>
              <w:t>Long-term rate of return on plan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5.59 %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4.39 %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To select discount rates for our defined benefit pension plans, we use a modeling process that involves matching the expected cash outflows of such plans, to yield curves constructed from portfolios of AA-rated fixed-income debt instruments. We use the average yields of the hypothetical portfolios as a discount rate benchmark.</w:t>
      </w:r>
    </w:p>
    <w:p>
      <w:pPr>
        <w:spacing w:after="0" w:line="117"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Our expected rate of return on plan assets of 6.25% and 5.59% for the U.S. plans and non-U.S. plans, respectively, used to determine pension obligations and pension costs, are long-term rates based on historic plan asset returns in individual jurisdictions, over varying long-term periods combined with current market expectations and broad asset mix considerations.</w:t>
      </w:r>
    </w:p>
    <w:p>
      <w:pPr>
        <w:spacing w:after="0" w:line="103" w:lineRule="exact"/>
        <w:rPr>
          <w:sz w:val="20"/>
          <w:szCs w:val="20"/>
          <w:color w:val="auto"/>
        </w:rPr>
      </w:pPr>
    </w:p>
    <w:p>
      <w:pPr>
        <w:jc w:val="both"/>
        <w:ind w:left="500"/>
        <w:spacing w:after="0" w:line="242" w:lineRule="auto"/>
        <w:rPr>
          <w:sz w:val="20"/>
          <w:szCs w:val="20"/>
          <w:color w:val="auto"/>
        </w:rPr>
      </w:pPr>
      <w:r>
        <w:rPr>
          <w:rFonts w:ascii="Arial" w:cs="Arial" w:eastAsia="Arial" w:hAnsi="Arial"/>
          <w:sz w:val="18"/>
          <w:szCs w:val="18"/>
          <w:color w:val="auto"/>
        </w:rPr>
        <w:t>As of December 31, 2023 and 2022, plans with projected benefit obligations in excess of plan assets had projected benefit obligations of $ 350 million and $ 332 million, respectively, and plan assets of $246 million and $235 million, respectively. As of December 31, 2023 and 2022, plans with accumulated benefit obligations in excess of plan assets had accumulated benefit obligations of $346 million and $329 million, respectively, and plan assets of $246 million and $235 million, respectively. The accumulated benefit obligation for all plans was $615 million and $571 million as of December 31, 2023 and 2022, respectively. We expect to contribute approximately $1 million to the plans in 2024.</w:t>
      </w:r>
    </w:p>
    <w:p>
      <w:pPr>
        <w:spacing w:after="0" w:line="13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Our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our financial statements.</w:t>
      </w:r>
    </w:p>
    <w:p>
      <w:pPr>
        <w:spacing w:after="0" w:line="12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defined benefit pension plans’ investment goals and objectives are managed by us or Company-appointed and member-appointed trustees with consultation from independent investment advisors. While the objectives may vary slightly by country and jurisdiction, collectively we seek to produce returns on pension plan investments, which are based on levels of liquidity and investment risk that we believe are prudent and reasonable, given prevailing capital market conditions. The pension plans’ assets are managed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We believe that diversification of the pension plans’ assets is an important investment strategy to provide reasonable assurance that no single security or class of securities will have a disproportionate impact on the pension plans. As such, we allocate assets among traditional equity, fixed income (government issued securities, corporate bonds and short-term cash investments) and other investment strategies.</w:t>
      </w:r>
    </w:p>
    <w:p>
      <w:pPr>
        <w:spacing w:after="0" w:line="12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equity component’s purpose is to provide a total return that will help preserve the purchasing power of the assets. The pension plans hold various mutual funds that invest in equity securities and are diversified 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35%-55% of the plans’ assets.</w:t>
      </w:r>
    </w:p>
    <w:p>
      <w:pPr>
        <w:spacing w:after="0" w:line="125"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35%-55% of the plans’ assets.</w:t>
      </w:r>
    </w:p>
    <w:p>
      <w:pPr>
        <w:spacing w:after="0" w:line="12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purpose of the alternative investment component is to provide diversification and risk reduction through less correlated investment strategies with the goal of enhanced returns and downside protection. Alternative strategies will not be used if they are designed solely to enhance return and/or employ significant leverage. Diversification of asset categories, investment styles and managers is central to managing investment risk. The alternative investment component is expected to approximate 5%-15% of the plans’ assets.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defined benefit pension plans’ assets measured at fair value:</w:t>
      </w:r>
    </w:p>
    <w:p>
      <w:pPr>
        <w:spacing w:after="0" w:line="212" w:lineRule="exact"/>
        <w:rPr>
          <w:sz w:val="20"/>
          <w:szCs w:val="20"/>
          <w:color w:val="auto"/>
        </w:rPr>
      </w:pPr>
    </w:p>
    <w:tbl>
      <w:tblPr>
        <w:tblLayout w:type="fixed"/>
        <w:tblInd w:w="500" w:type="dxa"/>
        <w:tblCellMar>
          <w:top w:w="0" w:type="dxa"/>
          <w:left w:w="0" w:type="dxa"/>
          <w:bottom w:w="0" w:type="dxa"/>
          <w:right w:w="0" w:type="dxa"/>
        </w:tblCellMar>
      </w:tblPr>
      <w:tr>
        <w:trPr>
          <w:trHeight w:val="235"/>
        </w:trPr>
        <w:tc>
          <w:tcPr>
            <w:tcW w:w="5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 Class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As of December 31, 2023</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5080" w:type="dxa"/>
            <w:vAlign w:val="bottom"/>
          </w:tcPr>
          <w:p>
            <w:pPr>
              <w:ind w:left="20"/>
              <w:spacing w:after="0"/>
              <w:rPr>
                <w:sz w:val="20"/>
                <w:szCs w:val="20"/>
                <w:color w:val="auto"/>
              </w:rPr>
            </w:pPr>
            <w:r>
              <w:rPr>
                <w:rFonts w:ascii="Arial" w:cs="Arial" w:eastAsia="Arial" w:hAnsi="Arial"/>
                <w:sz w:val="18"/>
                <w:szCs w:val="18"/>
                <w:color w:val="auto"/>
              </w:rPr>
              <w:t>Cash equivalents and short-term investments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U.S. equities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Non-U.S. equities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5"/>
        </w:trPr>
        <w:tc>
          <w:tcPr>
            <w:tcW w:w="5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50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660" w:type="dxa"/>
            <w:vAlign w:val="bottom"/>
            <w:gridSpan w:val="7"/>
          </w:tcPr>
          <w:p>
            <w:pPr>
              <w:spacing w:after="0"/>
              <w:rPr>
                <w:sz w:val="20"/>
                <w:szCs w:val="20"/>
                <w:color w:val="auto"/>
              </w:rPr>
            </w:pPr>
            <w:r>
              <w:rPr>
                <w:rFonts w:ascii="Arial" w:cs="Arial" w:eastAsia="Arial" w:hAnsi="Arial"/>
                <w:sz w:val="14"/>
                <w:szCs w:val="14"/>
                <w:color w:val="auto"/>
              </w:rPr>
              <w:t>For the year ended December 31, 2023, we purchased and classified $11 million of investments as Level 3.</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Asset Class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8"/>
        </w:trPr>
        <w:tc>
          <w:tcPr>
            <w:tcW w:w="5040" w:type="dxa"/>
            <w:vAlign w:val="bottom"/>
          </w:tcPr>
          <w:p>
            <w:pPr>
              <w:spacing w:after="0"/>
              <w:rPr>
                <w:sz w:val="20"/>
                <w:szCs w:val="20"/>
                <w:color w:val="auto"/>
              </w:rPr>
            </w:pPr>
            <w:r>
              <w:rPr>
                <w:rFonts w:ascii="Arial" w:cs="Arial" w:eastAsia="Arial" w:hAnsi="Arial"/>
                <w:sz w:val="18"/>
                <w:szCs w:val="18"/>
                <w:color w:val="auto"/>
              </w:rPr>
              <w:t>Cash equivalents and short-term investments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U.S. equities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Non-U.S. equities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Government bonds</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5"/>
        </w:trPr>
        <w:tc>
          <w:tcPr>
            <w:tcW w:w="504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50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the year ended December 31, 2022, we purchased and classified $54 million of investments as Level 3.</w:t>
      </w:r>
    </w:p>
    <w:p>
      <w:pPr>
        <w:spacing w:after="0" w:line="153"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We estimate that future benefit payments from plan assets will be $33 million, $33 million, $34 million, $35 million, $36 million and $194 million for 2024, 2025, 2026, 2027, 2028 and 2029 to 2033,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Multiemployer Plans</w:t>
      </w:r>
    </w:p>
    <w:p>
      <w:pPr>
        <w:spacing w:after="0" w:line="169" w:lineRule="exact"/>
        <w:rPr>
          <w:sz w:val="20"/>
          <w:szCs w:val="20"/>
          <w:color w:val="auto"/>
        </w:rPr>
      </w:pPr>
    </w:p>
    <w:p>
      <w:pPr>
        <w:jc w:val="both"/>
        <w:ind w:left="500"/>
        <w:spacing w:after="0" w:line="260" w:lineRule="auto"/>
        <w:rPr>
          <w:sz w:val="20"/>
          <w:szCs w:val="20"/>
          <w:color w:val="auto"/>
        </w:rPr>
      </w:pPr>
      <w:r>
        <w:rPr>
          <w:rFonts w:ascii="Arial" w:cs="Arial" w:eastAsia="Arial" w:hAnsi="Arial"/>
          <w:sz w:val="18"/>
          <w:szCs w:val="18"/>
          <w:color w:val="auto"/>
        </w:rPr>
        <w:t>We contribute to a number of multiemployer plans under the terms of collective-bargaining agreements that cover a portion of our employees. The risks of participating in these multiemployer plans are different from single-employer plans in the following aspects:</w:t>
      </w:r>
    </w:p>
    <w:p>
      <w:pPr>
        <w:spacing w:after="0" w:line="2" w:lineRule="exact"/>
        <w:rPr>
          <w:sz w:val="20"/>
          <w:szCs w:val="20"/>
          <w:color w:val="auto"/>
        </w:rPr>
      </w:pPr>
    </w:p>
    <w:p>
      <w:pPr>
        <w:jc w:val="both"/>
        <w:ind w:left="500"/>
        <w:spacing w:after="0" w:line="253" w:lineRule="auto"/>
        <w:rPr>
          <w:sz w:val="20"/>
          <w:szCs w:val="20"/>
          <w:color w:val="auto"/>
        </w:rPr>
      </w:pPr>
      <w:r>
        <w:rPr>
          <w:rFonts w:ascii="Arial" w:cs="Arial" w:eastAsia="Arial" w:hAnsi="Arial"/>
          <w:sz w:val="18"/>
          <w:szCs w:val="18"/>
          <w:color w:val="auto"/>
        </w:rPr>
        <w:t>(i) 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we elect to stop participating in a multiemployer plan, we may be required to contribute to such plan an amount based on the under-funded status of the plan; and (iv) we have no involvement in the management of the multiemployer plans’ investments. For the years ended December 31, 2023, 2022, and 2021, we contributed $10 million, $8 million and $7 million, respectively, to multiemployer plans.</w:t>
      </w:r>
    </w:p>
    <w:p>
      <w:pPr>
        <w:spacing w:after="0" w:line="211" w:lineRule="exact"/>
        <w:rPr>
          <w:sz w:val="20"/>
          <w:szCs w:val="20"/>
          <w:color w:val="auto"/>
        </w:rPr>
      </w:pPr>
    </w:p>
    <w:p>
      <w:pPr>
        <w:ind w:left="500" w:right="8880" w:hanging="442"/>
        <w:spacing w:after="0" w:line="464" w:lineRule="auto"/>
        <w:tabs>
          <w:tab w:leader="none" w:pos="514"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Risk Management</w:t>
      </w:r>
    </w:p>
    <w:p>
      <w:pPr>
        <w:jc w:val="both"/>
        <w:ind w:left="500"/>
        <w:spacing w:after="0" w:line="255" w:lineRule="auto"/>
        <w:rPr>
          <w:rFonts w:ascii="Arial" w:cs="Arial" w:eastAsia="Arial" w:hAnsi="Arial"/>
          <w:sz w:val="17"/>
          <w:szCs w:val="17"/>
          <w:b w:val="1"/>
          <w:bCs w:val="1"/>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 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130" w:lineRule="exact"/>
        <w:rPr>
          <w:rFonts w:ascii="Arial" w:cs="Arial" w:eastAsia="Arial" w:hAnsi="Arial"/>
          <w:sz w:val="17"/>
          <w:szCs w:val="17"/>
          <w:b w:val="1"/>
          <w:bCs w:val="1"/>
          <w:color w:val="auto"/>
        </w:rPr>
      </w:pPr>
    </w:p>
    <w:p>
      <w:pPr>
        <w:ind w:left="500"/>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98" w:lineRule="exact"/>
        <w:rPr>
          <w:rFonts w:ascii="Arial" w:cs="Arial" w:eastAsia="Arial" w:hAnsi="Arial"/>
          <w:sz w:val="17"/>
          <w:szCs w:val="17"/>
          <w:b w:val="1"/>
          <w:bCs w:val="1"/>
          <w:color w:val="auto"/>
        </w:rPr>
      </w:pPr>
    </w:p>
    <w:p>
      <w:pPr>
        <w:jc w:val="both"/>
        <w:ind w:left="500"/>
        <w:spacing w:after="0" w:line="255" w:lineRule="auto"/>
        <w:rPr>
          <w:rFonts w:ascii="Arial" w:cs="Arial" w:eastAsia="Arial" w:hAnsi="Arial"/>
          <w:sz w:val="17"/>
          <w:szCs w:val="17"/>
          <w:b w:val="1"/>
          <w:bCs w:val="1"/>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$24 million of gain currently recorded in accumulated other comprehensive income (loss) will be recognized in earnings over the next 12 months.</w:t>
      </w:r>
    </w:p>
    <w:p>
      <w:pPr>
        <w:spacing w:after="0" w:line="126" w:lineRule="exact"/>
        <w:rPr>
          <w:rFonts w:ascii="Arial" w:cs="Arial" w:eastAsia="Arial" w:hAnsi="Arial"/>
          <w:sz w:val="17"/>
          <w:szCs w:val="17"/>
          <w:b w:val="1"/>
          <w:bCs w:val="1"/>
          <w:color w:val="auto"/>
        </w:rPr>
      </w:pPr>
    </w:p>
    <w:p>
      <w:pPr>
        <w:jc w:val="both"/>
        <w:ind w:left="500"/>
        <w:spacing w:after="0" w:line="268" w:lineRule="auto"/>
        <w:rPr>
          <w:rFonts w:ascii="Arial" w:cs="Arial" w:eastAsia="Arial" w:hAnsi="Arial"/>
          <w:sz w:val="17"/>
          <w:szCs w:val="17"/>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were designated as freestanding derivatives and the changes in fair value are recorded in earnings and are presented in the same line of the income statement expected for the hedged item.</w:t>
      </w:r>
    </w:p>
    <w:p>
      <w:pPr>
        <w:spacing w:after="0" w:line="116" w:lineRule="exact"/>
        <w:rPr>
          <w:rFonts w:ascii="Arial" w:cs="Arial" w:eastAsia="Arial" w:hAnsi="Arial"/>
          <w:sz w:val="17"/>
          <w:szCs w:val="17"/>
          <w:b w:val="1"/>
          <w:bCs w:val="1"/>
          <w:color w:val="auto"/>
        </w:rPr>
      </w:pPr>
    </w:p>
    <w:p>
      <w:pPr>
        <w:jc w:val="both"/>
        <w:ind w:left="500"/>
        <w:spacing w:after="0" w:line="259" w:lineRule="auto"/>
        <w:rPr>
          <w:rFonts w:ascii="Arial" w:cs="Arial" w:eastAsia="Arial" w:hAnsi="Arial"/>
          <w:sz w:val="17"/>
          <w:szCs w:val="17"/>
          <w:b w:val="1"/>
          <w:bCs w:val="1"/>
          <w:color w:val="auto"/>
        </w:rPr>
      </w:pPr>
      <w:r>
        <w:rPr>
          <w:rFonts w:ascii="Arial" w:cs="Arial" w:eastAsia="Arial" w:hAnsi="Arial"/>
          <w:sz w:val="18"/>
          <w:szCs w:val="18"/>
          <w:i w:val="1"/>
          <w:iCs w:val="1"/>
          <w:color w:val="auto"/>
        </w:rPr>
        <w:t>Credit Risk and Exposure</w:t>
      </w:r>
      <w:r>
        <w:rPr>
          <w:rFonts w:ascii="Arial" w:cs="Arial" w:eastAsia="Arial" w:hAnsi="Arial"/>
          <w:sz w:val="18"/>
          <w:szCs w:val="18"/>
          <w:color w:val="auto"/>
        </w:rPr>
        <w:t>. We are exposed to counterparty credit risks in the event of nonperformance by counterparties to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and sales transactions. We manage such risk by evaluating the financial position and creditworthiness of such counterparties and by requiring collateral in certain instances in which financing is provided. We mitigate counterparty credit risk associated with our derivative contracts by monitoring the amount for which we are at risk with each counterparty, periodically evaluating counterparty creditworthiness and financial position, and where possible, dispersing our risk among multiple counterparties.</w:t>
      </w:r>
    </w:p>
    <w:p>
      <w:pPr>
        <w:spacing w:after="0" w:line="125" w:lineRule="exact"/>
        <w:rPr>
          <w:rFonts w:ascii="Arial" w:cs="Arial" w:eastAsia="Arial" w:hAnsi="Arial"/>
          <w:sz w:val="17"/>
          <w:szCs w:val="17"/>
          <w:b w:val="1"/>
          <w:bCs w:val="1"/>
          <w:color w:val="auto"/>
        </w:rPr>
      </w:pPr>
    </w:p>
    <w:p>
      <w:pPr>
        <w:jc w:val="both"/>
        <w:ind w:left="500"/>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There were no significant concentrations of credit risk with any individual counterparty or groups of counterparties at December 31, 2023 or 2022, other than (i) risks related to our repurchase and guaranteed depreciation agreements with domestic and foreign car manufacturers, and primarily with respect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receivables for program cars that were disposed but for which we have not yet received payment from the manufacturers (see Note 2 – 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we are a guarantor. Concentrations of credit risk associated with trade receivables are considered minimal due to our diverse customer base. We do not normally require collateral or other security to support credit sales.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69"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As described above, derivative assets and liabilities consist principally of currency exchange contracts, interest rate swaps, interest rate caps and commodity contracts. We held derivative instruments with absolute notional values as follows:</w:t>
      </w:r>
    </w:p>
    <w:p>
      <w:pPr>
        <w:spacing w:after="0" w:line="139"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8"/>
                <w:szCs w:val="18"/>
                <w:color w:val="auto"/>
              </w:rPr>
              <w:t>Foreign exchange contracts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8"/>
        </w:trPr>
        <w:tc>
          <w:tcPr>
            <w:tcW w:w="720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 xml:space="preserve">Interest rate caps </w:t>
            </w:r>
            <w:r>
              <w:rPr>
                <w:rFonts w:ascii="Arial" w:cs="Arial" w:eastAsia="Arial" w:hAnsi="Arial"/>
                <w:sz w:val="10"/>
                <w:szCs w:val="10"/>
                <w:color w:val="auto"/>
              </w:rPr>
              <w:t>(a)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39"/>
        </w:trPr>
        <w:tc>
          <w:tcPr>
            <w:tcW w:w="7200" w:type="dxa"/>
            <w:vAlign w:val="bottom"/>
          </w:tcPr>
          <w:p>
            <w:pPr>
              <w:spacing w:after="0"/>
              <w:rPr>
                <w:sz w:val="20"/>
                <w:szCs w:val="20"/>
                <w:color w:val="auto"/>
              </w:rPr>
            </w:pPr>
            <w:r>
              <w:rPr>
                <w:rFonts w:ascii="Arial" w:cs="Arial" w:eastAsia="Arial" w:hAnsi="Arial"/>
                <w:sz w:val="18"/>
                <w:szCs w:val="18"/>
                <w:color w:val="auto"/>
              </w:rPr>
              <w:t>Interest rate swaps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24" w:lineRule="exact"/>
        <w:rPr>
          <w:sz w:val="20"/>
          <w:szCs w:val="20"/>
          <w:color w:val="auto"/>
        </w:rPr>
      </w:pPr>
    </w:p>
    <w:p>
      <w:pPr>
        <w:jc w:val="both"/>
        <w:ind w:left="820" w:hanging="326"/>
        <w:spacing w:after="0" w:line="231" w:lineRule="auto"/>
        <w:tabs>
          <w:tab w:leader="none" w:pos="813"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Represents $10.3 billion of interest rate caps sold, partially offset by approximately $4.9 billion of interest rate caps purchased at December 31, 2023 and $9.8 billion of interest rate caps sold, partially offset by approximately $4.4 billion of interest rate caps purchased at December 31, 2022. These amounts exclude $5.9 billion and $6.2 billion of interest rate caps purchased by our Avis Budget Rental Car Funding subsidiary at December 31, 2023 and 2022, respectively.</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are as follows:</w:t>
      </w: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5"/>
          </w:tcPr>
          <w:p>
            <w:pPr>
              <w:ind w:left="220"/>
              <w:spacing w:after="0"/>
              <w:rPr>
                <w:sz w:val="20"/>
                <w:szCs w:val="20"/>
                <w:color w:val="auto"/>
              </w:rPr>
            </w:pPr>
            <w:r>
              <w:rPr>
                <w:rFonts w:ascii="Arial" w:cs="Arial" w:eastAsia="Arial" w:hAnsi="Arial"/>
                <w:sz w:val="16"/>
                <w:szCs w:val="16"/>
                <w:b w:val="1"/>
                <w:bCs w:val="1"/>
                <w:color w:val="auto"/>
              </w:rPr>
              <w:t>As of December 31, 2023</w:t>
            </w:r>
          </w:p>
        </w:tc>
        <w:tc>
          <w:tcPr>
            <w:tcW w:w="160" w:type="dxa"/>
            <w:vAlign w:val="bottom"/>
          </w:tcPr>
          <w:p>
            <w:pPr>
              <w:spacing w:after="0"/>
              <w:rPr>
                <w:sz w:val="18"/>
                <w:szCs w:val="18"/>
                <w:color w:val="auto"/>
              </w:rPr>
            </w:pPr>
          </w:p>
        </w:tc>
        <w:tc>
          <w:tcPr>
            <w:tcW w:w="2520" w:type="dxa"/>
            <w:vAlign w:val="bottom"/>
            <w:gridSpan w:val="4"/>
          </w:tcPr>
          <w:p>
            <w:pPr>
              <w:ind w:left="220"/>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8"/>
              </w:rPr>
              <w:t>Fair Value,</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22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Liability</w:t>
            </w:r>
          </w:p>
        </w:tc>
        <w:tc>
          <w:tcPr>
            <w:tcW w:w="160" w:type="dxa"/>
            <w:vAlign w:val="bottom"/>
          </w:tcPr>
          <w:p>
            <w:pPr>
              <w:spacing w:after="0"/>
              <w:rPr>
                <w:sz w:val="14"/>
                <w:szCs w:val="14"/>
                <w:color w:val="auto"/>
              </w:rPr>
            </w:pPr>
          </w:p>
        </w:tc>
        <w:tc>
          <w:tcPr>
            <w:tcW w:w="1240" w:type="dxa"/>
            <w:vAlign w:val="bottom"/>
            <w:gridSpan w:val="2"/>
          </w:tcPr>
          <w:p>
            <w:pPr>
              <w:ind w:left="240"/>
              <w:spacing w:after="0" w:line="162" w:lineRule="exact"/>
              <w:rPr>
                <w:sz w:val="20"/>
                <w:szCs w:val="20"/>
                <w:color w:val="auto"/>
              </w:rPr>
            </w:pPr>
            <w:r>
              <w:rPr>
                <w:rFonts w:ascii="Arial" w:cs="Arial" w:eastAsia="Arial" w:hAnsi="Arial"/>
                <w:sz w:val="16"/>
                <w:szCs w:val="16"/>
                <w:b w:val="1"/>
                <w:bCs w:val="1"/>
                <w:color w:val="auto"/>
              </w:rPr>
              <w:t>Asset</w:t>
            </w:r>
          </w:p>
        </w:tc>
        <w:tc>
          <w:tcPr>
            <w:tcW w:w="16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Liability</w:t>
            </w:r>
          </w:p>
        </w:tc>
        <w:tc>
          <w:tcPr>
            <w:tcW w:w="0" w:type="dxa"/>
            <w:vAlign w:val="bottom"/>
          </w:tcPr>
          <w:p>
            <w:pPr>
              <w:spacing w:after="0"/>
              <w:rPr>
                <w:sz w:val="1"/>
                <w:szCs w:val="1"/>
                <w:color w:val="auto"/>
              </w:rPr>
            </w:pPr>
          </w:p>
        </w:tc>
      </w:tr>
      <w:tr>
        <w:trPr>
          <w:trHeight w:val="216"/>
        </w:trPr>
        <w:tc>
          <w:tcPr>
            <w:tcW w:w="468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Derivatives</w:t>
            </w:r>
          </w:p>
        </w:tc>
        <w:tc>
          <w:tcPr>
            <w:tcW w:w="160" w:type="dxa"/>
            <w:vAlign w:val="bottom"/>
          </w:tcPr>
          <w:p>
            <w:pPr>
              <w:spacing w:after="0"/>
              <w:rPr>
                <w:sz w:val="18"/>
                <w:szCs w:val="18"/>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68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9"/>
        </w:trPr>
        <w:tc>
          <w:tcPr>
            <w:tcW w:w="4680" w:type="dxa"/>
            <w:vAlign w:val="bottom"/>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500" w:right="20"/>
        <w:spacing w:after="0" w:line="252"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16 – Stockholders' Equity.</w:t>
      </w:r>
    </w:p>
    <w:p>
      <w:pPr>
        <w:ind w:left="820" w:hanging="326"/>
        <w:spacing w:after="0"/>
        <w:tabs>
          <w:tab w:leader="none" w:pos="820" w:val="left"/>
        </w:tabs>
        <w:numPr>
          <w:ilvl w:val="0"/>
          <w:numId w:val="62"/>
        </w:numPr>
        <w:rPr>
          <w:rFonts w:ascii="Arial" w:cs="Arial" w:eastAsia="Arial" w:hAnsi="Arial"/>
          <w:sz w:val="9"/>
          <w:szCs w:val="9"/>
          <w:color w:val="auto"/>
        </w:rPr>
      </w:pPr>
      <w:r>
        <w:rPr>
          <w:rFonts w:ascii="Arial" w:cs="Arial" w:eastAsia="Arial" w:hAnsi="Arial"/>
          <w:sz w:val="14"/>
          <w:szCs w:val="14"/>
          <w:color w:val="auto"/>
        </w:rPr>
        <w:t>Included in other non-current assets or other non-current liabilities.</w:t>
      </w:r>
    </w:p>
    <w:p>
      <w:pPr>
        <w:spacing w:after="0" w:line="14" w:lineRule="exact"/>
        <w:rPr>
          <w:rFonts w:ascii="Arial" w:cs="Arial" w:eastAsia="Arial" w:hAnsi="Arial"/>
          <w:sz w:val="9"/>
          <w:szCs w:val="9"/>
          <w:color w:val="auto"/>
        </w:rPr>
      </w:pPr>
    </w:p>
    <w:p>
      <w:pPr>
        <w:ind w:left="820" w:hanging="326"/>
        <w:spacing w:after="0" w:line="192" w:lineRule="auto"/>
        <w:tabs>
          <w:tab w:leader="none" w:pos="820"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93" w:lineRule="auto"/>
        <w:tabs>
          <w:tab w:leader="none" w:pos="800"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our Consolidated Financial Statements are as follows:</w:t>
      </w:r>
    </w:p>
    <w:p>
      <w:pPr>
        <w:spacing w:after="0" w:line="54" w:lineRule="exact"/>
        <w:rPr>
          <w:sz w:val="20"/>
          <w:szCs w:val="20"/>
          <w:color w:val="auto"/>
        </w:rPr>
      </w:pPr>
    </w:p>
    <w:p>
      <w:pPr>
        <w:ind w:left="7640"/>
        <w:spacing w:after="0"/>
        <w:rPr>
          <w:sz w:val="20"/>
          <w:szCs w:val="20"/>
          <w:color w:val="auto"/>
        </w:rPr>
      </w:pPr>
      <w:r>
        <w:rPr>
          <w:rFonts w:ascii="Arial" w:cs="Arial" w:eastAsia="Arial" w:hAnsi="Arial"/>
          <w:sz w:val="16"/>
          <w:szCs w:val="16"/>
          <w:b w:val="1"/>
          <w:bCs w:val="1"/>
          <w:color w:val="auto"/>
        </w:rPr>
        <w:t>Year Ended December 31,</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Financial instruments designated as hedging instruments </w:t>
            </w:r>
            <w:r>
              <w:rPr>
                <w:rFonts w:ascii="Arial" w:cs="Arial" w:eastAsia="Arial" w:hAnsi="Arial"/>
                <w:sz w:val="21"/>
                <w:szCs w:val="21"/>
                <w:color w:val="auto"/>
                <w:vertAlign w:val="superscript"/>
              </w:rPr>
              <w:t>(a)</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5"/>
        </w:trPr>
        <w:tc>
          <w:tcPr>
            <w:tcW w:w="60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Financial instruments not designated as hedging instruments </w:t>
            </w:r>
            <w:r>
              <w:rPr>
                <w:rFonts w:ascii="Arial" w:cs="Arial" w:eastAsia="Arial" w:hAnsi="Arial"/>
                <w:sz w:val="21"/>
                <w:szCs w:val="21"/>
                <w:color w:val="auto"/>
                <w:vertAlign w:val="superscript"/>
              </w:rPr>
              <w:t>(d)</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9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08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13" w:lineRule="auto"/>
        <w:tabs>
          <w:tab w:leader="none" w:pos="82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ind w:left="820" w:hanging="326"/>
        <w:spacing w:after="0" w:line="261" w:lineRule="auto"/>
        <w:tabs>
          <w:tab w:leader="none" w:pos="813" w:val="left"/>
        </w:tabs>
        <w:numPr>
          <w:ilvl w:val="0"/>
          <w:numId w:val="63"/>
        </w:numPr>
        <w:rPr>
          <w:rFonts w:ascii="Arial" w:cs="Arial" w:eastAsia="Arial" w:hAnsi="Arial"/>
          <w:sz w:val="9"/>
          <w:szCs w:val="9"/>
          <w:color w:val="auto"/>
        </w:rPr>
      </w:pPr>
      <w:r>
        <w:rPr>
          <w:rFonts w:ascii="Arial" w:cs="Arial" w:eastAsia="Arial" w:hAnsi="Arial"/>
          <w:sz w:val="14"/>
          <w:szCs w:val="14"/>
          <w:color w:val="auto"/>
        </w:rPr>
        <w:t>Classified as a net unrealized gain (loss) on cash flow hedges in accumulated other comprehensive income (loss). Refer to Note 16 – Stockholders' Equity for amounts reclassified from accumulated other comprehensive income (loss) into earnings.</w:t>
      </w:r>
    </w:p>
    <w:p>
      <w:pPr>
        <w:ind w:left="800" w:hanging="306"/>
        <w:spacing w:after="0" w:line="192" w:lineRule="auto"/>
        <w:tabs>
          <w:tab w:leader="none" w:pos="80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92" w:lineRule="auto"/>
        <w:tabs>
          <w:tab w:leader="none" w:pos="82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jc w:val="both"/>
        <w:ind w:left="820" w:hanging="326"/>
        <w:spacing w:after="0" w:line="227" w:lineRule="auto"/>
        <w:tabs>
          <w:tab w:leader="none" w:pos="813"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2023, included a $14 million loss in interest expense and a $2 million gain in operating expenses. For the year ended December 31, 2022, included a $39 million gain in interest expense and a $3 million loss in operating expenses. For the year ended December 31, 2021, included a $2 million loss in interest expense and a $1 million loss in operating expenses.</w:t>
      </w:r>
    </w:p>
    <w:p>
      <w:pPr>
        <w:spacing w:after="0" w:line="1" w:lineRule="exact"/>
        <w:rPr>
          <w:rFonts w:ascii="Arial" w:cs="Arial" w:eastAsia="Arial" w:hAnsi="Arial"/>
          <w:sz w:val="19"/>
          <w:szCs w:val="19"/>
          <w:color w:val="auto"/>
          <w:vertAlign w:val="superscript"/>
        </w:rPr>
      </w:pPr>
    </w:p>
    <w:p>
      <w:pPr>
        <w:ind w:left="820" w:hanging="326"/>
        <w:spacing w:after="0" w:line="193" w:lineRule="auto"/>
        <w:tabs>
          <w:tab w:leader="none" w:pos="82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Primarily included in vehicle interest, net.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Instruments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5"/>
          </w:tcPr>
          <w:p>
            <w:pPr>
              <w:ind w:left="200"/>
              <w:spacing w:after="0"/>
              <w:rPr>
                <w:sz w:val="20"/>
                <w:szCs w:val="20"/>
                <w:color w:val="auto"/>
              </w:rPr>
            </w:pPr>
            <w:r>
              <w:rPr>
                <w:rFonts w:ascii="Arial" w:cs="Arial" w:eastAsia="Arial" w:hAnsi="Arial"/>
                <w:sz w:val="16"/>
                <w:szCs w:val="16"/>
                <w:b w:val="1"/>
                <w:bCs w:val="1"/>
                <w:color w:val="auto"/>
              </w:rPr>
              <w:t>As of December 31, 2023</w:t>
            </w:r>
          </w:p>
        </w:tc>
        <w:tc>
          <w:tcPr>
            <w:tcW w:w="220" w:type="dxa"/>
            <w:vAlign w:val="bottom"/>
          </w:tcPr>
          <w:p>
            <w:pPr>
              <w:spacing w:after="0"/>
              <w:rPr>
                <w:sz w:val="18"/>
                <w:szCs w:val="18"/>
                <w:color w:val="auto"/>
              </w:rPr>
            </w:pPr>
          </w:p>
        </w:tc>
        <w:tc>
          <w:tcPr>
            <w:tcW w:w="24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Carrying</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160"/>
              <w:spacing w:after="0"/>
              <w:rPr>
                <w:sz w:val="20"/>
                <w:szCs w:val="20"/>
                <w:color w:val="auto"/>
              </w:rPr>
            </w:pPr>
            <w:r>
              <w:rPr>
                <w:rFonts w:ascii="Arial" w:cs="Arial" w:eastAsia="Arial" w:hAnsi="Arial"/>
                <w:sz w:val="16"/>
                <w:szCs w:val="16"/>
                <w:color w:val="auto"/>
              </w:rPr>
              <w:t>Short-term debt and current portion of long-term debt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4,411</w:t>
            </w:r>
          </w:p>
        </w:tc>
        <w:tc>
          <w:tcPr>
            <w:tcW w:w="0" w:type="dxa"/>
            <w:vAlign w:val="bottom"/>
          </w:tcPr>
          <w:p>
            <w:pPr>
              <w:spacing w:after="0"/>
              <w:rPr>
                <w:sz w:val="1"/>
                <w:szCs w:val="1"/>
                <w:color w:val="auto"/>
              </w:rPr>
            </w:pPr>
          </w:p>
        </w:tc>
      </w:tr>
      <w:tr>
        <w:trPr>
          <w:trHeight w:val="433"/>
        </w:trPr>
        <w:tc>
          <w:tcPr>
            <w:tcW w:w="46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20" w:type="dxa"/>
            <w:vAlign w:val="bottom"/>
          </w:tcPr>
          <w:p>
            <w:pPr>
              <w:ind w:left="160"/>
              <w:spacing w:after="0"/>
              <w:rPr>
                <w:sz w:val="20"/>
                <w:szCs w:val="20"/>
                <w:color w:val="auto"/>
              </w:rPr>
            </w:pPr>
            <w:r>
              <w:rPr>
                <w:rFonts w:ascii="Arial" w:cs="Arial" w:eastAsia="Arial" w:hAnsi="Arial"/>
                <w:sz w:val="16"/>
                <w:szCs w:val="16"/>
                <w:color w:val="auto"/>
              </w:rPr>
              <w:t>Vehicle-backed debt due to Avis Budget Rental Car Funding</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15,441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15,238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11,275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10,848</w:t>
            </w: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6"/>
                <w:szCs w:val="16"/>
                <w:color w:val="auto"/>
              </w:rPr>
              <w:t>Vehicle-backed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287"/>
        </w:trPr>
        <w:tc>
          <w:tcPr>
            <w:tcW w:w="4620" w:type="dxa"/>
            <w:vAlign w:val="bottom"/>
          </w:tcPr>
          <w:p>
            <w:pPr>
              <w:ind w:left="16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ind w:left="820" w:hanging="326"/>
        <w:spacing w:after="0"/>
        <w:tabs>
          <w:tab w:leader="none" w:pos="820" w:val="left"/>
        </w:tabs>
        <w:numPr>
          <w:ilvl w:val="1"/>
          <w:numId w:val="64"/>
        </w:numPr>
        <w:rPr>
          <w:rFonts w:ascii="Arial" w:cs="Arial" w:eastAsia="Arial" w:hAnsi="Arial"/>
          <w:sz w:val="9"/>
          <w:szCs w:val="9"/>
          <w:color w:val="auto"/>
        </w:rPr>
      </w:pPr>
      <w:r>
        <w:rPr>
          <w:rFonts w:ascii="Arial" w:cs="Arial" w:eastAsia="Arial" w:hAnsi="Arial"/>
          <w:sz w:val="14"/>
          <w:szCs w:val="14"/>
          <w:color w:val="auto"/>
        </w:rPr>
        <w:t>Derivatives in liability position.</w:t>
      </w:r>
    </w:p>
    <w:p>
      <w:pPr>
        <w:spacing w:after="0" w:line="233" w:lineRule="exact"/>
        <w:rPr>
          <w:rFonts w:ascii="Arial" w:cs="Arial" w:eastAsia="Arial" w:hAnsi="Arial"/>
          <w:sz w:val="9"/>
          <w:szCs w:val="9"/>
          <w:color w:val="auto"/>
        </w:rPr>
      </w:pPr>
    </w:p>
    <w:p>
      <w:pPr>
        <w:ind w:left="500" w:hanging="44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1"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of our operating segments. In identifying our reportable segments, we also consider the nature of services provided by our operating segments, the geographical areas in which the segments operate and other relevant factors. We aggregate certain of our operating segments into our reportable segments.</w:t>
      </w:r>
    </w:p>
    <w:p>
      <w:pPr>
        <w:spacing w:after="0" w:line="122"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legal matters, net, which includes amounts recorded in excess of $5 million related to class action lawsuits and personal injury matters; non-operational charges related to shareholder activist activity, which includes third-party advisory, legal and other professional fees; COVID-19 charges, net; cloud computing costs; other (income) expense, net, and income taxes.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Our presentation of Adjusted EBITDA may not be comparable to similarly-titled measures used by other companies.</w:t>
      </w:r>
    </w:p>
    <w:p>
      <w:pPr>
        <w:spacing w:after="0" w:line="122"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2023</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6"/>
                <w:szCs w:val="16"/>
                <w:color w:val="auto"/>
              </w:rPr>
            </w:pPr>
          </w:p>
        </w:tc>
        <w:tc>
          <w:tcPr>
            <w:tcW w:w="1700" w:type="dxa"/>
            <w:vAlign w:val="bottom"/>
            <w:gridSpan w:val="3"/>
          </w:tcPr>
          <w:p>
            <w:pPr>
              <w:jc w:val="center"/>
              <w:ind w:right="510"/>
              <w:spacing w:after="0" w:line="190" w:lineRule="exact"/>
              <w:rPr>
                <w:sz w:val="20"/>
                <w:szCs w:val="20"/>
                <w:color w:val="auto"/>
              </w:rPr>
            </w:pPr>
            <w:r>
              <w:rPr>
                <w:rFonts w:ascii="Arial" w:cs="Arial" w:eastAsia="Arial" w:hAnsi="Arial"/>
                <w:sz w:val="18"/>
                <w:szCs w:val="18"/>
                <w:b w:val="1"/>
                <w:bCs w:val="1"/>
                <w:color w:val="auto"/>
                <w:w w:val="99"/>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8"/>
              </w:rPr>
              <w:t xml:space="preserve">and Other </w:t>
            </w:r>
            <w:r>
              <w:rPr>
                <w:rFonts w:ascii="Arial" w:cs="Arial" w:eastAsia="Arial" w:hAnsi="Arial"/>
                <w:sz w:val="9"/>
                <w:szCs w:val="9"/>
                <w:b w:val="1"/>
                <w:bCs w:val="1"/>
                <w:color w:val="auto"/>
                <w:w w:val="98"/>
              </w:rPr>
              <w:t>(a)</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4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81"/>
        </w:trPr>
        <w:tc>
          <w:tcPr>
            <w:tcW w:w="4040" w:type="dxa"/>
            <w:vAlign w:val="bottom"/>
          </w:tcPr>
          <w:p>
            <w:pPr>
              <w:ind w:left="20"/>
              <w:spacing w:after="0" w:line="181"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38"/>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10" w:lineRule="exact"/>
        <w:rPr>
          <w:sz w:val="20"/>
          <w:szCs w:val="20"/>
          <w:color w:val="auto"/>
        </w:rPr>
      </w:pPr>
    </w:p>
    <w:p>
      <w:pPr>
        <w:ind w:left="820" w:hanging="326"/>
        <w:spacing w:after="0"/>
        <w:tabs>
          <w:tab w:leader="none" w:pos="82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Primarily represents unallocated corporate expenses and receivables from our former subsidiaries</w:t>
      </w:r>
      <w:r>
        <w:rPr>
          <w:rFonts w:ascii="Arial" w:cs="Arial" w:eastAsia="Arial" w:hAnsi="Arial"/>
          <w:sz w:val="16"/>
          <w:szCs w:val="16"/>
          <w:color w:val="auto"/>
        </w:rPr>
        <w:t>.</w:t>
      </w:r>
    </w:p>
    <w:p>
      <w:pPr>
        <w:spacing w:after="0" w:line="132"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2022</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6"/>
                <w:szCs w:val="16"/>
                <w:color w:val="auto"/>
              </w:rPr>
            </w:pPr>
          </w:p>
        </w:tc>
        <w:tc>
          <w:tcPr>
            <w:tcW w:w="1700" w:type="dxa"/>
            <w:vAlign w:val="bottom"/>
            <w:gridSpan w:val="3"/>
          </w:tcPr>
          <w:p>
            <w:pPr>
              <w:jc w:val="center"/>
              <w:ind w:right="510"/>
              <w:spacing w:after="0" w:line="190" w:lineRule="exact"/>
              <w:rPr>
                <w:sz w:val="20"/>
                <w:szCs w:val="20"/>
                <w:color w:val="auto"/>
              </w:rPr>
            </w:pPr>
            <w:r>
              <w:rPr>
                <w:rFonts w:ascii="Arial" w:cs="Arial" w:eastAsia="Arial" w:hAnsi="Arial"/>
                <w:sz w:val="18"/>
                <w:szCs w:val="18"/>
                <w:b w:val="1"/>
                <w:bCs w:val="1"/>
                <w:color w:val="auto"/>
                <w:w w:val="99"/>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8"/>
              </w:rPr>
              <w:t xml:space="preserve">and Other </w:t>
            </w:r>
            <w:r>
              <w:rPr>
                <w:rFonts w:ascii="Arial" w:cs="Arial" w:eastAsia="Arial" w:hAnsi="Arial"/>
                <w:sz w:val="9"/>
                <w:szCs w:val="9"/>
                <w:b w:val="1"/>
                <w:bCs w:val="1"/>
                <w:color w:val="auto"/>
                <w:w w:val="98"/>
              </w:rPr>
              <w:t>(a)</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4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81"/>
        </w:trPr>
        <w:tc>
          <w:tcPr>
            <w:tcW w:w="4040" w:type="dxa"/>
            <w:vAlign w:val="bottom"/>
          </w:tcPr>
          <w:p>
            <w:pPr>
              <w:ind w:left="20"/>
              <w:spacing w:after="0" w:line="181"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38"/>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4040" w:type="dxa"/>
            <w:vAlign w:val="bottom"/>
          </w:tcPr>
          <w:p>
            <w:pPr>
              <w:spacing w:after="0"/>
              <w:rPr>
                <w:sz w:val="20"/>
                <w:szCs w:val="20"/>
                <w:color w:val="auto"/>
              </w:rPr>
            </w:pPr>
            <w:r>
              <w:rPr>
                <w:rFonts w:ascii="Arial" w:cs="Arial" w:eastAsia="Arial" w:hAnsi="Arial"/>
                <w:sz w:val="18"/>
                <w:szCs w:val="18"/>
                <w:b w:val="1"/>
                <w:bCs w:val="1"/>
                <w:color w:val="auto"/>
              </w:rPr>
              <w:t>Year Ended December 31, 2021</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16"/>
                <w:szCs w:val="16"/>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International</w:t>
            </w:r>
          </w:p>
        </w:tc>
        <w:tc>
          <w:tcPr>
            <w:tcW w:w="160" w:type="dxa"/>
            <w:vAlign w:val="bottom"/>
          </w:tcPr>
          <w:p>
            <w:pPr>
              <w:spacing w:after="0"/>
              <w:rPr>
                <w:sz w:val="16"/>
                <w:szCs w:val="16"/>
                <w:color w:val="auto"/>
              </w:rPr>
            </w:pPr>
          </w:p>
        </w:tc>
        <w:tc>
          <w:tcPr>
            <w:tcW w:w="1700" w:type="dxa"/>
            <w:vAlign w:val="bottom"/>
            <w:gridSpan w:val="3"/>
          </w:tcPr>
          <w:p>
            <w:pPr>
              <w:jc w:val="center"/>
              <w:ind w:right="510"/>
              <w:spacing w:after="0" w:line="190" w:lineRule="exact"/>
              <w:rPr>
                <w:sz w:val="20"/>
                <w:szCs w:val="20"/>
                <w:color w:val="auto"/>
              </w:rPr>
            </w:pPr>
            <w:r>
              <w:rPr>
                <w:rFonts w:ascii="Arial" w:cs="Arial" w:eastAsia="Arial" w:hAnsi="Arial"/>
                <w:sz w:val="18"/>
                <w:szCs w:val="18"/>
                <w:b w:val="1"/>
                <w:bCs w:val="1"/>
                <w:color w:val="auto"/>
                <w:w w:val="99"/>
              </w:rPr>
              <w:t>Corporate</w:t>
            </w:r>
          </w:p>
        </w:tc>
        <w:tc>
          <w:tcPr>
            <w:tcW w:w="11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0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8"/>
              </w:rPr>
              <w:t xml:space="preserve">and Other </w:t>
            </w:r>
            <w:r>
              <w:rPr>
                <w:rFonts w:ascii="Arial" w:cs="Arial" w:eastAsia="Arial" w:hAnsi="Arial"/>
                <w:sz w:val="9"/>
                <w:szCs w:val="9"/>
                <w:b w:val="1"/>
                <w:bCs w:val="1"/>
                <w:color w:val="auto"/>
                <w:w w:val="98"/>
              </w:rPr>
              <w:t>(a)</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040" w:type="dxa"/>
            <w:vAlign w:val="bottom"/>
            <w:vMerge w:val="continue"/>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Non-vehicle depreciation and amortization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1"/>
        </w:trPr>
        <w:tc>
          <w:tcPr>
            <w:tcW w:w="4040" w:type="dxa"/>
            <w:vAlign w:val="bottom"/>
          </w:tcPr>
          <w:p>
            <w:pPr>
              <w:ind w:left="20"/>
              <w:spacing w:after="0" w:line="181" w:lineRule="exact"/>
              <w:rPr>
                <w:sz w:val="20"/>
                <w:szCs w:val="20"/>
                <w:color w:val="auto"/>
              </w:rPr>
            </w:pPr>
            <w:r>
              <w:rPr>
                <w:rFonts w:ascii="Arial" w:cs="Arial" w:eastAsia="Arial" w:hAnsi="Arial"/>
                <w:sz w:val="18"/>
                <w:szCs w:val="18"/>
                <w:color w:val="auto"/>
              </w:rPr>
              <w:t>Assets exclusive of assets under vehicle</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38"/>
        </w:trPr>
        <w:tc>
          <w:tcPr>
            <w:tcW w:w="4040" w:type="dxa"/>
            <w:vAlign w:val="bottom"/>
          </w:tcPr>
          <w:p>
            <w:pPr>
              <w:ind w:left="180"/>
              <w:spacing w:after="0"/>
              <w:rPr>
                <w:sz w:val="20"/>
                <w:szCs w:val="20"/>
                <w:color w:val="auto"/>
              </w:rPr>
            </w:pPr>
            <w:r>
              <w:rPr>
                <w:rFonts w:ascii="Arial" w:cs="Arial" w:eastAsia="Arial" w:hAnsi="Arial"/>
                <w:sz w:val="18"/>
                <w:szCs w:val="18"/>
                <w:color w:val="auto"/>
              </w:rPr>
              <w:t>programs</w:t>
            </w:r>
          </w:p>
        </w:tc>
        <w:tc>
          <w:tcPr>
            <w:tcW w:w="2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Assets under vehicle programs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39"/>
        </w:trPr>
        <w:tc>
          <w:tcPr>
            <w:tcW w:w="4040" w:type="dxa"/>
            <w:vAlign w:val="bottom"/>
          </w:tcPr>
          <w:p>
            <w:pPr>
              <w:ind w:left="20"/>
              <w:spacing w:after="0"/>
              <w:rPr>
                <w:sz w:val="20"/>
                <w:szCs w:val="20"/>
                <w:color w:val="auto"/>
              </w:rPr>
            </w:pPr>
            <w:r>
              <w:rPr>
                <w:rFonts w:ascii="Arial" w:cs="Arial" w:eastAsia="Arial" w:hAnsi="Arial"/>
                <w:sz w:val="18"/>
                <w:szCs w:val="18"/>
                <w:color w:val="auto"/>
              </w:rPr>
              <w:t>Property and equipment additions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Primarily represents unallocated corporate expenses and receivables from our former subsidiaries.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Provided below is a reconciliation of Adjusted EBITDA to income before income taxes.</w:t>
      </w:r>
    </w:p>
    <w:p>
      <w:pPr>
        <w:spacing w:after="0" w:line="212"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5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right"/>
              <w:ind w:right="71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572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572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4,133</w:t>
            </w:r>
          </w:p>
        </w:tc>
        <w:tc>
          <w:tcPr>
            <w:tcW w:w="10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9"/>
        </w:trPr>
        <w:tc>
          <w:tcPr>
            <w:tcW w:w="572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572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7"/>
        </w:trPr>
        <w:tc>
          <w:tcPr>
            <w:tcW w:w="572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2"/>
        </w:trPr>
        <w:tc>
          <w:tcPr>
            <w:tcW w:w="5720" w:type="dxa"/>
            <w:vAlign w:val="bottom"/>
          </w:tcPr>
          <w:p>
            <w:pPr>
              <w:ind w:left="200"/>
              <w:spacing w:after="0" w:line="232" w:lineRule="exact"/>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(a)</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8"/>
                <w:szCs w:val="18"/>
                <w:color w:val="auto"/>
              </w:rPr>
              <w:t>Reported within 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420"/>
              <w:spacing w:after="0"/>
              <w:rPr>
                <w:sz w:val="20"/>
                <w:szCs w:val="20"/>
                <w:color w:val="auto"/>
              </w:rPr>
            </w:pPr>
            <w:r>
              <w:rPr>
                <w:rFonts w:ascii="Arial" w:cs="Arial" w:eastAsia="Arial" w:hAnsi="Arial"/>
                <w:sz w:val="18"/>
                <w:szCs w:val="18"/>
                <w:color w:val="auto"/>
              </w:rPr>
              <w:t>Cloud computing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720" w:type="dxa"/>
            <w:vAlign w:val="bottom"/>
          </w:tcPr>
          <w:p>
            <w:pPr>
              <w:ind w:left="420"/>
              <w:spacing w:after="0"/>
              <w:rPr>
                <w:sz w:val="20"/>
                <w:szCs w:val="20"/>
                <w:color w:val="auto"/>
              </w:rPr>
            </w:pPr>
            <w:r>
              <w:rPr>
                <w:rFonts w:ascii="Arial" w:cs="Arial" w:eastAsia="Arial" w:hAnsi="Arial"/>
                <w:sz w:val="18"/>
                <w:szCs w:val="18"/>
                <w:color w:val="auto"/>
              </w:rPr>
              <w:t>COVID-19 charges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5"/>
        </w:trPr>
        <w:tc>
          <w:tcPr>
            <w:tcW w:w="5720" w:type="dxa"/>
            <w:vAlign w:val="bottom"/>
          </w:tcPr>
          <w:p>
            <w:pPr>
              <w:ind w:left="420"/>
              <w:spacing w:after="0"/>
              <w:rPr>
                <w:sz w:val="20"/>
                <w:szCs w:val="20"/>
                <w:color w:val="auto"/>
              </w:rPr>
            </w:pPr>
            <w:r>
              <w:rPr>
                <w:rFonts w:ascii="Arial" w:cs="Arial" w:eastAsia="Arial" w:hAnsi="Arial"/>
                <w:sz w:val="18"/>
                <w:szCs w:val="18"/>
                <w:color w:val="auto"/>
              </w:rPr>
              <w:t>Legal matters, net</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59" w:lineRule="exact"/>
        <w:rPr>
          <w:sz w:val="20"/>
          <w:szCs w:val="20"/>
          <w:color w:val="auto"/>
        </w:rPr>
      </w:pPr>
    </w:p>
    <w:p>
      <w:pPr>
        <w:ind w:left="820" w:hanging="326"/>
        <w:spacing w:after="0" w:line="214" w:lineRule="auto"/>
        <w:tabs>
          <w:tab w:leader="none" w:pos="813"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geographic segment information provided below is classified based on the geographic location of our subsidiaries.</w:t>
      </w:r>
    </w:p>
    <w:p>
      <w:pPr>
        <w:spacing w:after="0" w:line="32"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United States</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All Other</w:t>
            </w:r>
          </w:p>
        </w:tc>
        <w:tc>
          <w:tcPr>
            <w:tcW w:w="360" w:type="dxa"/>
            <w:vAlign w:val="bottom"/>
          </w:tcPr>
          <w:p>
            <w:pPr>
              <w:spacing w:after="0"/>
              <w:rPr>
                <w:sz w:val="18"/>
                <w:szCs w:val="18"/>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Countries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1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8,775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12,008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22,979</w:t>
            </w: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2,488</w:t>
            </w:r>
          </w:p>
        </w:tc>
        <w:tc>
          <w:tcPr>
            <w:tcW w:w="0" w:type="dxa"/>
            <w:vAlign w:val="bottom"/>
          </w:tcPr>
          <w:p>
            <w:pPr>
              <w:spacing w:after="0"/>
              <w:rPr>
                <w:sz w:val="1"/>
                <w:szCs w:val="1"/>
                <w:color w:val="auto"/>
              </w:rPr>
            </w:pPr>
          </w:p>
        </w:tc>
      </w:tr>
      <w:tr>
        <w:trPr>
          <w:trHeight w:val="436"/>
        </w:trPr>
        <w:tc>
          <w:tcPr>
            <w:tcW w:w="512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8,975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8,499</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436"/>
        </w:trPr>
        <w:tc>
          <w:tcPr>
            <w:tcW w:w="512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exclusive of 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Assets under vehicle programs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39"/>
        </w:trPr>
        <w:tc>
          <w:tcPr>
            <w:tcW w:w="5120" w:type="dxa"/>
            <w:vAlign w:val="bottom"/>
          </w:tcPr>
          <w:p>
            <w:pPr>
              <w:spacing w:after="0"/>
              <w:rPr>
                <w:sz w:val="20"/>
                <w:szCs w:val="20"/>
                <w:color w:val="auto"/>
              </w:rPr>
            </w:pPr>
            <w:r>
              <w:rPr>
                <w:rFonts w:ascii="Arial" w:cs="Arial" w:eastAsia="Arial" w:hAnsi="Arial"/>
                <w:sz w:val="18"/>
                <w:szCs w:val="18"/>
                <w:color w:val="auto"/>
              </w:rPr>
              <w:t>Net long-lived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hanging="44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2"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In January 2024, our Avis Budget Rental Car Funding (AESOP) LLC subsidiary issued $ 1.2 billion of asset-backed notes to investors with an expected final payment date of June 2029 and a weighted average interest rate of 5.51%.</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Balance at</w:t>
            </w:r>
          </w:p>
        </w:tc>
        <w:tc>
          <w:tcPr>
            <w:tcW w:w="200" w:type="dxa"/>
            <w:vAlign w:val="bottom"/>
          </w:tcPr>
          <w:p>
            <w:pPr>
              <w:spacing w:after="0"/>
              <w:rPr>
                <w:sz w:val="17"/>
                <w:szCs w:val="1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17"/>
                <w:szCs w:val="17"/>
                <w:color w:val="auto"/>
              </w:rPr>
            </w:pPr>
          </w:p>
        </w:tc>
        <w:tc>
          <w:tcPr>
            <w:tcW w:w="16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Balance at End</w:t>
            </w:r>
          </w:p>
        </w:tc>
        <w:tc>
          <w:tcPr>
            <w:tcW w:w="0" w:type="dxa"/>
            <w:vAlign w:val="bottom"/>
          </w:tcPr>
          <w:p>
            <w:pPr>
              <w:spacing w:after="0"/>
              <w:rPr>
                <w:sz w:val="1"/>
                <w:szCs w:val="1"/>
                <w:color w:val="auto"/>
              </w:rPr>
            </w:pPr>
          </w:p>
        </w:tc>
      </w:tr>
      <w:tr>
        <w:trPr>
          <w:trHeight w:val="175"/>
        </w:trPr>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Beginning</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Deductions</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of Period</w:t>
            </w:r>
          </w:p>
        </w:tc>
        <w:tc>
          <w:tcPr>
            <w:tcW w:w="20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21"/>
                <w:szCs w:val="21"/>
                <w:color w:val="auto"/>
              </w:rPr>
            </w:pPr>
          </w:p>
        </w:tc>
        <w:tc>
          <w:tcPr>
            <w:tcW w:w="1600" w:type="dxa"/>
            <w:vAlign w:val="bottom"/>
            <w:gridSpan w:val="2"/>
          </w:tcPr>
          <w:p>
            <w:pPr>
              <w:jc w:val="center"/>
              <w:ind w:right="280"/>
              <w:spacing w:after="0" w:line="243" w:lineRule="exact"/>
              <w:rPr>
                <w:sz w:val="20"/>
                <w:szCs w:val="20"/>
                <w:color w:val="auto"/>
              </w:rPr>
            </w:pPr>
            <w:r>
              <w:rPr>
                <w:rFonts w:ascii="Arial" w:cs="Arial" w:eastAsia="Arial" w:hAnsi="Arial"/>
                <w:sz w:val="18"/>
                <w:szCs w:val="18"/>
                <w:b w:val="1"/>
                <w:bCs w:val="1"/>
                <w:color w:val="auto"/>
                <w:w w:val="97"/>
              </w:rPr>
              <w:t>Adjustments</w:t>
            </w:r>
            <w:r>
              <w:rPr>
                <w:rFonts w:ascii="Arial" w:cs="Arial" w:eastAsia="Arial" w:hAnsi="Arial"/>
                <w:sz w:val="23"/>
                <w:szCs w:val="23"/>
                <w:b w:val="1"/>
                <w:bCs w:val="1"/>
                <w:color w:val="auto"/>
                <w:w w:val="97"/>
                <w:vertAlign w:val="superscript"/>
              </w:rPr>
              <w:t>(a)</w:t>
            </w:r>
          </w:p>
        </w:tc>
        <w:tc>
          <w:tcPr>
            <w:tcW w:w="16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of Period</w:t>
            </w:r>
          </w:p>
        </w:tc>
        <w:tc>
          <w:tcPr>
            <w:tcW w:w="0" w:type="dxa"/>
            <w:vAlign w:val="bottom"/>
          </w:tcPr>
          <w:p>
            <w:pPr>
              <w:spacing w:after="0"/>
              <w:rPr>
                <w:sz w:val="1"/>
                <w:szCs w:val="1"/>
                <w:color w:val="auto"/>
              </w:rPr>
            </w:pPr>
          </w:p>
        </w:tc>
      </w:tr>
      <w:tr>
        <w:trPr>
          <w:trHeight w:val="218"/>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115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center"/>
              <w:ind w:left="750"/>
              <w:spacing w:after="0"/>
              <w:rPr>
                <w:sz w:val="20"/>
                <w:szCs w:val="20"/>
                <w:color w:val="auto"/>
              </w:rPr>
            </w:pPr>
            <w:r>
              <w:rPr>
                <w:rFonts w:ascii="Arial" w:cs="Arial" w:eastAsia="Arial" w:hAnsi="Arial"/>
                <w:sz w:val="18"/>
                <w:szCs w:val="18"/>
                <w:color w:val="auto"/>
                <w:w w:val="99"/>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74"/>
        </w:trPr>
        <w:tc>
          <w:tcPr>
            <w:tcW w:w="3700" w:type="dxa"/>
            <w:vAlign w:val="bottom"/>
            <w:gridSpan w:val="2"/>
          </w:tcPr>
          <w:p>
            <w:pPr>
              <w:ind w:left="20"/>
              <w:spacing w:after="0"/>
              <w:rPr>
                <w:sz w:val="20"/>
                <w:szCs w:val="20"/>
                <w:color w:val="auto"/>
              </w:rPr>
            </w:pPr>
            <w:r>
              <w:rPr>
                <w:rFonts w:ascii="Arial" w:cs="Arial" w:eastAsia="Arial" w:hAnsi="Arial"/>
                <w:sz w:val="18"/>
                <w:szCs w:val="18"/>
                <w:b w:val="1"/>
                <w:bCs w:val="1"/>
                <w:color w:val="auto"/>
              </w:rPr>
              <w:t>Tax Valuation Allowance: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Year Ended December 31,</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1150"/>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7"/>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center"/>
              <w:ind w:left="1110"/>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320" w:hanging="312"/>
        <w:spacing w:after="0" w:line="229" w:lineRule="auto"/>
        <w:tabs>
          <w:tab w:leader="none" w:pos="320" w:val="left"/>
        </w:tabs>
        <w:numPr>
          <w:ilvl w:val="0"/>
          <w:numId w:val="71"/>
        </w:numPr>
        <w:rPr>
          <w:rFonts w:ascii="Arial" w:cs="Arial" w:eastAsia="Arial" w:hAnsi="Arial"/>
          <w:sz w:val="19"/>
          <w:szCs w:val="19"/>
          <w:color w:val="auto"/>
          <w:vertAlign w:val="superscript"/>
        </w:rPr>
      </w:pPr>
      <w:r>
        <w:rPr>
          <w:rFonts w:ascii="Arial" w:cs="Arial" w:eastAsia="Arial" w:hAnsi="Arial"/>
          <w:sz w:val="14"/>
          <w:szCs w:val="14"/>
          <w:color w:val="auto"/>
        </w:rPr>
        <w:t>Primarily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1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EXHIBIT NO.</w:t>
            </w:r>
          </w:p>
        </w:tc>
        <w:tc>
          <w:tcPr>
            <w:tcW w:w="100" w:type="dxa"/>
            <w:vAlign w:val="bottom"/>
            <w:tcBorders>
              <w:top w:val="single" w:sz="8" w:color="auto"/>
              <w:bottom w:val="single" w:sz="8" w:color="auto"/>
              <w:right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00" w:type="dxa"/>
            <w:vAlign w:val="bottom"/>
            <w:tcBorders>
              <w:top w:val="single" w:sz="8" w:color="auto"/>
              <w:bottom w:val="single" w:sz="8" w:color="auto"/>
              <w:right w:val="single" w:sz="8" w:color="auto"/>
            </w:tcBorders>
            <w:gridSpan w:val="48"/>
          </w:tcPr>
          <w:p>
            <w:pPr>
              <w:spacing w:after="0"/>
              <w:rPr>
                <w:sz w:val="20"/>
                <w:szCs w:val="20"/>
                <w:color w:val="auto"/>
              </w:rPr>
            </w:pPr>
            <w:r>
              <w:rPr>
                <w:rFonts w:ascii="Arial" w:cs="Arial" w:eastAsia="Arial" w:hAnsi="Arial"/>
                <w:sz w:val="16"/>
                <w:szCs w:val="16"/>
                <w:color w:val="auto"/>
              </w:rPr>
              <w:t>DESCRIPTION</w:t>
            </w:r>
          </w:p>
        </w:tc>
      </w:tr>
      <w:tr>
        <w:trPr>
          <w:trHeight w:val="170"/>
        </w:trPr>
        <w:tc>
          <w:tcPr>
            <w:tcW w:w="1140" w:type="dxa"/>
            <w:vAlign w:val="bottom"/>
            <w:tcBorders>
              <w:left w:val="single" w:sz="8" w:color="auto"/>
              <w:right w:val="single" w:sz="8" w:color="auto"/>
            </w:tcBorders>
          </w:tcPr>
          <w:p>
            <w:pPr>
              <w:ind w:left="40"/>
              <w:spacing w:after="0" w:line="170"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70" w:lineRule="exact"/>
              <w:rPr>
                <w:rFonts w:ascii="Arial" w:cs="Arial" w:eastAsia="Arial" w:hAnsi="Arial"/>
                <w:sz w:val="16"/>
                <w:szCs w:val="16"/>
                <w:color w:val="0000FF"/>
              </w:rPr>
            </w:pPr>
            <w:hyperlink r:id="rId168">
              <w:r>
                <w:rPr>
                  <w:rFonts w:ascii="Arial" w:cs="Arial" w:eastAsia="Arial" w:hAnsi="Arial"/>
                  <w:sz w:val="16"/>
                  <w:szCs w:val="16"/>
                  <w:color w:val="0000FF"/>
                </w:rPr>
                <w:t>Separation and Distribution Agreement by and among Cendant Corporation*, Realogy Corporation, Wyndham Worldwide Corporation and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Travelport Inc., dated as of July 27, 2006 (Incorporated by reference to Exhibit 2.1 to the Company’s Current Report on Form 8-K,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August 1,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bottom w:val="single" w:sz="8" w:color="0000FF"/>
            </w:tcBorders>
            <w:gridSpan w:val="28"/>
          </w:tcPr>
          <w:p>
            <w:pPr>
              <w:spacing w:after="0" w:line="169" w:lineRule="exact"/>
              <w:rPr>
                <w:rFonts w:ascii="Arial" w:cs="Arial" w:eastAsia="Arial" w:hAnsi="Arial"/>
                <w:sz w:val="16"/>
                <w:szCs w:val="16"/>
                <w:color w:val="0000FF"/>
              </w:rPr>
            </w:pPr>
            <w:hyperlink r:id="rId169">
              <w:r>
                <w:rPr>
                  <w:rFonts w:ascii="Arial" w:cs="Arial" w:eastAsia="Arial" w:hAnsi="Arial"/>
                  <w:sz w:val="16"/>
                  <w:szCs w:val="16"/>
                  <w:color w:val="0000FF"/>
                </w:rPr>
                <w:t>Letter Agreement dated August 17, 2006, related to the Separation and Distribution Agreement by and among Realogy Corporation,</w:t>
              </w:r>
            </w:hyperlink>
          </w:p>
        </w:tc>
        <w:tc>
          <w:tcPr>
            <w:tcW w:w="540" w:type="dxa"/>
            <w:vAlign w:val="bottom"/>
            <w:tcBorders>
              <w:right w:val="single" w:sz="8" w:color="auto"/>
            </w:tcBorders>
            <w:gridSpan w:val="20"/>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Cendant Corporation*, Wyndham Worldwide Corporation and Travelport Inc. dated as of July 27, 2006 (Incorporated by reference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69">
              <w:r>
                <w:rPr>
                  <w:rFonts w:ascii="Arial" w:cs="Arial" w:eastAsia="Arial" w:hAnsi="Arial"/>
                  <w:sz w:val="16"/>
                  <w:szCs w:val="16"/>
                  <w:color w:val="0000FF"/>
                </w:rPr>
                <w:t>Exhibit 2.2 to the Company’s Quarterly Report on Form 10-Q for the period ended June 30, 2007, dated August 8, 2007).</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0">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Amended and Restated Bylaws of Avis Budget Group, Inc., dated August 10, 2020 (Incorporated by reference to Exhibit 3.2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71">
              <w:r>
                <w:rPr>
                  <w:rFonts w:ascii="Arial" w:cs="Arial" w:eastAsia="Arial" w:hAnsi="Arial"/>
                  <w:sz w:val="16"/>
                  <w:szCs w:val="16"/>
                  <w:color w:val="0000FF"/>
                </w:rPr>
                <w:t>Company’s Current Report on Form 8-K, dated August 13, 2020).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tcBorders>
              <w:right w:val="single" w:sz="8" w:color="auto"/>
            </w:tcBorders>
            <w:gridSpan w:val="48"/>
          </w:tcPr>
          <w:p>
            <w:pPr>
              <w:spacing w:after="0"/>
              <w:rPr>
                <w:rFonts w:ascii="Arial" w:cs="Arial" w:eastAsia="Arial" w:hAnsi="Arial"/>
                <w:sz w:val="16"/>
                <w:szCs w:val="16"/>
                <w:color w:val="0000FF"/>
              </w:rPr>
            </w:pPr>
            <w:hyperlink r:id="rId172">
              <w:r>
                <w:rPr>
                  <w:rFonts w:ascii="Arial" w:cs="Arial" w:eastAsia="Arial" w:hAnsi="Arial"/>
                  <w:sz w:val="16"/>
                  <w:szCs w:val="16"/>
                  <w:color w:val="0000FF"/>
                </w:rPr>
                <w:t>Indenture dated as of October 4, 2018 among Avis Budget Finance, plc, as Issuer, the Guarantors from time to time parties thereto,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Deutsche Bank Trust Company Americas, as Trustee, Deutsche Bank AG, London Branch, as Paying Agent and Deutsche Bank</w:t>
              </w:r>
            </w:hyperlink>
          </w:p>
        </w:tc>
        <w:tc>
          <w:tcPr>
            <w:tcW w:w="20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Luxembourg S.A., as Registrar, governing the 4.75% Senior Notes due 2026 (Incorporated by reference to Exhibit 4.1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Quarterly Report on Form 10-Q for the quarterly period ended September 30, 2018 dated November 6, 2018).</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48"/>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460" w:type="dxa"/>
            <w:vAlign w:val="bottom"/>
            <w:tcBorders>
              <w:top w:val="single" w:sz="8" w:color="0000FF"/>
              <w:bottom w:val="single" w:sz="8" w:color="auto"/>
            </w:tcBorders>
          </w:tcPr>
          <w:p>
            <w:pPr>
              <w:spacing w:after="0"/>
              <w:rPr>
                <w:sz w:val="4"/>
                <w:szCs w:val="4"/>
                <w:color w:val="auto"/>
              </w:rPr>
            </w:pPr>
          </w:p>
        </w:tc>
        <w:tc>
          <w:tcPr>
            <w:tcW w:w="1800" w:type="dxa"/>
            <w:vAlign w:val="bottom"/>
            <w:tcBorders>
              <w:top w:val="single" w:sz="8" w:color="0000FF"/>
              <w:bottom w:val="single" w:sz="8" w:color="auto"/>
            </w:tcBorders>
          </w:tcPr>
          <w:p>
            <w:pPr>
              <w:spacing w:after="0"/>
              <w:rPr>
                <w:sz w:val="4"/>
                <w:szCs w:val="4"/>
                <w:color w:val="auto"/>
              </w:rPr>
            </w:pPr>
          </w:p>
        </w:tc>
        <w:tc>
          <w:tcPr>
            <w:tcW w:w="580" w:type="dxa"/>
            <w:vAlign w:val="bottom"/>
            <w:tcBorders>
              <w:top w:val="single" w:sz="8" w:color="0000FF"/>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720" w:type="dxa"/>
            <w:vAlign w:val="bottom"/>
            <w:tcBorders>
              <w:top w:val="single" w:sz="8" w:color="0000FF"/>
              <w:bottom w:val="single" w:sz="8" w:color="auto"/>
            </w:tcBorders>
          </w:tcPr>
          <w:p>
            <w:pPr>
              <w:spacing w:after="0"/>
              <w:rPr>
                <w:sz w:val="4"/>
                <w:szCs w:val="4"/>
                <w:color w:val="auto"/>
              </w:rPr>
            </w:pPr>
          </w:p>
        </w:tc>
        <w:tc>
          <w:tcPr>
            <w:tcW w:w="140" w:type="dxa"/>
            <w:vAlign w:val="bottom"/>
            <w:tcBorders>
              <w:top w:val="single" w:sz="8" w:color="0000FF"/>
              <w:bottom w:val="single" w:sz="8" w:color="auto"/>
            </w:tcBorders>
          </w:tcPr>
          <w:p>
            <w:pPr>
              <w:spacing w:after="0"/>
              <w:rPr>
                <w:sz w:val="4"/>
                <w:szCs w:val="4"/>
                <w:color w:val="auto"/>
              </w:rPr>
            </w:pPr>
          </w:p>
        </w:tc>
        <w:tc>
          <w:tcPr>
            <w:tcW w:w="760" w:type="dxa"/>
            <w:vAlign w:val="bottom"/>
            <w:tcBorders>
              <w:top w:val="single" w:sz="8" w:color="0000FF"/>
              <w:bottom w:val="single" w:sz="8" w:color="auto"/>
            </w:tcBorders>
          </w:tcPr>
          <w:p>
            <w:pPr>
              <w:spacing w:after="0"/>
              <w:rPr>
                <w:sz w:val="4"/>
                <w:szCs w:val="4"/>
                <w:color w:val="auto"/>
              </w:rPr>
            </w:pPr>
          </w:p>
        </w:tc>
        <w:tc>
          <w:tcPr>
            <w:tcW w:w="560" w:type="dxa"/>
            <w:vAlign w:val="bottom"/>
            <w:tcBorders>
              <w:top w:val="single" w:sz="8" w:color="0000FF"/>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3">
              <w:r>
                <w:rPr>
                  <w:rFonts w:ascii="Arial" w:cs="Arial" w:eastAsia="Arial" w:hAnsi="Arial"/>
                  <w:sz w:val="16"/>
                  <w:szCs w:val="16"/>
                  <w:color w:val="0000FF"/>
                </w:rPr>
                <w:t>Indenture dated as of July 3, 2019, among Avis Budget Car Rental, LLC and Avis Budget Finance, Inc., as Issuers, the Guarantors from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time to time parties thereto and Deutsche Bank Trust Company Americas, as Trustee, governing the 5.75% Senior Notes due 2027</w:t>
              </w:r>
            </w:hyperlink>
          </w:p>
        </w:tc>
        <w:tc>
          <w:tcPr>
            <w:tcW w:w="300" w:type="dxa"/>
            <w:vAlign w:val="bottom"/>
            <w:tcBorders>
              <w:right w:val="single" w:sz="8" w:color="auto"/>
            </w:tcBorders>
            <w:gridSpan w:val="1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(Incorporated by reference to Exhibit 4.1 to the Company’s Quarterly Report on Form 10-Q for the quarterly period ended June 30,</w:t>
              </w:r>
            </w:hyperlink>
          </w:p>
        </w:tc>
        <w:tc>
          <w:tcPr>
            <w:tcW w:w="400" w:type="dxa"/>
            <w:vAlign w:val="bottom"/>
            <w:tcBorders>
              <w:bottom w:val="single" w:sz="8" w:color="0000FF"/>
            </w:tcBorders>
            <w:gridSpan w:val="15"/>
          </w:tcPr>
          <w:p>
            <w:pPr>
              <w:jc w:val="right"/>
              <w:spacing w:after="0" w:line="142" w:lineRule="exact"/>
              <w:rPr>
                <w:rFonts w:ascii="Arial" w:cs="Arial" w:eastAsia="Arial" w:hAnsi="Arial"/>
                <w:sz w:val="16"/>
                <w:szCs w:val="16"/>
                <w:color w:val="0000FF"/>
                <w:w w:val="94"/>
              </w:rPr>
            </w:pPr>
            <w:hyperlink r:id="rId173">
              <w:r>
                <w:rPr>
                  <w:rFonts w:ascii="Arial" w:cs="Arial" w:eastAsia="Arial" w:hAnsi="Arial"/>
                  <w:sz w:val="16"/>
                  <w:szCs w:val="16"/>
                  <w:color w:val="0000FF"/>
                  <w:w w:val="94"/>
                </w:rPr>
                <w:t>2019,</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gridSpan w:val="40"/>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dated August 6, 2019).</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4">
              <w:r>
                <w:rPr>
                  <w:rFonts w:ascii="Arial" w:cs="Arial" w:eastAsia="Arial" w:hAnsi="Arial"/>
                  <w:sz w:val="16"/>
                  <w:szCs w:val="16"/>
                  <w:color w:val="0000FF"/>
                </w:rPr>
                <w:t>First Supplemental Indenture, dated as of August 6, 2020, to the indenture dated as of July 3, 2019 by and among Avis Budget Car Rental,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47"/>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LLC and Avis Budget Finance, Inc., as issuers, the guarantors party thereto and Deutsche Bank Trust Company Americas, as trustee</w:t>
              </w:r>
            </w:hyperlink>
          </w:p>
        </w:tc>
        <w:tc>
          <w:tcPr>
            <w:tcW w:w="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(Incorporated by reference to Exhibit 4.1 to the Company's Current Report on Form 8-K, dated August 7,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Indenture, dated as of March 1, 2021, by and among Avis Budget Car Rental, LLC and Avis Budget Finance, Inc., as issuers,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guarantors party thereto and Deutsche Bank Trust Company Americas, as trustee, governing the 5.375% Senior Notes due 2029</w:t>
              </w:r>
            </w:hyperlink>
          </w:p>
        </w:tc>
        <w:tc>
          <w:tcPr>
            <w:tcW w:w="20" w:type="dxa"/>
            <w:vAlign w:val="bottom"/>
            <w:tcBorders>
              <w:bottom w:val="single" w:sz="8" w:color="0000FF"/>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gridSpan w:val="21"/>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(incorporated by reference to Exhibit 4.1 to the Company's Current Report on Form 8-K, dated March 1, 2021).</w:t>
              </w:r>
            </w:hyperlink>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Indenture, dated as of March 23, 2021, by and among Avis Budget Car Rental, LLC and Avis Budget Finance, Inc., as issuers,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guarantors party thereto and Deutsche Bank Trust Company Americas, as trustee, governing the 4.75% Senior Notes due 2028</w:t>
              </w:r>
            </w:hyperlink>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6">
              <w:r>
                <w:rPr>
                  <w:rFonts w:ascii="Arial" w:cs="Arial" w:eastAsia="Arial" w:hAnsi="Arial"/>
                  <w:sz w:val="16"/>
                  <w:szCs w:val="16"/>
                  <w:color w:val="0000FF"/>
                </w:rPr>
                <w:t>(Incorporated by reference to Exhibit 4.1 to the Company's Current Report on Form 8-K, dated March 23, 2021).</w:t>
              </w:r>
            </w:hyperlink>
          </w:p>
        </w:tc>
        <w:tc>
          <w:tcPr>
            <w:tcW w:w="240" w:type="dxa"/>
            <w:vAlign w:val="bottom"/>
            <w:gridSpan w:val="5"/>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7">
              <w:r>
                <w:rPr>
                  <w:rFonts w:ascii="Arial" w:cs="Arial" w:eastAsia="Arial" w:hAnsi="Arial"/>
                  <w:sz w:val="16"/>
                  <w:szCs w:val="16"/>
                  <w:color w:val="0000FF"/>
                </w:rPr>
                <w:t>Indenture, dated as of July 13, 2023, by and among Avis Budget Finance plc, as issuer, the guarantors party thereto, Deutsche Bank Trust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Company Americas, as trustee and registrar, and Deutsche Bank AG, London Branch, as paying agent (Incorporated by reference to</w:t>
              </w:r>
            </w:hyperlink>
          </w:p>
        </w:tc>
        <w:tc>
          <w:tcPr>
            <w:tcW w:w="20" w:type="dxa"/>
            <w:vAlign w:val="bottom"/>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Exhibit 4.1 to the Company’s Current Report on Form 8-K dated July 14, 2023).</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Indenture, dated as of November 22, 2023, by and among Avis Budget Car Rental, LLC and Avis Budget Finance, Inc., together as</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issuers, the guarantors party thereto and Citibank, N.A., as trustee (incorporated by reference to Exhibit 4.1 to the Company’s Current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Report on Form 8-K dated November 22, 2023).</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Description of the Company’s Securities Registered Pursuant to Section 12 of the Securities Exchange Act of 1934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reference to Exhibit 4.8 to the Company’s Annual Report on Form 10-K for the year ended December 31, 2021, dated February 17,</w:t>
              </w:r>
            </w:hyperlink>
          </w:p>
        </w:tc>
        <w:tc>
          <w:tcPr>
            <w:tcW w:w="440" w:type="dxa"/>
            <w:vAlign w:val="bottom"/>
            <w:tcBorders>
              <w:bottom w:val="single" w:sz="8" w:color="0000FF"/>
            </w:tcBorders>
            <w:gridSpan w:val="17"/>
          </w:tcPr>
          <w:p>
            <w:pPr>
              <w:jc w:val="right"/>
              <w:ind w:right="20"/>
              <w:spacing w:after="0" w:line="142" w:lineRule="exact"/>
              <w:rPr>
                <w:rFonts w:ascii="Arial" w:cs="Arial" w:eastAsia="Arial" w:hAnsi="Arial"/>
                <w:sz w:val="16"/>
                <w:szCs w:val="16"/>
                <w:color w:val="0000FF"/>
                <w:w w:val="88"/>
              </w:rPr>
            </w:pPr>
            <w:hyperlink r:id="rId179">
              <w:r>
                <w:rPr>
                  <w:rFonts w:ascii="Arial" w:cs="Arial" w:eastAsia="Arial" w:hAnsi="Arial"/>
                  <w:sz w:val="16"/>
                  <w:szCs w:val="16"/>
                  <w:color w:val="0000FF"/>
                  <w:w w:val="88"/>
                </w:rPr>
                <w:t>2022).</w:t>
              </w:r>
            </w:hyperlink>
          </w:p>
        </w:tc>
        <w:tc>
          <w:tcPr>
            <w:tcW w:w="40" w:type="dxa"/>
            <w:vAlign w:val="bottom"/>
            <w:gridSpan w:val="2"/>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Agreement between Avis Budget Group, Inc. and Joseph Ferraro (Incorporated by reference to Exhibit 10.5 to the Company’s Annual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Report on Form 10-K for the year ended December 31, 2015, dated February 24, 2016).†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34"/>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Service Agreement between Patrick Rankin and Avis Budget Services Limited, dated February 22, 2019 (Incorporated by reference to</w:t>
              </w:r>
            </w:hyperlink>
          </w:p>
        </w:tc>
        <w:tc>
          <w:tcPr>
            <w:tcW w:w="400" w:type="dxa"/>
            <w:vAlign w:val="bottom"/>
            <w:tcBorders>
              <w:right w:val="single" w:sz="8" w:color="auto"/>
            </w:tcBorders>
            <w:gridSpan w:val="1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8"/>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Exhibit 10.8 to the Company's Annual Report on Form 10-K for the fiscal year ended December 31, 2019, dated February 20, 2020). †</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Agreement between Patrick Rankin and Avis Budget Services Limited, dated August 15, 2019 (Incorporated by reference to Exhibit 10.9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the Company's Annual Report on Form 10-K for the fiscal year ended December 31, 2019, dated February 20, 2020). †</w:t>
              </w:r>
            </w:hyperlink>
          </w:p>
        </w:tc>
        <w:tc>
          <w:tcPr>
            <w:tcW w:w="8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83">
              <w:r>
                <w:rPr>
                  <w:rFonts w:ascii="Arial" w:cs="Arial" w:eastAsia="Arial" w:hAnsi="Arial"/>
                  <w:sz w:val="16"/>
                  <w:szCs w:val="16"/>
                  <w:color w:val="0000FF"/>
                </w:rPr>
                <w:t>Agreement between Avis Budget Group, Inc. and Edward Linnen, dated April 20, 2015 (Incorporated by reference to Exhibit 10.10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Company's Annual Report on Form 10-K for the fiscal year ended December 31, 2019, dated February 20, 2020). †</w:t>
              </w:r>
            </w:hyperlink>
          </w:p>
        </w:tc>
        <w:tc>
          <w:tcPr>
            <w:tcW w:w="80" w:type="dxa"/>
            <w:vAlign w:val="bottom"/>
            <w:gridSpan w:val="3"/>
          </w:tcPr>
          <w:p>
            <w:pPr>
              <w:spacing w:after="0"/>
              <w:rPr>
                <w:sz w:val="12"/>
                <w:szCs w:val="12"/>
                <w:color w:val="auto"/>
              </w:rPr>
            </w:pPr>
          </w:p>
        </w:tc>
        <w:tc>
          <w:tcPr>
            <w:tcW w:w="16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84">
              <w:r>
                <w:rPr>
                  <w:rFonts w:ascii="Arial" w:cs="Arial" w:eastAsia="Arial" w:hAnsi="Arial"/>
                  <w:sz w:val="16"/>
                  <w:szCs w:val="16"/>
                  <w:color w:val="0000FF"/>
                </w:rPr>
                <w:t>Offer Letter, dated August 12, 2020, between Brian Choi and Avis Budget Group, Inc. (incorporated by reference to Exhibit 10.2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Company's Current Report on Form 8-K, dated August 13, 2020). †</w:t>
              </w:r>
            </w:hyperlink>
          </w:p>
        </w:tc>
        <w:tc>
          <w:tcPr>
            <w:tcW w:w="100" w:type="dxa"/>
            <w:vAlign w:val="bottom"/>
            <w:gridSpan w:val="3"/>
          </w:tcPr>
          <w:p>
            <w:pPr>
              <w:spacing w:after="0"/>
              <w:rPr>
                <w:sz w:val="12"/>
                <w:szCs w:val="12"/>
                <w:color w:val="auto"/>
              </w:rPr>
            </w:pPr>
          </w:p>
        </w:tc>
        <w:tc>
          <w:tcPr>
            <w:tcW w:w="180" w:type="dxa"/>
            <w:vAlign w:val="bottom"/>
            <w:gridSpan w:val="7"/>
          </w:tcPr>
          <w:p>
            <w:pPr>
              <w:spacing w:after="0"/>
              <w:rPr>
                <w:sz w:val="12"/>
                <w:szCs w:val="12"/>
                <w:color w:val="auto"/>
              </w:rPr>
            </w:pPr>
          </w:p>
        </w:tc>
        <w:tc>
          <w:tcPr>
            <w:tcW w:w="160" w:type="dxa"/>
            <w:vAlign w:val="bottom"/>
            <w:tcBorders>
              <w:right w:val="single" w:sz="8" w:color="auto"/>
            </w:tcBorders>
            <w:gridSpan w:val="6"/>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85">
              <w:r>
                <w:rPr>
                  <w:rFonts w:ascii="Arial" w:cs="Arial" w:eastAsia="Arial" w:hAnsi="Arial"/>
                  <w:sz w:val="16"/>
                  <w:szCs w:val="16"/>
                  <w:color w:val="0000FF"/>
                </w:rPr>
                <w:t>Offer Letter, dated May 17, 2022, between Ravi Simhambhatla and Avis Budget Group, Inc. (incorporated by reference to Exhibit 10.75 to</w:t>
              </w:r>
            </w:hyperlink>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540" w:type="dxa"/>
            <w:vAlign w:val="bottom"/>
            <w:tcBorders>
              <w:top w:val="single" w:sz="8" w:color="0000FF"/>
            </w:tcBorders>
            <w:gridSpan w:val="9"/>
          </w:tcPr>
          <w:p>
            <w:pPr>
              <w:spacing w:after="0" w:line="122" w:lineRule="exact"/>
              <w:rPr>
                <w:rFonts w:ascii="Arial" w:cs="Arial" w:eastAsia="Arial" w:hAnsi="Arial"/>
                <w:sz w:val="14"/>
                <w:szCs w:val="14"/>
                <w:color w:val="0000FF"/>
              </w:rPr>
            </w:pPr>
            <w:hyperlink r:id="rId185">
              <w:r>
                <w:rPr>
                  <w:rFonts w:ascii="Arial" w:cs="Arial" w:eastAsia="Arial" w:hAnsi="Arial"/>
                  <w:sz w:val="14"/>
                  <w:szCs w:val="14"/>
                  <w:color w:val="0000FF"/>
                </w:rPr>
                <w:t>the Company’s Annual Report on Form 10-K for the year ended December 31, 2022, dated</w:t>
              </w:r>
            </w:hyperlink>
          </w:p>
        </w:tc>
        <w:tc>
          <w:tcPr>
            <w:tcW w:w="3300" w:type="dxa"/>
            <w:vAlign w:val="bottom"/>
            <w:tcBorders>
              <w:top w:val="single" w:sz="8" w:color="0000FF"/>
            </w:tcBorders>
            <w:gridSpan w:val="33"/>
          </w:tcPr>
          <w:p>
            <w:pPr>
              <w:ind w:left="20"/>
              <w:spacing w:after="0" w:line="122" w:lineRule="exact"/>
              <w:rPr>
                <w:rFonts w:ascii="Arial" w:cs="Arial" w:eastAsia="Arial" w:hAnsi="Arial"/>
                <w:sz w:val="14"/>
                <w:szCs w:val="14"/>
                <w:color w:val="0000FF"/>
              </w:rPr>
            </w:pPr>
            <w:hyperlink r:id="rId185">
              <w:r>
                <w:rPr>
                  <w:rFonts w:ascii="Arial" w:cs="Arial" w:eastAsia="Arial" w:hAnsi="Arial"/>
                  <w:sz w:val="14"/>
                  <w:szCs w:val="14"/>
                  <w:color w:val="0000FF"/>
                </w:rPr>
                <w:t>February 16, 2023).†</w:t>
              </w:r>
            </w:hyperlink>
          </w:p>
        </w:tc>
        <w:tc>
          <w:tcPr>
            <w:tcW w:w="160" w:type="dxa"/>
            <w:vAlign w:val="bottom"/>
            <w:tcBorders>
              <w:right w:val="single" w:sz="8" w:color="auto"/>
            </w:tcBorders>
            <w:gridSpan w:val="6"/>
          </w:tcPr>
          <w:p>
            <w:pPr>
              <w:spacing w:after="0"/>
              <w:rPr>
                <w:sz w:val="10"/>
                <w:szCs w:val="10"/>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8"/>
          </w:tcPr>
          <w:p>
            <w:pPr>
              <w:spacing w:after="0" w:line="169" w:lineRule="exact"/>
              <w:rPr>
                <w:rFonts w:ascii="Arial" w:cs="Arial" w:eastAsia="Arial" w:hAnsi="Arial"/>
                <w:sz w:val="16"/>
                <w:szCs w:val="16"/>
                <w:color w:val="0000FF"/>
              </w:rPr>
            </w:pPr>
            <w:hyperlink r:id="rId186">
              <w:r>
                <w:rPr>
                  <w:rFonts w:ascii="Arial" w:cs="Arial" w:eastAsia="Arial" w:hAnsi="Arial"/>
                  <w:sz w:val="16"/>
                  <w:szCs w:val="16"/>
                  <w:color w:val="0000FF"/>
                </w:rPr>
                <w:t>Avis Budget Group, Inc. Executive Severance Pay Plan for Grade A and B Employees and Summary Plan Description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reference to Exhibit 10.1 to the Company's Current Report on Form 8-K, dated December 14, 2020). †</w:t>
              </w:r>
            </w:hyperlink>
          </w:p>
        </w:tc>
        <w:tc>
          <w:tcPr>
            <w:tcW w:w="340" w:type="dxa"/>
            <w:vAlign w:val="bottom"/>
            <w:tcBorders>
              <w:right w:val="single" w:sz="8" w:color="auto"/>
            </w:tcBorders>
            <w:gridSpan w:val="1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8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0" w:type="dxa"/>
            <w:vAlign w:val="bottom"/>
            <w:tcBorders>
              <w:top w:val="single" w:sz="8" w:color="auto"/>
              <w:right w:val="single" w:sz="8" w:color="auto"/>
            </w:tcBorders>
            <w:gridSpan w:val="49"/>
          </w:tcPr>
          <w:p>
            <w:pPr>
              <w:spacing w:after="0"/>
              <w:rPr>
                <w:rFonts w:ascii="Arial" w:cs="Arial" w:eastAsia="Arial" w:hAnsi="Arial"/>
                <w:sz w:val="16"/>
                <w:szCs w:val="16"/>
                <w:color w:val="0000FF"/>
              </w:rPr>
            </w:pPr>
            <w:hyperlink r:id="rId188">
              <w:r>
                <w:rPr>
                  <w:rFonts w:ascii="Arial" w:cs="Arial" w:eastAsia="Arial" w:hAnsi="Arial"/>
                  <w:sz w:val="16"/>
                  <w:szCs w:val="16"/>
                  <w:color w:val="0000FF"/>
                </w:rPr>
                <w:t>Fourth Amended and Restated Cooperation Agreement, dated as of December 23, 2022, by and among Avis Budget Group, Inc., SRS</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Investment Management, LLC and certain of its affiliates (Incorporated by reference to Exhibit 10.1 to the Company's Current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88">
              <w:r>
                <w:rPr>
                  <w:rFonts w:ascii="Arial" w:cs="Arial" w:eastAsia="Arial" w:hAnsi="Arial"/>
                  <w:sz w:val="16"/>
                  <w:szCs w:val="16"/>
                  <w:color w:val="0000FF"/>
                </w:rPr>
                <w:t>Form 8-K dated December 27,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89">
              <w:r>
                <w:rPr>
                  <w:rFonts w:ascii="Arial" w:cs="Arial" w:eastAsia="Arial" w:hAnsi="Arial"/>
                  <w:sz w:val="16"/>
                  <w:szCs w:val="16"/>
                  <w:color w:val="0000FF"/>
                </w:rPr>
                <w:t>Avis Budget Group, Inc. Amended and Restated Equity and Incentive Plan (Incorporated by reference to Annex A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89">
              <w:r>
                <w:rPr>
                  <w:rFonts w:ascii="Arial" w:cs="Arial" w:eastAsia="Arial" w:hAnsi="Arial"/>
                  <w:sz w:val="16"/>
                  <w:szCs w:val="16"/>
                  <w:color w:val="0000FF"/>
                </w:rPr>
                <w:t>Definitive Proxy Statement on Schedule 14A, dated March 26, 2019).†</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0">
              <w:r>
                <w:rPr>
                  <w:rFonts w:ascii="Arial" w:cs="Arial" w:eastAsia="Arial" w:hAnsi="Arial"/>
                  <w:sz w:val="16"/>
                  <w:szCs w:val="16"/>
                  <w:color w:val="0000FF"/>
                </w:rPr>
                <w:t>Amendment to the Avis Budget Group, Inc. Amended and Restated Equity and Incentive Plan dated October 26, 2021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reference to Exhibit 10.3 to the Company’s Quarterly Report on Form 10-Q for the quarterly period ended September 30, 2021, dated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90">
              <w:r>
                <w:rPr>
                  <w:rFonts w:ascii="Arial" w:cs="Arial" w:eastAsia="Arial" w:hAnsi="Arial"/>
                  <w:sz w:val="16"/>
                  <w:szCs w:val="16"/>
                  <w:color w:val="0000FF"/>
                </w:rPr>
                <w:t>November 2, 2021).†</w:t>
              </w:r>
            </w:hyperlink>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1">
              <w:r>
                <w:rPr>
                  <w:rFonts w:ascii="Arial" w:cs="Arial" w:eastAsia="Arial" w:hAnsi="Arial"/>
                  <w:sz w:val="16"/>
                  <w:szCs w:val="16"/>
                  <w:color w:val="0000FF"/>
                </w:rPr>
                <w:t>Form of Award Agreement - Restricted Stock Units (Incorporated by reference to Exhibit 10.12 to the Company’s Annual Report on Form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191">
              <w:r>
                <w:rPr>
                  <w:rFonts w:ascii="Arial" w:cs="Arial" w:eastAsia="Arial" w:hAnsi="Arial"/>
                  <w:sz w:val="16"/>
                  <w:szCs w:val="16"/>
                  <w:color w:val="0000FF"/>
                </w:rPr>
                <w:t>10-K for the year ended December 31, 2018 dated 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2">
              <w:r>
                <w:rPr>
                  <w:rFonts w:ascii="Arial" w:cs="Arial" w:eastAsia="Arial" w:hAnsi="Arial"/>
                  <w:sz w:val="16"/>
                  <w:szCs w:val="16"/>
                  <w:color w:val="0000FF"/>
                </w:rPr>
                <w:t>Form of Award Agreement - Performance Based Restricted Stock Units (Incorporated by reference to Exhibit 10.13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92">
              <w:r>
                <w:rPr>
                  <w:rFonts w:ascii="Arial" w:cs="Arial" w:eastAsia="Arial" w:hAnsi="Arial"/>
                  <w:sz w:val="16"/>
                  <w:szCs w:val="16"/>
                  <w:color w:val="0000FF"/>
                </w:rPr>
                <w:t>Annual Report on Form 10-K for the year ended December 31, 2018, dated February 21, 2019).†</w:t>
              </w:r>
            </w:hyperlink>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3">
              <w:r>
                <w:rPr>
                  <w:rFonts w:ascii="Arial" w:cs="Arial" w:eastAsia="Arial" w:hAnsi="Arial"/>
                  <w:sz w:val="16"/>
                  <w:szCs w:val="16"/>
                  <w:color w:val="0000FF"/>
                </w:rPr>
                <w:t>Form of Non-Employee Director Award Agreement - Restricted Stock Units (Incorporated by reference to Exhibit 10.14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93">
              <w:r>
                <w:rPr>
                  <w:rFonts w:ascii="Arial" w:cs="Arial" w:eastAsia="Arial" w:hAnsi="Arial"/>
                  <w:sz w:val="16"/>
                  <w:szCs w:val="16"/>
                  <w:color w:val="0000FF"/>
                </w:rPr>
                <w:t>Annual Report on Form 10-K for the year ended December 31, 2018, dated February 21, 2019).†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4">
              <w:r>
                <w:rPr>
                  <w:rFonts w:ascii="Arial" w:cs="Arial" w:eastAsia="Arial" w:hAnsi="Arial"/>
                  <w:sz w:val="16"/>
                  <w:szCs w:val="16"/>
                  <w:color w:val="0000FF"/>
                </w:rPr>
                <w:t>Form of Avis Budget Group, Inc. Severance Agreement (Incorporated by reference to Exhibit 10.15 to the Company’s Annual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94">
              <w:r>
                <w:rPr>
                  <w:rFonts w:ascii="Arial" w:cs="Arial" w:eastAsia="Arial" w:hAnsi="Arial"/>
                  <w:sz w:val="16"/>
                  <w:szCs w:val="16"/>
                  <w:color w:val="0000FF"/>
                </w:rPr>
                <w:t>Form 10-K for the year ended December 31, 2018, dated February 21, 2019).†</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5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Avis Budget Group, Inc. Non-Employee Directors Deferred Compensation Plan, amended and restated as of January 1, 2019</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(Incorporated by reference to Exhibit 10.16 to the Company’s Annual Report on Form 10-K for the year ended December 31,</w:t>
              </w:r>
            </w:hyperlink>
          </w:p>
        </w:tc>
        <w:tc>
          <w:tcPr>
            <w:tcW w:w="1040" w:type="dxa"/>
            <w:vAlign w:val="bottom"/>
            <w:tcBorders>
              <w:right w:val="single" w:sz="8" w:color="auto"/>
            </w:tcBorders>
            <w:gridSpan w:val="30"/>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2018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February 21, 2019).†</w:t>
              </w:r>
            </w:hyperlink>
          </w:p>
        </w:tc>
        <w:tc>
          <w:tcPr>
            <w:tcW w:w="4294967257"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5">
              <w:r>
                <w:rPr>
                  <w:rFonts w:ascii="Arial" w:cs="Arial" w:eastAsia="Arial" w:hAnsi="Arial"/>
                  <w:sz w:val="16"/>
                  <w:szCs w:val="16"/>
                  <w:color w:val="0000FF"/>
                </w:rPr>
                <w:t>Amendment No. 1 dated as of December 8, 2022, to the Avis Budget Group, Inc. Non-Employee Directors Deferred Compensation Plan,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amended and restated as of January 1, 2019 (incorporated by reference to Exhibit 10.17 to the Company’s Annual Report on Form 10-K</w:t>
              </w:r>
            </w:hyperlink>
          </w:p>
        </w:tc>
        <w:tc>
          <w:tcPr>
            <w:tcW w:w="4294967277"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195">
              <w:r>
                <w:rPr>
                  <w:rFonts w:ascii="Arial" w:cs="Arial" w:eastAsia="Arial" w:hAnsi="Arial"/>
                  <w:sz w:val="16"/>
                  <w:szCs w:val="16"/>
                  <w:color w:val="0000FF"/>
                </w:rPr>
                <w:t>for the year ended December 31, 2022, dated February 16, 2023). †</w:t>
              </w:r>
            </w:hyperlink>
          </w:p>
        </w:tc>
        <w:tc>
          <w:tcPr>
            <w:tcW w:w="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6">
              <w:r>
                <w:rPr>
                  <w:rFonts w:ascii="Arial" w:cs="Arial" w:eastAsia="Arial" w:hAnsi="Arial"/>
                  <w:sz w:val="16"/>
                  <w:szCs w:val="16"/>
                  <w:color w:val="0000FF"/>
                </w:rPr>
                <w:t>Avis Budget Group, Inc. Supplemental Savings Plan, amended and restated as of January 1, 2023 (incorporated by reference to Exhibit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96">
              <w:r>
                <w:rPr>
                  <w:rFonts w:ascii="Arial" w:cs="Arial" w:eastAsia="Arial" w:hAnsi="Arial"/>
                  <w:sz w:val="16"/>
                  <w:szCs w:val="16"/>
                  <w:color w:val="0000FF"/>
                </w:rPr>
                <w:t>10.18 to the Company’s Annual Report on Form 10-K for the year ended December 31, 2022, dated February 16, 2023). †</w:t>
              </w:r>
            </w:hyperlink>
          </w:p>
        </w:tc>
        <w:tc>
          <w:tcPr>
            <w:tcW w:w="40" w:type="dxa"/>
            <w:vAlign w:val="bottom"/>
            <w:gridSpan w:val="2"/>
          </w:tcPr>
          <w:p>
            <w:pPr>
              <w:spacing w:after="0"/>
              <w:rPr>
                <w:sz w:val="12"/>
                <w:szCs w:val="12"/>
                <w:color w:val="auto"/>
              </w:rPr>
            </w:pPr>
          </w:p>
        </w:tc>
        <w:tc>
          <w:tcPr>
            <w:tcW w:w="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7">
              <w:r>
                <w:rPr>
                  <w:rFonts w:ascii="Arial" w:cs="Arial" w:eastAsia="Arial" w:hAnsi="Arial"/>
                  <w:sz w:val="16"/>
                  <w:szCs w:val="16"/>
                  <w:color w:val="0000FF"/>
                </w:rPr>
                <w:t>Avis Budget Group, Inc. Savings Restoration Plan, amended and restated as of November 1, 2008 (Incorporated by reference to Exhibit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197">
              <w:r>
                <w:rPr>
                  <w:rFonts w:ascii="Arial" w:cs="Arial" w:eastAsia="Arial" w:hAnsi="Arial"/>
                  <w:sz w:val="16"/>
                  <w:szCs w:val="16"/>
                  <w:color w:val="0000FF"/>
                </w:rPr>
                <w:t>10.18 to the Company’s Annual Report on Form 10-K for the year ended December 31, 2008, dated February 26, 2009).†</w:t>
              </w:r>
            </w:hyperlink>
          </w:p>
        </w:tc>
        <w:tc>
          <w:tcPr>
            <w:tcW w:w="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8">
              <w:r>
                <w:rPr>
                  <w:rFonts w:ascii="Arial" w:cs="Arial" w:eastAsia="Arial" w:hAnsi="Arial"/>
                  <w:sz w:val="16"/>
                  <w:szCs w:val="16"/>
                  <w:color w:val="0000FF"/>
                </w:rPr>
                <w:t>Avis Rent A Car System, LLC Pension Plan (Incorporated by reference to Exhibit 10.20 to the Company’s Annual Report on Form 10-K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198">
              <w:r>
                <w:rPr>
                  <w:rFonts w:ascii="Arial" w:cs="Arial" w:eastAsia="Arial" w:hAnsi="Arial"/>
                  <w:sz w:val="16"/>
                  <w:szCs w:val="16"/>
                  <w:color w:val="0000FF"/>
                </w:rPr>
                <w:t>the year ended December 31, 2018, dated February 21,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199">
              <w:r>
                <w:rPr>
                  <w:rFonts w:ascii="Arial" w:cs="Arial" w:eastAsia="Arial" w:hAnsi="Arial"/>
                  <w:sz w:val="16"/>
                  <w:szCs w:val="16"/>
                  <w:color w:val="0000FF"/>
                </w:rPr>
                <w:t>Cendant Corporation* Officer Personal Financial Services Policy (Incorporated by reference to Exhibit 10.3 to the Company’s Current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99">
              <w:r>
                <w:rPr>
                  <w:rFonts w:ascii="Arial" w:cs="Arial" w:eastAsia="Arial" w:hAnsi="Arial"/>
                  <w:sz w:val="16"/>
                  <w:szCs w:val="16"/>
                  <w:color w:val="0000FF"/>
                </w:rPr>
                <w:t>Report on Form 8-K, dated January 26, 2005).</w:t>
              </w:r>
            </w:hyperlink>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10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0">
              <w:r>
                <w:rPr>
                  <w:rFonts w:ascii="Arial" w:cs="Arial" w:eastAsia="Arial" w:hAnsi="Arial"/>
                  <w:sz w:val="16"/>
                  <w:szCs w:val="16"/>
                  <w:color w:val="0000FF"/>
                </w:rPr>
                <w:t>Tax Sharing Agreement among Cendant Corporation*, Realogy Corporation, Wyndham Worldwide Corporation and Travelport Inc.,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00">
              <w:r>
                <w:rPr>
                  <w:rFonts w:ascii="Arial" w:cs="Arial" w:eastAsia="Arial" w:hAnsi="Arial"/>
                  <w:sz w:val="16"/>
                  <w:szCs w:val="16"/>
                  <w:color w:val="0000FF"/>
                </w:rPr>
                <w:t>as of July 28, 2006 (Incorporated by reference to Exhibit 10.2 to the Company’s Current Report on Form 8-K, dated August 1,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Amendment to the Tax Sharing Agreement, dated July 28, 2006, among Avis Budget Group, Inc., Realogy Corporation, Wyndham</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Worldwide Corporation and Travelport Inc. (Incorporated by reference to Exhibit 10.4 to the Company’s Quarterly Report on Form</w:t>
              </w:r>
            </w:hyperlink>
          </w:p>
        </w:tc>
        <w:tc>
          <w:tcPr>
            <w:tcW w:w="700" w:type="dxa"/>
            <w:vAlign w:val="bottom"/>
            <w:tcBorders>
              <w:right w:val="single" w:sz="8" w:color="auto"/>
            </w:tcBorders>
            <w:gridSpan w:val="29"/>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10-Q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201">
              <w:r>
                <w:rPr>
                  <w:rFonts w:ascii="Arial" w:cs="Arial" w:eastAsia="Arial" w:hAnsi="Arial"/>
                  <w:sz w:val="16"/>
                  <w:szCs w:val="16"/>
                  <w:color w:val="0000FF"/>
                </w:rPr>
                <w:t>the quarterly period ended June 30, 2008, dated August 7,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2">
              <w:r>
                <w:rPr>
                  <w:rFonts w:ascii="Arial" w:cs="Arial" w:eastAsia="Arial" w:hAnsi="Arial"/>
                  <w:sz w:val="16"/>
                  <w:szCs w:val="16"/>
                  <w:color w:val="0000FF"/>
                </w:rPr>
                <w:t>Second Amended and Restated Base Indenture, dated as of June 3, 2004, among Cendant Rental Car Funding (AESOP) LLC***,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Issuer, and The Bank of New York, as Trustee (Incorporated by reference to Exhibit 10.7 to the Company’s Quarterly Report on Form</w:t>
              </w:r>
            </w:hyperlink>
          </w:p>
        </w:tc>
        <w:tc>
          <w:tcPr>
            <w:tcW w:w="480" w:type="dxa"/>
            <w:vAlign w:val="bottom"/>
            <w:tcBorders>
              <w:right w:val="single" w:sz="8" w:color="auto"/>
            </w:tcBorders>
            <w:gridSpan w:val="24"/>
          </w:tcPr>
          <w:p>
            <w:pPr>
              <w:ind w:left="40"/>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10-Q</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47"/>
          </w:tcPr>
          <w:p>
            <w:pPr>
              <w:spacing w:after="0" w:line="142" w:lineRule="exact"/>
              <w:rPr>
                <w:rFonts w:ascii="Arial" w:cs="Arial" w:eastAsia="Arial" w:hAnsi="Arial"/>
                <w:sz w:val="16"/>
                <w:szCs w:val="16"/>
                <w:color w:val="0000FF"/>
              </w:rPr>
            </w:pPr>
            <w:hyperlink r:id="rId202">
              <w:r>
                <w:rPr>
                  <w:rFonts w:ascii="Arial" w:cs="Arial" w:eastAsia="Arial" w:hAnsi="Arial"/>
                  <w:sz w:val="16"/>
                  <w:szCs w:val="16"/>
                  <w:color w:val="0000FF"/>
                </w:rPr>
                <w:t>for the quarterly period ended June 30, 2004, dated August 2, 2004).</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3">
              <w:r>
                <w:rPr>
                  <w:rFonts w:ascii="Arial" w:cs="Arial" w:eastAsia="Arial" w:hAnsi="Arial"/>
                  <w:sz w:val="16"/>
                  <w:szCs w:val="16"/>
                  <w:color w:val="0000FF"/>
                </w:rPr>
                <w:t>Supplemental Indenture No. 1, dated as of December 23, 2005, among Cendant Rental Car Funding (AESOP) LLC***, as Issuer,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44"/>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Bank of New York, as Trustee, to the Second Amended and Restated Base Indenture, dated as of June 3, 2004 (Incorporated by reference</w:t>
              </w:r>
            </w:hyperlink>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gridSpan w:val="48"/>
          </w:tcPr>
          <w:p>
            <w:pPr>
              <w:spacing w:after="0" w:line="142" w:lineRule="exact"/>
              <w:rPr>
                <w:rFonts w:ascii="Arial" w:cs="Arial" w:eastAsia="Arial" w:hAnsi="Arial"/>
                <w:sz w:val="16"/>
                <w:szCs w:val="16"/>
                <w:color w:val="0000FF"/>
              </w:rPr>
            </w:pPr>
            <w:hyperlink r:id="rId203">
              <w:r>
                <w:rPr>
                  <w:rFonts w:ascii="Arial" w:cs="Arial" w:eastAsia="Arial" w:hAnsi="Arial"/>
                  <w:sz w:val="16"/>
                  <w:szCs w:val="16"/>
                  <w:color w:val="0000FF"/>
                </w:rPr>
                <w:t>to Exhibit 10.1 to the Company’s Current Report on Form 8-K, dated January 20, 2006).</w:t>
              </w:r>
            </w:hyperlink>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4">
              <w:r>
                <w:rPr>
                  <w:rFonts w:ascii="Arial" w:cs="Arial" w:eastAsia="Arial" w:hAnsi="Arial"/>
                  <w:sz w:val="16"/>
                  <w:szCs w:val="16"/>
                  <w:color w:val="0000FF"/>
                </w:rPr>
                <w:t>Supplemental Indenture No. 2, dated as of May 9, 2007, among Avis Budget Rental Car Funding (AESOP) LLC, as Issuer, and The Bank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bottom w:val="single" w:sz="8" w:color="0000FF"/>
            </w:tcBorders>
            <w:gridSpan w:val="39"/>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of New York Trust Company, N.A. (as successor in interest to The Bank of New York), as Trustee, to the Second Amended and Restated</w:t>
              </w:r>
            </w:hyperlink>
          </w:p>
        </w:tc>
        <w:tc>
          <w:tcPr>
            <w:tcW w:w="40" w:type="dxa"/>
            <w:vAlign w:val="bottom"/>
            <w:tcBorders>
              <w:top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Base Indenture, dated as of June 3, 2004 (Incorporated by reference to Exhibit 10.6 to the Company’s Quarterly Report on Form 10-Q for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the quarterly period ended June 30, 2007, dated August 8, 2007).</w:t>
              </w:r>
            </w:hyperlink>
          </w:p>
        </w:tc>
        <w:tc>
          <w:tcPr>
            <w:tcW w:w="140" w:type="dxa"/>
            <w:vAlign w:val="bottom"/>
            <w:tcBorders>
              <w:right w:val="single" w:sz="8" w:color="auto"/>
            </w:tcBorders>
            <w:gridSpan w:val="6"/>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5">
              <w:r>
                <w:rPr>
                  <w:rFonts w:ascii="Arial" w:cs="Arial" w:eastAsia="Arial" w:hAnsi="Arial"/>
                  <w:sz w:val="16"/>
                  <w:szCs w:val="16"/>
                  <w:color w:val="0000FF"/>
                </w:rPr>
                <w:t>Supplemental Indenture No. 3, dated as of August 16, 2013, among Avis Budget Rental Car Funding (AESOP) LLC, as Issuer,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Bank of New York Trust Company, N.A. (as successor in interest to The Bank of New York), as Trustee, to the Second Amended and</w:t>
              </w:r>
            </w:hyperlink>
          </w:p>
        </w:tc>
        <w:tc>
          <w:tcPr>
            <w:tcW w:w="180" w:type="dxa"/>
            <w:vAlign w:val="bottom"/>
            <w:tcBorders>
              <w:top w:val="single" w:sz="8" w:color="0000FF"/>
            </w:tcBorders>
            <w:gridSpan w:val="7"/>
          </w:tcPr>
          <w:p>
            <w:pPr>
              <w:spacing w:after="0"/>
              <w:rPr>
                <w:sz w:val="12"/>
                <w:szCs w:val="12"/>
                <w:color w:val="auto"/>
              </w:rPr>
            </w:pPr>
          </w:p>
        </w:tc>
        <w:tc>
          <w:tcPr>
            <w:tcW w:w="320" w:type="dxa"/>
            <w:vAlign w:val="bottom"/>
            <w:tcBorders>
              <w:right w:val="single" w:sz="8" w:color="auto"/>
            </w:tcBorders>
            <w:gridSpan w:val="18"/>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49"/>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Restated Base Indenture, dated as of June 3, 2004 (Incorporated by reference to Exhibit 10.35(c) to the Company’s Annual Report 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05">
              <w:r>
                <w:rPr>
                  <w:rFonts w:ascii="Arial" w:cs="Arial" w:eastAsia="Arial" w:hAnsi="Arial"/>
                  <w:sz w:val="16"/>
                  <w:szCs w:val="16"/>
                  <w:color w:val="0000FF"/>
                </w:rPr>
                <w:t>Form 10-K for the year ended December 31, 2013, dated February 20, 2014).</w:t>
              </w:r>
            </w:hyperlink>
          </w:p>
        </w:tc>
        <w:tc>
          <w:tcPr>
            <w:tcW w:w="380" w:type="dxa"/>
            <w:vAlign w:val="bottom"/>
            <w:tcBorders>
              <w:right w:val="single" w:sz="8" w:color="auto"/>
            </w:tcBorders>
            <w:gridSpan w:val="20"/>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49"/>
          </w:tcPr>
          <w:p>
            <w:pPr>
              <w:spacing w:after="0" w:line="169" w:lineRule="exact"/>
              <w:rPr>
                <w:rFonts w:ascii="Arial" w:cs="Arial" w:eastAsia="Arial" w:hAnsi="Arial"/>
                <w:sz w:val="16"/>
                <w:szCs w:val="16"/>
                <w:color w:val="0000FF"/>
              </w:rPr>
            </w:pPr>
            <w:hyperlink r:id="rId206">
              <w:r>
                <w:rPr>
                  <w:rFonts w:ascii="Arial" w:cs="Arial" w:eastAsia="Arial" w:hAnsi="Arial"/>
                  <w:sz w:val="16"/>
                  <w:szCs w:val="16"/>
                  <w:color w:val="0000FF"/>
                </w:rPr>
                <w:t>Second Amended and Restated Loan Agreement, dated as of June 3, 2004, among AESOP Leasing L.P., as Borrower, Quartx Fleet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Management, Inc., as a Permitted Nominee, PV Holding Corp., as a Permitted Nominee, and Cendant Rental Car Funding (AESOP)</w:t>
              </w:r>
            </w:hyperlink>
          </w:p>
        </w:tc>
        <w:tc>
          <w:tcPr>
            <w:tcW w:w="20" w:type="dxa"/>
            <w:vAlign w:val="bottom"/>
            <w:tcBorders>
              <w:bottom w:val="single" w:sz="8" w:color="0000FF"/>
            </w:tcBorders>
          </w:tcPr>
          <w:p>
            <w:pPr>
              <w:spacing w:after="0"/>
              <w:rPr>
                <w:sz w:val="12"/>
                <w:szCs w:val="12"/>
                <w:color w:val="auto"/>
              </w:rPr>
            </w:pPr>
          </w:p>
        </w:tc>
        <w:tc>
          <w:tcPr>
            <w:tcW w:w="520" w:type="dxa"/>
            <w:vAlign w:val="bottom"/>
            <w:tcBorders>
              <w:right w:val="single" w:sz="8" w:color="auto"/>
            </w:tcBorders>
            <w:gridSpan w:val="2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23"/>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LLC***, as Lender (Incorporated by reference to Exhibit</w:t>
              </w:r>
            </w:hyperlink>
          </w:p>
        </w:tc>
        <w:tc>
          <w:tcPr>
            <w:tcW w:w="520" w:type="dxa"/>
            <w:vAlign w:val="bottom"/>
            <w:tcBorders>
              <w:right w:val="single" w:sz="8" w:color="auto"/>
            </w:tcBorders>
            <w:gridSpan w:val="26"/>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10.8 to the Company’s Quarterly Report on Form 10-Q</w:t>
              </w:r>
            </w:hyperlink>
          </w:p>
        </w:tc>
        <w:tc>
          <w:tcPr>
            <w:tcW w:w="6040" w:type="dxa"/>
            <w:vAlign w:val="bottom"/>
            <w:tcBorders>
              <w:right w:val="single" w:sz="8" w:color="auto"/>
            </w:tcBorders>
            <w:gridSpan w:val="44"/>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for the quarterly period ended June 30, 2004, dated August 2, 2004).</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660" w:type="dxa"/>
            <w:vAlign w:val="bottom"/>
            <w:tcBorders>
              <w:top w:val="single" w:sz="8" w:color="0000FF"/>
              <w:bottom w:val="single" w:sz="8" w:color="auto"/>
            </w:tcBorders>
          </w:tcPr>
          <w:p>
            <w:pPr>
              <w:spacing w:after="0" w:line="20" w:lineRule="exact"/>
              <w:rPr>
                <w:sz w:val="1"/>
                <w:szCs w:val="1"/>
                <w:color w:val="auto"/>
              </w:rPr>
            </w:pPr>
          </w:p>
        </w:tc>
        <w:tc>
          <w:tcPr>
            <w:tcW w:w="17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57"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10.28</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140" w:type="dxa"/>
            <w:vAlign w:val="bottom"/>
            <w:tcBorders>
              <w:top w:val="single" w:sz="8" w:color="auto"/>
              <w:right w:val="single" w:sz="8" w:color="auto"/>
            </w:tcBorders>
            <w:gridSpan w:val="47"/>
          </w:tcPr>
          <w:p>
            <w:pPr>
              <w:spacing w:after="0"/>
              <w:rPr>
                <w:rFonts w:ascii="Arial" w:cs="Arial" w:eastAsia="Arial" w:hAnsi="Arial"/>
                <w:sz w:val="16"/>
                <w:szCs w:val="16"/>
                <w:color w:val="0000FF"/>
              </w:rPr>
            </w:pPr>
            <w:hyperlink r:id="rId208">
              <w:r>
                <w:rPr>
                  <w:rFonts w:ascii="Arial" w:cs="Arial" w:eastAsia="Arial" w:hAnsi="Arial"/>
                  <w:sz w:val="16"/>
                  <w:szCs w:val="16"/>
                  <w:color w:val="0000FF"/>
                </w:rPr>
                <w:t>First Amendment, dated as of December 23, 2005, among AESOP Leasing L.P., as Borrower, Quartx Fleet Management, Inc., as a</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Permitted Nominee, PV Holding Corp., as a Permitted Nominee, and Cendant Rental Car Funding (AESOP) LLC***, as Lender, to</w:t>
              </w:r>
            </w:hyperlink>
          </w:p>
        </w:tc>
        <w:tc>
          <w:tcPr>
            <w:tcW w:w="760" w:type="dxa"/>
            <w:vAlign w:val="bottom"/>
            <w:tcBorders>
              <w:right w:val="single" w:sz="8" w:color="auto"/>
            </w:tcBorders>
            <w:gridSpan w:val="30"/>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w w:val="99"/>
              </w:rPr>
            </w:pPr>
            <w:hyperlink r:id="rId208">
              <w:r>
                <w:rPr>
                  <w:rFonts w:ascii="Arial" w:cs="Arial" w:eastAsia="Arial" w:hAnsi="Arial"/>
                  <w:sz w:val="16"/>
                  <w:szCs w:val="16"/>
                  <w:color w:val="0000FF"/>
                  <w:w w:val="99"/>
                </w:rPr>
                <w:t>Second Amended and Restated Loan Agreement, dated as of June 3, 2004 (Incorporated by reference to Exhibit 10.2 to the Company’s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Borders>
              <w:bottom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0"/>
          </w:tcPr>
          <w:p>
            <w:pPr>
              <w:spacing w:after="0" w:line="142" w:lineRule="exact"/>
              <w:rPr>
                <w:rFonts w:ascii="Arial" w:cs="Arial" w:eastAsia="Arial" w:hAnsi="Arial"/>
                <w:sz w:val="16"/>
                <w:szCs w:val="16"/>
                <w:color w:val="0000FF"/>
              </w:rPr>
            </w:pPr>
            <w:hyperlink r:id="rId208">
              <w:r>
                <w:rPr>
                  <w:rFonts w:ascii="Arial" w:cs="Arial" w:eastAsia="Arial" w:hAnsi="Arial"/>
                  <w:sz w:val="16"/>
                  <w:szCs w:val="16"/>
                  <w:color w:val="0000FF"/>
                </w:rPr>
                <w:t>Current Report on Form 8-K, dated January 20, 2006).</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10.29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bottom w:val="single" w:sz="8" w:color="0000FF"/>
            </w:tcBorders>
            <w:gridSpan w:val="22"/>
          </w:tcPr>
          <w:p>
            <w:pPr>
              <w:spacing w:after="0" w:line="169" w:lineRule="exact"/>
              <w:rPr>
                <w:rFonts w:ascii="Arial" w:cs="Arial" w:eastAsia="Arial" w:hAnsi="Arial"/>
                <w:sz w:val="16"/>
                <w:szCs w:val="16"/>
                <w:color w:val="0000FF"/>
              </w:rPr>
            </w:pPr>
            <w:hyperlink r:id="rId209">
              <w:r>
                <w:rPr>
                  <w:rFonts w:ascii="Arial" w:cs="Arial" w:eastAsia="Arial" w:hAnsi="Arial"/>
                  <w:sz w:val="16"/>
                  <w:szCs w:val="16"/>
                  <w:color w:val="0000FF"/>
                </w:rPr>
                <w:t>Second Amendment, dated as of May 9, 2007, among AESOP Leasing L.P., as Borrower, PV Holding Corp., as a Permitted Nominee,</w:t>
              </w:r>
            </w:hyperlink>
          </w:p>
        </w:tc>
        <w:tc>
          <w:tcPr>
            <w:tcW w:w="540" w:type="dxa"/>
            <w:vAlign w:val="bottom"/>
            <w:tcBorders>
              <w:right w:val="single" w:sz="8" w:color="auto"/>
            </w:tcBorders>
            <w:gridSpan w:val="25"/>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Quartx Fleet Management, Inc., as a Permitted Nominee, and Avis Budget Rental Car Funding (AESOP) LLC, as Lender, to the Second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29"/>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Amended and Restated Loan Agreement, dated as of June 3, 2004 (Incorporated by reference to Exhibit 10.8 to the Company’s Quarterly</w:t>
              </w:r>
            </w:hyperlink>
          </w:p>
        </w:tc>
        <w:tc>
          <w:tcPr>
            <w:tcW w:w="4294967277"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37"/>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Report on Form 10-Q for the quarterly period ended June 30, 2007, dated August 8, 2007).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0">
              <w:r>
                <w:rPr>
                  <w:rFonts w:ascii="Arial" w:cs="Arial" w:eastAsia="Arial" w:hAnsi="Arial"/>
                  <w:sz w:val="16"/>
                  <w:szCs w:val="16"/>
                  <w:color w:val="0000FF"/>
                </w:rPr>
                <w:t>Third Amendment, dated as of August 16, 2013, among AESOP Leasing L.P., as Borrower, PV Holding Corp., as a Permitted Nominee,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Quartx Fleet Management, Inc., as a Permitted Nominee, and Avis Budget Rental Car Funding (AESOP) LLC, as Lender, to the Second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28"/>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Amended and Restated Loan Agreement, dated as of June 3, 2004 (Incorporated by reference to Exhibit 10.36(c) to the Company’s</w:t>
              </w:r>
            </w:hyperlink>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Annual Report on Form 10-K for the year ended December 31, 2013, dated February 20, 2014).</w:t>
              </w:r>
            </w:hyperlink>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277"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bottom w:val="single" w:sz="8" w:color="0000FF"/>
            </w:tcBorders>
            <w:gridSpan w:val="21"/>
          </w:tcPr>
          <w:p>
            <w:pPr>
              <w:spacing w:after="0" w:line="169" w:lineRule="exact"/>
              <w:rPr>
                <w:rFonts w:ascii="Arial" w:cs="Arial" w:eastAsia="Arial" w:hAnsi="Arial"/>
                <w:sz w:val="16"/>
                <w:szCs w:val="16"/>
                <w:color w:val="0000FF"/>
              </w:rPr>
            </w:pPr>
            <w:hyperlink r:id="rId211">
              <w:r>
                <w:rPr>
                  <w:rFonts w:ascii="Arial" w:cs="Arial" w:eastAsia="Arial" w:hAnsi="Arial"/>
                  <w:sz w:val="16"/>
                  <w:szCs w:val="16"/>
                  <w:color w:val="0000FF"/>
                </w:rPr>
                <w:t>Fourth Amendment, dated as of July 28, 2022, among AESOP Leasing L.P., as Borrower, PV Holding Corp., as a Permitted Nominee,</w:t>
              </w:r>
            </w:hyperlink>
          </w:p>
        </w:tc>
        <w:tc>
          <w:tcPr>
            <w:tcW w:w="560" w:type="dxa"/>
            <w:vAlign w:val="bottom"/>
            <w:tcBorders>
              <w:right w:val="single" w:sz="8" w:color="auto"/>
            </w:tcBorders>
            <w:gridSpan w:val="26"/>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Quartx Fleet Management, Inc., as a Permitted Nominee, and Avis Budget Rental Car Funding (AESOP) LLC, as Lender, to the Second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Amended and Restated Loan Agreement, dated as of June 3, 2004 (Incorporated by reference to Exhibit 10.2 to the Company’s Quarterly</w:t>
              </w:r>
            </w:hyperlink>
          </w:p>
        </w:tc>
        <w:tc>
          <w:tcPr>
            <w:tcW w:w="4294967277"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Report on Form 10-Q for the quarterly period ended September 30, 2022, dated November 1,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12">
              <w:r>
                <w:rPr>
                  <w:rFonts w:ascii="Arial" w:cs="Arial" w:eastAsia="Arial" w:hAnsi="Arial"/>
                  <w:sz w:val="16"/>
                  <w:szCs w:val="16"/>
                  <w:color w:val="0000FF"/>
                </w:rPr>
                <w:t>Amended and Restated Loan Agreement, dated as of June 3, 2004, among AESOP Leasing L.P., as Borrower, and Cendant Rental Car</w:t>
              </w:r>
            </w:hyperlink>
          </w:p>
        </w:tc>
        <w:tc>
          <w:tcPr>
            <w:tcW w:w="400" w:type="dxa"/>
            <w:vAlign w:val="bottom"/>
            <w:tcBorders>
              <w:right w:val="single" w:sz="8" w:color="auto"/>
            </w:tcBorders>
            <w:gridSpan w:val="1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Funding (AESOP) LLC***, as Lender (Incorporated by reference to Exhibit 10.29(a) to the Company’s Annual Report on Form 10-K for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12">
              <w:r>
                <w:rPr>
                  <w:rFonts w:ascii="Arial" w:cs="Arial" w:eastAsia="Arial" w:hAnsi="Arial"/>
                  <w:sz w:val="16"/>
                  <w:szCs w:val="16"/>
                  <w:color w:val="0000FF"/>
                </w:rPr>
                <w:t>year ended December 31, 2006, dated March 1, 2007).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3">
              <w:r>
                <w:rPr>
                  <w:rFonts w:ascii="Arial" w:cs="Arial" w:eastAsia="Arial" w:hAnsi="Arial"/>
                  <w:sz w:val="16"/>
                  <w:szCs w:val="16"/>
                  <w:color w:val="0000FF"/>
                </w:rPr>
                <w:t>First Amendment, dated as of December 23, 2005, among AESOP Leasing L.P., as Borrower, and Cendant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35"/>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LLC***, as Lender, to the Amended and Restated Loan Agreement, dated as of June 3, 2004 (Incorporated by reference to Exhibit 10.29(b)</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gridSpan w:val="45"/>
          </w:tcPr>
          <w:p>
            <w:pPr>
              <w:spacing w:after="0" w:line="142" w:lineRule="exact"/>
              <w:rPr>
                <w:rFonts w:ascii="Arial" w:cs="Arial" w:eastAsia="Arial" w:hAnsi="Arial"/>
                <w:sz w:val="16"/>
                <w:szCs w:val="16"/>
                <w:color w:val="0000FF"/>
              </w:rPr>
            </w:pPr>
            <w:hyperlink r:id="rId213">
              <w:r>
                <w:rPr>
                  <w:rFonts w:ascii="Arial" w:cs="Arial" w:eastAsia="Arial" w:hAnsi="Arial"/>
                  <w:sz w:val="16"/>
                  <w:szCs w:val="16"/>
                  <w:color w:val="0000FF"/>
                </w:rPr>
                <w:t>to the Company’s Annual Report on Form 10-K for the year ended December 31, 2006, dated March 1, 2007).</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4">
              <w:r>
                <w:rPr>
                  <w:rFonts w:ascii="Arial" w:cs="Arial" w:eastAsia="Arial" w:hAnsi="Arial"/>
                  <w:sz w:val="16"/>
                  <w:szCs w:val="16"/>
                  <w:color w:val="0000FF"/>
                </w:rPr>
                <w:t>Second Amendment, dated as of the May 9, 2007, among AESOP Leasing L.P., as Borrower, and Avis Budget Rental Car Funding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(AESOP) LLC, as Lender, to the Amended and Restated Loan Agreement, dated as of June 3, 2004 (Incorporated by reference to</w:t>
              </w:r>
            </w:hyperlink>
          </w:p>
        </w:tc>
        <w:tc>
          <w:tcPr>
            <w:tcW w:w="800" w:type="dxa"/>
            <w:vAlign w:val="bottom"/>
            <w:tcBorders>
              <w:right w:val="single" w:sz="8" w:color="auto"/>
            </w:tcBorders>
            <w:gridSpan w:val="31"/>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Exhibit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14">
              <w:r>
                <w:rPr>
                  <w:rFonts w:ascii="Arial" w:cs="Arial" w:eastAsia="Arial" w:hAnsi="Arial"/>
                  <w:sz w:val="16"/>
                  <w:szCs w:val="16"/>
                  <w:color w:val="0000FF"/>
                </w:rPr>
                <w:t>10.7 to the Company’s Quarterly Report on Form 10-Q for the quarterly period ended June 30, 2007, dated August 8, 2007).</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40"/>
          </w:tcPr>
          <w:p>
            <w:pPr>
              <w:spacing w:after="0" w:line="169" w:lineRule="exact"/>
              <w:rPr>
                <w:rFonts w:ascii="Arial" w:cs="Arial" w:eastAsia="Arial" w:hAnsi="Arial"/>
                <w:sz w:val="16"/>
                <w:szCs w:val="16"/>
                <w:color w:val="0000FF"/>
              </w:rPr>
            </w:pPr>
            <w:hyperlink r:id="rId215">
              <w:r>
                <w:rPr>
                  <w:rFonts w:ascii="Arial" w:cs="Arial" w:eastAsia="Arial" w:hAnsi="Arial"/>
                  <w:sz w:val="16"/>
                  <w:szCs w:val="16"/>
                  <w:color w:val="0000FF"/>
                </w:rPr>
                <w:t>Third Amendment, dated as of August 16, 2013, among AESOP Leasing L.P., as Borrower, and Avis Budget Rental Car Funding (AESOP)</w:t>
              </w:r>
            </w:hyperlink>
          </w:p>
        </w:tc>
        <w:tc>
          <w:tcPr>
            <w:tcW w:w="160" w:type="dxa"/>
            <w:vAlign w:val="bottom"/>
            <w:tcBorders>
              <w:right w:val="single" w:sz="8" w:color="auto"/>
            </w:tcBorders>
            <w:gridSpan w:val="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LLC, as Lender, to the Amended and Restated Loan Agreement, dated as of June 3, 2004 (Incorporated by reference to Exhibit 10.37(c) 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15">
              <w:r>
                <w:rPr>
                  <w:rFonts w:ascii="Arial" w:cs="Arial" w:eastAsia="Arial" w:hAnsi="Arial"/>
                  <w:sz w:val="16"/>
                  <w:szCs w:val="16"/>
                  <w:color w:val="0000FF"/>
                </w:rPr>
                <w:t>the Company’s Annual Report on Form 10-K for the year ended December 31, 2013, dated February 20, 2014).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6">
              <w:r>
                <w:rPr>
                  <w:rFonts w:ascii="Arial" w:cs="Arial" w:eastAsia="Arial" w:hAnsi="Arial"/>
                  <w:sz w:val="16"/>
                  <w:szCs w:val="16"/>
                  <w:color w:val="0000FF"/>
                </w:rPr>
                <w:t>Fourth Amendment, dated as of July 28, 2022, between AESOP Leasing L.P., as Borrower, and Avis Budget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40"/>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LLC, as Lender, to the Amended and Restated Loan Agreement, dated as of June 3, 2004 (Incorporated by reference to Exhibit 10.5 to the</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41"/>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Company’s Quarterly Report on Form 10-Q for the quarterly period ended September 30, 2022, dated November 1, 2022).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bottom w:val="single" w:sz="8" w:color="0000FF"/>
            </w:tcBorders>
            <w:gridSpan w:val="23"/>
          </w:tcPr>
          <w:p>
            <w:pPr>
              <w:spacing w:after="0" w:line="169" w:lineRule="exact"/>
              <w:rPr>
                <w:rFonts w:ascii="Arial" w:cs="Arial" w:eastAsia="Arial" w:hAnsi="Arial"/>
                <w:sz w:val="16"/>
                <w:szCs w:val="16"/>
                <w:color w:val="0000FF"/>
              </w:rPr>
            </w:pPr>
            <w:hyperlink r:id="rId217">
              <w:r>
                <w:rPr>
                  <w:rFonts w:ascii="Arial" w:cs="Arial" w:eastAsia="Arial" w:hAnsi="Arial"/>
                  <w:sz w:val="16"/>
                  <w:szCs w:val="16"/>
                  <w:color w:val="0000FF"/>
                </w:rPr>
                <w:t>Second Amended and Restated Master Motor Vehicle Operating Lease Agreement, dated as of June 3, 2004, among AESOP Leasing</w:t>
              </w:r>
            </w:hyperlink>
          </w:p>
        </w:tc>
        <w:tc>
          <w:tcPr>
            <w:tcW w:w="520" w:type="dxa"/>
            <w:vAlign w:val="bottom"/>
            <w:tcBorders>
              <w:right w:val="single" w:sz="8" w:color="auto"/>
            </w:tcBorders>
            <w:gridSpan w:val="2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L.P., as Lessor, and Cendant Car Rental Group, Inc.**, as Lessee and as Administrator (Incorporated by reference to Exhibit 10.9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17">
              <w:r>
                <w:rPr>
                  <w:rFonts w:ascii="Arial" w:cs="Arial" w:eastAsia="Arial" w:hAnsi="Arial"/>
                  <w:sz w:val="16"/>
                  <w:szCs w:val="16"/>
                  <w:color w:val="0000FF"/>
                </w:rPr>
                <w:t>Company’s Quarterly Report on Form 10-Q for the quarterly period ended June 30, 2004, dated August 2, 2004).</w:t>
              </w:r>
            </w:hyperlink>
          </w:p>
        </w:tc>
        <w:tc>
          <w:tcPr>
            <w:tcW w:w="20" w:type="dxa"/>
            <w:vAlign w:val="bottom"/>
          </w:tcPr>
          <w:p>
            <w:pPr>
              <w:spacing w:after="0"/>
              <w:rPr>
                <w:sz w:val="12"/>
                <w:szCs w:val="12"/>
                <w:color w:val="auto"/>
              </w:rPr>
            </w:pPr>
          </w:p>
        </w:tc>
        <w:tc>
          <w:tcPr>
            <w:tcW w:w="2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30"/>
          </w:tcPr>
          <w:p>
            <w:pPr>
              <w:spacing w:after="0" w:line="169" w:lineRule="exact"/>
              <w:rPr>
                <w:rFonts w:ascii="Arial" w:cs="Arial" w:eastAsia="Arial" w:hAnsi="Arial"/>
                <w:sz w:val="16"/>
                <w:szCs w:val="16"/>
                <w:color w:val="0000FF"/>
              </w:rPr>
            </w:pPr>
            <w:hyperlink r:id="rId218">
              <w:r>
                <w:rPr>
                  <w:rFonts w:ascii="Arial" w:cs="Arial" w:eastAsia="Arial" w:hAnsi="Arial"/>
                  <w:sz w:val="16"/>
                  <w:szCs w:val="16"/>
                  <w:color w:val="0000FF"/>
                </w:rPr>
                <w:t>First Amendment, dated December 23, 2005, among AESOP Leasing L.P., as Lessor, and Cendant Car Rental Group, Inc.**, as Lessee</w:t>
              </w:r>
            </w:hyperlink>
          </w:p>
        </w:tc>
        <w:tc>
          <w:tcPr>
            <w:tcW w:w="400" w:type="dxa"/>
            <w:vAlign w:val="bottom"/>
            <w:tcBorders>
              <w:right w:val="single" w:sz="8" w:color="auto"/>
            </w:tcBorders>
            <w:gridSpan w:val="17"/>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and as Administrator, to the Second Amended and Restated Master Motor Vehicle Operating Lease Agreement, dated as of June 3, 2004</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18">
              <w:r>
                <w:rPr>
                  <w:rFonts w:ascii="Arial" w:cs="Arial" w:eastAsia="Arial" w:hAnsi="Arial"/>
                  <w:sz w:val="16"/>
                  <w:szCs w:val="16"/>
                  <w:color w:val="0000FF"/>
                </w:rPr>
                <w:t>(Incorporated by reference to Exhibit 10.3 to the Company’s Current Report on Form 8-K, dated January 20, 2006).</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10.39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19">
              <w:r>
                <w:rPr>
                  <w:rFonts w:ascii="Arial" w:cs="Arial" w:eastAsia="Arial" w:hAnsi="Arial"/>
                  <w:sz w:val="16"/>
                  <w:szCs w:val="16"/>
                  <w:color w:val="0000FF"/>
                </w:rPr>
                <w:t>Third Amendment, dated as of May 9, 2007, among AESOP Leasing L.P., as Lessor and Avis Budget Car Rental, LLC, as Lessee and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the Administrator, to the Second Amended and Restated Master Motor Vehicle Operating Lease Agreement, dated as of June 3, 2004</w:t>
              </w:r>
            </w:hyperlink>
          </w:p>
        </w:tc>
        <w:tc>
          <w:tcPr>
            <w:tcW w:w="2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(Incorporated by reference to Exhibit 10.9 to the Company’s Quarterly Report on Form 10-Q for the quarterly period ended June 30, 2007,</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19">
              <w:r>
                <w:rPr>
                  <w:rFonts w:ascii="Arial" w:cs="Arial" w:eastAsia="Arial" w:hAnsi="Arial"/>
                  <w:sz w:val="16"/>
                  <w:szCs w:val="16"/>
                  <w:color w:val="0000FF"/>
                </w:rPr>
                <w:t>dated August 8, 2007).</w:t>
              </w:r>
            </w:hyperlink>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20">
              <w:r>
                <w:rPr>
                  <w:rFonts w:ascii="Arial" w:cs="Arial" w:eastAsia="Arial" w:hAnsi="Arial"/>
                  <w:sz w:val="16"/>
                  <w:szCs w:val="16"/>
                  <w:color w:val="0000FF"/>
                </w:rPr>
                <w:t>Fourth Amendment, dated as of August 16, 2013, among AESOP Leasing L.P., as Lessor and Avis Budget Car Rental, LLC,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and as the Administrator, to the Second Amended and Restated Master Motor Vehicle Operating Lease Agreement, dated as of June 3,</w:t>
              </w:r>
            </w:hyperlink>
          </w:p>
        </w:tc>
        <w:tc>
          <w:tcPr>
            <w:tcW w:w="60" w:type="dxa"/>
            <w:vAlign w:val="bottom"/>
            <w:tcBorders>
              <w:bottom w:val="single" w:sz="8" w:color="0000FF"/>
            </w:tcBorders>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2004 (Incorporated by reference to Exhibit 10.38(c) to the Company’s Annual Report on Form 10-K for the year ended December 31, 2013,</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dated February 20, 2014).</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right w:val="single" w:sz="8" w:color="auto"/>
            </w:tcBorders>
            <w:gridSpan w:val="47"/>
          </w:tcPr>
          <w:p>
            <w:pPr>
              <w:spacing w:after="0" w:line="169" w:lineRule="exact"/>
              <w:rPr>
                <w:rFonts w:ascii="Arial" w:cs="Arial" w:eastAsia="Arial" w:hAnsi="Arial"/>
                <w:sz w:val="16"/>
                <w:szCs w:val="16"/>
                <w:color w:val="0000FF"/>
              </w:rPr>
            </w:pPr>
            <w:hyperlink r:id="rId221">
              <w:r>
                <w:rPr>
                  <w:rFonts w:ascii="Arial" w:cs="Arial" w:eastAsia="Arial" w:hAnsi="Arial"/>
                  <w:sz w:val="16"/>
                  <w:szCs w:val="16"/>
                  <w:color w:val="0000FF"/>
                </w:rPr>
                <w:t>Fifth Amendment, dated as of July 28, 2022, among AESOP Leasing L.P., as Lessor and Avis Budget Car Rental, LLC, as Lessee and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the Administrator, to the Second Amended and Restated Master Motor Vehicle Operating Lease Agreement, dated as of June 3, 2004</w:t>
              </w:r>
            </w:hyperlink>
          </w:p>
        </w:tc>
        <w:tc>
          <w:tcPr>
            <w:tcW w:w="80" w:type="dxa"/>
            <w:vAlign w:val="bottom"/>
            <w:gridSpan w:val="4"/>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(Incorporated by reference to Exhibit 10.3 to the Company’s Quarterly Report on Form 10-Q for the quarterly period ended September</w:t>
              </w:r>
            </w:hyperlink>
          </w:p>
        </w:tc>
        <w:tc>
          <w:tcPr>
            <w:tcW w:w="320" w:type="dxa"/>
            <w:vAlign w:val="bottom"/>
            <w:tcBorders>
              <w:bottom w:val="single" w:sz="8" w:color="0000FF"/>
            </w:tcBorders>
            <w:gridSpan w:val="15"/>
          </w:tcPr>
          <w:p>
            <w:pPr>
              <w:jc w:val="right"/>
              <w:ind w:right="40"/>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30,</w:t>
              </w:r>
            </w:hyperlink>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gridSpan w:val="36"/>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2022, dated November 1, 2022).</w:t>
              </w:r>
            </w:hyperlink>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bottom w:val="single" w:sz="8" w:color="0000FF"/>
            </w:tcBorders>
            <w:gridSpan w:val="19"/>
          </w:tcPr>
          <w:p>
            <w:pPr>
              <w:spacing w:after="0" w:line="169" w:lineRule="exact"/>
              <w:rPr>
                <w:rFonts w:ascii="Arial" w:cs="Arial" w:eastAsia="Arial" w:hAnsi="Arial"/>
                <w:sz w:val="16"/>
                <w:szCs w:val="16"/>
                <w:color w:val="0000FF"/>
              </w:rPr>
            </w:pPr>
            <w:hyperlink r:id="rId222">
              <w:r>
                <w:rPr>
                  <w:rFonts w:ascii="Arial" w:cs="Arial" w:eastAsia="Arial" w:hAnsi="Arial"/>
                  <w:sz w:val="16"/>
                  <w:szCs w:val="16"/>
                  <w:color w:val="0000FF"/>
                </w:rPr>
                <w:t>Amended and Restated Master Motor Vehicle Finance Lease Agreement, dated as of June 3, 2004, among AESOP Leasing L.P., as</w:t>
              </w:r>
            </w:hyperlink>
          </w:p>
        </w:tc>
        <w:tc>
          <w:tcPr>
            <w:tcW w:w="680" w:type="dxa"/>
            <w:vAlign w:val="bottom"/>
            <w:tcBorders>
              <w:right w:val="single" w:sz="8" w:color="auto"/>
            </w:tcBorders>
            <w:gridSpan w:val="28"/>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right w:val="single" w:sz="8" w:color="auto"/>
            </w:tcBorders>
            <w:gridSpan w:val="47"/>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Lessor, Cendant Car Rental Group, Inc.**, as Lessee, as Administrator and as Finance Lease Guarantor, Avis Rent A Car System, Inc.****,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bottom w:val="single" w:sz="8" w:color="0000FF"/>
            </w:tcBorders>
            <w:gridSpan w:val="42"/>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as Lessee, and Budget Rent A Car System, Inc., as Lessee (Incorporated by reference to Exhibit 10.30(a) to the Company’s Annual Report</w:t>
              </w:r>
            </w:hyperlink>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gridSpan w:val="46"/>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on Form 10-K for the year ended December 31, 2006, dated March 1, 2007).</w:t>
              </w:r>
            </w:hyperlink>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5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5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77"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10.43</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60" w:type="dxa"/>
            <w:vAlign w:val="bottom"/>
            <w:tcBorders>
              <w:top w:val="single" w:sz="8" w:color="auto"/>
              <w:right w:val="single" w:sz="8" w:color="auto"/>
            </w:tcBorders>
            <w:gridSpan w:val="46"/>
          </w:tcPr>
          <w:p>
            <w:pPr>
              <w:spacing w:after="0"/>
              <w:rPr>
                <w:rFonts w:ascii="Arial" w:cs="Arial" w:eastAsia="Arial" w:hAnsi="Arial"/>
                <w:sz w:val="16"/>
                <w:szCs w:val="16"/>
                <w:color w:val="0000FF"/>
              </w:rPr>
            </w:pPr>
            <w:hyperlink r:id="rId224">
              <w:r>
                <w:rPr>
                  <w:rFonts w:ascii="Arial" w:cs="Arial" w:eastAsia="Arial" w:hAnsi="Arial"/>
                  <w:sz w:val="16"/>
                  <w:szCs w:val="16"/>
                  <w:color w:val="0000FF"/>
                </w:rPr>
                <w:t>First Amendment, dated as of December 23, 2005, among AESOP Leasing L.P., as Lessor, Cendant Car Rental Group, Inc.**, as Lessee,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as Administrator and as Finance Lease Guarantor, Avis Rent A Car System, Inc.****, as Lessee, and Budget Rent A Car System, Inc.,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Lessee, to the Amended and Restated Master Motor Vehicle Finance Lease Agreement, dated as of June 3, 2004 (Incorporated by</w:t>
              </w:r>
            </w:hyperlink>
          </w:p>
        </w:tc>
        <w:tc>
          <w:tcPr>
            <w:tcW w:w="40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24">
              <w:r>
                <w:rPr>
                  <w:rFonts w:ascii="Arial" w:cs="Arial" w:eastAsia="Arial" w:hAnsi="Arial"/>
                  <w:sz w:val="16"/>
                  <w:szCs w:val="16"/>
                  <w:color w:val="0000FF"/>
                </w:rPr>
                <w:t>reference to Exhibit 10.30(b) to the Company’s Annual Report on Form 10-K for the year ended December 31, 2006, dated March 1, 2007).</w:t>
              </w:r>
            </w:hyperlink>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bottom w:val="single" w:sz="8" w:color="0000FF"/>
            </w:tcBorders>
            <w:gridSpan w:val="17"/>
          </w:tcPr>
          <w:p>
            <w:pPr>
              <w:spacing w:after="0" w:line="169" w:lineRule="exact"/>
              <w:rPr>
                <w:rFonts w:ascii="Arial" w:cs="Arial" w:eastAsia="Arial" w:hAnsi="Arial"/>
                <w:sz w:val="16"/>
                <w:szCs w:val="16"/>
                <w:color w:val="0000FF"/>
              </w:rPr>
            </w:pPr>
            <w:hyperlink r:id="rId225">
              <w:r>
                <w:rPr>
                  <w:rFonts w:ascii="Arial" w:cs="Arial" w:eastAsia="Arial" w:hAnsi="Arial"/>
                  <w:sz w:val="16"/>
                  <w:szCs w:val="16"/>
                  <w:color w:val="0000FF"/>
                </w:rPr>
                <w:t>Third Amendment, dated as of May 9, 2007, among AESOP Leasing L.P., as Lessor, Avis Budget Car Rental, LLC, as Lessee, as</w:t>
              </w:r>
            </w:hyperlink>
          </w:p>
        </w:tc>
        <w:tc>
          <w:tcPr>
            <w:tcW w:w="800" w:type="dxa"/>
            <w:vAlign w:val="bottom"/>
            <w:tcBorders>
              <w:right w:val="single" w:sz="8" w:color="auto"/>
            </w:tcBorders>
            <w:gridSpan w:val="29"/>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Administrator and as Finance Lease Guarantor, Avis Rent A Car System, LLC, as Lessee, and Budget Rent A Car System, Inc.,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Lessee, to the Amended and Restated Master Motor Vehicle Finance Lease Agreement, dated as of June 3, 2004 (Incorporated by</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reference to Exhibit 10.11 to the Company’s Quarterly Report on Form 10-Q for the quarterly period ended June 30, 2007, dated August 8,</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0000FF"/>
            </w:tcBorders>
            <w:gridSpan w:val="2"/>
          </w:tcPr>
          <w:p>
            <w:pPr>
              <w:spacing w:after="0" w:line="142" w:lineRule="exact"/>
              <w:rPr>
                <w:rFonts w:ascii="Arial" w:cs="Arial" w:eastAsia="Arial" w:hAnsi="Arial"/>
                <w:sz w:val="16"/>
                <w:szCs w:val="16"/>
                <w:color w:val="0000FF"/>
                <w:w w:val="96"/>
              </w:rPr>
            </w:pPr>
            <w:hyperlink r:id="rId225">
              <w:r>
                <w:rPr>
                  <w:rFonts w:ascii="Arial" w:cs="Arial" w:eastAsia="Arial" w:hAnsi="Arial"/>
                  <w:sz w:val="16"/>
                  <w:szCs w:val="16"/>
                  <w:color w:val="0000FF"/>
                  <w:w w:val="96"/>
                </w:rPr>
                <w:t>2007).</w:t>
              </w:r>
            </w:hyperlink>
          </w:p>
        </w:tc>
        <w:tc>
          <w:tcPr>
            <w:tcW w:w="7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72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22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rFonts w:ascii="Arial" w:cs="Arial" w:eastAsia="Arial" w:hAnsi="Arial"/>
                <w:sz w:val="16"/>
                <w:szCs w:val="16"/>
                <w:color w:val="0000FF"/>
              </w:rPr>
            </w:pPr>
            <w:hyperlink r:id="rId226">
              <w:r>
                <w:rPr>
                  <w:rFonts w:ascii="Arial" w:cs="Arial" w:eastAsia="Arial" w:hAnsi="Arial"/>
                  <w:sz w:val="16"/>
                  <w:szCs w:val="16"/>
                  <w:color w:val="0000FF"/>
                </w:rPr>
                <w:t>Fourth Amendment, dated as of August 16, 2013, among AESOP Leasing L.P., as Lessor, Avis Budget Car Rental, LLC, as Lessee,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Administrator and as Finance Lease Guarantor, Avis Rent A Car System, LLC, as Lessee, and Budget Rent A Car System, Inc.,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Lessee, to the Amended and Restated Master Motor Vehicle Finance Lease Agreement, dated as of June 3, 2004 (Incorporated by</w:t>
              </w:r>
            </w:hyperlink>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reference to Exhibit 10.39(c) to the Company’s Annual Report on Form 10-K for the year ended December 31, 2013, dated February</w:t>
              </w:r>
            </w:hyperlink>
          </w:p>
        </w:tc>
        <w:tc>
          <w:tcPr>
            <w:tcW w:w="360" w:type="dxa"/>
            <w:vAlign w:val="bottom"/>
            <w:tcBorders>
              <w:bottom w:val="single" w:sz="8" w:color="0000FF"/>
            </w:tcBorders>
            <w:gridSpan w:val="12"/>
          </w:tcPr>
          <w:p>
            <w:pPr>
              <w:jc w:val="right"/>
              <w:spacing w:after="0" w:line="142" w:lineRule="exact"/>
              <w:rPr>
                <w:rFonts w:ascii="Arial" w:cs="Arial" w:eastAsia="Arial" w:hAnsi="Arial"/>
                <w:sz w:val="16"/>
                <w:szCs w:val="16"/>
                <w:color w:val="0000FF"/>
              </w:rPr>
            </w:pPr>
            <w:hyperlink r:id="rId226">
              <w:r>
                <w:rPr>
                  <w:rFonts w:ascii="Arial" w:cs="Arial" w:eastAsia="Arial" w:hAnsi="Arial"/>
                  <w:sz w:val="16"/>
                  <w:szCs w:val="16"/>
                  <w:color w:val="0000FF"/>
                </w:rPr>
                <w:t>20,</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spacing w:after="0" w:line="142" w:lineRule="exact"/>
              <w:rPr>
                <w:rFonts w:ascii="Arial" w:cs="Arial" w:eastAsia="Arial" w:hAnsi="Arial"/>
                <w:sz w:val="16"/>
                <w:szCs w:val="16"/>
                <w:color w:val="0000FF"/>
                <w:w w:val="96"/>
              </w:rPr>
            </w:pPr>
            <w:hyperlink r:id="rId226">
              <w:r>
                <w:rPr>
                  <w:rFonts w:ascii="Arial" w:cs="Arial" w:eastAsia="Arial" w:hAnsi="Arial"/>
                  <w:sz w:val="16"/>
                  <w:szCs w:val="16"/>
                  <w:color w:val="0000FF"/>
                  <w:w w:val="96"/>
                </w:rPr>
                <w:t>2014).</w:t>
              </w:r>
            </w:hyperlink>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280" w:type="dxa"/>
            <w:vAlign w:val="bottom"/>
            <w:tcBorders>
              <w:bottom w:val="single" w:sz="8" w:color="0000FF"/>
            </w:tcBorders>
            <w:gridSpan w:val="18"/>
          </w:tcPr>
          <w:p>
            <w:pPr>
              <w:spacing w:after="0" w:line="169" w:lineRule="exact"/>
              <w:rPr>
                <w:rFonts w:ascii="Arial" w:cs="Arial" w:eastAsia="Arial" w:hAnsi="Arial"/>
                <w:sz w:val="16"/>
                <w:szCs w:val="16"/>
                <w:color w:val="0000FF"/>
              </w:rPr>
            </w:pPr>
            <w:hyperlink r:id="rId227">
              <w:r>
                <w:rPr>
                  <w:rFonts w:ascii="Arial" w:cs="Arial" w:eastAsia="Arial" w:hAnsi="Arial"/>
                  <w:sz w:val="16"/>
                  <w:szCs w:val="16"/>
                  <w:color w:val="0000FF"/>
                </w:rPr>
                <w:t>Fifth Amendment, dated as of July 28, 2022, among AESOP Leasing L.P., as Lessor, Avis Budget Car Rental, LLC, as Lessee, as</w:t>
              </w:r>
            </w:hyperlink>
          </w:p>
        </w:tc>
        <w:tc>
          <w:tcPr>
            <w:tcW w:w="780" w:type="dxa"/>
            <w:vAlign w:val="bottom"/>
            <w:tcBorders>
              <w:right w:val="single" w:sz="8" w:color="auto"/>
            </w:tcBorders>
            <w:gridSpan w:val="28"/>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Administrator and as Finance Lease Guarantor, Avis Rent A Car System, LLC, as Lessee, and Budget Rent A Car System, Inc.,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Lessee, to the Amended and Restated Master Motor Vehicle Finance Lease Agreement, dated as of June 3, 2004 (Incorporated by</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reference to Exhibit 10.4 to the Company’s Quarterly Report on Form 10-Q for the quarterly period ended September 30, 2022, dated</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November 1, 2022).</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10.47</w:t>
            </w:r>
          </w:p>
        </w:tc>
        <w:tc>
          <w:tcPr>
            <w:tcW w:w="1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60" w:type="dxa"/>
            <w:vAlign w:val="bottom"/>
            <w:tcBorders>
              <w:right w:val="single" w:sz="8" w:color="auto"/>
            </w:tcBorders>
            <w:gridSpan w:val="46"/>
          </w:tcPr>
          <w:p>
            <w:pPr>
              <w:spacing w:after="0" w:line="169" w:lineRule="exact"/>
              <w:rPr>
                <w:rFonts w:ascii="Arial" w:cs="Arial" w:eastAsia="Arial" w:hAnsi="Arial"/>
                <w:sz w:val="16"/>
                <w:szCs w:val="16"/>
                <w:color w:val="0000FF"/>
              </w:rPr>
            </w:pPr>
            <w:hyperlink r:id="rId228">
              <w:r>
                <w:rPr>
                  <w:rFonts w:ascii="Arial" w:cs="Arial" w:eastAsia="Arial" w:hAnsi="Arial"/>
                  <w:sz w:val="16"/>
                  <w:szCs w:val="16"/>
                  <w:color w:val="0000FF"/>
                </w:rPr>
                <w:t>AESOP I Operating Sublease Agreement dated as of March 26, 2013, between Zipcar, Inc., as Sublessee and Avis Budget Car Rental,</w:t>
              </w:r>
            </w:hyperlink>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20" w:type="dxa"/>
            <w:vAlign w:val="bottom"/>
            <w:tcBorders>
              <w:top w:val="single" w:sz="8" w:color="0000FF"/>
            </w:tcBorders>
            <w:gridSpan w:val="7"/>
          </w:tcPr>
          <w:p>
            <w:pPr>
              <w:spacing w:after="0" w:line="122" w:lineRule="exact"/>
              <w:rPr>
                <w:rFonts w:ascii="Arial" w:cs="Arial" w:eastAsia="Arial" w:hAnsi="Arial"/>
                <w:sz w:val="14"/>
                <w:szCs w:val="14"/>
                <w:color w:val="0000FF"/>
              </w:rPr>
            </w:pPr>
            <w:hyperlink r:id="rId228">
              <w:r>
                <w:rPr>
                  <w:rFonts w:ascii="Arial" w:cs="Arial" w:eastAsia="Arial" w:hAnsi="Arial"/>
                  <w:sz w:val="14"/>
                  <w:szCs w:val="14"/>
                  <w:color w:val="0000FF"/>
                </w:rPr>
                <w:t>LLC, as Sublessor (Incorporated by reference to Exhibit 10.1 to the</w:t>
              </w:r>
            </w:hyperlink>
          </w:p>
        </w:tc>
        <w:tc>
          <w:tcPr>
            <w:tcW w:w="4660" w:type="dxa"/>
            <w:vAlign w:val="bottom"/>
            <w:tcBorders>
              <w:top w:val="single" w:sz="8" w:color="0000FF"/>
            </w:tcBorders>
            <w:gridSpan w:val="22"/>
          </w:tcPr>
          <w:p>
            <w:pPr>
              <w:spacing w:after="0" w:line="122" w:lineRule="exact"/>
              <w:rPr>
                <w:rFonts w:ascii="Arial" w:cs="Arial" w:eastAsia="Arial" w:hAnsi="Arial"/>
                <w:sz w:val="14"/>
                <w:szCs w:val="14"/>
                <w:color w:val="0000FF"/>
              </w:rPr>
            </w:pPr>
            <w:hyperlink r:id="rId228">
              <w:r>
                <w:rPr>
                  <w:rFonts w:ascii="Arial" w:cs="Arial" w:eastAsia="Arial" w:hAnsi="Arial"/>
                  <w:sz w:val="14"/>
                  <w:szCs w:val="14"/>
                  <w:color w:val="0000FF"/>
                </w:rPr>
                <w:t>Company’s Quarterly Report on Form 10-Q for the quarterly period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ended March 31, 2013, dated May 8, 2013).</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rFonts w:ascii="Arial" w:cs="Arial" w:eastAsia="Arial" w:hAnsi="Arial"/>
                <w:sz w:val="16"/>
                <w:szCs w:val="16"/>
                <w:color w:val="0000FF"/>
              </w:rPr>
            </w:pPr>
            <w:hyperlink r:id="rId229">
              <w:r>
                <w:rPr>
                  <w:rFonts w:ascii="Arial" w:cs="Arial" w:eastAsia="Arial" w:hAnsi="Arial"/>
                  <w:sz w:val="16"/>
                  <w:szCs w:val="16"/>
                  <w:color w:val="0000FF"/>
                </w:rPr>
                <w:t>Second Amended and Restated Administration Agreement, dated as of June 3, 2004, among Cendant Rental Car Funding (AESOP)</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LLC***, AESOP Leasing L.P., AESOP Leasing Corp. II, Avis Rent A Car System, Inc.****, Budget Rent A Car System, Inc., Cendant</w:t>
              </w:r>
            </w:hyperlink>
          </w:p>
        </w:tc>
        <w:tc>
          <w:tcPr>
            <w:tcW w:w="580" w:type="dxa"/>
            <w:vAlign w:val="bottom"/>
            <w:tcBorders>
              <w:right w:val="single" w:sz="8" w:color="auto"/>
            </w:tcBorders>
            <w:gridSpan w:val="24"/>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Car</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Rental Group, Inc.** and The Bank of New York, as Trustee (Incorporated by reference to Exhibit 10.34 to the Company’s Annual Report</w:t>
              </w:r>
            </w:hyperlink>
          </w:p>
        </w:tc>
        <w:tc>
          <w:tcPr>
            <w:tcW w:w="2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gridSpan w:val="32"/>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on Form 10-K for the year ended December 31, 2005, dated March 1, 2006).</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10.49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First Amendment, dated as of August 16, 2013, among Avis Budget Rental Car Funding (AESOP) LLC, AESOP Leasing L.P., AESOP</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760" w:type="dxa"/>
            <w:vAlign w:val="bottom"/>
            <w:gridSpan w:val="3"/>
            <w:shd w:val="clear" w:color="auto" w:fill="0000FF"/>
          </w:tcPr>
          <w:p>
            <w:pPr>
              <w:spacing w:after="0" w:line="20" w:lineRule="exact"/>
              <w:rPr>
                <w:sz w:val="1"/>
                <w:szCs w:val="1"/>
                <w:color w:val="auto"/>
              </w:rPr>
            </w:pPr>
          </w:p>
        </w:tc>
        <w:tc>
          <w:tcPr>
            <w:tcW w:w="27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Leasing Corp. II, Avis Rent A Car System, LLC, Budget Rent A Car System, Inc. and Avis Budget Car Rental, LLC, as Administrator, to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44"/>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Second Amended and Restated Administration Agreement dated as of June 3, 2004 (Incorporated by reference to Exhibit 10.41(a) to the</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30">
              <w:r>
                <w:rPr>
                  <w:rFonts w:ascii="Arial" w:cs="Arial" w:eastAsia="Arial" w:hAnsi="Arial"/>
                  <w:sz w:val="16"/>
                  <w:szCs w:val="16"/>
                  <w:color w:val="0000FF"/>
                </w:rPr>
                <w:t>Company’s Annual Report on Form 10-K for the year ended December 31, 2013, dated February 20,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rFonts w:ascii="Arial" w:cs="Arial" w:eastAsia="Arial" w:hAnsi="Arial"/>
                <w:sz w:val="16"/>
                <w:szCs w:val="16"/>
                <w:color w:val="0000FF"/>
              </w:rPr>
            </w:pPr>
            <w:hyperlink r:id="rId231">
              <w:r>
                <w:rPr>
                  <w:rFonts w:ascii="Arial" w:cs="Arial" w:eastAsia="Arial" w:hAnsi="Arial"/>
                  <w:sz w:val="16"/>
                  <w:szCs w:val="16"/>
                  <w:color w:val="0000FF"/>
                </w:rPr>
                <w:t>Fifth Amended and Restated Series 2010-6 Supplement, dated as of April 14, 2022, by and among Avis Budget Rental Car Funding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(AESOP) LLC, as Issuer, Avis Budget Car Rental, LLC, as Administrator, JPMorgan Chase Bank, N.A., as Administrative Agent, the</w:t>
              </w:r>
            </w:hyperlink>
          </w:p>
        </w:tc>
        <w:tc>
          <w:tcPr>
            <w:tcW w:w="640" w:type="dxa"/>
            <w:vAlign w:val="bottom"/>
            <w:tcBorders>
              <w:right w:val="single" w:sz="8" w:color="auto"/>
            </w:tcBorders>
            <w:gridSpan w:val="25"/>
          </w:tcPr>
          <w:p>
            <w:pPr>
              <w:jc w:val="right"/>
              <w:ind w:right="240"/>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Non-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bottom w:val="single" w:sz="8" w:color="0000FF"/>
            </w:tcBorders>
            <w:gridSpan w:val="36"/>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Conduit Purchasers, the CP Conduit Purchasers, the Committed Note Purchasers, the APA Banks and the Funding Agents named therein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bottom w:val="single" w:sz="8" w:color="0000FF"/>
            </w:tcBorders>
            <w:gridSpan w:val="42"/>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and The Bank of New York Mellon Trust Company, N.A., as Trustee and as Series 2010-6 Agent (Incorporated by reference to Exhibit 10.2</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43"/>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to the Company’s Current Report on Form 8-K, dated April 19, 2022).</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rFonts w:ascii="Arial" w:cs="Arial" w:eastAsia="Arial" w:hAnsi="Arial"/>
                <w:sz w:val="16"/>
                <w:szCs w:val="16"/>
                <w:color w:val="0000FF"/>
              </w:rPr>
            </w:pPr>
            <w:hyperlink r:id="rId232">
              <w:r>
                <w:rPr>
                  <w:rFonts w:ascii="Arial" w:cs="Arial" w:eastAsia="Arial" w:hAnsi="Arial"/>
                  <w:sz w:val="16"/>
                  <w:szCs w:val="16"/>
                  <w:color w:val="0000FF"/>
                </w:rPr>
                <w:t>First Amendment to the Fifth Amended and Restated Series 2010-6 Supplement, dated as of March 30, 2023, by and among Avis Budget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Rental Car Funding (AESOP) LLC, as Issuer, Avis Budget Car Rental, LLC, as Administrator, JPMorgan Chase Bank, N.A., as</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664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Administrative Agent, the Non-Conduit Purchasers, the CP Conduit Purchasers, the Committed Note Purchasers, the APA Banks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Funding Agents named therein and The Bank of New York Mellon Trust Company, N.A., as Trustee and as Series 2010-6 Agent</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32">
              <w:r>
                <w:rPr>
                  <w:rFonts w:ascii="Arial" w:cs="Arial" w:eastAsia="Arial" w:hAnsi="Arial"/>
                  <w:sz w:val="16"/>
                  <w:szCs w:val="16"/>
                  <w:color w:val="0000FF"/>
                </w:rPr>
                <w:t>(Incorporated by reference to Exhibit 10.1 to the Company’s Current Report on Form 8-K dated April 4, 2023).</w:t>
              </w:r>
            </w:hyperlink>
          </w:p>
        </w:tc>
        <w:tc>
          <w:tcPr>
            <w:tcW w:w="42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rFonts w:ascii="Arial" w:cs="Arial" w:eastAsia="Arial" w:hAnsi="Arial"/>
                <w:sz w:val="16"/>
                <w:szCs w:val="16"/>
                <w:color w:val="0000FF"/>
              </w:rPr>
            </w:pPr>
            <w:hyperlink r:id="rId233">
              <w:r>
                <w:rPr>
                  <w:rFonts w:ascii="Arial" w:cs="Arial" w:eastAsia="Arial" w:hAnsi="Arial"/>
                  <w:sz w:val="16"/>
                  <w:szCs w:val="16"/>
                  <w:color w:val="0000FF"/>
                </w:rPr>
                <w:t>Second Amendment to the Fifth Amended and Restated Series 2010-6 Supplement, dated as of April 24, 2023, by and among Avis Budget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Rental Car Funding (AESOP) LLC, as Issuer, Avis Budget Car Rental, LLC, as Administrator, JPMorgan Chase Bank, N.A., as</w:t>
              </w:r>
            </w:hyperlink>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6740" w:type="dxa"/>
            <w:vAlign w:val="bottom"/>
            <w:gridSpan w:val="8"/>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Borders>
              <w:right w:val="single" w:sz="8" w:color="auto"/>
            </w:tcBorders>
            <w:gridSpan w:val="5"/>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Administrative Agent, the Non-Conduit Purchasers, the CP Conduit Purchasers, the Committed Note Purchasers, the APA Banks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Funding Agents named therein and The Bank of New York Mellon Trust Company, N.A., as Trustee and as Series 2010-6 Agent</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(Incorporated by reference to Exhibit 10.1 to the Company’s Current Report on Form 8-K dated April 28, 2023).</w:t>
              </w:r>
            </w:hyperlink>
          </w:p>
        </w:tc>
        <w:tc>
          <w:tcPr>
            <w:tcW w:w="42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sz w:val="20"/>
                <w:szCs w:val="20"/>
                <w:color w:val="auto"/>
              </w:rPr>
            </w:pPr>
            <w:r>
              <w:rPr>
                <w:rFonts w:ascii="Arial" w:cs="Arial" w:eastAsia="Arial" w:hAnsi="Arial"/>
                <w:sz w:val="16"/>
                <w:szCs w:val="16"/>
                <w:color w:val="0000FF"/>
              </w:rPr>
              <w:t>Purchaser Group Supplement, dated as of July 20, 2023, among the Non-Conduit Purchaser listed on the signature pages thereof, Avis</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30"/>
          </w:tcPr>
          <w:p>
            <w:pPr>
              <w:spacing w:after="0" w:line="142" w:lineRule="exact"/>
              <w:rPr>
                <w:sz w:val="20"/>
                <w:szCs w:val="20"/>
                <w:color w:val="auto"/>
              </w:rPr>
            </w:pPr>
            <w:r>
              <w:rPr>
                <w:rFonts w:ascii="Arial" w:cs="Arial" w:eastAsia="Arial" w:hAnsi="Arial"/>
                <w:sz w:val="16"/>
                <w:szCs w:val="16"/>
                <w:color w:val="0000FF"/>
              </w:rPr>
              <w:t>Budget Rental Car Funding (AESOP) LLC, JPMorgan Chase Bank, N.A., as Administrative Agent and Avis Budget Car Rental, LLC, as</w:t>
            </w:r>
          </w:p>
        </w:tc>
        <w:tc>
          <w:tcPr>
            <w:tcW w:w="12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28"/>
          </w:tcPr>
          <w:p>
            <w:pPr>
              <w:spacing w:after="0" w:line="142" w:lineRule="exact"/>
              <w:rPr>
                <w:sz w:val="20"/>
                <w:szCs w:val="20"/>
                <w:color w:val="auto"/>
              </w:rPr>
            </w:pPr>
            <w:r>
              <w:rPr>
                <w:rFonts w:ascii="Arial" w:cs="Arial" w:eastAsia="Arial" w:hAnsi="Arial"/>
                <w:sz w:val="16"/>
                <w:szCs w:val="16"/>
                <w:color w:val="0000FF"/>
              </w:rPr>
              <w:t>Administrator. ††</w:t>
            </w:r>
          </w:p>
        </w:tc>
        <w:tc>
          <w:tcPr>
            <w:tcW w:w="160" w:type="dxa"/>
            <w:vAlign w:val="bottom"/>
            <w:gridSpan w:val="7"/>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tcBorders>
              <w:bottom w:val="single" w:sz="8" w:color="0000FF"/>
            </w:tcBorders>
            <w:gridSpan w:val="24"/>
          </w:tcPr>
          <w:p>
            <w:pPr>
              <w:spacing w:after="0" w:line="169" w:lineRule="exact"/>
              <w:rPr>
                <w:rFonts w:ascii="Arial" w:cs="Arial" w:eastAsia="Arial" w:hAnsi="Arial"/>
                <w:sz w:val="16"/>
                <w:szCs w:val="16"/>
                <w:color w:val="0000FF"/>
              </w:rPr>
            </w:pPr>
            <w:hyperlink r:id="rId234">
              <w:r>
                <w:rPr>
                  <w:rFonts w:ascii="Arial" w:cs="Arial" w:eastAsia="Arial" w:hAnsi="Arial"/>
                  <w:sz w:val="16"/>
                  <w:szCs w:val="16"/>
                  <w:color w:val="0000FF"/>
                </w:rPr>
                <w:t>Third Amendment to the Fifth Amended and Restated Series 2010-6 Supplement, dated as of November 3, 2023, by and among Avis</w:t>
              </w:r>
            </w:hyperlink>
          </w:p>
        </w:tc>
        <w:tc>
          <w:tcPr>
            <w:tcW w:w="500" w:type="dxa"/>
            <w:vAlign w:val="bottom"/>
            <w:tcBorders>
              <w:right w:val="single" w:sz="8" w:color="auto"/>
            </w:tcBorders>
            <w:gridSpan w:val="22"/>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Budget Rental Car Funding (AESOP) LLC, as Issuer, Avis Budget Car Rental, LLC, as Administrator, JPMorgan Chase Bank, N.A., 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Administrative Agent, the Non-Conduit Purchasers, the CP Conduit Purchasers, the Committed Note Purchasers, the APA Banks and</w:t>
              </w:r>
            </w:hyperlink>
          </w:p>
        </w:tc>
        <w:tc>
          <w:tcPr>
            <w:tcW w:w="480" w:type="dxa"/>
            <w:vAlign w:val="bottom"/>
            <w:tcBorders>
              <w:right w:val="single" w:sz="8" w:color="auto"/>
            </w:tcBorders>
            <w:gridSpan w:val="21"/>
          </w:tcPr>
          <w:p>
            <w:pPr>
              <w:jc w:val="right"/>
              <w:ind w:right="240"/>
              <w:spacing w:after="0" w:line="142" w:lineRule="exact"/>
              <w:rPr>
                <w:rFonts w:ascii="Arial" w:cs="Arial" w:eastAsia="Arial" w:hAnsi="Arial"/>
                <w:sz w:val="16"/>
                <w:szCs w:val="16"/>
                <w:color w:val="0000FF"/>
                <w:w w:val="98"/>
              </w:rPr>
            </w:pPr>
            <w:hyperlink r:id="rId234">
              <w:r>
                <w:rPr>
                  <w:rFonts w:ascii="Arial" w:cs="Arial" w:eastAsia="Arial" w:hAnsi="Arial"/>
                  <w:sz w:val="16"/>
                  <w:szCs w:val="16"/>
                  <w:color w:val="0000FF"/>
                  <w:w w:val="98"/>
                </w:rPr>
                <w:t>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Funding Agents named therein and The Bank of New York Mellon Trust Company, N.A., as Trustee and as Series 2010-6 Agent</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(Incorporated by reference to Exhibit 10.1 to the Company’s Current Report on Form 8-K dated November 3, 2023).</w:t>
              </w:r>
            </w:hyperlink>
          </w:p>
        </w:tc>
        <w:tc>
          <w:tcPr>
            <w:tcW w:w="680" w:type="dxa"/>
            <w:vAlign w:val="bottom"/>
            <w:gridSpan w:val="19"/>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sz w:val="20"/>
                <w:szCs w:val="20"/>
                <w:color w:val="auto"/>
              </w:rPr>
            </w:pPr>
            <w:r>
              <w:rPr>
                <w:rFonts w:ascii="Arial" w:cs="Arial" w:eastAsia="Arial" w:hAnsi="Arial"/>
                <w:sz w:val="16"/>
                <w:szCs w:val="16"/>
                <w:color w:val="0000FF"/>
              </w:rPr>
              <w:t>Purchaser Group Supplement, dated as of December 28, 2023, among the Non-Conduit Purchaser listed on the signature pages thereof,</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35"/>
          </w:tcPr>
          <w:p>
            <w:pPr>
              <w:spacing w:after="0" w:line="142" w:lineRule="exact"/>
              <w:rPr>
                <w:sz w:val="20"/>
                <w:szCs w:val="20"/>
                <w:color w:val="auto"/>
              </w:rPr>
            </w:pPr>
            <w:r>
              <w:rPr>
                <w:rFonts w:ascii="Arial" w:cs="Arial" w:eastAsia="Arial" w:hAnsi="Arial"/>
                <w:sz w:val="16"/>
                <w:szCs w:val="16"/>
                <w:color w:val="0000FF"/>
              </w:rPr>
              <w:t>Avis Budget Rental Car Funding (AESOP) LLC, JPMorgan Chase Bank, N.A., as Administrative Agent and , Avis Budget Car Rental, LLC,</w:t>
            </w:r>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gridSpan w:val="41"/>
          </w:tcPr>
          <w:p>
            <w:pPr>
              <w:spacing w:after="0" w:line="142" w:lineRule="exact"/>
              <w:rPr>
                <w:sz w:val="20"/>
                <w:szCs w:val="20"/>
                <w:color w:val="auto"/>
              </w:rPr>
            </w:pPr>
            <w:r>
              <w:rPr>
                <w:rFonts w:ascii="Arial" w:cs="Arial" w:eastAsia="Arial" w:hAnsi="Arial"/>
                <w:sz w:val="16"/>
                <w:szCs w:val="16"/>
                <w:color w:val="0000FF"/>
              </w:rPr>
              <w:t>as Administrator. ††</w:t>
            </w:r>
          </w:p>
        </w:tc>
        <w:tc>
          <w:tcPr>
            <w:tcW w:w="120" w:type="dxa"/>
            <w:vAlign w:val="bottom"/>
            <w:tcBorders>
              <w:right w:val="single" w:sz="8" w:color="auto"/>
            </w:tcBorders>
            <w:gridSpan w:val="5"/>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right w:val="single" w:sz="8" w:color="auto"/>
            </w:tcBorders>
            <w:gridSpan w:val="46"/>
          </w:tcPr>
          <w:p>
            <w:pPr>
              <w:spacing w:after="0" w:line="169" w:lineRule="exact"/>
              <w:rPr>
                <w:rFonts w:ascii="Arial" w:cs="Arial" w:eastAsia="Arial" w:hAnsi="Arial"/>
                <w:sz w:val="16"/>
                <w:szCs w:val="16"/>
                <w:color w:val="0000FF"/>
              </w:rPr>
            </w:pPr>
            <w:hyperlink r:id="rId235">
              <w:r>
                <w:rPr>
                  <w:rFonts w:ascii="Arial" w:cs="Arial" w:eastAsia="Arial" w:hAnsi="Arial"/>
                  <w:sz w:val="16"/>
                  <w:szCs w:val="16"/>
                  <w:color w:val="0000FF"/>
                </w:rPr>
                <w:t>Fourth Amendment to Fifth Amended and Restated Series 2010-6 Supplement, dated as of January 12, 2024, by and among Avis Budget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Rental Car Funding (AESOP) LLC, as Issuer, Avis Budget Car Rental, LLC, as Administrator, JPMorgan Chase Bank, N.A.,as</w:t>
              </w:r>
            </w:hyperlink>
          </w:p>
        </w:tc>
        <w:tc>
          <w:tcPr>
            <w:tcW w:w="880" w:type="dxa"/>
            <w:vAlign w:val="bottom"/>
            <w:tcBorders>
              <w:top w:val="single" w:sz="8" w:color="0000FF"/>
            </w:tcBorders>
            <w:gridSpan w:val="25"/>
          </w:tcPr>
          <w:p>
            <w:pPr>
              <w:spacing w:after="0"/>
              <w:rPr>
                <w:sz w:val="12"/>
                <w:szCs w:val="12"/>
                <w:color w:val="auto"/>
              </w:rPr>
            </w:pPr>
          </w:p>
        </w:tc>
        <w:tc>
          <w:tcPr>
            <w:tcW w:w="160" w:type="dxa"/>
            <w:vAlign w:val="bottom"/>
            <w:tcBorders>
              <w:right w:val="single" w:sz="8" w:color="auto"/>
            </w:tcBorders>
            <w:gridSpan w:val="7"/>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right w:val="single" w:sz="8" w:color="auto"/>
            </w:tcBorders>
            <w:gridSpan w:val="46"/>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Administrative Agent, the Non-Conduit Purchasers, the CP Conduit Purchasers, the Committed Note Purchasers, the APA Banks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Funding Agents named therein and The Bank of New York Mellon Trust Company, N.A., as trustee and as Series 2010-6 Agent</w:t>
              </w:r>
            </w:hyperlink>
          </w:p>
        </w:tc>
        <w:tc>
          <w:tcPr>
            <w:tcW w:w="200" w:type="dxa"/>
            <w:vAlign w:val="bottom"/>
            <w:tcBorders>
              <w:right w:val="single" w:sz="8" w:color="auto"/>
            </w:tcBorders>
            <w:gridSpan w:val="9"/>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(Incorporated by reference to Exhibit 10.2 to the Company’s Current Report on Form 8-K dated January 18, 2024).</w:t>
              </w:r>
            </w:hyperlink>
          </w:p>
        </w:tc>
        <w:tc>
          <w:tcPr>
            <w:tcW w:w="960" w:type="dxa"/>
            <w:vAlign w:val="bottom"/>
            <w:tcBorders>
              <w:right w:val="single" w:sz="8" w:color="auto"/>
            </w:tcBorders>
            <w:gridSpan w:val="31"/>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720" w:type="dxa"/>
            <w:vAlign w:val="bottom"/>
            <w:tcBorders>
              <w:top w:val="single" w:sz="8" w:color="0000FF"/>
              <w:bottom w:val="single" w:sz="8" w:color="auto"/>
            </w:tcBorders>
          </w:tcPr>
          <w:p>
            <w:pPr>
              <w:spacing w:after="0" w:line="20" w:lineRule="exact"/>
              <w:rPr>
                <w:sz w:val="1"/>
                <w:szCs w:val="1"/>
                <w:color w:val="auto"/>
              </w:rPr>
            </w:pPr>
          </w:p>
        </w:tc>
        <w:tc>
          <w:tcPr>
            <w:tcW w:w="18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2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10.57</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80" w:type="dxa"/>
            <w:vAlign w:val="bottom"/>
            <w:tcBorders>
              <w:top w:val="single" w:sz="8" w:color="auto"/>
              <w:right w:val="single" w:sz="8" w:color="auto"/>
            </w:tcBorders>
            <w:gridSpan w:val="40"/>
          </w:tcPr>
          <w:p>
            <w:pPr>
              <w:spacing w:after="0"/>
              <w:rPr>
                <w:rFonts w:ascii="Arial" w:cs="Arial" w:eastAsia="Arial" w:hAnsi="Arial"/>
                <w:sz w:val="16"/>
                <w:szCs w:val="16"/>
                <w:color w:val="0000FF"/>
              </w:rPr>
            </w:pPr>
            <w:hyperlink r:id="rId237">
              <w:r>
                <w:rPr>
                  <w:rFonts w:ascii="Arial" w:cs="Arial" w:eastAsia="Arial" w:hAnsi="Arial"/>
                  <w:sz w:val="16"/>
                  <w:szCs w:val="16"/>
                  <w:color w:val="0000FF"/>
                </w:rPr>
                <w:t>Third Amended and Restated Series 2015-3 Supplement, dated as of April 14, 2022, by and among Avis Budget Rental Car Funding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(AESOP) LLC, as Issuer, Avis Budget Car Rental, LLC, as Administrator, JPMorgan Chase Bank, N.A., as Administrative Agent, the</w:t>
              </w:r>
            </w:hyperlink>
          </w:p>
        </w:tc>
        <w:tc>
          <w:tcPr>
            <w:tcW w:w="600" w:type="dxa"/>
            <w:vAlign w:val="bottom"/>
            <w:tcBorders>
              <w:right w:val="single" w:sz="8" w:color="auto"/>
            </w:tcBorders>
            <w:gridSpan w:val="22"/>
          </w:tcPr>
          <w:p>
            <w:pPr>
              <w:jc w:val="right"/>
              <w:ind w:right="260"/>
              <w:spacing w:after="0" w:line="142" w:lineRule="exact"/>
              <w:rPr>
                <w:rFonts w:ascii="Arial" w:cs="Arial" w:eastAsia="Arial" w:hAnsi="Arial"/>
                <w:sz w:val="16"/>
                <w:szCs w:val="16"/>
                <w:color w:val="0000FF"/>
                <w:w w:val="92"/>
              </w:rPr>
            </w:pPr>
            <w:hyperlink r:id="rId237">
              <w:r>
                <w:rPr>
                  <w:rFonts w:ascii="Arial" w:cs="Arial" w:eastAsia="Arial" w:hAnsi="Arial"/>
                  <w:sz w:val="16"/>
                  <w:szCs w:val="16"/>
                  <w:color w:val="0000FF"/>
                  <w:w w:val="92"/>
                </w:rPr>
                <w:t>Non-</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bottom w:val="single" w:sz="8" w:color="0000FF"/>
            </w:tcBorders>
            <w:gridSpan w:val="28"/>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Conduit Purchasers, the CP Conduit Purchasers, the Committed Note Purchasers, the APA Banks and the Funding Agents named therein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bottom w:val="single" w:sz="8" w:color="0000FF"/>
            </w:tcBorders>
            <w:gridSpan w:val="33"/>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and The Bank of New York Mellon Trust Company, N.A., as Trustee and as Series 2015-3 Agent (Incorporated by reference to Exhibit 10.3</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gridSpan w:val="38"/>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to the Company’s Current Report on Form 8-K, dated April 19, 2022).</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38">
              <w:r>
                <w:rPr>
                  <w:rFonts w:ascii="Arial" w:cs="Arial" w:eastAsia="Arial" w:hAnsi="Arial"/>
                  <w:sz w:val="16"/>
                  <w:szCs w:val="16"/>
                  <w:color w:val="0000FF"/>
                </w:rPr>
                <w:t>First Amendment to the Third Amended and Restated Series 2015-3 Supplement, dated as of March 30, 2023, by and among Avis Budget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Rental Car Funding (AESOP) LLC, as Issuer, Avis Budget Car Rental, LLC, as Administrator, JPMorgan Chase Bank, N.A., as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40"/>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Administrative Agent, the Non-Conduit Purchasers, the CP Conduit Purchasers, the Committed Note Purchasers, the APA Banks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Funding Agents named therein and The Bank of New York Mellon Trust Company, N.A., as Trustee and as Series 2015-3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(Incorporated by reference to Exhibit 10.2 to the Company’s Current Report on Form 8-K dated April 4, 2023).</w:t>
              </w:r>
            </w:hyperlink>
          </w:p>
        </w:tc>
        <w:tc>
          <w:tcPr>
            <w:tcW w:w="3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10.59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39">
              <w:r>
                <w:rPr>
                  <w:rFonts w:ascii="Arial" w:cs="Arial" w:eastAsia="Arial" w:hAnsi="Arial"/>
                  <w:sz w:val="16"/>
                  <w:szCs w:val="16"/>
                  <w:color w:val="0000FF"/>
                </w:rPr>
                <w:t>Second Amendment to the Third Amended and Restated Series 2015-3 Supplement, dated as of April 24, 2023, by and among Avis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Budget Rental Car Funding (AESOP) LLC, as Issuer, Avis Budget Car Rental, LLC, as Administrator, JPMorgan Chase Bank, N.A.,</w:t>
              </w:r>
            </w:hyperlink>
          </w:p>
        </w:tc>
        <w:tc>
          <w:tcPr>
            <w:tcW w:w="640" w:type="dxa"/>
            <w:vAlign w:val="bottom"/>
            <w:tcBorders>
              <w:right w:val="single" w:sz="8" w:color="auto"/>
            </w:tcBorders>
            <w:gridSpan w:val="23"/>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as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Administrative Agent, the Non-Conduit Purchasers, the CP Conduit Purchasers, the Committed Note Purchasers, the APA Banks and</w:t>
              </w:r>
            </w:hyperlink>
          </w:p>
        </w:tc>
        <w:tc>
          <w:tcPr>
            <w:tcW w:w="480" w:type="dxa"/>
            <w:vAlign w:val="bottom"/>
            <w:tcBorders>
              <w:right w:val="single" w:sz="8" w:color="auto"/>
            </w:tcBorders>
            <w:gridSpan w:val="19"/>
          </w:tcPr>
          <w:p>
            <w:pPr>
              <w:jc w:val="right"/>
              <w:ind w:right="260"/>
              <w:spacing w:after="0" w:line="142" w:lineRule="exact"/>
              <w:rPr>
                <w:rFonts w:ascii="Arial" w:cs="Arial" w:eastAsia="Arial" w:hAnsi="Arial"/>
                <w:sz w:val="16"/>
                <w:szCs w:val="16"/>
                <w:color w:val="0000FF"/>
                <w:w w:val="89"/>
              </w:rPr>
            </w:pPr>
            <w:hyperlink r:id="rId239">
              <w:r>
                <w:rPr>
                  <w:rFonts w:ascii="Arial" w:cs="Arial" w:eastAsia="Arial" w:hAnsi="Arial"/>
                  <w:sz w:val="16"/>
                  <w:szCs w:val="16"/>
                  <w:color w:val="0000FF"/>
                  <w:w w:val="89"/>
                </w:rPr>
                <w:t>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Funding Agents named therein and The Bank of New York Mellon Trust Company, N.A., as Trustee and as Series 2015-3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(Incorporated by reference to Exhibit 10.2 to the Company’s Current Report on Form 8-K dated April 28, 2023).</w:t>
              </w:r>
            </w:hyperlink>
          </w:p>
        </w:tc>
        <w:tc>
          <w:tcPr>
            <w:tcW w:w="4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40">
              <w:r>
                <w:rPr>
                  <w:rFonts w:ascii="Arial" w:cs="Arial" w:eastAsia="Arial" w:hAnsi="Arial"/>
                  <w:sz w:val="16"/>
                  <w:szCs w:val="16"/>
                  <w:color w:val="0000FF"/>
                </w:rPr>
                <w:t>Third Amendment to the Third Amended and Restated Series 2015-3 Supplement, dated as of November 3, 2023, by and among Avis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Budget Rental Car Funding (AESOP) LLC, as Issuer, Avis Budget Car Rental, LLC, as Administrator, JPMorgan Chase Bank, N.A., as</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Administrative Agent, the Non-Conduit Purchasers, the CP Conduit Purchasers, the Committed Note Purchasers, the APA Banks and</w:t>
              </w:r>
            </w:hyperlink>
          </w:p>
        </w:tc>
        <w:tc>
          <w:tcPr>
            <w:tcW w:w="480" w:type="dxa"/>
            <w:vAlign w:val="bottom"/>
            <w:tcBorders>
              <w:right w:val="single" w:sz="8" w:color="auto"/>
            </w:tcBorders>
            <w:gridSpan w:val="19"/>
          </w:tcPr>
          <w:p>
            <w:pPr>
              <w:jc w:val="right"/>
              <w:ind w:right="260"/>
              <w:spacing w:after="0" w:line="142" w:lineRule="exact"/>
              <w:rPr>
                <w:rFonts w:ascii="Arial" w:cs="Arial" w:eastAsia="Arial" w:hAnsi="Arial"/>
                <w:sz w:val="16"/>
                <w:szCs w:val="16"/>
                <w:color w:val="0000FF"/>
                <w:w w:val="89"/>
              </w:rPr>
            </w:pPr>
            <w:hyperlink r:id="rId240">
              <w:r>
                <w:rPr>
                  <w:rFonts w:ascii="Arial" w:cs="Arial" w:eastAsia="Arial" w:hAnsi="Arial"/>
                  <w:sz w:val="16"/>
                  <w:szCs w:val="16"/>
                  <w:color w:val="0000FF"/>
                  <w:w w:val="89"/>
                </w:rPr>
                <w:t>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Funding Agents named therein and The Bank of New York Mellon Trust Company, N.A., as Trustee and as Series 2015-3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40">
              <w:r>
                <w:rPr>
                  <w:rFonts w:ascii="Arial" w:cs="Arial" w:eastAsia="Arial" w:hAnsi="Arial"/>
                  <w:sz w:val="16"/>
                  <w:szCs w:val="16"/>
                  <w:color w:val="0000FF"/>
                </w:rPr>
                <w:t>(Incorporated by reference to Exhibit 10.2 to the Company’s Current Report on Form 8-K dated November 3, 2023).</w:t>
              </w:r>
            </w:hyperlink>
          </w:p>
        </w:tc>
        <w:tc>
          <w:tcPr>
            <w:tcW w:w="4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41">
              <w:r>
                <w:rPr>
                  <w:rFonts w:ascii="Arial" w:cs="Arial" w:eastAsia="Arial" w:hAnsi="Arial"/>
                  <w:sz w:val="16"/>
                  <w:szCs w:val="16"/>
                  <w:color w:val="0000FF"/>
                </w:rPr>
                <w:t>Fourth Amendment to Third Amended and Restated Series 2015-3 Supplement, dated as of January 12, 2024, by and among Avis Budget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Rental Car Funding (AESOP) LLC, as Issuer, Avis Budget Car Rental, LLC, as Administrator, JPMorgan Chase Bank, N.A.,as</w:t>
              </w:r>
            </w:hyperlink>
          </w:p>
        </w:tc>
        <w:tc>
          <w:tcPr>
            <w:tcW w:w="9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40"/>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Administrative Agent, the Non-Conduit Purchasers, the CP Conduit Purchasers, the Committed Note Purchasers, the APA Banks and the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Funding Agents named therein and The Bank of New York Mellon Trust Company, N.A., as trustee and as Series 2015-3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(Incorporated by reference to Exhibit 10.3 to the Company’s Current Report on Form 8-K dated January 18, 2024).</w:t>
              </w:r>
            </w:hyperlink>
          </w:p>
        </w:tc>
        <w:tc>
          <w:tcPr>
            <w:tcW w:w="4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42">
              <w:r>
                <w:rPr>
                  <w:rFonts w:ascii="Arial" w:cs="Arial" w:eastAsia="Arial" w:hAnsi="Arial"/>
                  <w:sz w:val="16"/>
                  <w:szCs w:val="16"/>
                  <w:color w:val="0000FF"/>
                </w:rPr>
                <w:t>Amended and Restated Series 2018-2 Supplement, dated as of June 18, 2021, between Avis Budget Rental Car Funding (AESOP) LLC</w:t>
              </w:r>
            </w:hyperlink>
          </w:p>
        </w:tc>
        <w:tc>
          <w:tcPr>
            <w:tcW w:w="340" w:type="dxa"/>
            <w:vAlign w:val="bottom"/>
            <w:tcBorders>
              <w:right w:val="single" w:sz="8" w:color="auto"/>
            </w:tcBorders>
            <w:gridSpan w:val="1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40"/>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and The Bank of New York Mellon Trust Company, N.A., as trustee and as Series 2018-2 Agent (Incorporated by reference to Exhibit 10.1</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to the Company’s Current Report on Form 8-K, dated June 23, 2021).</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43">
              <w:r>
                <w:rPr>
                  <w:rFonts w:ascii="Arial" w:cs="Arial" w:eastAsia="Arial" w:hAnsi="Arial"/>
                  <w:sz w:val="16"/>
                  <w:szCs w:val="16"/>
                  <w:color w:val="0000FF"/>
                </w:rPr>
                <w:t>Amended and Restated Series 2019-2 Supplement, dated as of June 18, 2021, between Avis Budget Rental Car Funding (AESOP) LLC</w:t>
              </w:r>
            </w:hyperlink>
          </w:p>
        </w:tc>
        <w:tc>
          <w:tcPr>
            <w:tcW w:w="340" w:type="dxa"/>
            <w:vAlign w:val="bottom"/>
            <w:tcBorders>
              <w:right w:val="single" w:sz="8" w:color="auto"/>
            </w:tcBorders>
            <w:gridSpan w:val="1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40"/>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and The Bank of New York Mellon Trust Company, N.A., as trustee and as Series 2019-2 Agent (Incorporated by reference to Exhibit 10.2</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to the Company’s Current Report on Form 8-K dated June 23, 2021).</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44">
              <w:r>
                <w:rPr>
                  <w:rFonts w:ascii="Arial" w:cs="Arial" w:eastAsia="Arial" w:hAnsi="Arial"/>
                  <w:sz w:val="16"/>
                  <w:szCs w:val="16"/>
                  <w:color w:val="0000FF"/>
                </w:rPr>
                <w:t>Amended and Restated Series 2019-3 Supplement, dated as of May 26, 2022, between Avis Budget Rental Car Funding (AESOP) LLC</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and The Bank of New York Mellon Trust Company, N.A., as trustee and Series 2019-3 Agent (Incorporated by reference to Exhibit 10.2</w:t>
              </w:r>
            </w:hyperlink>
          </w:p>
        </w:tc>
        <w:tc>
          <w:tcPr>
            <w:tcW w:w="380" w:type="dxa"/>
            <w:vAlign w:val="bottom"/>
            <w:tcBorders>
              <w:right w:val="single" w:sz="8" w:color="auto"/>
            </w:tcBorders>
            <w:gridSpan w:val="16"/>
          </w:tcPr>
          <w:p>
            <w:pPr>
              <w:jc w:val="right"/>
              <w:ind w:right="260"/>
              <w:spacing w:after="0" w:line="142" w:lineRule="exact"/>
              <w:rPr>
                <w:rFonts w:ascii="Arial" w:cs="Arial" w:eastAsia="Arial" w:hAnsi="Arial"/>
                <w:sz w:val="16"/>
                <w:szCs w:val="16"/>
                <w:color w:val="0000FF"/>
                <w:w w:val="74"/>
              </w:rPr>
            </w:pPr>
            <w:hyperlink r:id="rId244">
              <w:r>
                <w:rPr>
                  <w:rFonts w:ascii="Arial" w:cs="Arial" w:eastAsia="Arial" w:hAnsi="Arial"/>
                  <w:sz w:val="16"/>
                  <w:szCs w:val="16"/>
                  <w:color w:val="0000FF"/>
                  <w:w w:val="74"/>
                </w:rPr>
                <w:t>to</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the Company’s Current Report on Form 8-K, dated June 10, 2022).</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bottom w:val="single" w:sz="8" w:color="0000FF"/>
            </w:tcBorders>
            <w:gridSpan w:val="26"/>
          </w:tcPr>
          <w:p>
            <w:pPr>
              <w:spacing w:after="0" w:line="169" w:lineRule="exact"/>
              <w:rPr>
                <w:rFonts w:ascii="Arial" w:cs="Arial" w:eastAsia="Arial" w:hAnsi="Arial"/>
                <w:sz w:val="16"/>
                <w:szCs w:val="16"/>
                <w:color w:val="0000FF"/>
              </w:rPr>
            </w:pPr>
            <w:hyperlink r:id="rId245">
              <w:r>
                <w:rPr>
                  <w:rFonts w:ascii="Arial" w:cs="Arial" w:eastAsia="Arial" w:hAnsi="Arial"/>
                  <w:sz w:val="16"/>
                  <w:szCs w:val="16"/>
                  <w:color w:val="0000FF"/>
                </w:rPr>
                <w:t>Amended and Restated Series 2020-1 Supplement, dated as of June 18, 2021, between Avis Budget Rental Car Funding (AESOP) LLC</w:t>
              </w:r>
            </w:hyperlink>
          </w:p>
        </w:tc>
        <w:tc>
          <w:tcPr>
            <w:tcW w:w="340" w:type="dxa"/>
            <w:vAlign w:val="bottom"/>
            <w:tcBorders>
              <w:right w:val="single" w:sz="8" w:color="auto"/>
            </w:tcBorders>
            <w:gridSpan w:val="14"/>
          </w:tcPr>
          <w:p>
            <w:pPr>
              <w:spacing w:after="0"/>
              <w:rPr>
                <w:sz w:val="14"/>
                <w:szCs w:val="14"/>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40"/>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and The Bank of New York Mellon Trust Company, N.A., as trustee and as Series 2020-1 Agent. (Incorporated by reference to Exhibit 10.3</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to the Company’s Current Report on Form 8-K, dated June 23, 2021).</w:t>
              </w:r>
            </w:hyperlink>
          </w:p>
        </w:tc>
        <w:tc>
          <w:tcPr>
            <w:tcW w:w="40" w:type="dxa"/>
            <w:vAlign w:val="bottom"/>
            <w:gridSpan w:val="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46">
              <w:r>
                <w:rPr>
                  <w:rFonts w:ascii="Arial" w:cs="Arial" w:eastAsia="Arial" w:hAnsi="Arial"/>
                  <w:sz w:val="16"/>
                  <w:szCs w:val="16"/>
                  <w:color w:val="0000FF"/>
                </w:rPr>
                <w:t>Series 2020-2 Supplement, dated as of August 12, 2020,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York Mellon Trust Company, N.A., as trustee and as Series 2020-2 Agent (Incorporated by reference to Exhibit 10.1 to the Company's</w:t>
              </w:r>
            </w:hyperlink>
          </w:p>
        </w:tc>
        <w:tc>
          <w:tcPr>
            <w:tcW w:w="40" w:type="dxa"/>
            <w:vAlign w:val="bottom"/>
          </w:tcPr>
          <w:p>
            <w:pPr>
              <w:spacing w:after="0"/>
              <w:rPr>
                <w:sz w:val="12"/>
                <w:szCs w:val="12"/>
                <w:color w:val="auto"/>
              </w:rPr>
            </w:pPr>
          </w:p>
        </w:tc>
        <w:tc>
          <w:tcPr>
            <w:tcW w:w="12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Current Report on Form 8-K, dated August 14, 2020).</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47">
              <w:r>
                <w:rPr>
                  <w:rFonts w:ascii="Arial" w:cs="Arial" w:eastAsia="Arial" w:hAnsi="Arial"/>
                  <w:sz w:val="16"/>
                  <w:szCs w:val="16"/>
                  <w:color w:val="0000FF"/>
                </w:rPr>
                <w:t>Series 2021-1 Supplement dated as of May 18, 2021,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Mellon Trust Company, N.A., as trustee and Series 2021-1 Agent (Incorporated by reference to Exhibit 10.1 to the Company’s Current</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47">
              <w:r>
                <w:rPr>
                  <w:rFonts w:ascii="Arial" w:cs="Arial" w:eastAsia="Arial" w:hAnsi="Arial"/>
                  <w:sz w:val="16"/>
                  <w:szCs w:val="16"/>
                  <w:color w:val="0000FF"/>
                </w:rPr>
                <w:t>Report on Form 8-K, dated May 21, 2021).</w:t>
              </w:r>
            </w:hyperlink>
          </w:p>
        </w:tc>
        <w:tc>
          <w:tcPr>
            <w:tcW w:w="6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80" w:type="dxa"/>
            <w:vAlign w:val="bottom"/>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48">
              <w:r>
                <w:rPr>
                  <w:rFonts w:ascii="Arial" w:cs="Arial" w:eastAsia="Arial" w:hAnsi="Arial"/>
                  <w:sz w:val="16"/>
                  <w:szCs w:val="16"/>
                  <w:color w:val="0000FF"/>
                </w:rPr>
                <w:t>Series 2021-2 Supplement, dated as of November 17, 2021, between Avis Budget Rental Car Funding (AESOP) LLC and The Bank of</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New York Mellon Trust Company, N.A., as trustee and Series 2021-2 Agent (incorporated by reference to Exhibit 10.1 to the Company's</w:t>
              </w:r>
            </w:hyperlink>
          </w:p>
        </w:tc>
        <w:tc>
          <w:tcPr>
            <w:tcW w:w="80" w:type="dxa"/>
            <w:vAlign w:val="bottom"/>
            <w:tcBorders>
              <w:bottom w:val="single" w:sz="8" w:color="0000FF"/>
            </w:tcBorders>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80" w:type="dxa"/>
            <w:vAlign w:val="bottom"/>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gridSpan w:val="25"/>
          </w:tcPr>
          <w:p>
            <w:pPr>
              <w:spacing w:after="0" w:line="142" w:lineRule="exact"/>
              <w:rPr>
                <w:rFonts w:ascii="Arial" w:cs="Arial" w:eastAsia="Arial" w:hAnsi="Arial"/>
                <w:sz w:val="16"/>
                <w:szCs w:val="16"/>
                <w:color w:val="0000FF"/>
              </w:rPr>
            </w:pPr>
            <w:hyperlink r:id="rId248">
              <w:r>
                <w:rPr>
                  <w:rFonts w:ascii="Arial" w:cs="Arial" w:eastAsia="Arial" w:hAnsi="Arial"/>
                  <w:sz w:val="16"/>
                  <w:szCs w:val="16"/>
                  <w:color w:val="0000FF"/>
                </w:rPr>
                <w:t>Current Report on Form 8-K, dated November 19, 2021).</w:t>
              </w:r>
            </w:hyperlink>
          </w:p>
        </w:tc>
        <w:tc>
          <w:tcPr>
            <w:tcW w:w="60" w:type="dxa"/>
            <w:vAlign w:val="bottom"/>
            <w:gridSpan w:val="2"/>
          </w:tcPr>
          <w:p>
            <w:pPr>
              <w:spacing w:after="0"/>
              <w:rPr>
                <w:sz w:val="12"/>
                <w:szCs w:val="12"/>
                <w:color w:val="auto"/>
              </w:rPr>
            </w:pPr>
          </w:p>
        </w:tc>
        <w:tc>
          <w:tcPr>
            <w:tcW w:w="180" w:type="dxa"/>
            <w:vAlign w:val="bottom"/>
            <w:gridSpan w:val="8"/>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10.69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49">
              <w:r>
                <w:rPr>
                  <w:rFonts w:ascii="Arial" w:cs="Arial" w:eastAsia="Arial" w:hAnsi="Arial"/>
                  <w:sz w:val="16"/>
                  <w:szCs w:val="16"/>
                  <w:color w:val="0000FF"/>
                </w:rPr>
                <w:t>Series 2022-1 Supplement, dated as of April 14, 2022,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Mellon Trust Company, N.A., as trustee and Series 2022-1 Agent (Incorporated by reference to Exhibit 10.1 to the Company’s Current</w:t>
              </w:r>
            </w:hyperlink>
          </w:p>
        </w:tc>
        <w:tc>
          <w:tcPr>
            <w:tcW w:w="4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49">
              <w:r>
                <w:rPr>
                  <w:rFonts w:ascii="Arial" w:cs="Arial" w:eastAsia="Arial" w:hAnsi="Arial"/>
                  <w:sz w:val="16"/>
                  <w:szCs w:val="16"/>
                  <w:color w:val="0000FF"/>
                </w:rPr>
                <w:t>Report on Form 8-K, dated April 19, 2022).</w:t>
              </w:r>
            </w:hyperlink>
          </w:p>
        </w:tc>
        <w:tc>
          <w:tcPr>
            <w:tcW w:w="200" w:type="dxa"/>
            <w:vAlign w:val="bottom"/>
            <w:gridSpan w:val="7"/>
          </w:tcPr>
          <w:p>
            <w:pPr>
              <w:spacing w:after="0"/>
              <w:rPr>
                <w:sz w:val="12"/>
                <w:szCs w:val="12"/>
                <w:color w:val="auto"/>
              </w:rPr>
            </w:pPr>
          </w:p>
        </w:tc>
        <w:tc>
          <w:tcPr>
            <w:tcW w:w="180" w:type="dxa"/>
            <w:vAlign w:val="bottom"/>
            <w:gridSpan w:val="8"/>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50">
              <w:r>
                <w:rPr>
                  <w:rFonts w:ascii="Arial" w:cs="Arial" w:eastAsia="Arial" w:hAnsi="Arial"/>
                  <w:sz w:val="16"/>
                  <w:szCs w:val="16"/>
                  <w:color w:val="0000FF"/>
                </w:rPr>
                <w:t>Series 2022-3 Supplement, dated as of July 21, 2022,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Mellon Trust Company, N.A., as trustee and as Series 2022-3 Agent (Incorporated by reference to Exhibit 10.1 to the Company’s Current</w:t>
              </w:r>
            </w:hyperlink>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Report on Form 8-K, dated July 22, 2022).</w:t>
              </w:r>
            </w:hyperlink>
          </w:p>
        </w:tc>
        <w:tc>
          <w:tcPr>
            <w:tcW w:w="300" w:type="dxa"/>
            <w:vAlign w:val="bottom"/>
            <w:tcBorders>
              <w:right w:val="single" w:sz="8" w:color="auto"/>
            </w:tcBorders>
            <w:gridSpan w:val="1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40"/>
          </w:tcPr>
          <w:p>
            <w:pPr>
              <w:spacing w:after="0" w:line="169" w:lineRule="exact"/>
              <w:rPr>
                <w:rFonts w:ascii="Arial" w:cs="Arial" w:eastAsia="Arial" w:hAnsi="Arial"/>
                <w:sz w:val="16"/>
                <w:szCs w:val="16"/>
                <w:color w:val="0000FF"/>
              </w:rPr>
            </w:pPr>
            <w:hyperlink r:id="rId251">
              <w:r>
                <w:rPr>
                  <w:rFonts w:ascii="Arial" w:cs="Arial" w:eastAsia="Arial" w:hAnsi="Arial"/>
                  <w:sz w:val="16"/>
                  <w:szCs w:val="16"/>
                  <w:color w:val="0000FF"/>
                </w:rPr>
                <w:t>Series 2022-4 Supplement, dated as of July 21, 2022,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Mellon Trust Company, N.A., as trustee and Series 2022-4 Agent (Incorporated by reference to Exhibit 10.2 to the Company’s Current</w:t>
              </w:r>
            </w:hyperlink>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Report on Form 8-K, dated July 22, 2022).</w:t>
              </w:r>
            </w:hyperlink>
          </w:p>
        </w:tc>
        <w:tc>
          <w:tcPr>
            <w:tcW w:w="500" w:type="dxa"/>
            <w:vAlign w:val="bottom"/>
            <w:tcBorders>
              <w:right w:val="single" w:sz="8" w:color="auto"/>
            </w:tcBorders>
            <w:gridSpan w:val="20"/>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jc w:val="right"/>
              <w:ind w:right="619"/>
              <w:spacing w:after="0"/>
              <w:rPr>
                <w:sz w:val="20"/>
                <w:szCs w:val="20"/>
                <w:color w:val="auto"/>
              </w:rPr>
            </w:pPr>
            <w:r>
              <w:rPr>
                <w:rFonts w:ascii="Arial" w:cs="Arial" w:eastAsia="Arial" w:hAnsi="Arial"/>
                <w:sz w:val="16"/>
                <w:szCs w:val="16"/>
                <w:color w:val="auto"/>
              </w:rPr>
              <w:t>10.72</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60" w:type="dxa"/>
            <w:vAlign w:val="bottom"/>
            <w:tcBorders>
              <w:top w:val="single" w:sz="8" w:color="auto"/>
              <w:bottom w:val="single" w:sz="8" w:color="0000FF"/>
            </w:tcBorders>
            <w:gridSpan w:val="19"/>
          </w:tcPr>
          <w:p>
            <w:pPr>
              <w:spacing w:after="0"/>
              <w:rPr>
                <w:rFonts w:ascii="Arial" w:cs="Arial" w:eastAsia="Arial" w:hAnsi="Arial"/>
                <w:sz w:val="16"/>
                <w:szCs w:val="16"/>
                <w:color w:val="0000FF"/>
              </w:rPr>
            </w:pPr>
            <w:hyperlink r:id="rId253">
              <w:r>
                <w:rPr>
                  <w:rFonts w:ascii="Arial" w:cs="Arial" w:eastAsia="Arial" w:hAnsi="Arial"/>
                  <w:sz w:val="16"/>
                  <w:szCs w:val="16"/>
                  <w:color w:val="0000FF"/>
                </w:rPr>
                <w:t>Series 2022-5 Supplement, dated as of November 29, 2022, between Avis Budget Rental Car Funding (AESOP) LLC and The Bank of</w:t>
              </w:r>
            </w:hyperlink>
          </w:p>
        </w:tc>
        <w:tc>
          <w:tcPr>
            <w:tcW w:w="420" w:type="dxa"/>
            <w:vAlign w:val="bottom"/>
            <w:tcBorders>
              <w:top w:val="single" w:sz="8" w:color="auto"/>
              <w:right w:val="single" w:sz="8" w:color="auto"/>
            </w:tcBorders>
            <w:gridSpan w:val="15"/>
          </w:tcPr>
          <w:p>
            <w:pPr>
              <w:spacing w:after="0"/>
              <w:rPr>
                <w:sz w:val="16"/>
                <w:szCs w:val="16"/>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34"/>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New York Mellon Trust Company, N.A., as trustee and as Series 2022-5 Agent (Incorporated by reference to Exhibit 10.1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Current Report on Form 8-K, dated December 2, 2022).</w:t>
              </w:r>
            </w:hyperlink>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54">
              <w:r>
                <w:rPr>
                  <w:rFonts w:ascii="Arial" w:cs="Arial" w:eastAsia="Arial" w:hAnsi="Arial"/>
                  <w:sz w:val="16"/>
                  <w:szCs w:val="16"/>
                  <w:color w:val="0000FF"/>
                </w:rPr>
                <w:t>Series 2023-1 Supplement, dated as of January 17, 2023,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York Mellon Trust Company, N.A., as trustee and as Series 2023-1 Agent (incorporated by reference to Exhibit 10.1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Current Report on Form 8-K dated January 20,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55">
              <w:r>
                <w:rPr>
                  <w:rFonts w:ascii="Arial" w:cs="Arial" w:eastAsia="Arial" w:hAnsi="Arial"/>
                  <w:sz w:val="16"/>
                  <w:szCs w:val="16"/>
                  <w:color w:val="0000FF"/>
                </w:rPr>
                <w:t>Series 2023-2 Supplement, dated as of January 17, 2023,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York Mellon Trust Company, N.A., as trustee and as Series 2023-2 Agent (incorporated by reference to Exhibit 10.2 to the Company's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Current Report on Form 8-K dated January 20,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Series 2023-3 Supplement, dated as of April 6, 2023,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Mellon Trust Company, N.A., as trustee and as Series 2023-3 Agent (Incorporated by reference to Exhibit 10.1 to the Company’s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56">
              <w:r>
                <w:rPr>
                  <w:rFonts w:ascii="Arial" w:cs="Arial" w:eastAsia="Arial" w:hAnsi="Arial"/>
                  <w:sz w:val="16"/>
                  <w:szCs w:val="16"/>
                  <w:color w:val="0000FF"/>
                </w:rPr>
                <w:t>Report on Form 8-K dated April 11, 2023).</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57">
              <w:r>
                <w:rPr>
                  <w:rFonts w:ascii="Arial" w:cs="Arial" w:eastAsia="Arial" w:hAnsi="Arial"/>
                  <w:sz w:val="16"/>
                  <w:szCs w:val="16"/>
                  <w:color w:val="0000FF"/>
                </w:rPr>
                <w:t>Series 2023-4 Supplement, dated as of April 6, 2023,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Mellon Trust Company, N.A., as trustee and as Series 2023-4 Agent (Incorporated by reference to Exhibit 10.2 to the Company’s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Report on Form 8-K dated April 11, 2023).</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58">
              <w:r>
                <w:rPr>
                  <w:rFonts w:ascii="Arial" w:cs="Arial" w:eastAsia="Arial" w:hAnsi="Arial"/>
                  <w:sz w:val="16"/>
                  <w:szCs w:val="16"/>
                  <w:color w:val="0000FF"/>
                </w:rPr>
                <w:t>Series 2023-5 Supplement, dated as of June 1, 2023,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Mellon Trust Company, N.A., as trustee and as Series 2023-5 Agent (Incorporated by reference to Exhibit 10.1 to the Company’s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58">
              <w:r>
                <w:rPr>
                  <w:rFonts w:ascii="Arial" w:cs="Arial" w:eastAsia="Arial" w:hAnsi="Arial"/>
                  <w:sz w:val="16"/>
                  <w:szCs w:val="16"/>
                  <w:color w:val="0000FF"/>
                </w:rPr>
                <w:t>Report on Form 8-K dated June 6, 2023).</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10.78</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59">
              <w:r>
                <w:rPr>
                  <w:rFonts w:ascii="Arial" w:cs="Arial" w:eastAsia="Arial" w:hAnsi="Arial"/>
                  <w:sz w:val="16"/>
                  <w:szCs w:val="16"/>
                  <w:color w:val="0000FF"/>
                </w:rPr>
                <w:t>Series 2023-6 Supplement, dated as of June 1, 2023, between Avis Budget Rental Car Funding (AESOP) LLC and The Bank of New York</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Mellon Trust Company, N.A., as trustee and as Series 2023-6 Agent (Incorporated by reference to Exhibit 10.2 to the Company’s Current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259">
              <w:r>
                <w:rPr>
                  <w:rFonts w:ascii="Arial" w:cs="Arial" w:eastAsia="Arial" w:hAnsi="Arial"/>
                  <w:sz w:val="16"/>
                  <w:szCs w:val="16"/>
                  <w:color w:val="0000FF"/>
                </w:rPr>
                <w:t>Report on Form 8-K dated June 6, 2023).</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10.79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0">
              <w:r>
                <w:rPr>
                  <w:rFonts w:ascii="Arial" w:cs="Arial" w:eastAsia="Arial" w:hAnsi="Arial"/>
                  <w:sz w:val="16"/>
                  <w:szCs w:val="16"/>
                  <w:color w:val="0000FF"/>
                </w:rPr>
                <w:t>Series 2023-7 Supplement, dated as of September 18, 2023, between Avis Budget Rental Car Funding (AESOP) LLC and The Bank of</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34"/>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New York Mellon Trust Company, N.A., as trustee and as Series 2023-7 Agent (Incorporated by reference to Exhibit 10.1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60">
              <w:r>
                <w:rPr>
                  <w:rFonts w:ascii="Arial" w:cs="Arial" w:eastAsia="Arial" w:hAnsi="Arial"/>
                  <w:sz w:val="16"/>
                  <w:szCs w:val="16"/>
                  <w:color w:val="0000FF"/>
                </w:rPr>
                <w:t>Current Report on Form 8-K dated September 21, 2023).</w:t>
              </w:r>
            </w:hyperlink>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10.80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1">
              <w:r>
                <w:rPr>
                  <w:rFonts w:ascii="Arial" w:cs="Arial" w:eastAsia="Arial" w:hAnsi="Arial"/>
                  <w:sz w:val="16"/>
                  <w:szCs w:val="16"/>
                  <w:color w:val="0000FF"/>
                </w:rPr>
                <w:t>Series 2023-8 Supplement, dated as of September 18, 2023, between Avis Budget Rental Car Funding (AESOP) LLC and The Bank of</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34"/>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New York Mellon Trust Company, N.A., as trustee and as Series 2023-8 Agent (Incorporated by reference to Exhibit 10.2 to the Company’s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Current Report on Form 8-K dated September 21, 2023).</w:t>
              </w:r>
            </w:hyperlink>
          </w:p>
        </w:tc>
        <w:tc>
          <w:tcPr>
            <w:tcW w:w="4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10.81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2">
              <w:r>
                <w:rPr>
                  <w:rFonts w:ascii="Arial" w:cs="Arial" w:eastAsia="Arial" w:hAnsi="Arial"/>
                  <w:sz w:val="16"/>
                  <w:szCs w:val="16"/>
                  <w:color w:val="0000FF"/>
                </w:rPr>
                <w:t>Series 2024-1 Supplement, dated as of January 12, 2024, between Avis Budget Rental Car Funding (AESOP) LLC and The Bank of New</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York Mellon Trust Company, N.A., as trustee and as Series 2024-1 Agent (Incorporated by reference to Exhibit 10.1 to the Company’s</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Current Report on Form 8-K dated January 18,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10.82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3">
              <w:r>
                <w:rPr>
                  <w:rFonts w:ascii="Arial" w:cs="Arial" w:eastAsia="Arial" w:hAnsi="Arial"/>
                  <w:sz w:val="16"/>
                  <w:szCs w:val="16"/>
                  <w:color w:val="0000FF"/>
                </w:rPr>
                <w:t>Sixth Amended and Restated Credit Agreement, dated as of July 9, 2021, among Avis Budget Holdings, LLC, Avis Budget Car Rental,</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LLC, Avis Budget Group, Inc., the subsidiary borrowers from time to time party thereto, the financial institutions from time to time party</w:t>
              </w:r>
            </w:hyperlink>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34"/>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thereto JPMorgan Chase Bank, N.A., as Administrative Agent (incorporated by reference to Exhibit 10.1 to the Company’s Current Report</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on Form 8-K, dated July 13,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10.83</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4">
              <w:r>
                <w:rPr>
                  <w:rFonts w:ascii="Arial" w:cs="Arial" w:eastAsia="Arial" w:hAnsi="Arial"/>
                  <w:sz w:val="16"/>
                  <w:szCs w:val="16"/>
                  <w:color w:val="0000FF"/>
                </w:rPr>
                <w:t>First Amendment, dated as of March 16, 2022, to the Sixth Amended and Restated Credit Agreement, dated as of July 9, 2021, among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Avis Budget Holdings, LLC, Avis Budget Car Rental, LLC, Avis Budget Group, Inc., the subsidiary borrowers from time to time party</w:t>
              </w:r>
            </w:hyperlink>
          </w:p>
        </w:tc>
        <w:tc>
          <w:tcPr>
            <w:tcW w:w="1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gridSpan w:val="2"/>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34"/>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thereto, the financial institutions from time to time party thereto and JPMorgan Chase Bank, N.A., as Administrative Agent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reference to Exhibit 10.2 to the Company’s Current Report on Form 8-K, dated March 25, 2022).</w:t>
              </w:r>
            </w:hyperlink>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80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10.84</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5">
              <w:r>
                <w:rPr>
                  <w:rFonts w:ascii="Arial" w:cs="Arial" w:eastAsia="Arial" w:hAnsi="Arial"/>
                  <w:sz w:val="16"/>
                  <w:szCs w:val="16"/>
                  <w:color w:val="0000FF"/>
                </w:rPr>
                <w:t>Second Amendment, dated as of March 24, 2022, to the Sixth Amended and Restated Credit Agreement, dated as of July 9, 2021, among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Avis Budget Holdings, LLC, Avis Budget Car Rental, LLC, Avis Budget Group, Inc., the subsidiary borrowers from time to time party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5360" w:type="dxa"/>
            <w:vAlign w:val="bottom"/>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gridSpan w:val="3"/>
          </w:tcPr>
          <w:p>
            <w:pPr>
              <w:spacing w:after="0" w:line="20" w:lineRule="exact"/>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34"/>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thereto, the financial institutions from time to time party thereto and JPMorgan Chase Bank, N.A., as Administrative Agent (Incorporated by</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reference to Exhibit 10.1 to the Company’s Current Report on Form 8-K, dated March 25, 2022).</w:t>
              </w:r>
            </w:hyperlink>
          </w:p>
        </w:tc>
        <w:tc>
          <w:tcPr>
            <w:tcW w:w="60" w:type="dxa"/>
            <w:vAlign w:val="bottom"/>
            <w:tcBorders>
              <w:right w:val="single" w:sz="8" w:color="auto"/>
            </w:tcBorders>
            <w:gridSpan w:val="2"/>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80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10.85</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6">
              <w:r>
                <w:rPr>
                  <w:rFonts w:ascii="Arial" w:cs="Arial" w:eastAsia="Arial" w:hAnsi="Arial"/>
                  <w:sz w:val="16"/>
                  <w:szCs w:val="16"/>
                  <w:color w:val="0000FF"/>
                </w:rPr>
                <w:t>Third Amendment, dated as of July 28, 2022, to the Sixth Amended and Restated Credit Agreement, dated as of July 9, 2021, among Avis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Budget Holdings, LLC, Avis Budget Car Rental, LLC, as borrower, Avis Budget Group, Inc., the subsidiary borrowers from time to time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party thereto, the lenders from time to time party thereto, JPMorgan Chase Bank, N.A., as Administrative Agent, and the other parties</w:t>
              </w:r>
            </w:hyperlink>
          </w:p>
        </w:tc>
        <w:tc>
          <w:tcPr>
            <w:tcW w:w="220" w:type="dxa"/>
            <w:vAlign w:val="bottom"/>
            <w:gridSpan w:val="5"/>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thereto (Incorporated by reference to Exhibit 10.1 to the Company’s Quarterly Report on Form 10-Q for the quarterly period ended</w:t>
              </w:r>
            </w:hyperlink>
          </w:p>
        </w:tc>
        <w:tc>
          <w:tcPr>
            <w:tcW w:w="280" w:type="dxa"/>
            <w:vAlign w:val="bottom"/>
            <w:gridSpan w:val="8"/>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September 30, 2022, dated November 1, 2022).</w:t>
              </w:r>
            </w:hyperlink>
          </w:p>
        </w:tc>
        <w:tc>
          <w:tcPr>
            <w:tcW w:w="500" w:type="dxa"/>
            <w:vAlign w:val="bottom"/>
            <w:gridSpan w:val="10"/>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10.86</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7">
              <w:r>
                <w:rPr>
                  <w:rFonts w:ascii="Arial" w:cs="Arial" w:eastAsia="Arial" w:hAnsi="Arial"/>
                  <w:sz w:val="16"/>
                  <w:szCs w:val="16"/>
                  <w:color w:val="0000FF"/>
                </w:rPr>
                <w:t>Fourth Amendment, dated as of February 6, 2023, to the Sixth Amended and Restated Credit Agreement, dated as of July 9, 2021, among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bottom w:val="single" w:sz="8" w:color="0000FF"/>
            </w:tcBorders>
            <w:gridSpan w:val="30"/>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Avis Budget Holdings, LLC, Avis Budget Car Rental, LLC, as borrower, Avis Budget Group, Inc., the subsidiary borrowers from time to time</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31"/>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party thereto, the lenders from time to time party thereto and JPMorgan Chase Bank, N.A., as Administrative Agent, and the other parties</w:t>
              </w:r>
            </w:hyperlink>
          </w:p>
        </w:tc>
        <w:tc>
          <w:tcPr>
            <w:tcW w:w="80" w:type="dxa"/>
            <w:vAlign w:val="bottom"/>
            <w:tcBorders>
              <w:right w:val="single" w:sz="8" w:color="auto"/>
            </w:tcBorders>
            <w:gridSpan w:val="3"/>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w w:val="99"/>
              </w:rPr>
            </w:pPr>
            <w:hyperlink r:id="rId267">
              <w:r>
                <w:rPr>
                  <w:rFonts w:ascii="Arial" w:cs="Arial" w:eastAsia="Arial" w:hAnsi="Arial"/>
                  <w:sz w:val="16"/>
                  <w:szCs w:val="16"/>
                  <w:color w:val="0000FF"/>
                  <w:w w:val="99"/>
                </w:rPr>
                <w:t>thereto (incorporated by reference to Exhibit 10.76 to the Company’s Annual Report on Form 10-K for the year ended December 31, 2022,</w:t>
              </w:r>
            </w:hyperlink>
          </w:p>
        </w:tc>
        <w:tc>
          <w:tcPr>
            <w:tcW w:w="100" w:type="dxa"/>
            <w:vAlign w:val="bottom"/>
            <w:tcBorders>
              <w:bottom w:val="single" w:sz="8" w:color="0000FF"/>
            </w:tcBorders>
            <w:gridSpan w:val="5"/>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120" w:type="dxa"/>
            <w:vAlign w:val="bottom"/>
            <w:tcBorders>
              <w:right w:val="single" w:sz="8" w:color="auto"/>
            </w:tcBorders>
            <w:gridSpan w:val="5"/>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gridSpan w:val="29"/>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dated February 16, 2023).</w:t>
              </w:r>
            </w:hyperlink>
          </w:p>
        </w:tc>
        <w:tc>
          <w:tcPr>
            <w:tcW w:w="120" w:type="dxa"/>
            <w:vAlign w:val="bottom"/>
            <w:tcBorders>
              <w:right w:val="single" w:sz="8" w:color="auto"/>
            </w:tcBorders>
            <w:gridSpan w:val="5"/>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jc w:val="right"/>
              <w:ind w:right="619"/>
              <w:spacing w:after="0" w:line="169" w:lineRule="exact"/>
              <w:rPr>
                <w:sz w:val="20"/>
                <w:szCs w:val="20"/>
                <w:color w:val="auto"/>
              </w:rPr>
            </w:pPr>
            <w:r>
              <w:rPr>
                <w:rFonts w:ascii="Arial" w:cs="Arial" w:eastAsia="Arial" w:hAnsi="Arial"/>
                <w:sz w:val="16"/>
                <w:szCs w:val="16"/>
                <w:color w:val="auto"/>
              </w:rPr>
              <w:t>10.87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tcBorders>
              <w:right w:val="single" w:sz="8" w:color="auto"/>
            </w:tcBorders>
            <w:gridSpan w:val="34"/>
          </w:tcPr>
          <w:p>
            <w:pPr>
              <w:spacing w:after="0" w:line="169" w:lineRule="exact"/>
              <w:rPr>
                <w:rFonts w:ascii="Arial" w:cs="Arial" w:eastAsia="Arial" w:hAnsi="Arial"/>
                <w:sz w:val="16"/>
                <w:szCs w:val="16"/>
                <w:color w:val="0000FF"/>
              </w:rPr>
            </w:pPr>
            <w:hyperlink r:id="rId268">
              <w:r>
                <w:rPr>
                  <w:rFonts w:ascii="Arial" w:cs="Arial" w:eastAsia="Arial" w:hAnsi="Arial"/>
                  <w:sz w:val="16"/>
                  <w:szCs w:val="16"/>
                  <w:color w:val="0000FF"/>
                </w:rPr>
                <w:t>Fifth Amendment, dated as of April 21, 2023, to the Sixth Amended and Restated Credit Agreement, dated as of July 9, 2021, among Avis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Budget Holdings, LLC, Avis Budget Car Rental, LLC, as borrower, Avis Budget Group, Inc., the subsidiary borrowers from time to time</w:t>
              </w:r>
            </w:hyperlink>
          </w:p>
        </w:tc>
        <w:tc>
          <w:tcPr>
            <w:tcW w:w="320" w:type="dxa"/>
            <w:vAlign w:val="bottom"/>
            <w:tcBorders>
              <w:top w:val="single" w:sz="8" w:color="0000FF"/>
            </w:tcBorders>
            <w:gridSpan w:val="10"/>
          </w:tcPr>
          <w:p>
            <w:pPr>
              <w:spacing w:after="0"/>
              <w:rPr>
                <w:sz w:val="12"/>
                <w:szCs w:val="12"/>
                <w:color w:val="auto"/>
              </w:rPr>
            </w:pPr>
          </w:p>
        </w:tc>
        <w:tc>
          <w:tcPr>
            <w:tcW w:w="180" w:type="dxa"/>
            <w:vAlign w:val="bottom"/>
            <w:tcBorders>
              <w:right w:val="single" w:sz="8" w:color="auto"/>
            </w:tcBorders>
            <w:gridSpan w:val="8"/>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right w:val="single" w:sz="8" w:color="auto"/>
            </w:tcBorders>
            <w:gridSpan w:val="34"/>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party thereto, the lenders from time to time party thereto and JPMorgan Chase Bank, N.A., as Administrative Agent, and the other parties</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thereto (incorporated by reference to Exhibit 10.1 to the Company’s Quarterly Report on Form 10-Q dated August 1, 2023).</w:t>
              </w:r>
            </w:hyperlink>
          </w:p>
        </w:tc>
        <w:tc>
          <w:tcPr>
            <w:tcW w:w="280" w:type="dxa"/>
            <w:vAlign w:val="bottom"/>
            <w:tcBorders>
              <w:right w:val="single" w:sz="8" w:color="auto"/>
            </w:tcBorders>
            <w:gridSpan w:val="13"/>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80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10.88</w:t>
            </w:r>
          </w:p>
        </w:tc>
        <w:tc>
          <w:tcPr>
            <w:tcW w:w="100" w:type="dxa"/>
            <w:vAlign w:val="bottom"/>
            <w:tcBorders>
              <w:top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00" w:type="dxa"/>
            <w:vAlign w:val="bottom"/>
            <w:tcBorders>
              <w:top w:val="single" w:sz="8" w:color="auto"/>
              <w:right w:val="single" w:sz="8" w:color="auto"/>
            </w:tcBorders>
            <w:gridSpan w:val="19"/>
          </w:tcPr>
          <w:p>
            <w:pPr>
              <w:spacing w:after="0"/>
              <w:rPr>
                <w:rFonts w:ascii="Arial" w:cs="Arial" w:eastAsia="Arial" w:hAnsi="Arial"/>
                <w:sz w:val="16"/>
                <w:szCs w:val="16"/>
                <w:color w:val="0000FF"/>
              </w:rPr>
            </w:pPr>
            <w:hyperlink r:id="rId270">
              <w:r>
                <w:rPr>
                  <w:rFonts w:ascii="Arial" w:cs="Arial" w:eastAsia="Arial" w:hAnsi="Arial"/>
                  <w:sz w:val="16"/>
                  <w:szCs w:val="16"/>
                  <w:color w:val="0000FF"/>
                </w:rPr>
                <w:t>Sixth Amendment, dated as of December 8, 2023, to the Sixth Amended and Restated Credit Agreement, dated as of July 9, 2021, among</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Avis Budget Holdings, LLC, Avis Budget Car Rental, LLC, as borrower, Avis Budget Group, Inc., the subsidiary borrowers from time to time</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17"/>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party thereto, the lenders from time to time party thereto and JPMorgan Chase Bank, N.A., as Administrative Agent, and the other parties</w:t>
              </w:r>
            </w:hyperlink>
          </w:p>
        </w:tc>
        <w:tc>
          <w:tcPr>
            <w:tcW w:w="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thereto (incorporated by reference to Exhibit 10.1 to the Company’s Current Report on Form 8-K, dated December 14, 2023).</w:t>
              </w:r>
            </w:hyperlink>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5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10.89</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9"/>
          </w:tcPr>
          <w:p>
            <w:pPr>
              <w:spacing w:after="0" w:line="169" w:lineRule="exact"/>
              <w:rPr>
                <w:rFonts w:ascii="Arial" w:cs="Arial" w:eastAsia="Arial" w:hAnsi="Arial"/>
                <w:sz w:val="16"/>
                <w:szCs w:val="16"/>
                <w:color w:val="0000FF"/>
              </w:rPr>
            </w:pPr>
            <w:hyperlink r:id="rId271">
              <w:r>
                <w:rPr>
                  <w:rFonts w:ascii="Arial" w:cs="Arial" w:eastAsia="Arial" w:hAnsi="Arial"/>
                  <w:sz w:val="16"/>
                  <w:szCs w:val="16"/>
                  <w:color w:val="0000FF"/>
                </w:rPr>
                <w:t>Seventh Amendment, dated as of December 27, 2023, to the Sixth Amended and Restated Credit Agreement, dated as of July 9, 2021,</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among Avis Budget Holdings, LLC, Avis Budget Car Rental, LLC, as borrower, Avis Budget Group, Inc., the subsidiary borrowers from</w:t>
              </w:r>
            </w:hyperlink>
          </w:p>
        </w:tc>
        <w:tc>
          <w:tcPr>
            <w:tcW w:w="300" w:type="dxa"/>
            <w:vAlign w:val="bottom"/>
            <w:tcBorders>
              <w:right w:val="single" w:sz="8" w:color="auto"/>
            </w:tcBorders>
            <w:gridSpan w:val="8"/>
          </w:tcPr>
          <w:p>
            <w:pPr>
              <w:spacing w:after="0" w:line="142" w:lineRule="exact"/>
              <w:rPr>
                <w:rFonts w:ascii="Arial" w:cs="Arial" w:eastAsia="Arial" w:hAnsi="Arial"/>
                <w:sz w:val="16"/>
                <w:szCs w:val="16"/>
                <w:color w:val="0000FF"/>
                <w:w w:val="85"/>
              </w:rPr>
            </w:pPr>
            <w:hyperlink r:id="rId271">
              <w:r>
                <w:rPr>
                  <w:rFonts w:ascii="Arial" w:cs="Arial" w:eastAsia="Arial" w:hAnsi="Arial"/>
                  <w:sz w:val="16"/>
                  <w:szCs w:val="16"/>
                  <w:color w:val="0000FF"/>
                  <w:w w:val="85"/>
                </w:rPr>
                <w:t>time</w:t>
              </w:r>
            </w:hyperlink>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to time party thereto, the lenders from time to time party thereto and JPMorgan Chase Bank, N.A., as Administrative Agent, and the other</w:t>
              </w:r>
            </w:hyperlink>
          </w:p>
        </w:tc>
        <w:tc>
          <w:tcPr>
            <w:tcW w:w="60" w:type="dxa"/>
            <w:vAlign w:val="bottom"/>
            <w:tcBorders>
              <w:right w:val="single" w:sz="8" w:color="auto"/>
            </w:tcBorders>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parties thereto (incorporated by reference to Exhibit 10.1 to the Company’s Current Report on Form 8-K, dated January 3, 2024).</w:t>
              </w:r>
            </w:hyperlink>
          </w:p>
        </w:tc>
        <w:tc>
          <w:tcPr>
            <w:tcW w:w="40" w:type="dxa"/>
            <w:vAlign w:val="bottom"/>
            <w:gridSpan w:val="2"/>
          </w:tcPr>
          <w:p>
            <w:pPr>
              <w:spacing w:after="0"/>
              <w:rPr>
                <w:sz w:val="12"/>
                <w:szCs w:val="12"/>
                <w:color w:val="auto"/>
              </w:rPr>
            </w:pPr>
          </w:p>
        </w:tc>
        <w:tc>
          <w:tcPr>
            <w:tcW w:w="160" w:type="dxa"/>
            <w:vAlign w:val="bottom"/>
            <w:tcBorders>
              <w:right w:val="single" w:sz="8" w:color="auto"/>
            </w:tcBorders>
            <w:gridSpan w:val="4"/>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5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10.90</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9"/>
          </w:tcPr>
          <w:p>
            <w:pPr>
              <w:spacing w:after="0" w:line="169" w:lineRule="exact"/>
              <w:rPr>
                <w:sz w:val="20"/>
                <w:szCs w:val="20"/>
                <w:color w:val="auto"/>
              </w:rPr>
            </w:pPr>
            <w:r>
              <w:rPr>
                <w:rFonts w:ascii="Arial" w:cs="Arial" w:eastAsia="Arial" w:hAnsi="Arial"/>
                <w:sz w:val="16"/>
                <w:szCs w:val="16"/>
                <w:color w:val="0000FF"/>
              </w:rPr>
              <w:t>Administrative Amendment, dated as of December 27, 2023, to the Sixth Amended and Restated Credit Agreement, dated as of July 9,</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2021, among Avis Budget Holdings, LLC, Avis Budget Car Rental, LLC, as borrower, Avis Budget Group, Inc., the subsidiary borrowers</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3"/>
          </w:tcPr>
          <w:p>
            <w:pPr>
              <w:spacing w:after="0"/>
              <w:rPr>
                <w:sz w:val="12"/>
                <w:szCs w:val="12"/>
                <w:color w:val="auto"/>
              </w:rPr>
            </w:pPr>
          </w:p>
        </w:tc>
        <w:tc>
          <w:tcPr>
            <w:tcW w:w="160" w:type="dxa"/>
            <w:vAlign w:val="bottom"/>
            <w:tcBorders>
              <w:right w:val="single" w:sz="8" w:color="auto"/>
            </w:tcBorders>
            <w:gridSpan w:val="4"/>
          </w:tcPr>
          <w:p>
            <w:pPr>
              <w:spacing w:after="0"/>
              <w:rPr>
                <w:sz w:val="12"/>
                <w:szCs w:val="12"/>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right w:val="single" w:sz="8" w:color="auto"/>
            </w:tcBorders>
            <w:gridSpan w:val="19"/>
          </w:tcPr>
          <w:p>
            <w:pPr>
              <w:spacing w:after="0" w:line="142" w:lineRule="exact"/>
              <w:rPr>
                <w:sz w:val="20"/>
                <w:szCs w:val="20"/>
                <w:color w:val="auto"/>
              </w:rPr>
            </w:pPr>
            <w:r>
              <w:rPr>
                <w:rFonts w:ascii="Arial" w:cs="Arial" w:eastAsia="Arial" w:hAnsi="Arial"/>
                <w:sz w:val="16"/>
                <w:szCs w:val="16"/>
                <w:color w:val="0000FF"/>
              </w:rPr>
              <w:t>from time to time party thereto, the lenders from time to time party thereto and JPMorgan Chase Bank, N.A., as Administrative Agent, and</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the other parties thereto.</w:t>
            </w:r>
          </w:p>
        </w:tc>
        <w:tc>
          <w:tcPr>
            <w:tcW w:w="160" w:type="dxa"/>
            <w:vAlign w:val="bottom"/>
            <w:tcBorders>
              <w:right w:val="single" w:sz="8" w:color="auto"/>
            </w:tcBorders>
            <w:gridSpan w:val="4"/>
          </w:tcPr>
          <w:p>
            <w:pPr>
              <w:spacing w:after="0"/>
              <w:rPr>
                <w:sz w:val="12"/>
                <w:szCs w:val="12"/>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9"/>
          </w:tcPr>
          <w:p>
            <w:pPr>
              <w:spacing w:after="0" w:line="169" w:lineRule="exact"/>
              <w:rPr>
                <w:sz w:val="20"/>
                <w:szCs w:val="20"/>
                <w:color w:val="auto"/>
              </w:rPr>
            </w:pPr>
            <w:r>
              <w:rPr>
                <w:rFonts w:ascii="Arial" w:cs="Arial" w:eastAsia="Arial" w:hAnsi="Arial"/>
                <w:sz w:val="16"/>
                <w:szCs w:val="16"/>
                <w:color w:val="0000FF"/>
              </w:rPr>
              <w:t>Subsidiaries of Registrant.</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23.1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9"/>
          </w:tcPr>
          <w:p>
            <w:pPr>
              <w:spacing w:after="0" w:line="169" w:lineRule="exact"/>
              <w:rPr>
                <w:sz w:val="20"/>
                <w:szCs w:val="20"/>
                <w:color w:val="auto"/>
              </w:rPr>
            </w:pPr>
            <w:r>
              <w:rPr>
                <w:rFonts w:ascii="Arial" w:cs="Arial" w:eastAsia="Arial" w:hAnsi="Arial"/>
                <w:sz w:val="16"/>
                <w:szCs w:val="16"/>
                <w:color w:val="0000FF"/>
              </w:rPr>
              <w:t>Consent of Deloitte &amp; Touche LLP.</w:t>
            </w: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9"/>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1934, as amended.</w:t>
            </w:r>
          </w:p>
        </w:tc>
        <w:tc>
          <w:tcPr>
            <w:tcW w:w="280" w:type="dxa"/>
            <w:vAlign w:val="bottom"/>
            <w:tcBorders>
              <w:right w:val="single" w:sz="8" w:color="auto"/>
            </w:tcBorders>
            <w:gridSpan w:val="7"/>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9"/>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1934, as amended.</w:t>
            </w:r>
          </w:p>
        </w:tc>
        <w:tc>
          <w:tcPr>
            <w:tcW w:w="320" w:type="dxa"/>
            <w:vAlign w:val="bottom"/>
            <w:tcBorders>
              <w:right w:val="single" w:sz="8" w:color="auto"/>
            </w:tcBorders>
            <w:gridSpan w:val="9"/>
          </w:tcPr>
          <w:p>
            <w:pPr>
              <w:spacing w:after="0"/>
              <w:rPr>
                <w:sz w:val="12"/>
                <w:szCs w:val="12"/>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9"/>
          </w:tcPr>
          <w:p>
            <w:pPr>
              <w:spacing w:after="0" w:line="169" w:lineRule="exact"/>
              <w:rPr>
                <w:sz w:val="20"/>
                <w:szCs w:val="20"/>
                <w:color w:val="auto"/>
              </w:rPr>
            </w:pPr>
            <w:r>
              <w:rPr>
                <w:rFonts w:ascii="Arial" w:cs="Arial" w:eastAsia="Arial" w:hAnsi="Arial"/>
                <w:sz w:val="16"/>
                <w:szCs w:val="16"/>
                <w:color w:val="0000FF"/>
              </w:rPr>
              <w:t>Certifications Pursuant to 18 U.S.C. Section 1350, as Adopted Pursuant to Section 906 of the Sarbanes-Oxley Act of 2002.</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588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97</w:t>
            </w:r>
          </w:p>
        </w:tc>
        <w:tc>
          <w:tcPr>
            <w:tcW w:w="1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tcBorders>
              <w:right w:val="single" w:sz="8" w:color="auto"/>
            </w:tcBorders>
            <w:gridSpan w:val="19"/>
          </w:tcPr>
          <w:p>
            <w:pPr>
              <w:spacing w:after="0" w:line="169" w:lineRule="exact"/>
              <w:rPr>
                <w:sz w:val="20"/>
                <w:szCs w:val="20"/>
                <w:color w:val="auto"/>
              </w:rPr>
            </w:pPr>
            <w:r>
              <w:rPr>
                <w:rFonts w:ascii="Arial" w:cs="Arial" w:eastAsia="Arial" w:hAnsi="Arial"/>
                <w:sz w:val="16"/>
                <w:szCs w:val="16"/>
                <w:color w:val="0000FF"/>
              </w:rPr>
              <w:t>Avis Budget Group, Inc. Clawback Policy</w:t>
            </w: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3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55"/>
        </w:trPr>
        <w:tc>
          <w:tcPr>
            <w:tcW w:w="11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101.INS</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right w:val="single" w:sz="8" w:color="auto"/>
            </w:tcBorders>
            <w:gridSpan w:val="19"/>
          </w:tcPr>
          <w:p>
            <w:pPr>
              <w:spacing w:after="0" w:line="15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6"/>
                <w:szCs w:val="16"/>
                <w:color w:val="auto"/>
              </w:rPr>
              <w:t>within the Inline XBRL document.</w:t>
            </w: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6"/>
                <w:szCs w:val="16"/>
                <w:color w:val="auto"/>
              </w:rPr>
              <w:t>XBRL Taxonomy Extension Schema.</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6"/>
                <w:szCs w:val="16"/>
                <w:color w:val="auto"/>
              </w:rPr>
              <w:t>XBRL Taxonomy Extension Label Linkbase.</w:t>
            </w: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156"/>
        </w:trPr>
        <w:tc>
          <w:tcPr>
            <w:tcW w:w="1140" w:type="dxa"/>
            <w:vAlign w:val="bottom"/>
            <w:tcBorders>
              <w:left w:val="single" w:sz="8" w:color="auto"/>
              <w:right w:val="single" w:sz="8" w:color="auto"/>
            </w:tcBorders>
          </w:tcPr>
          <w:p>
            <w:pPr>
              <w:ind w:left="40"/>
              <w:spacing w:after="0" w:line="156" w:lineRule="exact"/>
              <w:rPr>
                <w:sz w:val="20"/>
                <w:szCs w:val="20"/>
                <w:color w:val="auto"/>
              </w:rPr>
            </w:pPr>
            <w:r>
              <w:rPr>
                <w:rFonts w:ascii="Arial" w:cs="Arial" w:eastAsia="Arial" w:hAnsi="Arial"/>
                <w:sz w:val="16"/>
                <w:szCs w:val="16"/>
                <w:color w:val="auto"/>
              </w:rPr>
              <w:t>104</w:t>
            </w:r>
          </w:p>
        </w:tc>
        <w:tc>
          <w:tcPr>
            <w:tcW w:w="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right w:val="single" w:sz="8" w:color="auto"/>
            </w:tcBorders>
            <w:gridSpan w:val="19"/>
          </w:tcPr>
          <w:p>
            <w:pPr>
              <w:spacing w:after="0" w:line="156" w:lineRule="exact"/>
              <w:rPr>
                <w:sz w:val="20"/>
                <w:szCs w:val="20"/>
                <w:color w:val="auto"/>
              </w:rPr>
            </w:pPr>
            <w:r>
              <w:rPr>
                <w:rFonts w:ascii="Arial" w:cs="Arial" w:eastAsia="Arial" w:hAnsi="Arial"/>
                <w:sz w:val="16"/>
                <w:szCs w:val="16"/>
                <w:color w:val="auto"/>
              </w:rPr>
              <w:t>The cover page from the Company’s Annual Report on Form 10-K for the year ended December 31, 2023, formatted as Inline XBRL and</w:t>
            </w:r>
          </w:p>
        </w:tc>
      </w:tr>
      <w:tr>
        <w:trPr>
          <w:trHeight w:val="215"/>
        </w:trPr>
        <w:tc>
          <w:tcPr>
            <w:tcW w:w="114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6"/>
                <w:szCs w:val="16"/>
                <w:color w:val="auto"/>
              </w:rPr>
              <w:t>contained in Exhibit 101.</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54" w:lineRule="exact"/>
        <w:rPr>
          <w:sz w:val="20"/>
          <w:szCs w:val="20"/>
          <w:color w:val="auto"/>
        </w:rPr>
      </w:pPr>
    </w:p>
    <w:p>
      <w:pPr>
        <w:ind w:left="1020" w:hanging="994"/>
        <w:spacing w:after="0"/>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Cendant Corporation is now known as Avis Budget Group, Inc.</w:t>
      </w:r>
    </w:p>
    <w:p>
      <w:pPr>
        <w:spacing w:after="0" w:line="32" w:lineRule="exact"/>
        <w:rPr>
          <w:sz w:val="20"/>
          <w:szCs w:val="20"/>
          <w:color w:val="auto"/>
        </w:rPr>
      </w:pPr>
    </w:p>
    <w:p>
      <w:pPr>
        <w:ind w:left="1020" w:hanging="994"/>
        <w:spacing w:after="0"/>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Cendant Car Rental Group, LLC (formerly known as Cendant Car Rental Group, Inc.) is now known as Avis Budget Car Rental, LLC.</w:t>
      </w:r>
    </w:p>
    <w:p>
      <w:pPr>
        <w:spacing w:after="0" w:line="32" w:lineRule="exact"/>
        <w:rPr>
          <w:rFonts w:ascii="Arial" w:cs="Arial" w:eastAsia="Arial" w:hAnsi="Arial"/>
          <w:sz w:val="16"/>
          <w:szCs w:val="16"/>
          <w:color w:val="auto"/>
        </w:rPr>
      </w:pPr>
    </w:p>
    <w:p>
      <w:pPr>
        <w:ind w:left="1020" w:right="40" w:hanging="994"/>
        <w:spacing w:after="0" w:line="246"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Cendant Rental Car Funding (AESOP) LLC, formerly known as AESOP Funding II L.L.C, is now known as Avis Budget Rental Car Funding (AESOP) LLC.</w:t>
      </w:r>
    </w:p>
    <w:p>
      <w:pPr>
        <w:ind w:left="1020" w:hanging="994"/>
        <w:spacing w:after="0"/>
        <w:tabs>
          <w:tab w:leader="none" w:pos="10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Avis Rent A Car System, Inc. is now known as Avis Rent A Car System, LLC.</w:t>
      </w:r>
    </w:p>
    <w:p>
      <w:pPr>
        <w:spacing w:after="0" w:line="32" w:lineRule="exact"/>
        <w:rPr>
          <w:sz w:val="20"/>
          <w:szCs w:val="20"/>
          <w:color w:val="auto"/>
        </w:rPr>
      </w:pPr>
    </w:p>
    <w:p>
      <w:pPr>
        <w:ind w:left="1020" w:hanging="994"/>
        <w:spacing w:after="0"/>
        <w:tabs>
          <w:tab w:leader="none" w:pos="10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Denotes management contract or compensatory plan.</w:t>
      </w:r>
    </w:p>
    <w:p>
      <w:pPr>
        <w:spacing w:after="0" w:line="32" w:lineRule="exact"/>
        <w:rPr>
          <w:sz w:val="20"/>
          <w:szCs w:val="20"/>
          <w:color w:val="auto"/>
        </w:rPr>
      </w:pPr>
    </w:p>
    <w:p>
      <w:pPr>
        <w:jc w:val="both"/>
        <w:ind w:left="1020" w:right="40" w:hanging="994"/>
        <w:spacing w:after="0" w:line="225"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Certain portions of this exhibit have been omitted in accordance with Item 601(b)(10)(iv) of Regulation S-K. The registrant agrees to furnish supplementally an unredacted copy of this exhibit to the Securities and Exchange Commission upon its request. Certain other long-term debt is described in Note 14 of the Notes to Consolidated Financial Statements. The Company agrees to furnish to the Securities and Exchange Commission, upon request, copies of any instruments defining the rights of holders of any such long-term debt described in Note 14 and not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H-7</w:t>
      </w:r>
    </w:p>
    <w:p>
      <w:pPr>
        <w:sectPr>
          <w:pgSz w:w="11900" w:h="16838" w:orient="portrait"/>
          <w:cols w:equalWidth="0" w:num="1">
            <w:col w:w="11260"/>
          </w:cols>
          <w:pgMar w:left="320" w:top="121"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10.53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71"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21"/>
          <w:szCs w:val="21"/>
          <w:color w:val="auto"/>
        </w:rPr>
        <w:t>CERTAIN INFORMATION IDENTIFIED WITH [***] HAS BEEN OMITTED FROM THIS EXHIBIT BECAUSE IT IS BOTH (I) NOT MATERIAL AND (II) THE TYPE THAT THE REGISTRANT TREATS AS PRIVATE OR CONFIDENTIAL.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PURCHASER GROUP SUPPLEMENT (ADDITIONAL PURCHASER GROUP)</w:t>
      </w:r>
    </w:p>
    <w:p>
      <w:pPr>
        <w:spacing w:after="0" w:line="18"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2"/>
          <w:szCs w:val="22"/>
          <w:color w:val="auto"/>
        </w:rPr>
        <w:t>PURCHASER GROUP SUPPLEMENT, dated as of July 20, 2023 among the Non-Conduit Purchaser listed on the signature pages hereof (the “</w:t>
      </w:r>
      <w:r>
        <w:rPr>
          <w:rFonts w:ascii="Times New Roman" w:cs="Times New Roman" w:eastAsia="Times New Roman" w:hAnsi="Times New Roman"/>
          <w:sz w:val="22"/>
          <w:szCs w:val="22"/>
          <w:u w:val="single" w:color="auto"/>
          <w:color w:val="auto"/>
        </w:rPr>
        <w:t>Acquiring Purchaser Group</w:t>
      </w:r>
      <w:r>
        <w:rPr>
          <w:rFonts w:ascii="Times New Roman" w:cs="Times New Roman" w:eastAsia="Times New Roman" w:hAnsi="Times New Roman"/>
          <w:sz w:val="22"/>
          <w:szCs w:val="22"/>
          <w:color w:val="auto"/>
        </w:rPr>
        <w:t>”), AVIS BUDGET RENTAL CAR FUNDING (AESOP)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JPMORGAN CHASE BANK, N.A., as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AVIS BUDGET CAR RENTAL, LLC, as Administrator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WHEREAS, this Purchaser Group Supplement is being executed and delivered in accordance with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11.1(e)</w:t>
      </w:r>
      <w:r>
        <w:rPr>
          <w:rFonts w:ascii="Times New Roman" w:cs="Times New Roman" w:eastAsia="Times New Roman" w:hAnsi="Times New Roman"/>
          <w:sz w:val="22"/>
          <w:szCs w:val="22"/>
          <w:color w:val="auto"/>
        </w:rPr>
        <w:t xml:space="preserve"> of the Fifth Amended and Restated Series 2010-6 Supplement, dated as of April 14, 2022 (as may from time to time be further amended, supplemented or otherwise modified in accordance with the terms thereof, the “</w:t>
      </w:r>
      <w:r>
        <w:rPr>
          <w:rFonts w:ascii="Times New Roman" w:cs="Times New Roman" w:eastAsia="Times New Roman" w:hAnsi="Times New Roman"/>
          <w:sz w:val="22"/>
          <w:szCs w:val="22"/>
          <w:u w:val="single" w:color="auto"/>
          <w:color w:val="auto"/>
        </w:rPr>
        <w:t>Series 2010-6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terms defined therein being used herein as therein defined), among the Company, the Administrator, the Non-Conduit Purchasers, the CP Conduit Purchasers, the Committed Note Purchasers, the Funding Agents and the APA Banks from time to time parties thereto, the Administrative Agent and The Bank of New York Mellon Trust Company, N.A.,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Series 2010-6 Agent, to the Second Amended and Restated Base Indenture, dated as of June 3, 2004 (as may from time to time be amended, supplemented or otherwise modified in accordance with the terms thereof,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and, the Base Indenture as supplemented by the Series 2010-6 Supplement,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the Company and the Trustee;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Acquiring Purchaser Group wishes to become a Non-Conduit Purchaser; and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the parties hereto hereby agree as follows:</w:t>
      </w:r>
    </w:p>
    <w:p>
      <w:pPr>
        <w:spacing w:after="0" w:line="179" w:lineRule="exact"/>
        <w:rPr>
          <w:sz w:val="20"/>
          <w:szCs w:val="20"/>
          <w:color w:val="auto"/>
        </w:rPr>
      </w:pPr>
    </w:p>
    <w:p>
      <w:pPr>
        <w:jc w:val="both"/>
        <w:ind w:firstLine="1304"/>
        <w:spacing w:after="0" w:line="220" w:lineRule="auto"/>
        <w:tabs>
          <w:tab w:leader="none" w:pos="19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execution and delivery of this Purchaser Group Supplement by the Acquiring Purchaser Group, the Company, the Administrator and the Administrative Agent (the date of such execution and delivery, the “</w:t>
      </w:r>
      <w:r>
        <w:rPr>
          <w:rFonts w:ascii="Times New Roman" w:cs="Times New Roman" w:eastAsia="Times New Roman" w:hAnsi="Times New Roman"/>
          <w:sz w:val="22"/>
          <w:szCs w:val="22"/>
          <w:u w:val="single" w:color="auto"/>
          <w:color w:val="auto"/>
        </w:rPr>
        <w:t>Purchaser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Addition Date</w:t>
      </w:r>
      <w:r>
        <w:rPr>
          <w:rFonts w:ascii="Times New Roman" w:cs="Times New Roman" w:eastAsia="Times New Roman" w:hAnsi="Times New Roman"/>
          <w:sz w:val="22"/>
          <w:szCs w:val="22"/>
          <w:color w:val="auto"/>
        </w:rPr>
        <w:t>”), the Non-Conduit Purchaser with respect to such Acquiring Purchaser Group shall be party to the Series 2010-6 Supplement and the Fee Letter, in each case, for all purposes thereof.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68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Acquiring Purchaser Group hereby irrevocably purchases, takes and assumes a Commitment with respect to the Class A Notes equal to its Class A Maximum Purchaser Group Invested Amount as set forth in Exhibit A hereto.</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67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to this Purchaser Group Supplement agrees that at any time and from time to time upon the written request of any other party, it will execute and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125996020</w:t>
      </w:r>
    </w:p>
    <w:p>
      <w:pPr>
        <w:sectPr>
          <w:pgSz w:w="11900" w:h="16838" w:orient="portrait"/>
          <w:cols w:equalWidth="0" w:num="1">
            <w:col w:w="11240"/>
          </w:cols>
          <w:pgMar w:left="320" w:top="94" w:right="339" w:bottom="1440" w:gutter="0" w:footer="0" w:header="0"/>
        </w:sectPr>
      </w:pPr>
    </w:p>
    <w:bookmarkStart w:id="112" w:name="page113"/>
    <w:bookmarkEnd w:id="112"/>
    <w:p>
      <w:pPr>
        <w:spacing w:after="0" w:line="236" w:lineRule="auto"/>
        <w:rPr>
          <w:sz w:val="20"/>
          <w:szCs w:val="20"/>
          <w:color w:val="auto"/>
        </w:rPr>
      </w:pPr>
      <w:r>
        <w:rPr>
          <w:rFonts w:ascii="Times New Roman" w:cs="Times New Roman" w:eastAsia="Times New Roman" w:hAnsi="Times New Roman"/>
          <w:sz w:val="22"/>
          <w:szCs w:val="22"/>
          <w:color w:val="auto"/>
        </w:rPr>
        <w:t>such further documents and do such further acts and things as such other party may reasonably request in order to effect the purposes of this Purchaser Group Supplement.</w:t>
      </w:r>
    </w:p>
    <w:p>
      <w:pPr>
        <w:spacing w:after="0" w:line="150" w:lineRule="exact"/>
        <w:rPr>
          <w:sz w:val="20"/>
          <w:szCs w:val="20"/>
          <w:color w:val="auto"/>
        </w:rPr>
      </w:pPr>
    </w:p>
    <w:p>
      <w:pPr>
        <w:ind w:right="20" w:firstLine="1304"/>
        <w:spacing w:after="0" w:line="236" w:lineRule="auto"/>
        <w:tabs>
          <w:tab w:leader="none" w:pos="174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this Purchaser Group Supplement, the Acquiring Purchaser Group confirms to and agrees as follows: (i) the Acquiring Purchaser Group</w:t>
      </w:r>
    </w:p>
    <w:p>
      <w:pPr>
        <w:spacing w:after="0" w:line="17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confirms that it has received a copy of the Indenture and such other Related Documents and other documents and information as it has deemed appropriate to make its own credit analysis and decision to enter into this Purchaser Group Supplement; (ii) the Acquiring Purchaser Group will, independently and without reliance upon the Administrative Agent or any other Person and based on such documents and information as it shall deem appropriate at the time, continue to make its own credit decisions in taking or not taking action under the Indenture; (iii) the Acquiring Purchaser Group appoints and authorizes the Administrative Agent to take such action as agent on its behalf and to exercise such powers under the Series 2010-6 Supplement as are delegated to the Administrative Agent by the terms thereof together with such powers as are reasonably incidental thereto, all in accordance with Article IX of the Series 2010-6 Supplement; and (iv) each member of the Acquiring Purchaser Group agrees that it will perform in accordance with their terms all of the obligations which by the terms of the Indenture are required to be performed by it as a member of the Acquiring Purchaser Group.</w:t>
      </w:r>
    </w:p>
    <w:p>
      <w:pPr>
        <w:spacing w:after="0" w:line="7" w:lineRule="exact"/>
        <w:rPr>
          <w:sz w:val="20"/>
          <w:szCs w:val="20"/>
          <w:color w:val="auto"/>
        </w:rPr>
      </w:pPr>
    </w:p>
    <w:p>
      <w:pPr>
        <w:ind w:left="1680" w:hanging="376"/>
        <w:spacing w:after="0"/>
        <w:tabs>
          <w:tab w:leader="none" w:pos="16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A hereto sets forth the administrative information with respect to the Acquiring Purchaser Group.</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3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Purchaser Group Addition Date, the Company shall pay the Acquiring Purchaser Group a one time, prorated, non-refundable fee equal to [***]% of such Acquiring Purchaser Group’s Class A Maximum Purchaser Group Invested Amount as set forth on Exhibit A 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31" w:lineRule="auto"/>
        <w:tabs>
          <w:tab w:leader="none" w:pos="169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executing this Purchaser Group Supplement, each of the Company and the Administrator hereby confirms that all of the representations and warranties made by it in the Base Indenture, the Series 2010-6 Supplement and the Related Documents to which each is a party are true and correct in all material respects on the Purchaser Group Addition Date, as if made on and as of such date (except to the extent such representations and warranties are expressly made as of another date).</w:t>
      </w:r>
    </w:p>
    <w:p>
      <w:pPr>
        <w:spacing w:after="0" w:line="137"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Purchaser Group Supplement shall be governed by, and construed in accordance with, the laws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13" w:name="page114"/>
    <w:bookmarkEnd w:id="113"/>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Purchaser Group Supplement to be executed by their respective duly authorized officers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as Acquiring Purchaser Group</w:t>
      </w:r>
    </w:p>
    <w:p>
      <w:pPr>
        <w:spacing w:after="0" w:line="200" w:lineRule="exact"/>
        <w:rPr>
          <w:sz w:val="20"/>
          <w:szCs w:val="20"/>
          <w:color w:val="auto"/>
        </w:rPr>
      </w:pPr>
    </w:p>
    <w:p>
      <w:pPr>
        <w:spacing w:after="0" w:line="29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By: /s/ Pawel Bania</w:t>
      </w:r>
    </w:p>
    <w:p>
      <w:pPr>
        <w:spacing w:after="0" w:line="2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Name: Pawel Bania</w:t>
      </w:r>
    </w:p>
    <w:p>
      <w:pPr>
        <w:spacing w:after="0" w:line="1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Purchaser Group Supplement (USBank)</w:t>
      </w:r>
    </w:p>
    <w:p>
      <w:pPr>
        <w:sectPr>
          <w:pgSz w:w="11900" w:h="16838" w:orient="portrait"/>
          <w:cols w:equalWidth="0" w:num="1">
            <w:col w:w="11220"/>
          </w:cols>
          <w:pgMar w:left="320" w:top="1395" w:right="359" w:bottom="1440" w:gutter="0" w:footer="0" w:header="0"/>
        </w:sectPr>
      </w:pPr>
    </w:p>
    <w:bookmarkStart w:id="114" w:name="page115"/>
    <w:bookmarkEnd w:id="114"/>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AND ACKNOWLEDGED: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Administrator</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39"/>
          </w:cols>
          <w:pgMar w:left="320" w:top="1440" w:right="1440" w:bottom="1440" w:gutter="0" w:footer="0" w:header="0"/>
        </w:sectPr>
      </w:pPr>
    </w:p>
    <w:bookmarkStart w:id="115" w:name="page116"/>
    <w:bookmarkEnd w:id="115"/>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Catherine Frank</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22"/>
          <w:szCs w:val="22"/>
          <w:color w:val="auto"/>
        </w:rPr>
        <w:t>Signature page to Purchaser Group Supplement (USBank)</w:t>
      </w:r>
    </w:p>
    <w:p>
      <w:pPr>
        <w:sectPr>
          <w:pgSz w:w="11900" w:h="16838" w:orient="portrait"/>
          <w:cols w:equalWidth="0" w:num="1">
            <w:col w:w="10119"/>
          </w:cols>
          <w:pgMar w:left="340" w:top="1440" w:right="1440" w:bottom="1440" w:gutter="0" w:footer="0" w:header="0"/>
        </w:sectPr>
      </w:pPr>
    </w:p>
    <w:bookmarkStart w:id="116" w:name="page117"/>
    <w:bookmarkEnd w:id="116"/>
    <w:p>
      <w:pPr>
        <w:ind w:left="5060"/>
        <w:spacing w:after="0"/>
        <w:rPr>
          <w:sz w:val="20"/>
          <w:szCs w:val="20"/>
          <w:color w:val="auto"/>
        </w:rPr>
      </w:pPr>
      <w:r>
        <w:rPr>
          <w:rFonts w:ascii="Times New Roman" w:cs="Times New Roman" w:eastAsia="Times New Roman" w:hAnsi="Times New Roman"/>
          <w:sz w:val="22"/>
          <w:szCs w:val="22"/>
          <w:color w:val="auto"/>
        </w:rPr>
        <w:t>EXHIBIT A</w:t>
      </w:r>
    </w:p>
    <w:p>
      <w:pPr>
        <w:spacing w:after="0" w:line="39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22"/>
          <w:szCs w:val="22"/>
          <w:color w:val="auto"/>
        </w:rPr>
        <w:t>ADMINISTRATIVE INFORMATION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U.S. Bank National Association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Maximum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Purchaser Group</w:t>
      </w:r>
    </w:p>
    <w:p>
      <w:pPr>
        <w:spacing w:after="0" w:line="17"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Invested Amount:</w:t>
      </w:r>
      <w:r>
        <w:rPr>
          <w:sz w:val="20"/>
          <w:szCs w:val="20"/>
          <w:color w:val="auto"/>
        </w:rPr>
        <w:tab/>
      </w:r>
      <w:r>
        <w:rPr>
          <w:rFonts w:ascii="Times New Roman" w:cs="Times New Roman" w:eastAsia="Times New Roman" w:hAnsi="Times New Roman"/>
          <w:sz w:val="21"/>
          <w:szCs w:val="21"/>
          <w:color w:val="auto"/>
        </w:rPr>
        <w:t>$125,000,000.00</w:t>
      </w:r>
    </w:p>
    <w:p>
      <w:pPr>
        <w:spacing w:after="0" w:line="261"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ectPr>
          <w:pgSz w:w="11900" w:h="16838" w:orient="portrait"/>
          <w:cols w:equalWidth="0" w:num="1">
            <w:col w:w="10119"/>
          </w:cols>
          <w:pgMar w:left="340" w:top="1395"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63"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21"/>
          <w:szCs w:val="21"/>
          <w:color w:val="auto"/>
        </w:rPr>
        <w:t>CERTAIN INFORMATION IDENTIFIED WITH [***] HAS BEEN OMITTED FROM THIS EXHIBIT BECAUSE IT IS BOTH (I) NOT MATERIAL AND (II) THE TYPE THAT THE REGISTRANT TREATS AS PRIVATE OR CONFIDENTIAL.</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PURCHASER GROUP SUPPLEMENT (ADDITIONAL PURCHASER GROUP)</w:t>
      </w:r>
    </w:p>
    <w:p>
      <w:pPr>
        <w:spacing w:after="0" w:line="5"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1"/>
          <w:szCs w:val="21"/>
          <w:color w:val="auto"/>
        </w:rPr>
        <w:t>PURCHASER GROUP SUPPLEMENT, dated as of December 28, 2023 among the Non-Conduit Purchaser listed on the signature pages hereof (the “</w:t>
      </w:r>
      <w:r>
        <w:rPr>
          <w:rFonts w:ascii="Times New Roman" w:cs="Times New Roman" w:eastAsia="Times New Roman" w:hAnsi="Times New Roman"/>
          <w:sz w:val="21"/>
          <w:szCs w:val="21"/>
          <w:u w:val="single" w:color="auto"/>
          <w:color w:val="auto"/>
        </w:rPr>
        <w:t>Acquiring Purchaser Group</w:t>
      </w:r>
      <w:r>
        <w:rPr>
          <w:rFonts w:ascii="Times New Roman" w:cs="Times New Roman" w:eastAsia="Times New Roman" w:hAnsi="Times New Roman"/>
          <w:sz w:val="21"/>
          <w:szCs w:val="21"/>
          <w:color w:val="auto"/>
        </w:rPr>
        <w:t>”), AVIS BUDGET RENTAL CAR FUNDING (AESOP) LLC, a Delaware limited liability company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JPMORGAN CHASE BANK, N.A., as Administrative Agent (in such capacity, the “</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and AVIS BUDGET CAR RENTAL, LLC, as Administrator (the “</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p>
    <w:p>
      <w:pPr>
        <w:spacing w:after="0" w:line="179"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WHEREAS, this Purchaser Group Supplement is being executed and delivered in accordance with </w:t>
      </w:r>
      <w:r>
        <w:rPr>
          <w:rFonts w:ascii="Times New Roman" w:cs="Times New Roman" w:eastAsia="Times New Roman" w:hAnsi="Times New Roman"/>
          <w:sz w:val="22"/>
          <w:szCs w:val="22"/>
          <w:u w:val="single" w:color="auto"/>
          <w:color w:val="auto"/>
        </w:rPr>
        <w:t>Section 2.6(e)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11.1(e)</w:t>
      </w:r>
      <w:r>
        <w:rPr>
          <w:rFonts w:ascii="Times New Roman" w:cs="Times New Roman" w:eastAsia="Times New Roman" w:hAnsi="Times New Roman"/>
          <w:sz w:val="22"/>
          <w:szCs w:val="22"/>
          <w:color w:val="auto"/>
        </w:rPr>
        <w:t xml:space="preserve"> of the Fifth Amended and Restated Series 2010-6 Supplement, dated as of April 14, 2022 (as may from time to time be further amended, supplemented or otherwise modified in accordance with the terms thereof, the “</w:t>
      </w:r>
      <w:r>
        <w:rPr>
          <w:rFonts w:ascii="Times New Roman" w:cs="Times New Roman" w:eastAsia="Times New Roman" w:hAnsi="Times New Roman"/>
          <w:sz w:val="22"/>
          <w:szCs w:val="22"/>
          <w:u w:val="single" w:color="auto"/>
          <w:color w:val="auto"/>
        </w:rPr>
        <w:t>Series 2010-6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terms defined therein being used herein as therein defined), among the Company, the Administrator, the Non-Conduit Purchasers, the CP Conduit Purchasers, the Committed Note Purchasers, the Funding Agents and the APA Banks from time to time parties thereto, the Administrative Agent and The Bank of New York Mellon Trust Company, N.A.,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Series 2010-6 Agent, to the Second Amended and Restated Base Indenture, dated as of June 3, 2004 (as may from time to time be amended, supplemented or otherwise modified in accordance with the terms thereof,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and, the Base Indenture as supplemented by the Series 2010-6 Supplement,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between the Company and the Trustee;</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the Acquiring Purchaser Group wishes to become a Non-Conduit Purchaser; and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the parties hereto hereby agree as follows:</w:t>
      </w:r>
    </w:p>
    <w:p>
      <w:pPr>
        <w:spacing w:after="0" w:line="179" w:lineRule="exact"/>
        <w:rPr>
          <w:sz w:val="20"/>
          <w:szCs w:val="20"/>
          <w:color w:val="auto"/>
        </w:rPr>
      </w:pPr>
    </w:p>
    <w:p>
      <w:pPr>
        <w:jc w:val="both"/>
        <w:ind w:firstLine="1304"/>
        <w:spacing w:after="0" w:line="220" w:lineRule="auto"/>
        <w:tabs>
          <w:tab w:leader="none" w:pos="1702"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execution and delivery of this Purchaser Group Supplement by the Acquiring Purchaser Group, the Company, the Administrator and the Administrative Agent (the date of such execution and delivery, the “</w:t>
      </w:r>
      <w:r>
        <w:rPr>
          <w:rFonts w:ascii="Times New Roman" w:cs="Times New Roman" w:eastAsia="Times New Roman" w:hAnsi="Times New Roman"/>
          <w:sz w:val="22"/>
          <w:szCs w:val="22"/>
          <w:u w:val="single" w:color="auto"/>
          <w:color w:val="auto"/>
        </w:rPr>
        <w:t>Purchaser Group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Addition Date</w:t>
      </w:r>
      <w:r>
        <w:rPr>
          <w:rFonts w:ascii="Times New Roman" w:cs="Times New Roman" w:eastAsia="Times New Roman" w:hAnsi="Times New Roman"/>
          <w:sz w:val="22"/>
          <w:szCs w:val="22"/>
          <w:color w:val="auto"/>
        </w:rPr>
        <w:t>”), the Non-Conduit Purchaser with respect to such Acquiring Purchaser Group shall be party to the Series 2010-6 Supplement and the Fee Letter, in each case, for all purposes thereof.</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68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Acquiring Purchaser Group hereby irrevocably purchases, takes and assumes a Commitment with respect to the Class A Notes equal to its Class A Maximum Purchaser Group Invested Amount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67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to this Purchaser Group Supplement agrees that at any time and from time to time upon the written request of any other party, it will execute and deliver</w:t>
      </w:r>
    </w:p>
    <w:p>
      <w:pPr>
        <w:sectPr>
          <w:pgSz w:w="11900" w:h="16838" w:orient="portrait"/>
          <w:cols w:equalWidth="0" w:num="1">
            <w:col w:w="11240"/>
          </w:cols>
          <w:pgMar w:left="320" w:top="94" w:right="339" w:bottom="1440" w:gutter="0" w:footer="0" w:header="0"/>
        </w:sectPr>
      </w:pPr>
    </w:p>
    <w:bookmarkStart w:id="118" w:name="page119"/>
    <w:bookmarkEnd w:id="118"/>
    <w:p>
      <w:pPr>
        <w:spacing w:after="0" w:line="236" w:lineRule="auto"/>
        <w:rPr>
          <w:sz w:val="20"/>
          <w:szCs w:val="20"/>
          <w:color w:val="auto"/>
        </w:rPr>
      </w:pPr>
      <w:r>
        <w:rPr>
          <w:rFonts w:ascii="Times New Roman" w:cs="Times New Roman" w:eastAsia="Times New Roman" w:hAnsi="Times New Roman"/>
          <w:sz w:val="22"/>
          <w:szCs w:val="22"/>
          <w:color w:val="auto"/>
        </w:rPr>
        <w:t>such further documents and do such further acts and things as such other party may reasonably request in order to effect the purposes of this Purchaser Group Supplement.</w:t>
      </w:r>
    </w:p>
    <w:p>
      <w:pPr>
        <w:spacing w:after="0" w:line="150" w:lineRule="exact"/>
        <w:rPr>
          <w:sz w:val="20"/>
          <w:szCs w:val="20"/>
          <w:color w:val="auto"/>
        </w:rPr>
      </w:pPr>
    </w:p>
    <w:p>
      <w:pPr>
        <w:ind w:right="20" w:firstLine="1304"/>
        <w:spacing w:after="0" w:line="236" w:lineRule="auto"/>
        <w:tabs>
          <w:tab w:leader="none" w:pos="17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and delivering this Purchaser Group Supplement, the Acquiring Purchaser Group confirms to and agrees as follows: (i) the Acquiring Purchaser Group</w:t>
      </w:r>
    </w:p>
    <w:p>
      <w:pPr>
        <w:spacing w:after="0" w:line="17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confirms that it has received a copy of the Indenture and such other Related Documents and other documents and information as it has deemed appropriate to make its own credit analysis and decision to enter into this Purchaser Group Supplement; (ii) the Acquiring Purchaser Group will, independently and without reliance upon the Administrative Agent or any other Person and based on such documents and information as it shall deem appropriate at the time, continue to make its own credit decisions in taking or not taking action under the Indenture; (iii) the Acquiring Purchaser Group appoints and authorizes the Administrative Agent to take such action as agent on its behalf and to exercise such powers under the Series 2010-6 Supplement as are delegated to the Administrative Agent by the terms thereof together with such powers as are reasonably incidental thereto, all in accordance with Article IX of the Series 2010-6 Supplement; and (iv) each member of the Acquiring Purchaser Group agrees that it will perform in accordance with their terms all of the obligations which by the terms of the Indenture are required to be performed by it as a member of the Acquiring Purchaser Group.</w:t>
      </w:r>
    </w:p>
    <w:p>
      <w:pPr>
        <w:spacing w:after="0" w:line="7" w:lineRule="exact"/>
        <w:rPr>
          <w:sz w:val="20"/>
          <w:szCs w:val="20"/>
          <w:color w:val="auto"/>
        </w:rPr>
      </w:pPr>
    </w:p>
    <w:p>
      <w:pPr>
        <w:ind w:left="1680" w:hanging="376"/>
        <w:spacing w:after="0"/>
        <w:tabs>
          <w:tab w:leader="none" w:pos="16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sets forth the administrative information with respect to the Acquiring Purchaser Group.</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3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Purchaser Group Addition Date, the Company shall pay the Acquiring Purchaser Group a one time, prorated, non-refundable fee equal to [***]% of such Acquiring Purchaser Group’s Class A Maximum Purchaser Group Invested Amount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52" w:lineRule="exact"/>
        <w:rPr>
          <w:rFonts w:ascii="Times New Roman" w:cs="Times New Roman" w:eastAsia="Times New Roman" w:hAnsi="Times New Roman"/>
          <w:sz w:val="22"/>
          <w:szCs w:val="22"/>
          <w:color w:val="auto"/>
        </w:rPr>
      </w:pPr>
    </w:p>
    <w:p>
      <w:pPr>
        <w:jc w:val="both"/>
        <w:ind w:firstLine="1304"/>
        <w:spacing w:after="0" w:line="231" w:lineRule="auto"/>
        <w:tabs>
          <w:tab w:leader="none" w:pos="169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executing this Purchaser Group Supplement, each of the Company and the Administrator hereby confirms that all of the representations and warranties made by it in the Base Indenture, the Series 2010-6 Supplement and the Related Documents to which each is a party are true and correct in all material respects on the Purchaser Group Addition Date, as if made on and as of such date (except to the extent such representations and warranties are expressly made as of another date).</w:t>
      </w:r>
    </w:p>
    <w:p>
      <w:pPr>
        <w:spacing w:after="0" w:line="137"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Purchaser Group Supplement shall be governed by, and construed in accordance with, the laws of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of New York.</w:t>
      </w:r>
    </w:p>
    <w:p>
      <w:pPr>
        <w:spacing w:after="0" w:line="15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769"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2.4 of the Base Indenture, the Issuer hereby directs the Trustee to authenticate, in the manner provided by the Base Indenture (i) an amount equal to the Class A Maximum Purchaser Group Invested Amount with respect to the Acquiring Purchaser Group of the Issuer’s Series 2010-6 Variable Funding Rental Car Asset Backed Notes, Class A (the “</w:t>
      </w:r>
      <w:r>
        <w:rPr>
          <w:rFonts w:ascii="Times New Roman" w:cs="Times New Roman" w:eastAsia="Times New Roman" w:hAnsi="Times New Roman"/>
          <w:sz w:val="21"/>
          <w:szCs w:val="21"/>
          <w:u w:val="single" w:color="auto"/>
          <w:color w:val="auto"/>
        </w:rPr>
        <w:t>Class A Note</w:t>
      </w:r>
      <w:r>
        <w:rPr>
          <w:rFonts w:ascii="Times New Roman" w:cs="Times New Roman" w:eastAsia="Times New Roman" w:hAnsi="Times New Roman"/>
          <w:sz w:val="21"/>
          <w:szCs w:val="21"/>
          <w:color w:val="auto"/>
        </w:rPr>
        <w:t>”), such Class A Note having heretofore been duly executed by the proper officers of the Issuer and delivered to the Trustee as provided in the Base Indenture and (ii) deliver such authenticated Class A Note to Acquiring Purchaser Group.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5" w:right="339" w:bottom="1440" w:gutter="0" w:footer="0" w:header="0"/>
        </w:sectPr>
      </w:pPr>
    </w:p>
    <w:bookmarkStart w:id="119" w:name="page120"/>
    <w:bookmarkEnd w:id="119"/>
    <w:p>
      <w:pPr>
        <w:ind w:firstLine="1296"/>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Purchaser Group Supplement to be executed by their respective duly authorized officers as of the date first set forth above.</w:t>
      </w:r>
    </w:p>
    <w:p>
      <w:pPr>
        <w:spacing w:after="0" w:line="200" w:lineRule="exact"/>
        <w:rPr>
          <w:sz w:val="20"/>
          <w:szCs w:val="20"/>
          <w:color w:val="auto"/>
        </w:rPr>
      </w:pPr>
    </w:p>
    <w:p>
      <w:pPr>
        <w:spacing w:after="0" w:line="22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MIZUHO BANK, LTD., as Acquiring</w:t>
      </w:r>
    </w:p>
    <w:p>
      <w:pPr>
        <w:spacing w:after="0" w:line="2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Purchaser Group</w:t>
      </w:r>
    </w:p>
    <w:p>
      <w:pPr>
        <w:spacing w:after="0" w:line="200" w:lineRule="exact"/>
        <w:rPr>
          <w:sz w:val="20"/>
          <w:szCs w:val="20"/>
          <w:color w:val="auto"/>
        </w:rPr>
      </w:pPr>
    </w:p>
    <w:p>
      <w:pPr>
        <w:spacing w:after="0" w:line="34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By: /s/ Jeremy Ebrahim</w:t>
      </w:r>
    </w:p>
    <w:p>
      <w:pPr>
        <w:spacing w:after="0" w:line="2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Purchaser Group Supplement (Mizuho)</w:t>
      </w:r>
    </w:p>
    <w:p>
      <w:pPr>
        <w:sectPr>
          <w:pgSz w:w="11900" w:h="16838" w:orient="portrait"/>
          <w:cols w:equalWidth="0" w:num="1">
            <w:col w:w="11220"/>
          </w:cols>
          <w:pgMar w:left="320" w:top="1395" w:right="359" w:bottom="1440" w:gutter="0" w:footer="0" w:header="0"/>
        </w:sectPr>
      </w:pPr>
    </w:p>
    <w:bookmarkStart w:id="120" w:name="page121"/>
    <w:bookmarkEnd w:id="120"/>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AND ACKNOWLEDGED: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AVIS BUDGET CAR RENTAL, LLC,</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Administrator</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i w:val="1"/>
          <w:iCs w:val="1"/>
          <w:color w:val="auto"/>
        </w:rPr>
        <w:t>Signature page to Purchaser Group Supplement (Mizuho)</w:t>
      </w:r>
    </w:p>
    <w:p>
      <w:pPr>
        <w:sectPr>
          <w:pgSz w:w="11900" w:h="16838" w:orient="portrait"/>
          <w:cols w:equalWidth="0" w:num="1">
            <w:col w:w="10139"/>
          </w:cols>
          <w:pgMar w:left="320" w:top="1440" w:right="1440"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Catherine Frank</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i w:val="1"/>
          <w:iCs w:val="1"/>
          <w:color w:val="auto"/>
        </w:rPr>
        <w:t>Signature page to Purchaser Group Supplement (Mizuho)</w:t>
      </w:r>
    </w:p>
    <w:p>
      <w:pPr>
        <w:sectPr>
          <w:pgSz w:w="11900" w:h="16838" w:orient="portrait"/>
          <w:cols w:equalWidth="0" w:num="1">
            <w:col w:w="10119"/>
          </w:cols>
          <w:pgMar w:left="340" w:top="1440" w:right="1440" w:bottom="1440" w:gutter="0" w:footer="0" w:header="0"/>
        </w:sectPr>
      </w:pPr>
    </w:p>
    <w:bookmarkStart w:id="122" w:name="page123"/>
    <w:bookmarkEnd w:id="122"/>
    <w:p>
      <w:pPr>
        <w:ind w:left="5060"/>
        <w:spacing w:after="0"/>
        <w:rPr>
          <w:sz w:val="20"/>
          <w:szCs w:val="20"/>
          <w:color w:val="auto"/>
        </w:rPr>
      </w:pPr>
      <w:r>
        <w:rPr>
          <w:rFonts w:ascii="Times New Roman" w:cs="Times New Roman" w:eastAsia="Times New Roman" w:hAnsi="Times New Roman"/>
          <w:sz w:val="22"/>
          <w:szCs w:val="22"/>
          <w:color w:val="auto"/>
        </w:rPr>
        <w:t>EXHIBIT A</w:t>
      </w:r>
    </w:p>
    <w:p>
      <w:pPr>
        <w:spacing w:after="0" w:line="39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22"/>
          <w:szCs w:val="22"/>
          <w:color w:val="auto"/>
        </w:rPr>
        <w:t>ADMINISTRATIVE INFORMATION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Mizuho Bank, Ltd.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Maximum</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Purchaser Group</w:t>
      </w:r>
    </w:p>
    <w:p>
      <w:pPr>
        <w:spacing w:after="0" w:line="1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Invested Amount:</w:t>
      </w:r>
      <w:r>
        <w:rPr>
          <w:sz w:val="20"/>
          <w:szCs w:val="20"/>
          <w:color w:val="auto"/>
        </w:rPr>
        <w:tab/>
      </w:r>
      <w:r>
        <w:rPr>
          <w:rFonts w:ascii="Times New Roman" w:cs="Times New Roman" w:eastAsia="Times New Roman" w:hAnsi="Times New Roman"/>
          <w:sz w:val="21"/>
          <w:szCs w:val="21"/>
          <w:color w:val="auto"/>
        </w:rPr>
        <w:t>$150,000,000.00</w:t>
      </w:r>
    </w:p>
    <w:p>
      <w:pPr>
        <w:spacing w:after="0" w:line="275"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Address:</w:t>
      </w:r>
      <w:r>
        <w:rPr>
          <w:sz w:val="20"/>
          <w:szCs w:val="20"/>
          <w:color w:val="auto"/>
        </w:rPr>
        <w:tab/>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Telephone:</w:t>
      </w:r>
      <w:r>
        <w:rPr>
          <w:sz w:val="20"/>
          <w:szCs w:val="20"/>
          <w:color w:val="auto"/>
        </w:rPr>
        <w:tab/>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2"/>
          <w:szCs w:val="22"/>
          <w:color w:val="auto"/>
        </w:rPr>
        <w:t>[***]</w:t>
      </w:r>
    </w:p>
    <w:p>
      <w:pPr>
        <w:sectPr>
          <w:pgSz w:w="11900" w:h="16838" w:orient="portrait"/>
          <w:cols w:equalWidth="0" w:num="1">
            <w:col w:w="10119"/>
          </w:cols>
          <w:pgMar w:left="340" w:top="1395"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10.90</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ADMINISTRATIVE AMENDMENT, dated as of December 27, 2023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to the SIXTH AMENDED AND</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RESTATED CREDIT AGREEMENT, dated as of July 9, 2021 (as amended, supplemented or otherwise modified from time to time,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among AVIS BUDGET HOLDINGS, LLC, a Delaware limited liability company (“</w:t>
      </w:r>
      <w:r>
        <w:rPr>
          <w:rFonts w:ascii="Times New Roman" w:cs="Times New Roman" w:eastAsia="Times New Roman" w:hAnsi="Times New Roman"/>
          <w:sz w:val="19"/>
          <w:szCs w:val="19"/>
          <w:u w:val="single" w:color="auto"/>
          <w:color w:val="auto"/>
        </w:rPr>
        <w:t>Holdings</w:t>
      </w:r>
      <w:r>
        <w:rPr>
          <w:rFonts w:ascii="Times New Roman" w:cs="Times New Roman" w:eastAsia="Times New Roman" w:hAnsi="Times New Roman"/>
          <w:sz w:val="19"/>
          <w:szCs w:val="19"/>
          <w:color w:val="auto"/>
        </w:rPr>
        <w:t>”), AVIS BUDGET CAR</w:t>
      </w:r>
    </w:p>
    <w:p>
      <w:pPr>
        <w:spacing w:after="0" w:line="211" w:lineRule="auto"/>
        <w:rPr>
          <w:sz w:val="20"/>
          <w:szCs w:val="20"/>
          <w:color w:val="auto"/>
        </w:rPr>
      </w:pPr>
      <w:r>
        <w:rPr>
          <w:rFonts w:ascii="Times New Roman" w:cs="Times New Roman" w:eastAsia="Times New Roman" w:hAnsi="Times New Roman"/>
          <w:sz w:val="20"/>
          <w:szCs w:val="20"/>
          <w:color w:val="auto"/>
        </w:rPr>
        <w:t>RENTAL,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AVIS BUDGET GROUP, INC., a Delaware corporation, the</w:t>
      </w:r>
    </w:p>
    <w:p>
      <w:pPr>
        <w:spacing w:after="0" w:line="221" w:lineRule="auto"/>
        <w:rPr>
          <w:sz w:val="20"/>
          <w:szCs w:val="20"/>
          <w:color w:val="auto"/>
        </w:rPr>
      </w:pPr>
      <w:r>
        <w:rPr>
          <w:rFonts w:ascii="Times New Roman" w:cs="Times New Roman" w:eastAsia="Times New Roman" w:hAnsi="Times New Roman"/>
          <w:sz w:val="20"/>
          <w:szCs w:val="20"/>
          <w:color w:val="auto"/>
        </w:rPr>
        <w:t>Subsidiary Borrowers party thereto, the several lenders from time to time party thereto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JPMORGAN CHASE BANK, N.A., as the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 :</w:t>
      </w:r>
    </w:p>
    <w:p>
      <w:pPr>
        <w:spacing w:after="0" w:line="189"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auto"/>
        </w:rPr>
        <w:t>WHEREAS, the Borrower and the Administrative Agent have identified an ambiguity, omission, defect or inconsistency of a technical nature in connection with the commencement date of the repayment of the Tranche C Term Loans set forth in Section 2.3(b) of the</w:t>
      </w:r>
    </w:p>
    <w:p>
      <w:pP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NOW, THEREFORE, pursuant to Section 10.1(e) of the Credit Agreement the parties hereto hereby agree as follows:</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w:t>
      </w:r>
      <w:r>
        <w:rPr>
          <w:sz w:val="20"/>
          <w:szCs w:val="20"/>
          <w:color w:val="auto"/>
        </w:rPr>
        <w:tab/>
      </w:r>
      <w:r>
        <w:rPr>
          <w:rFonts w:ascii="Times New Roman" w:cs="Times New Roman" w:eastAsia="Times New Roman" w:hAnsi="Times New Roman"/>
          <w:sz w:val="19"/>
          <w:szCs w:val="19"/>
          <w:color w:val="auto"/>
        </w:rPr>
        <w:t>DEFINITIONS.</w:t>
      </w:r>
    </w:p>
    <w:p>
      <w:pPr>
        <w:spacing w:after="0" w:line="18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Terms defined in the Credit Agreement and used herein shall have the meanings given to them in the Credit Agreement unless otherwise defined herein.</w:t>
      </w:r>
    </w:p>
    <w:p>
      <w:pPr>
        <w:spacing w:after="0" w:line="1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ADMINISTRATIVE AMENDMENT PURSUANT TO SECTION 10.1(e).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Amendment of the Commencement Date of the Tranche C Term Loans Repayment</w:t>
      </w:r>
      <w:r>
        <w:rPr>
          <w:rFonts w:ascii="Times New Roman" w:cs="Times New Roman" w:eastAsia="Times New Roman" w:hAnsi="Times New Roman"/>
          <w:sz w:val="20"/>
          <w:szCs w:val="20"/>
          <w:color w:val="auto"/>
        </w:rPr>
        <w:t>. Pursuant to Section 10.1(e) of the</w:t>
      </w:r>
    </w:p>
    <w:p>
      <w:pPr>
        <w:ind w:right="160"/>
        <w:spacing w:after="0" w:line="204" w:lineRule="auto"/>
        <w:rPr>
          <w:sz w:val="20"/>
          <w:szCs w:val="20"/>
          <w:color w:val="auto"/>
        </w:rPr>
      </w:pPr>
      <w:r>
        <w:rPr>
          <w:rFonts w:ascii="Times New Roman" w:cs="Times New Roman" w:eastAsia="Times New Roman" w:hAnsi="Times New Roman"/>
          <w:sz w:val="20"/>
          <w:szCs w:val="20"/>
          <w:color w:val="auto"/>
        </w:rPr>
        <w:t>Credit Agreement, the Borrower and the Administrative Agent hereby provide written notice to the Lenders that the commencement date of the repayment of the Tranche C Term Loans set forth in Section 2.3(b) of the Credit Agreement is amended to correct an ambiguity,</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omission, defect or inconsistency of a technical nature in the Credit Agreement, which amendment shall become effective without any further action or consent of any Person if the Administrative Agent shall not have received, within five Business Days of the first date a draft of this</w:t>
      </w:r>
    </w:p>
    <w:p>
      <w:pPr>
        <w:spacing w:after="0" w:line="211" w:lineRule="auto"/>
        <w:rPr>
          <w:sz w:val="20"/>
          <w:szCs w:val="20"/>
          <w:color w:val="auto"/>
        </w:rPr>
      </w:pPr>
      <w:r>
        <w:rPr>
          <w:rFonts w:ascii="Times New Roman" w:cs="Times New Roman" w:eastAsia="Times New Roman" w:hAnsi="Times New Roman"/>
          <w:sz w:val="20"/>
          <w:szCs w:val="20"/>
          <w:color w:val="auto"/>
        </w:rPr>
        <w:t>Amendment is posted or otherwise provided for review by the Lenders, a written notice from the Required Lenders stating that the Required</w:t>
      </w:r>
    </w:p>
    <w:p>
      <w:pPr>
        <w:ind w:right="40"/>
        <w:spacing w:after="0" w:line="221" w:lineRule="auto"/>
        <w:rPr>
          <w:sz w:val="20"/>
          <w:szCs w:val="20"/>
          <w:color w:val="auto"/>
        </w:rPr>
      </w:pPr>
      <w:r>
        <w:rPr>
          <w:rFonts w:ascii="Times New Roman" w:cs="Times New Roman" w:eastAsia="Times New Roman" w:hAnsi="Times New Roman"/>
          <w:sz w:val="20"/>
          <w:szCs w:val="20"/>
          <w:color w:val="auto"/>
        </w:rPr>
        <w:t>Lenders object to this Amendment. In accordance with the foregoing, clause (b) of Section 2.3 of the Credit Agreement is hereby amended to delete “March 31, 2023” and insert in lieu thereof “March 31, 2024”.</w:t>
      </w:r>
    </w:p>
    <w:p>
      <w:pPr>
        <w:spacing w:after="0" w:line="162"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Conditions to Effectiveness of Amendment</w:t>
      </w:r>
      <w:r>
        <w:rPr>
          <w:rFonts w:ascii="Times New Roman" w:cs="Times New Roman" w:eastAsia="Times New Roman" w:hAnsi="Times New Roman"/>
          <w:sz w:val="20"/>
          <w:szCs w:val="20"/>
          <w:color w:val="auto"/>
        </w:rPr>
        <w:t>. This Amendment shall become effective on the date (the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on which the following conditions shall have been satisfied:</w:t>
      </w:r>
    </w:p>
    <w:p>
      <w:pPr>
        <w:spacing w:after="0" w:line="148" w:lineRule="exact"/>
        <w:rPr>
          <w:sz w:val="20"/>
          <w:szCs w:val="20"/>
          <w:color w:val="auto"/>
        </w:rPr>
      </w:pPr>
    </w:p>
    <w:p>
      <w:pPr>
        <w:ind w:left="660" w:firstLine="1292"/>
        <w:spacing w:after="0"/>
        <w:tabs>
          <w:tab w:leader="none" w:pos="244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The Administrative Agent shall have received this Amendment, executed and delivered by the Borrower and the Administrative Agent.</w:t>
      </w:r>
    </w:p>
    <w:p>
      <w:pPr>
        <w:spacing w:after="0" w:line="161"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42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objection</w:t>
      </w:r>
      <w:r>
        <w:rPr>
          <w:rFonts w:ascii="Times New Roman" w:cs="Times New Roman" w:eastAsia="Times New Roman" w:hAnsi="Times New Roman"/>
          <w:sz w:val="20"/>
          <w:szCs w:val="20"/>
          <w:color w:val="auto"/>
        </w:rPr>
        <w:t>. The Administrative Agent shall not have received, within five Business Days of the first date a draft of this Amendment is posted or otherwise provided for review by the Lenders, a written notice from the Required Lenders stating that the Required Lenders object to this Amendment.</w:t>
      </w:r>
    </w:p>
    <w:p>
      <w:pPr>
        <w:sectPr>
          <w:pgSz w:w="11900" w:h="16838" w:orient="portrait"/>
          <w:cols w:equalWidth="0" w:num="1">
            <w:col w:w="11240"/>
          </w:cols>
          <w:pgMar w:left="320" w:top="94" w:right="339" w:bottom="1440" w:gutter="0" w:footer="0" w:header="0"/>
        </w:sectPr>
      </w:pPr>
    </w:p>
    <w:bookmarkStart w:id="124" w:name="page125"/>
    <w:bookmarkEnd w:id="124"/>
    <w:p>
      <w:pPr>
        <w:ind w:left="400"/>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 xml:space="preserve">2.3 </w:t>
      </w:r>
      <w:r>
        <w:rPr>
          <w:rFonts w:ascii="Times New Roman" w:cs="Times New Roman" w:eastAsia="Times New Roman" w:hAnsi="Times New Roman"/>
          <w:sz w:val="19"/>
          <w:szCs w:val="19"/>
          <w:u w:val="single" w:color="auto"/>
          <w:color w:val="auto"/>
        </w:rPr>
        <w:t>Continuing Effect; No Other Waivers or Amendments</w:t>
      </w:r>
      <w:r>
        <w:rPr>
          <w:rFonts w:ascii="Times New Roman" w:cs="Times New Roman" w:eastAsia="Times New Roman" w:hAnsi="Times New Roman"/>
          <w:sz w:val="19"/>
          <w:szCs w:val="19"/>
          <w:color w:val="auto"/>
        </w:rPr>
        <w:t>. This Amendment shall not constitute an amendment or waiver of</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consent to any provision of the Credit Agreement and the other Loan Documents not expressly referred to herein and shall not be construed as an amendment, waiver or consent to any action on the part of the Borrower that would require an amendment, waiver or consent</w:t>
      </w:r>
    </w:p>
    <w:p>
      <w:pPr>
        <w:spacing w:after="0" w:line="222" w:lineRule="auto"/>
        <w:rPr>
          <w:sz w:val="20"/>
          <w:szCs w:val="20"/>
          <w:color w:val="auto"/>
        </w:rPr>
      </w:pPr>
      <w:r>
        <w:rPr>
          <w:rFonts w:ascii="Times New Roman" w:cs="Times New Roman" w:eastAsia="Times New Roman" w:hAnsi="Times New Roman"/>
          <w:sz w:val="19"/>
          <w:szCs w:val="19"/>
          <w:color w:val="auto"/>
        </w:rPr>
        <w:t>of the Administrative Agent or the Lenders except as expressly stated herein. The amendments provided for herein are limited to the specific</w:t>
      </w:r>
    </w:p>
    <w:p>
      <w:pPr>
        <w:spacing w:after="0" w:line="204" w:lineRule="auto"/>
        <w:rPr>
          <w:sz w:val="20"/>
          <w:szCs w:val="20"/>
          <w:color w:val="auto"/>
        </w:rPr>
      </w:pPr>
      <w:r>
        <w:rPr>
          <w:rFonts w:ascii="Times New Roman" w:cs="Times New Roman" w:eastAsia="Times New Roman" w:hAnsi="Times New Roman"/>
          <w:sz w:val="20"/>
          <w:szCs w:val="20"/>
          <w:color w:val="auto"/>
        </w:rPr>
        <w:t>subsections of the Credit Agreement specified herein and shall not constitute a consent, waiver or amendment of, or an indication of the Administrative Agent’s or the Lenders’ willingness to consent to any action requiring consent under any other provisions of the Credit</w:t>
      </w:r>
    </w:p>
    <w:p>
      <w:pPr>
        <w:spacing w:after="0" w:line="211" w:lineRule="auto"/>
        <w:rPr>
          <w:sz w:val="20"/>
          <w:szCs w:val="20"/>
          <w:color w:val="auto"/>
        </w:rPr>
      </w:pPr>
      <w:r>
        <w:rPr>
          <w:rFonts w:ascii="Times New Roman" w:cs="Times New Roman" w:eastAsia="Times New Roman" w:hAnsi="Times New Roman"/>
          <w:sz w:val="20"/>
          <w:szCs w:val="20"/>
          <w:color w:val="auto"/>
        </w:rPr>
        <w:t>Agreement or the same subsection for any other date or time period. Except as expressly amended, consented to or waived hereby,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provisions of the Credit Agreement and the other Loan Documents are and shall remain in full force and effect in accordance with their terms. Upon the effectiveness of the amendments set forth herein, on and after the Amendment Effective Date, each reference in the Credit</w:t>
      </w:r>
    </w:p>
    <w:p>
      <w:pPr>
        <w:spacing w:after="0" w:line="223" w:lineRule="auto"/>
        <w:rPr>
          <w:sz w:val="20"/>
          <w:szCs w:val="20"/>
          <w:color w:val="auto"/>
        </w:rPr>
      </w:pPr>
      <w:r>
        <w:rPr>
          <w:rFonts w:ascii="Times New Roman" w:cs="Times New Roman" w:eastAsia="Times New Roman" w:hAnsi="Times New Roman"/>
          <w:sz w:val="19"/>
          <w:szCs w:val="19"/>
          <w:color w:val="auto"/>
        </w:rPr>
        <w:t>Agreement to “this Agreement,” “the Agreement,” “hereunder,” “hereof” or words of like import referring to the Credit Agreement, and each</w:t>
      </w:r>
    </w:p>
    <w:p>
      <w:pPr>
        <w:spacing w:after="0" w:line="221" w:lineRule="auto"/>
        <w:rPr>
          <w:sz w:val="20"/>
          <w:szCs w:val="20"/>
          <w:color w:val="auto"/>
        </w:rPr>
      </w:pPr>
      <w:r>
        <w:rPr>
          <w:rFonts w:ascii="Times New Roman" w:cs="Times New Roman" w:eastAsia="Times New Roman" w:hAnsi="Times New Roman"/>
          <w:sz w:val="20"/>
          <w:szCs w:val="20"/>
          <w:color w:val="auto"/>
        </w:rPr>
        <w:t>reference in the other Loan Documents to “Credit Agreement,” “thereunder,” “thereof” or words of like import referring to the Credit Agreement, shall mean and be a reference to the Credit Agreement as amended hereby.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 xml:space="preserve">2.4 </w:t>
      </w:r>
      <w:r>
        <w:rPr>
          <w:rFonts w:ascii="Times New Roman" w:cs="Times New Roman" w:eastAsia="Times New Roman" w:hAnsi="Times New Roman"/>
          <w:sz w:val="19"/>
          <w:szCs w:val="19"/>
          <w:u w:val="single" w:color="auto"/>
          <w:color w:val="auto"/>
        </w:rPr>
        <w:t>Loan Documents</w:t>
      </w:r>
      <w:r>
        <w:rPr>
          <w:rFonts w:ascii="Times New Roman" w:cs="Times New Roman" w:eastAsia="Times New Roman" w:hAnsi="Times New Roman"/>
          <w:sz w:val="19"/>
          <w:szCs w:val="19"/>
          <w:color w:val="auto"/>
        </w:rPr>
        <w:t>. Each Loan Party executing this Amendment confirms and agrees that notwithstanding the effectiveness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this Amendment, each Loan Document to which such Person is a party is, and shall continue to be, in full force and effect and is hereby ratified and confirmed in all respects, in each case as amended by this Amendment.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any number of counterparts by the parties hereto (including by</w:t>
      </w:r>
    </w:p>
    <w:p>
      <w:pPr>
        <w:spacing w:after="0" w:line="204" w:lineRule="auto"/>
        <w:rPr>
          <w:sz w:val="20"/>
          <w:szCs w:val="20"/>
          <w:color w:val="auto"/>
        </w:rPr>
      </w:pPr>
      <w:r>
        <w:rPr>
          <w:rFonts w:ascii="Times New Roman" w:cs="Times New Roman" w:eastAsia="Times New Roman" w:hAnsi="Times New Roman"/>
          <w:sz w:val="20"/>
          <w:szCs w:val="20"/>
          <w:color w:val="auto"/>
        </w:rPr>
        <w:t>facsimile and electronic (e.g. “.pdf”, or “.tif”) transmission), each of which counterparts when so executed shall be an original, but all the counterparts shall together constitute one and the same instrument. The words “execution,” “signed,” “signature,” “delivery,” and words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like import in or relating to this Amendment or any document to be signed in connection with this Amendment and the transactions contemplated hereby shall be deemed to include Electronic Signatures, deliveries or the keeping of records in electronic form, each of which</w:t>
      </w:r>
    </w:p>
    <w:p>
      <w:pPr>
        <w:spacing w:after="0" w:line="211" w:lineRule="auto"/>
        <w:rPr>
          <w:sz w:val="20"/>
          <w:szCs w:val="20"/>
          <w:color w:val="auto"/>
        </w:rPr>
      </w:pPr>
      <w:r>
        <w:rPr>
          <w:rFonts w:ascii="Times New Roman" w:cs="Times New Roman" w:eastAsia="Times New Roman" w:hAnsi="Times New Roman"/>
          <w:sz w:val="20"/>
          <w:szCs w:val="20"/>
          <w:color w:val="auto"/>
        </w:rPr>
        <w:t>shall be of the same legal effect, validity or enforceability as a manually executed signature, physical delivery thereof or the use of a paper-</w:t>
      </w:r>
    </w:p>
    <w:p>
      <w:pPr>
        <w:spacing w:after="0" w:line="215" w:lineRule="auto"/>
        <w:rPr>
          <w:sz w:val="20"/>
          <w:szCs w:val="20"/>
          <w:color w:val="auto"/>
        </w:rPr>
      </w:pPr>
      <w:r>
        <w:rPr>
          <w:rFonts w:ascii="Times New Roman" w:cs="Times New Roman" w:eastAsia="Times New Roman" w:hAnsi="Times New Roman"/>
          <w:sz w:val="19"/>
          <w:szCs w:val="19"/>
          <w:color w:val="auto"/>
        </w:rPr>
        <w:t>based recordkeeping system, as the case may be, to the extent and as provided for in any applicable law, including the Federal Electronic Signatures in Global and National Commerce Act, the New York State Electronic Signatures and Records Act, or any other similar state laws</w:t>
      </w:r>
    </w:p>
    <w:p>
      <w:pPr>
        <w:spacing w:after="0" w:line="211" w:lineRule="auto"/>
        <w:rPr>
          <w:sz w:val="20"/>
          <w:szCs w:val="20"/>
          <w:color w:val="auto"/>
        </w:rPr>
      </w:pPr>
      <w:r>
        <w:rPr>
          <w:rFonts w:ascii="Times New Roman" w:cs="Times New Roman" w:eastAsia="Times New Roman" w:hAnsi="Times New Roman"/>
          <w:sz w:val="20"/>
          <w:szCs w:val="20"/>
          <w:color w:val="auto"/>
        </w:rPr>
        <w:t>based on the Uniform Electronic Transactions Act; provided that nothing herein shall require the Administrative Agent to accept electronic</w:t>
      </w:r>
    </w:p>
    <w:p>
      <w:pPr>
        <w:spacing w:after="0" w:line="215" w:lineRule="auto"/>
        <w:rPr>
          <w:sz w:val="20"/>
          <w:szCs w:val="20"/>
          <w:color w:val="auto"/>
        </w:rPr>
      </w:pPr>
      <w:r>
        <w:rPr>
          <w:rFonts w:ascii="Times New Roman" w:cs="Times New Roman" w:eastAsia="Times New Roman" w:hAnsi="Times New Roman"/>
          <w:sz w:val="19"/>
          <w:szCs w:val="19"/>
          <w:color w:val="auto"/>
        </w:rPr>
        <w:t>signatures in any form or format without its prior written consent. As used herein, “Electronic Signature” means an electronic sound, symbol, or process attached to, or associated with, a contract or other record and adopted by a Person with the intent to sign, authenticate or accept</w:t>
      </w:r>
    </w:p>
    <w:p>
      <w:pPr>
        <w:spacing w:after="0"/>
        <w:rPr>
          <w:sz w:val="20"/>
          <w:szCs w:val="20"/>
          <w:color w:val="auto"/>
        </w:rPr>
      </w:pPr>
      <w:r>
        <w:rPr>
          <w:rFonts w:ascii="Times New Roman" w:cs="Times New Roman" w:eastAsia="Times New Roman" w:hAnsi="Times New Roman"/>
          <w:sz w:val="20"/>
          <w:szCs w:val="20"/>
          <w:color w:val="auto"/>
        </w:rPr>
        <w:t>such contract or record.</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AND THE RIGHTS AND OBLIGATIONS OF THE PARTIES UNDER THIS AMENDMENT SHALL BE GOVERNED BY, AND CONSTRUED AND INTERPRETED IN ACCORDANCE WITH, THE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STATE OF NEW YORK.</w:t>
      </w:r>
    </w:p>
    <w:p>
      <w:pPr>
        <w:sectPr>
          <w:pgSz w:w="11900" w:h="16838" w:orient="portrait"/>
          <w:cols w:equalWidth="0" w:num="1">
            <w:col w:w="11240"/>
          </w:cols>
          <w:pgMar w:left="320" w:top="104" w:right="339" w:bottom="1440" w:gutter="0" w:footer="0" w:header="0"/>
        </w:sectPr>
      </w:pPr>
    </w:p>
    <w:bookmarkStart w:id="125" w:name="page126"/>
    <w:bookmarkEnd w:id="125"/>
    <w:p>
      <w:pPr>
        <w:ind w:firstLine="1296"/>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Amendment to be executed and delivered by their respective duly authorized officers as of the date first above written.</w:t>
      </w:r>
    </w:p>
    <w:p>
      <w:pPr>
        <w:spacing w:after="0" w:line="200" w:lineRule="exact"/>
        <w:rPr>
          <w:sz w:val="20"/>
          <w:szCs w:val="20"/>
          <w:color w:val="auto"/>
        </w:rPr>
      </w:pPr>
    </w:p>
    <w:p>
      <w:pPr>
        <w:spacing w:after="0" w:line="24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AVIS BUDGET CAR RENTAL, LLC,</w:t>
      </w:r>
    </w:p>
    <w:p>
      <w:pPr>
        <w:spacing w:after="0" w:line="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as Borrower</w:t>
      </w:r>
    </w:p>
    <w:p>
      <w:pPr>
        <w:spacing w:after="0" w:line="200" w:lineRule="exact"/>
        <w:rPr>
          <w:sz w:val="20"/>
          <w:szCs w:val="20"/>
          <w:color w:val="auto"/>
        </w:rPr>
      </w:pPr>
    </w:p>
    <w:p>
      <w:pPr>
        <w:spacing w:after="0" w:line="297" w:lineRule="exact"/>
        <w:rPr>
          <w:sz w:val="20"/>
          <w:szCs w:val="20"/>
          <w:color w:val="auto"/>
        </w:rPr>
      </w:pPr>
    </w:p>
    <w:p>
      <w:pPr>
        <w:ind w:left="5120"/>
        <w:spacing w:after="0"/>
        <w:tabs>
          <w:tab w:leader="none" w:pos="5640" w:val="left"/>
        </w:tabs>
        <w:rPr>
          <w:sz w:val="20"/>
          <w:szCs w:val="20"/>
          <w:color w:val="auto"/>
        </w:rPr>
      </w:pPr>
      <w:r>
        <w:rPr>
          <w:rFonts w:ascii="Times New Roman" w:cs="Times New Roman" w:eastAsia="Times New Roman" w:hAnsi="Times New Roman"/>
          <w:sz w:val="20"/>
          <w:szCs w:val="20"/>
          <w:color w:val="auto"/>
        </w:rPr>
        <w:t>By</w:t>
        <w:tab/>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22860</wp:posOffset>
            </wp:positionV>
            <wp:extent cx="33000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2">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David T. Calabria</w:t>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Administrative Amendment]</w:t>
      </w:r>
    </w:p>
    <w:p>
      <w:pPr>
        <w:sectPr>
          <w:pgSz w:w="11900" w:h="16838" w:orient="portrait"/>
          <w:cols w:equalWidth="0" w:num="1">
            <w:col w:w="11060"/>
          </w:cols>
          <w:pgMar w:left="320" w:top="1399" w:right="519" w:bottom="1440" w:gutter="0" w:footer="0" w:header="0"/>
        </w:sectPr>
      </w:pPr>
    </w:p>
    <w:bookmarkStart w:id="126" w:name="page127"/>
    <w:bookmarkEnd w:id="126"/>
    <w:p>
      <w:pPr>
        <w:spacing w:after="0" w:line="1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9"/>
          <w:szCs w:val="19"/>
          <w:color w:val="auto"/>
        </w:rPr>
        <w:t>JPMORGAN CHASE BANK, N.A., as</w:t>
      </w:r>
    </w:p>
    <w:p>
      <w:pPr>
        <w:spacing w:after="0" w:line="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297" w:lineRule="exact"/>
        <w:rPr>
          <w:sz w:val="20"/>
          <w:szCs w:val="20"/>
          <w:color w:val="auto"/>
        </w:rPr>
      </w:pPr>
    </w:p>
    <w:p>
      <w:pPr>
        <w:ind w:left="4000"/>
        <w:spacing w:after="0"/>
        <w:tabs>
          <w:tab w:leader="none" w:pos="4520" w:val="left"/>
        </w:tabs>
        <w:rPr>
          <w:sz w:val="20"/>
          <w:szCs w:val="20"/>
          <w:color w:val="auto"/>
        </w:rPr>
      </w:pPr>
      <w:r>
        <w:rPr>
          <w:rFonts w:ascii="Times New Roman" w:cs="Times New Roman" w:eastAsia="Times New Roman" w:hAnsi="Times New Roman"/>
          <w:sz w:val="20"/>
          <w:szCs w:val="20"/>
          <w:color w:val="auto"/>
        </w:rPr>
        <w:t>By</w:t>
        <w:tab/>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22860</wp:posOffset>
            </wp:positionV>
            <wp:extent cx="33000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Robert P. Kellas</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Administrative Amendment]</w:t>
      </w:r>
    </w:p>
    <w:p>
      <w:pPr>
        <w:sectPr>
          <w:pgSz w:w="11900" w:h="16838" w:orient="portrait"/>
          <w:cols w:equalWidth="0" w:num="1">
            <w:col w:w="9019"/>
          </w:cols>
          <w:pgMar w:left="1440" w:top="1440"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10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2233516 Ontario,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AAA France Cars SAS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Canada Holdings II Partnership</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Car Rental Services,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FleetCo SAS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Funding Pty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Group Financial Services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Luxembourg Holdings S.á r.l.</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Luxembourg</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Scotland Finance I, LP</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 Scotland Finance II, LP</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ABG Car Services Holdings,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ABG Commerce Consultancy (Shanghai) Co.,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China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ABG Contact Centre EMEA S.A.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Spain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ABG Scandinavia Holdings 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Norway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ACL Hire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Advance Ross Corporation</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Advance Ross Intermediate Corporation</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Advance Ross Sub Company</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 Consolidation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 Holdco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Aegis Motor Insurance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Isle of Man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AESOP Funding Corp.</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AESOP Leasing Corp.</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AESOP Leasing Corp. II</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AESOP Leasing L.P.</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Apex Car Rentals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Apex Car Rentals Pty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AU HoldCo Pty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Auto Accident Consultants Pty.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Auto-Hall S.A.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Monaco</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Africa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Alquile Un Coche SA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Spain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Asia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Autovermietung Beteiligungsgesellschaft mbH</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Germany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Autovermietung Gesellschaft m.b.H.</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Belgium NV</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Belgium</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Autovermietung AG</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Switzerland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Autovermietung GmbH &amp; Co. KG</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Germany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Autovermietung Verwaltungsgesellschaft mbH</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Germany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Brasil Ltda.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Brazil</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Car Rental Canada ULC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Car Rental,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Contact Centers,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de Puerto Rico,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Puerto Rico</w:t>
            </w:r>
          </w:p>
        </w:tc>
      </w:tr>
    </w:tbl>
    <w:p>
      <w:pPr>
        <w:sectPr>
          <w:pgSz w:w="11900" w:h="16838" w:orient="portrait"/>
          <w:cols w:equalWidth="0" w:num="1">
            <w:col w:w="10840"/>
          </w:cols>
          <w:pgMar w:left="720" w:top="124" w:right="33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10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Denmark 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Denmark</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EMEA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Europe International Reinsurance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Isle of Man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Finance plc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Jersey Channel Islands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Finance,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Group BSC Kft.</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Hungary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Group Contact Centre EMEA S.A.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Spain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Group Pty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Holdings,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International Capital (Singapore) Pte.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Singapore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International Financing S.á r.l.</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Luxembourg</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Italia S.P.A.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Italia S.P.A. FleetCo S.A.P.A.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Leasing Denmark 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Denmark</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Rental Car Funding (AESOP)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Services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Sp. Z.o.o.</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Poland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Technology Innovations Private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India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Budget UK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Car Rental Group,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Car Sales,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Car Sales UTD,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Caribbean,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Europe and Middle East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Europe Group Holdings B.V.</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Netherlands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Europe Holdings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Europe Risk Management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Finance Company (No. 3)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Jersey Channel Islands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Finance Company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Financement Vehicules SAS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Group Holdings,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India Investments Private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India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India Mobility Solutions Private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India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International Holdings,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International,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Location de Voitures S.á r.l.</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Luxembourg</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Location de Voitures SAS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Management Pty.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Pension Trustees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Rent A Car (Isle Of Man)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Isle of Man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Rent A Car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Rent A Car Sdn. Bhd.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Malaysia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 Rent A Car System,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AvisBudget Group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Aviscar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bl>
    <w:p>
      <w:pPr>
        <w:sectPr>
          <w:pgSz w:w="11900" w:h="16838" w:orient="portrait"/>
          <w:cols w:equalWidth="0" w:num="1">
            <w:col w:w="9739"/>
          </w:cols>
          <w:pgMar w:left="720" w:top="1300" w:right="1440"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10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Bell'Aria S.p.A.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Budget International,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Rent A Car Australia Pty.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Rent A Car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Rent a Car Operations Pty.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Rent A Car System,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 Truck Rental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Budgetcar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Bullas Inversiones S.L.</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Spain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Camfox Pty.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CCRG Serviços de Automóveis Ltda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Brazil</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CD Intellectual Property Holdings,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Cendant Finance Holding Company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Centre Point Funding,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Chaconne Pty.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Constellation Reinsurance Company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Barbados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CSD1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Flexcar India Private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India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Garep AG</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Switzerland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McNicoll Vehicle Hire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McNicoll Vehicle Sales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Scotland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Morini SpA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Italy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Motorent,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Tennessee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National Car Rentals (Private)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Singapore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Car Rental Canada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Car Rental System,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Florida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Car Rental,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Nevada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Car Sales,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Florida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Payless Parking, LLC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Florida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PR Holdco,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PV Holding Corp.</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Quartx Fleet Management,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RAC Norway 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Norway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SCA sas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France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Servicios Avis S.A.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Mexico</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Sovialma-Sociedade De Viaturas De Aluguer Da Madeira LDA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Portugal</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Sovial-Sociedade De Viaturas De Aluguer LDA</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Portugal</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Sweden Rent A Car AB</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Sweden</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Transfercar4U AS</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Norway</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Virgin Islands Enterprises,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Virgin Islands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(Sub 1) Pty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(Sub 2)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New Zealand</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Fleet Leasing Pty.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PTY.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We Try Harder Pty.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bl>
    <w:p>
      <w:pPr>
        <w:sectPr>
          <w:pgSz w:w="11900" w:h="16838" w:orient="portrait"/>
          <w:cols w:equalWidth="0" w:num="1">
            <w:col w:w="9739"/>
          </w:cols>
          <w:pgMar w:left="720" w:top="1300" w:right="1440"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Subsidiary</w:t>
            </w:r>
          </w:p>
        </w:tc>
        <w:tc>
          <w:tcPr>
            <w:tcW w:w="100" w:type="dxa"/>
            <w:vAlign w:val="bottom"/>
          </w:tcPr>
          <w:p>
            <w:pPr>
              <w:spacing w:after="0"/>
              <w:rPr>
                <w:sz w:val="19"/>
                <w:szCs w:val="19"/>
                <w:color w:val="auto"/>
              </w:rPr>
            </w:pPr>
          </w:p>
        </w:tc>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Jurisdiction of Incorporation</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Wizard Co.,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30383C"/>
              </w:rPr>
              <w:t>Wizard Services,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Canada,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Car Rental ULC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WTH Funding Limited Partnership</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Yourway Rent A Car Pty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Australia Pty Ltd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Australia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Delaware</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Canada Inc.</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Canada</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Securities Corporation</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Massachusetts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Zipcar (UK)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Zodiac Europe Finance Company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r>
        <w:trPr>
          <w:trHeight w:val="216"/>
        </w:trPr>
        <w:tc>
          <w:tcPr>
            <w:tcW w:w="5540" w:type="dxa"/>
            <w:vAlign w:val="bottom"/>
          </w:tcPr>
          <w:p>
            <w:pPr>
              <w:ind w:left="20"/>
              <w:spacing w:after="0"/>
              <w:rPr>
                <w:sz w:val="20"/>
                <w:szCs w:val="20"/>
                <w:color w:val="auto"/>
              </w:rPr>
            </w:pPr>
            <w:r>
              <w:rPr>
                <w:rFonts w:ascii="Arial" w:cs="Arial" w:eastAsia="Arial" w:hAnsi="Arial"/>
                <w:sz w:val="16"/>
                <w:szCs w:val="16"/>
                <w:color w:val="30383C"/>
              </w:rPr>
              <w:t>Zodiac Europe Limited</w:t>
            </w:r>
          </w:p>
        </w:tc>
        <w:tc>
          <w:tcPr>
            <w:tcW w:w="10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30383C"/>
              </w:rPr>
              <w:t>England and Wales</w:t>
            </w:r>
          </w:p>
        </w:tc>
      </w:tr>
    </w:tbl>
    <w:p>
      <w:pPr>
        <w:sectPr>
          <w:pgSz w:w="11900" w:h="16838" w:orient="portrait"/>
          <w:cols w:equalWidth="0" w:num="1">
            <w:col w:w="9739"/>
          </w:cols>
          <w:pgMar w:left="720" w:top="1300"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consent to the incorporation by reference in Registration Statement No. 333-253195 on Form S-3 and Registration Statement Nos. 333-78475, 333-38638, 333-58670, 333-124925, 333-144143, 333-161418, 333-197770, 333-212706 and 333-233045 on Form S-8 of our reports dated February 16, 2024, relating to the financial statements of Avis Budget Group, Inc. and the effectiveness of Avis Budget Group, Inc.’s internal control over financial reporting appearing in this Annual Report on Form 10-K of Avis Budget Group, Inc. for the year ended December 31, 2023.</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2024</w:t>
      </w:r>
    </w:p>
    <w:p>
      <w:pPr>
        <w:sectPr>
          <w:pgSz w:w="11900" w:h="16838" w:orient="portrait"/>
          <w:cols w:equalWidth="0" w:num="1">
            <w:col w:w="11240"/>
          </w:cols>
          <w:pgMar w:left="320" w:top="1417"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171" w:lineRule="exact"/>
        <w:rPr>
          <w:sz w:val="20"/>
          <w:szCs w:val="20"/>
          <w:color w:val="auto"/>
        </w:rPr>
      </w:pPr>
    </w:p>
    <w:p>
      <w:pPr>
        <w:ind w:left="640" w:hanging="308"/>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2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2024</w:t>
      </w:r>
    </w:p>
    <w:p>
      <w:pPr>
        <w:spacing w:after="0" w:line="5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17780</wp:posOffset>
            </wp:positionV>
            <wp:extent cx="1534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w:t>
      </w:r>
    </w:p>
    <w:p>
      <w:pPr>
        <w:jc w:val="center"/>
        <w:ind w:right="-39"/>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89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Izilda P. Martins, certify that:</w:t>
      </w:r>
    </w:p>
    <w:p>
      <w:pPr>
        <w:spacing w:after="0" w:line="171" w:lineRule="exact"/>
        <w:rPr>
          <w:sz w:val="20"/>
          <w:szCs w:val="20"/>
          <w:color w:val="auto"/>
        </w:rPr>
      </w:pPr>
    </w:p>
    <w:p>
      <w:pPr>
        <w:ind w:left="640" w:hanging="308"/>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2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2024</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Izilda P.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17780</wp:posOffset>
            </wp:positionV>
            <wp:extent cx="24517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Annual Report of Avis Budget Group, Inc. (the “Company”) on Form 10-K for the period ended December 31, 2023, as filed with the Securities and Exchange Commission on the date hereof (the “Report”), Joseph A. Ferraro, as Chief Executive Officer of the Company, and Izilda P. Martins, as Chief Financial Officer of the Company, each hereby certifies, pursuant to 18 U.S.C. Section 1350, as adopted pursuant to Section 906 of the Sarbanes-Oxley Act of 2002, that, to the best of his knowledge:</w:t>
      </w:r>
    </w:p>
    <w:p>
      <w:pPr>
        <w:spacing w:after="0" w:line="176" w:lineRule="exact"/>
        <w:rPr>
          <w:sz w:val="20"/>
          <w:szCs w:val="20"/>
          <w:color w:val="auto"/>
        </w:rPr>
      </w:pPr>
    </w:p>
    <w:p>
      <w:pPr>
        <w:ind w:left="640" w:hanging="308"/>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5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174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2024</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IZILDA P.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174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Izilda P. Martins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w:t>
      </w:r>
    </w:p>
    <w:p>
      <w:pPr>
        <w:ind w:left="20"/>
        <w:spacing w:after="0"/>
        <w:rPr>
          <w:sz w:val="20"/>
          <w:szCs w:val="20"/>
          <w:color w:val="auto"/>
        </w:rPr>
      </w:pPr>
      <w:r>
        <w:rPr>
          <w:rFonts w:ascii="Arial" w:cs="Arial" w:eastAsia="Arial" w:hAnsi="Arial"/>
          <w:sz w:val="18"/>
          <w:szCs w:val="18"/>
          <w:color w:val="auto"/>
        </w:rPr>
        <w:t>Officer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16, 2024</w:t>
      </w:r>
    </w:p>
    <w:p>
      <w:pPr>
        <w:sectPr>
          <w:pgSz w:w="11900" w:h="16838" w:orient="portrait"/>
          <w:cols w:equalWidth="0" w:num="1">
            <w:col w:w="11240"/>
          </w:cols>
          <w:pgMar w:left="320" w:top="89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22"/>
          <w:szCs w:val="22"/>
          <w:b w:val="1"/>
          <w:bCs w:val="1"/>
          <w:color w:val="auto"/>
        </w:rPr>
        <w:t>AVIS BUDGET GROUP, INC.</w:t>
      </w:r>
    </w:p>
    <w:p>
      <w:pPr>
        <w:spacing w:after="0" w:line="206"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22"/>
          <w:szCs w:val="22"/>
          <w:b w:val="1"/>
          <w:bCs w:val="1"/>
          <w:color w:val="auto"/>
        </w:rPr>
        <w:t>CLAWBACK POLICY</w:t>
      </w:r>
    </w:p>
    <w:p>
      <w:pPr>
        <w:spacing w:after="0" w:line="206" w:lineRule="exact"/>
        <w:rPr>
          <w:sz w:val="20"/>
          <w:szCs w:val="20"/>
          <w:color w:val="auto"/>
        </w:rPr>
      </w:pPr>
    </w:p>
    <w:p>
      <w:pPr>
        <w:ind w:right="760" w:firstLine="1215"/>
        <w:spacing w:after="0" w:line="238" w:lineRule="auto"/>
        <w:rPr>
          <w:sz w:val="20"/>
          <w:szCs w:val="20"/>
          <w:color w:val="auto"/>
        </w:rPr>
      </w:pPr>
      <w:r>
        <w:rPr>
          <w:rFonts w:ascii="Times New Roman" w:cs="Times New Roman" w:eastAsia="Times New Roman" w:hAnsi="Times New Roman"/>
          <w:sz w:val="22"/>
          <w:szCs w:val="22"/>
          <w:color w:val="auto"/>
        </w:rPr>
        <w:t>The Board of Directors (“</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of Avis Budget Group, Inc.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has adopted this Policy in accordance with Nasdaq listing requirements.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A. Application of Policy</w:t>
      </w:r>
    </w:p>
    <w:p>
      <w:pPr>
        <w:spacing w:after="0" w:line="179" w:lineRule="exact"/>
        <w:rPr>
          <w:sz w:val="20"/>
          <w:szCs w:val="20"/>
          <w:color w:val="auto"/>
        </w:rPr>
      </w:pPr>
    </w:p>
    <w:p>
      <w:pPr>
        <w:ind w:right="40" w:firstLine="1215"/>
        <w:spacing w:after="0" w:line="224" w:lineRule="auto"/>
        <w:rPr>
          <w:sz w:val="20"/>
          <w:szCs w:val="20"/>
          <w:color w:val="auto"/>
        </w:rPr>
      </w:pPr>
      <w:r>
        <w:rPr>
          <w:rFonts w:ascii="Times New Roman" w:cs="Times New Roman" w:eastAsia="Times New Roman" w:hAnsi="Times New Roman"/>
          <w:sz w:val="21"/>
          <w:szCs w:val="21"/>
          <w:color w:val="auto"/>
        </w:rPr>
        <w:t xml:space="preserve">This Policy applies in the event of </w:t>
      </w:r>
      <w:r>
        <w:rPr>
          <w:rFonts w:ascii="Times New Roman" w:cs="Times New Roman" w:eastAsia="Times New Roman" w:hAnsi="Times New Roman"/>
          <w:sz w:val="21"/>
          <w:szCs w:val="21"/>
          <w:u w:val="single" w:color="auto"/>
          <w:color w:val="auto"/>
        </w:rPr>
        <w:t>any</w:t>
      </w:r>
      <w:r>
        <w:rPr>
          <w:rFonts w:ascii="Times New Roman" w:cs="Times New Roman" w:eastAsia="Times New Roman" w:hAnsi="Times New Roman"/>
          <w:sz w:val="21"/>
          <w:szCs w:val="21"/>
          <w:color w:val="auto"/>
        </w:rPr>
        <w:t xml:space="preserve"> restatement (“</w:t>
      </w:r>
      <w:r>
        <w:rPr>
          <w:rFonts w:ascii="Times New Roman" w:cs="Times New Roman" w:eastAsia="Times New Roman" w:hAnsi="Times New Roman"/>
          <w:sz w:val="21"/>
          <w:szCs w:val="21"/>
          <w:b w:val="1"/>
          <w:bCs w:val="1"/>
          <w:u w:val="single" w:color="auto"/>
          <w:color w:val="auto"/>
        </w:rPr>
        <w:t>Restatement</w:t>
      </w:r>
      <w:r>
        <w:rPr>
          <w:rFonts w:ascii="Times New Roman" w:cs="Times New Roman" w:eastAsia="Times New Roman" w:hAnsi="Times New Roman"/>
          <w:sz w:val="21"/>
          <w:szCs w:val="21"/>
          <w:color w:val="auto"/>
        </w:rPr>
        <w:t>”) of the Company’s financial results due to its material non-compliance with financial reporting requirements under the securities laws. This Policy does not apply to restatements that are not caused by non-compliance with financial reporting requirements, such as, but not limited to,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and (5) revision for stock splits, reverse stock splits, dividends or other changes in capital structure (collectively the “</w:t>
      </w:r>
      <w:r>
        <w:rPr>
          <w:rFonts w:ascii="Times New Roman" w:cs="Times New Roman" w:eastAsia="Times New Roman" w:hAnsi="Times New Roman"/>
          <w:sz w:val="21"/>
          <w:szCs w:val="21"/>
          <w:b w:val="1"/>
          <w:bCs w:val="1"/>
          <w:u w:val="single" w:color="auto"/>
          <w:color w:val="auto"/>
        </w:rPr>
        <w:t>Restatement Exclusions</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B. Executive Officers Subject to the Policy</w:t>
      </w:r>
    </w:p>
    <w:p>
      <w:pPr>
        <w:spacing w:after="0" w:line="183" w:lineRule="exact"/>
        <w:rPr>
          <w:sz w:val="20"/>
          <w:szCs w:val="20"/>
          <w:color w:val="auto"/>
        </w:rPr>
      </w:pPr>
    </w:p>
    <w:p>
      <w:pPr>
        <w:ind w:firstLine="1215"/>
        <w:spacing w:after="0" w:line="215" w:lineRule="auto"/>
        <w:rPr>
          <w:sz w:val="20"/>
          <w:szCs w:val="20"/>
          <w:color w:val="auto"/>
        </w:rPr>
      </w:pPr>
      <w:r>
        <w:rPr>
          <w:rFonts w:ascii="Times New Roman" w:cs="Times New Roman" w:eastAsia="Times New Roman" w:hAnsi="Times New Roman"/>
          <w:sz w:val="22"/>
          <w:szCs w:val="22"/>
          <w:color w:val="auto"/>
        </w:rPr>
        <w:t>The “executive officers” of the Company are covered by this Policy. This includes the Company’s current or former Chief Executive Officer, President, Chief Financial Officer, Chief Accounting Officer, any Vice-President of the Company in charge of a principal business unit, division or function, and any other current or former officer or person who performs a significant policy-making function for the Company, including executive officers of Company subsidiaries (the “</w:t>
      </w:r>
      <w:r>
        <w:rPr>
          <w:rFonts w:ascii="Times New Roman" w:cs="Times New Roman" w:eastAsia="Times New Roman" w:hAnsi="Times New Roman"/>
          <w:sz w:val="22"/>
          <w:szCs w:val="22"/>
          <w:b w:val="1"/>
          <w:bCs w:val="1"/>
          <w:u w:val="single" w:color="auto"/>
          <w:color w:val="auto"/>
        </w:rPr>
        <w:t>Executive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Officers</w:t>
      </w:r>
      <w:r>
        <w:rPr>
          <w:rFonts w:ascii="Times New Roman" w:cs="Times New Roman" w:eastAsia="Times New Roman" w:hAnsi="Times New Roman"/>
          <w:sz w:val="22"/>
          <w:szCs w:val="22"/>
          <w:color w:val="auto"/>
        </w:rPr>
        <w:t>”). All of these Executive Officers are subject to this Policy, even if an Executive Officer had no responsibility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statement errors which required a Restatement.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C. Compensation Subject to the Policy</w:t>
      </w:r>
    </w:p>
    <w:p>
      <w:pPr>
        <w:spacing w:after="0" w:line="183" w:lineRule="exact"/>
        <w:rPr>
          <w:sz w:val="20"/>
          <w:szCs w:val="20"/>
          <w:color w:val="auto"/>
        </w:rPr>
      </w:pPr>
    </w:p>
    <w:p>
      <w:pPr>
        <w:ind w:right="280" w:firstLine="1215"/>
        <w:spacing w:after="0" w:line="236" w:lineRule="auto"/>
        <w:rPr>
          <w:sz w:val="20"/>
          <w:szCs w:val="20"/>
          <w:color w:val="auto"/>
        </w:rPr>
      </w:pPr>
      <w:r>
        <w:rPr>
          <w:rFonts w:ascii="Times New Roman" w:cs="Times New Roman" w:eastAsia="Times New Roman" w:hAnsi="Times New Roman"/>
          <w:sz w:val="22"/>
          <w:szCs w:val="22"/>
          <w:color w:val="auto"/>
        </w:rPr>
        <w:t>This Policy applies to any incentive-based compensation received by an Executive Officer during the period (the “</w:t>
      </w:r>
      <w:r>
        <w:rPr>
          <w:rFonts w:ascii="Times New Roman" w:cs="Times New Roman" w:eastAsia="Times New Roman" w:hAnsi="Times New Roman"/>
          <w:sz w:val="22"/>
          <w:szCs w:val="22"/>
          <w:b w:val="1"/>
          <w:bCs w:val="1"/>
          <w:u w:val="single" w:color="auto"/>
          <w:color w:val="auto"/>
        </w:rPr>
        <w:t>Clawback Period</w:t>
      </w:r>
      <w:r>
        <w:rPr>
          <w:rFonts w:ascii="Times New Roman" w:cs="Times New Roman" w:eastAsia="Times New Roman" w:hAnsi="Times New Roman"/>
          <w:sz w:val="22"/>
          <w:szCs w:val="22"/>
          <w:color w:val="auto"/>
        </w:rPr>
        <w:t>”) consisting of any of the three fiscal completed years immediately preceding:</w:t>
      </w:r>
    </w:p>
    <w:p>
      <w:pPr>
        <w:spacing w:after="0" w:line="150" w:lineRule="exact"/>
        <w:rPr>
          <w:sz w:val="20"/>
          <w:szCs w:val="20"/>
          <w:color w:val="auto"/>
        </w:rPr>
      </w:pPr>
    </w:p>
    <w:p>
      <w:pPr>
        <w:ind w:left="1220" w:right="120" w:hanging="321"/>
        <w:spacing w:after="0" w:line="236" w:lineRule="auto"/>
        <w:tabs>
          <w:tab w:leader="none" w:pos="121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the Company’s Board (or Audit Committee) concludes, or reasonably should have concluded, that the Company is required to prepare a Restatement, or</w:t>
      </w:r>
    </w:p>
    <w:p>
      <w:pPr>
        <w:spacing w:after="0" w:line="150" w:lineRule="exact"/>
        <w:rPr>
          <w:rFonts w:ascii="Times New Roman" w:cs="Times New Roman" w:eastAsia="Times New Roman" w:hAnsi="Times New Roman"/>
          <w:sz w:val="22"/>
          <w:szCs w:val="22"/>
          <w:color w:val="auto"/>
        </w:rPr>
      </w:pPr>
    </w:p>
    <w:p>
      <w:pPr>
        <w:ind w:left="1220" w:hanging="321"/>
        <w:spacing w:after="0"/>
        <w:tabs>
          <w:tab w:leader="none" w:pos="12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a court, regulator, or other legally authorized body directs the Company to prepare a Restatement.</w:t>
      </w:r>
    </w:p>
    <w:p>
      <w:pPr>
        <w:spacing w:after="0" w:line="179" w:lineRule="exact"/>
        <w:rPr>
          <w:sz w:val="20"/>
          <w:szCs w:val="20"/>
          <w:color w:val="auto"/>
        </w:rPr>
      </w:pPr>
    </w:p>
    <w:p>
      <w:pPr>
        <w:jc w:val="both"/>
        <w:ind w:right="160" w:firstLine="1215"/>
        <w:spacing w:after="0" w:line="225" w:lineRule="auto"/>
        <w:rPr>
          <w:sz w:val="20"/>
          <w:szCs w:val="20"/>
          <w:color w:val="auto"/>
        </w:rPr>
      </w:pPr>
      <w:r>
        <w:rPr>
          <w:rFonts w:ascii="Times New Roman" w:cs="Times New Roman" w:eastAsia="Times New Roman" w:hAnsi="Times New Roman"/>
          <w:sz w:val="22"/>
          <w:szCs w:val="22"/>
          <w:color w:val="auto"/>
        </w:rPr>
        <w:t>This Policy covers all incentive-based compensation (including any cash or equity compensation) that is granted, earned or vested based wholly or in part upon the attainment of any “financial reporting measure”. Financial reporting measures are those that are determined and presented in accordance with the accounting principles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226687</w:t>
      </w:r>
    </w:p>
    <w:p>
      <w:pPr>
        <w:sectPr>
          <w:pgSz w:w="11900" w:h="16838" w:orient="portrait"/>
          <w:cols w:equalWidth="0" w:num="1">
            <w:col w:w="11240"/>
          </w:cols>
          <w:pgMar w:left="320" w:top="94" w:right="339" w:bottom="1440" w:gutter="0" w:footer="0" w:header="0"/>
        </w:sectPr>
      </w:pPr>
    </w:p>
    <w:bookmarkStart w:id="136" w:name="page137"/>
    <w:bookmarkEnd w:id="136"/>
    <w:p>
      <w:pPr>
        <w:ind w:right="40"/>
        <w:spacing w:after="0" w:line="220" w:lineRule="auto"/>
        <w:rPr>
          <w:sz w:val="20"/>
          <w:szCs w:val="20"/>
          <w:color w:val="auto"/>
        </w:rPr>
      </w:pPr>
      <w:r>
        <w:rPr>
          <w:rFonts w:ascii="Times New Roman" w:cs="Times New Roman" w:eastAsia="Times New Roman" w:hAnsi="Times New Roman"/>
          <w:sz w:val="22"/>
          <w:szCs w:val="22"/>
          <w:color w:val="auto"/>
        </w:rPr>
        <w:t>preparing the Company’s financial statements and any measures derived wholly or in part from such financial information (including non-GAAP measures, stock price and total shareholder return). Incentive-based compensation is deemed “received” in the fiscal period during which the applicable financial reporting measure (as specified in the terms of the award) is attained, even if the payment or grant occurs after the end of that fiscal period.</w:t>
      </w:r>
    </w:p>
    <w:p>
      <w:pPr>
        <w:spacing w:after="0" w:line="152" w:lineRule="exact"/>
        <w:rPr>
          <w:sz w:val="20"/>
          <w:szCs w:val="20"/>
          <w:color w:val="auto"/>
        </w:rPr>
      </w:pPr>
    </w:p>
    <w:p>
      <w:pPr>
        <w:ind w:right="40" w:firstLine="1215"/>
        <w:spacing w:after="0" w:line="220" w:lineRule="auto"/>
        <w:rPr>
          <w:sz w:val="20"/>
          <w:szCs w:val="20"/>
          <w:color w:val="auto"/>
        </w:rPr>
      </w:pPr>
      <w:r>
        <w:rPr>
          <w:rFonts w:ascii="Times New Roman" w:cs="Times New Roman" w:eastAsia="Times New Roman" w:hAnsi="Times New Roman"/>
          <w:sz w:val="22"/>
          <w:szCs w:val="22"/>
          <w:color w:val="auto"/>
        </w:rPr>
        <w:t>Incentive-based compensation does not include base annual salary, compensation which is awarded based solely on service to the Company (e.g. a time-vested award, including time-vesting stock options or restricted share units), nor does it include compensation which is awarded based on subjective standards, strategic measures (e.g. completion of a merger) or operational measures (e.g. attainment of a certain market share).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D. Amount Required to be Repaid Pursuant to this Policy</w:t>
      </w:r>
    </w:p>
    <w:p>
      <w:pPr>
        <w:spacing w:after="0" w:line="183" w:lineRule="exact"/>
        <w:rPr>
          <w:sz w:val="20"/>
          <w:szCs w:val="20"/>
          <w:color w:val="auto"/>
        </w:rPr>
      </w:pPr>
    </w:p>
    <w:p>
      <w:pPr>
        <w:ind w:right="20" w:firstLine="1215"/>
        <w:spacing w:after="0" w:line="219" w:lineRule="auto"/>
        <w:rPr>
          <w:sz w:val="20"/>
          <w:szCs w:val="20"/>
          <w:color w:val="auto"/>
        </w:rPr>
      </w:pPr>
      <w:r>
        <w:rPr>
          <w:rFonts w:ascii="Times New Roman" w:cs="Times New Roman" w:eastAsia="Times New Roman" w:hAnsi="Times New Roman"/>
          <w:sz w:val="21"/>
          <w:szCs w:val="21"/>
          <w:color w:val="auto"/>
        </w:rPr>
        <w:t>The amount of incentive-based compensation that must be repaid (subject to the few limitations discussed below) is the amount of incentive-based compensation received by the Executive Officer that exceeds the amount of incentive-based compensation that otherwise would have been received had it been determined based on the Restatement (the “</w:t>
      </w:r>
      <w:r>
        <w:rPr>
          <w:rFonts w:ascii="Times New Roman" w:cs="Times New Roman" w:eastAsia="Times New Roman" w:hAnsi="Times New Roman"/>
          <w:sz w:val="21"/>
          <w:szCs w:val="21"/>
          <w:b w:val="1"/>
          <w:bCs w:val="1"/>
          <w:u w:val="single" w:color="auto"/>
          <w:color w:val="auto"/>
        </w:rPr>
        <w:t>Recoverable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Amount</w:t>
      </w:r>
      <w:r>
        <w:rPr>
          <w:rFonts w:ascii="Times New Roman" w:cs="Times New Roman" w:eastAsia="Times New Roman" w:hAnsi="Times New Roman"/>
          <w:sz w:val="21"/>
          <w:szCs w:val="21"/>
          <w:color w:val="auto"/>
        </w:rPr>
        <w:t>”). Applying this definition, after a Restatement, the Company will recalculate the applicable financial reporting measure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Recoverable Amount in accordance with SEC and exchange rules. The Company will determine whether, based on that financial reporting measure as calculated relying on the original financial statements, an Executive Officer received a greater amount of incentive-based compensation than would have been received applying the recalculated financial measure. Where incentive-based compensation is based only in part on the achievement of a financial reporting measure performance goal, the Company will determine the portion of the original incentive-based compensation based on or derived from the financial reporting measure which was restated and will recalculate the affected portion based on the financial reporting measure as restated to determine the difference between the greater amount based on the original financial statements and the lesser amount that would have been received based on the Restatement. The Recoverable Amounts will be calculated on a pre-tax basis to ensure that the Company recovers the full amount of incentive-based compensation that was erroneously awarded.</w:t>
      </w:r>
    </w:p>
    <w:p>
      <w:pPr>
        <w:spacing w:after="0" w:line="159" w:lineRule="exact"/>
        <w:rPr>
          <w:sz w:val="20"/>
          <w:szCs w:val="20"/>
          <w:color w:val="auto"/>
        </w:rPr>
      </w:pPr>
    </w:p>
    <w:p>
      <w:pPr>
        <w:ind w:right="420" w:firstLine="1215"/>
        <w:spacing w:after="0" w:line="236" w:lineRule="auto"/>
        <w:rPr>
          <w:sz w:val="20"/>
          <w:szCs w:val="20"/>
          <w:color w:val="auto"/>
        </w:rPr>
      </w:pPr>
      <w:r>
        <w:rPr>
          <w:rFonts w:ascii="Times New Roman" w:cs="Times New Roman" w:eastAsia="Times New Roman" w:hAnsi="Times New Roman"/>
          <w:sz w:val="22"/>
          <w:szCs w:val="22"/>
          <w:color w:val="auto"/>
        </w:rPr>
        <w:t>In no event shall the Company be required to award Executive Officers an additional payment if the restated or accurate financial results would have resulted in a higher incentive compensation payment.</w:t>
      </w:r>
    </w:p>
    <w:p>
      <w:pPr>
        <w:spacing w:after="0" w:line="150" w:lineRule="exact"/>
        <w:rPr>
          <w:sz w:val="20"/>
          <w:szCs w:val="20"/>
          <w:color w:val="auto"/>
        </w:rPr>
      </w:pPr>
    </w:p>
    <w:p>
      <w:pPr>
        <w:ind w:firstLine="1215"/>
        <w:spacing w:after="0" w:line="220" w:lineRule="auto"/>
        <w:rPr>
          <w:sz w:val="20"/>
          <w:szCs w:val="20"/>
          <w:color w:val="auto"/>
        </w:rPr>
      </w:pPr>
      <w:r>
        <w:rPr>
          <w:rFonts w:ascii="Times New Roman" w:cs="Times New Roman" w:eastAsia="Times New Roman" w:hAnsi="Times New Roman"/>
          <w:sz w:val="22"/>
          <w:szCs w:val="22"/>
          <w:color w:val="auto"/>
        </w:rPr>
        <w:t>If equity compensation is recoverable due to being granted to the Executive Officer (when the accounting results were the reason the equity compensation was granted) or vested by the Executive Officer (when the accounting results were the reason the equity compensation was vested), in each case in the Clawback Period, the Company will recover the excess portion of the equity award that would not have been granted or vested based on the Restatement,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4" w:right="339" w:bottom="1440" w:gutter="0" w:footer="0" w:header="0"/>
        </w:sectPr>
      </w:pPr>
    </w:p>
    <w:bookmarkStart w:id="137" w:name="page138"/>
    <w:bookmarkEnd w:id="137"/>
    <w:p>
      <w:pPr>
        <w:ind w:left="1220" w:hanging="321"/>
        <w:spacing w:after="0"/>
        <w:tabs>
          <w:tab w:leader="none" w:pos="12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w:t>
      </w:r>
      <w:r>
        <w:rPr>
          <w:rFonts w:ascii="Times New Roman" w:cs="Times New Roman" w:eastAsia="Times New Roman" w:hAnsi="Times New Roman"/>
          <w:sz w:val="22"/>
          <w:szCs w:val="22"/>
          <w:u w:val="single" w:color="auto"/>
          <w:color w:val="auto"/>
        </w:rPr>
        <w:t>equity award is still outstanding</w:t>
      </w:r>
      <w:r>
        <w:rPr>
          <w:rFonts w:ascii="Times New Roman" w:cs="Times New Roman" w:eastAsia="Times New Roman" w:hAnsi="Times New Roman"/>
          <w:sz w:val="22"/>
          <w:szCs w:val="22"/>
          <w:color w:val="auto"/>
        </w:rPr>
        <w:t>, the Executive Officer will forfeit the excess portion of the award;</w:t>
      </w:r>
    </w:p>
    <w:p>
      <w:pPr>
        <w:spacing w:after="0" w:line="175" w:lineRule="exact"/>
        <w:rPr>
          <w:rFonts w:ascii="Times New Roman" w:cs="Times New Roman" w:eastAsia="Times New Roman" w:hAnsi="Times New Roman"/>
          <w:sz w:val="22"/>
          <w:szCs w:val="22"/>
          <w:color w:val="auto"/>
        </w:rPr>
      </w:pPr>
    </w:p>
    <w:p>
      <w:pPr>
        <w:ind w:left="1220" w:hanging="321"/>
        <w:spacing w:after="0" w:line="227" w:lineRule="auto"/>
        <w:tabs>
          <w:tab w:leader="none" w:pos="121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w:t>
      </w:r>
      <w:r>
        <w:rPr>
          <w:rFonts w:ascii="Times New Roman" w:cs="Times New Roman" w:eastAsia="Times New Roman" w:hAnsi="Times New Roman"/>
          <w:sz w:val="22"/>
          <w:szCs w:val="22"/>
          <w:u w:val="single" w:color="auto"/>
          <w:color w:val="auto"/>
        </w:rPr>
        <w:t>equity award has been exercised or settled into shares</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Underlying Shares</w:t>
      </w:r>
      <w:r>
        <w:rPr>
          <w:rFonts w:ascii="Times New Roman" w:cs="Times New Roman" w:eastAsia="Times New Roman" w:hAnsi="Times New Roman"/>
          <w:sz w:val="22"/>
          <w:szCs w:val="22"/>
          <w:color w:val="auto"/>
        </w:rPr>
        <w:t>”), and the Executive Officer still holds the Underlying Shares, the Company will recover the number of Underlying Shares relating to the excess portion of the award (less any exercise price paid for the Underlying Shares); and</w:t>
      </w:r>
    </w:p>
    <w:p>
      <w:pPr>
        <w:spacing w:after="0" w:line="150" w:lineRule="exact"/>
        <w:rPr>
          <w:rFonts w:ascii="Times New Roman" w:cs="Times New Roman" w:eastAsia="Times New Roman" w:hAnsi="Times New Roman"/>
          <w:sz w:val="22"/>
          <w:szCs w:val="22"/>
          <w:color w:val="auto"/>
        </w:rPr>
      </w:pPr>
    </w:p>
    <w:p>
      <w:pPr>
        <w:ind w:left="1220" w:right="80" w:hanging="321"/>
        <w:spacing w:after="0" w:line="225" w:lineRule="auto"/>
        <w:tabs>
          <w:tab w:leader="none" w:pos="121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w:t>
      </w:r>
      <w:r>
        <w:rPr>
          <w:rFonts w:ascii="Times New Roman" w:cs="Times New Roman" w:eastAsia="Times New Roman" w:hAnsi="Times New Roman"/>
          <w:sz w:val="22"/>
          <w:szCs w:val="22"/>
          <w:u w:val="single" w:color="auto"/>
          <w:color w:val="auto"/>
        </w:rPr>
        <w:t>Underlying Shares have been sold by the Executive Officer</w:t>
      </w:r>
      <w:r>
        <w:rPr>
          <w:rFonts w:ascii="Times New Roman" w:cs="Times New Roman" w:eastAsia="Times New Roman" w:hAnsi="Times New Roman"/>
          <w:sz w:val="22"/>
          <w:szCs w:val="22"/>
          <w:color w:val="auto"/>
        </w:rPr>
        <w:t>, the Company will recover the proceeds received by the Executive Officer from the sale of the Underlying Shares relating to the excess portion of the award (less any exercise price paid for the Underlying Shares).</w:t>
      </w:r>
    </w:p>
    <w:p>
      <w:pPr>
        <w:spacing w:after="0" w:line="153" w:lineRule="exact"/>
        <w:rPr>
          <w:sz w:val="20"/>
          <w:szCs w:val="20"/>
          <w:color w:val="auto"/>
        </w:rPr>
      </w:pPr>
    </w:p>
    <w:p>
      <w:pPr>
        <w:ind w:right="40" w:firstLine="1215"/>
        <w:spacing w:after="0" w:line="217" w:lineRule="auto"/>
        <w:rPr>
          <w:sz w:val="20"/>
          <w:szCs w:val="20"/>
          <w:color w:val="auto"/>
        </w:rPr>
      </w:pPr>
      <w:r>
        <w:rPr>
          <w:rFonts w:ascii="Times New Roman" w:cs="Times New Roman" w:eastAsia="Times New Roman" w:hAnsi="Times New Roman"/>
          <w:sz w:val="22"/>
          <w:szCs w:val="22"/>
          <w:color w:val="auto"/>
        </w:rPr>
        <w:t>The Board will take such action as it deems appropriate, in its sole and absolute discretion, reasonably promptly to recover the Recoverable Amount, unless the Compensation Committee determines that it would be impracticable to recover the such amount because (1) the direct costs of enforcing recovery would exceed the Recoverable Amount, or (2) recovery would likely cause an otherwise tax-qualified retirement plan, under which benefits are broadly available to employees of the Company, to fail to meet the requirements of 26 U.S.C. 401(a)(13) or 26 U.S.C. 411(a) and regulations thereunder.</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E. Additional Clawback Required by Section 304 of the Sarbanes-Oxley Act of 2002</w:t>
      </w:r>
    </w:p>
    <w:p>
      <w:pPr>
        <w:spacing w:after="0" w:line="183" w:lineRule="exact"/>
        <w:rPr>
          <w:sz w:val="20"/>
          <w:szCs w:val="20"/>
          <w:color w:val="auto"/>
        </w:rPr>
      </w:pPr>
    </w:p>
    <w:p>
      <w:pPr>
        <w:ind w:right="20" w:firstLine="1215"/>
        <w:spacing w:after="0" w:line="217" w:lineRule="auto"/>
        <w:rPr>
          <w:sz w:val="20"/>
          <w:szCs w:val="20"/>
          <w:color w:val="auto"/>
        </w:rPr>
      </w:pPr>
      <w:r>
        <w:rPr>
          <w:rFonts w:ascii="Times New Roman" w:cs="Times New Roman" w:eastAsia="Times New Roman" w:hAnsi="Times New Roman"/>
          <w:sz w:val="22"/>
          <w:szCs w:val="22"/>
          <w:color w:val="0D212A"/>
        </w:rPr>
        <w:t>In addition to the provisions described above, if the Company is required to prepare an accounting restatement due to the material noncompliance of the Company, as a result of misconduct, with any financial reporting requirement under the securities laws, then, in accordance with Section 304 of the Sarbanes-Oxley Act of 2002, the Chief Executive Officer and Chief Financial Officer (at the time the financial document embodying such financial reporting requirement was originally issued) shall reimburse the Company for:</w:t>
      </w:r>
    </w:p>
    <w:p>
      <w:pPr>
        <w:spacing w:after="0" w:line="152" w:lineRule="exact"/>
        <w:rPr>
          <w:sz w:val="20"/>
          <w:szCs w:val="20"/>
          <w:color w:val="auto"/>
        </w:rPr>
      </w:pPr>
    </w:p>
    <w:p>
      <w:pPr>
        <w:ind w:left="1220" w:right="40" w:hanging="321"/>
        <w:spacing w:after="0" w:line="225" w:lineRule="auto"/>
        <w:tabs>
          <w:tab w:leader="none" w:pos="1215" w:val="left"/>
        </w:tabs>
        <w:numPr>
          <w:ilvl w:val="1"/>
          <w:numId w:val="90"/>
        </w:numPr>
        <w:rPr>
          <w:rFonts w:ascii="Times New Roman" w:cs="Times New Roman" w:eastAsia="Times New Roman" w:hAnsi="Times New Roman"/>
          <w:sz w:val="22"/>
          <w:szCs w:val="22"/>
          <w:color w:val="0D212A"/>
        </w:rPr>
      </w:pPr>
      <w:r>
        <w:rPr>
          <w:rFonts w:ascii="Times New Roman" w:cs="Times New Roman" w:eastAsia="Times New Roman" w:hAnsi="Times New Roman"/>
          <w:sz w:val="22"/>
          <w:szCs w:val="22"/>
          <w:color w:val="0D212A"/>
        </w:rPr>
        <w:t>any bonus or other incentive-based or equity-based compensation received from the Company during the 12-month period following the first public issuance or filing with the Commission (whichever first occurs) of such financial document; and</w:t>
      </w:r>
    </w:p>
    <w:p>
      <w:pPr>
        <w:spacing w:after="0" w:line="152" w:lineRule="exact"/>
        <w:rPr>
          <w:rFonts w:ascii="Times New Roman" w:cs="Times New Roman" w:eastAsia="Times New Roman" w:hAnsi="Times New Roman"/>
          <w:sz w:val="22"/>
          <w:szCs w:val="22"/>
          <w:color w:val="0D212A"/>
        </w:rPr>
      </w:pPr>
    </w:p>
    <w:p>
      <w:pPr>
        <w:ind w:left="1220" w:hanging="321"/>
        <w:spacing w:after="0"/>
        <w:tabs>
          <w:tab w:leader="none" w:pos="1220" w:val="left"/>
        </w:tabs>
        <w:numPr>
          <w:ilvl w:val="1"/>
          <w:numId w:val="90"/>
        </w:numPr>
        <w:rPr>
          <w:rFonts w:ascii="Times New Roman" w:cs="Times New Roman" w:eastAsia="Times New Roman" w:hAnsi="Times New Roman"/>
          <w:sz w:val="22"/>
          <w:szCs w:val="22"/>
          <w:color w:val="0D212A"/>
        </w:rPr>
      </w:pPr>
      <w:r>
        <w:rPr>
          <w:rFonts w:ascii="Times New Roman" w:cs="Times New Roman" w:eastAsia="Times New Roman" w:hAnsi="Times New Roman"/>
          <w:sz w:val="22"/>
          <w:szCs w:val="22"/>
          <w:color w:val="0D212A"/>
        </w:rPr>
        <w:t>any profits realized from the sale of securities of the Company during that 12-month period.</w:t>
      </w:r>
    </w:p>
    <w:p>
      <w:pPr>
        <w:spacing w:after="0" w:line="175" w:lineRule="exact"/>
        <w:rPr>
          <w:rFonts w:ascii="Times New Roman" w:cs="Times New Roman" w:eastAsia="Times New Roman" w:hAnsi="Times New Roman"/>
          <w:sz w:val="22"/>
          <w:szCs w:val="22"/>
          <w:color w:val="0D212A"/>
        </w:rPr>
      </w:pPr>
    </w:p>
    <w:p>
      <w:pPr>
        <w:ind w:left="340"/>
        <w:spacing w:after="0"/>
        <w:rPr>
          <w:rFonts w:ascii="Times New Roman" w:cs="Times New Roman" w:eastAsia="Times New Roman" w:hAnsi="Times New Roman"/>
          <w:sz w:val="22"/>
          <w:szCs w:val="22"/>
          <w:color w:val="0D212A"/>
        </w:rPr>
      </w:pPr>
      <w:r>
        <w:rPr>
          <w:rFonts w:ascii="Times New Roman" w:cs="Times New Roman" w:eastAsia="Times New Roman" w:hAnsi="Times New Roman"/>
          <w:sz w:val="22"/>
          <w:szCs w:val="22"/>
          <w:b w:val="1"/>
          <w:bCs w:val="1"/>
          <w:color w:val="auto"/>
        </w:rPr>
        <w:t>F. Crediting of Recovery Amounts</w:t>
      </w:r>
    </w:p>
    <w:p>
      <w:pPr>
        <w:spacing w:after="0" w:line="179" w:lineRule="exact"/>
        <w:rPr>
          <w:sz w:val="20"/>
          <w:szCs w:val="20"/>
          <w:color w:val="auto"/>
        </w:rPr>
      </w:pPr>
    </w:p>
    <w:p>
      <w:pPr>
        <w:ind w:right="220" w:firstLine="1215"/>
        <w:spacing w:after="0" w:line="221" w:lineRule="auto"/>
        <w:rPr>
          <w:sz w:val="20"/>
          <w:szCs w:val="20"/>
          <w:color w:val="auto"/>
        </w:rPr>
      </w:pPr>
      <w:r>
        <w:rPr>
          <w:rFonts w:ascii="Times New Roman" w:cs="Times New Roman" w:eastAsia="Times New Roman" w:hAnsi="Times New Roman"/>
          <w:sz w:val="22"/>
          <w:szCs w:val="22"/>
          <w:color w:val="auto"/>
        </w:rPr>
        <w:t>To the extent that subsections A, B, C and D of this policy (the “</w:t>
      </w:r>
      <w:r>
        <w:rPr>
          <w:rFonts w:ascii="Times New Roman" w:cs="Times New Roman" w:eastAsia="Times New Roman" w:hAnsi="Times New Roman"/>
          <w:sz w:val="22"/>
          <w:szCs w:val="22"/>
          <w:b w:val="1"/>
          <w:bCs w:val="1"/>
          <w:u w:val="single" w:color="auto"/>
          <w:color w:val="auto"/>
        </w:rPr>
        <w:t>Rule 10D-1 Clawback Requirements</w:t>
      </w:r>
      <w:r>
        <w:rPr>
          <w:rFonts w:ascii="Times New Roman" w:cs="Times New Roman" w:eastAsia="Times New Roman" w:hAnsi="Times New Roman"/>
          <w:sz w:val="22"/>
          <w:szCs w:val="22"/>
          <w:color w:val="auto"/>
        </w:rPr>
        <w:t>”) would provide for recovery of incentive-based compensation recoverable by the Company pursuant to Section 304 of the Sarbanes-Oxley Act, in accordance with subsection E of this policy (the “</w:t>
      </w:r>
      <w:r>
        <w:rPr>
          <w:rFonts w:ascii="Times New Roman" w:cs="Times New Roman" w:eastAsia="Times New Roman" w:hAnsi="Times New Roman"/>
          <w:sz w:val="22"/>
          <w:szCs w:val="22"/>
          <w:b w:val="1"/>
          <w:bCs w:val="1"/>
          <w:u w:val="single" w:color="auto"/>
          <w:color w:val="auto"/>
        </w:rPr>
        <w:t>Sarbanes-Oxley Clawback Requirements</w:t>
      </w:r>
      <w:r>
        <w:rPr>
          <w:rFonts w:ascii="Times New Roman" w:cs="Times New Roman" w:eastAsia="Times New Roman" w:hAnsi="Times New Roman"/>
          <w:sz w:val="22"/>
          <w:szCs w:val="22"/>
          <w:color w:val="auto"/>
        </w:rPr>
        <w:t>”), and/or any other recovery obligations (including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394" w:right="359" w:bottom="1440" w:gutter="0" w:footer="0" w:header="0"/>
        </w:sectPr>
      </w:pPr>
    </w:p>
    <w:bookmarkStart w:id="138" w:name="page139"/>
    <w:bookmarkEnd w:id="138"/>
    <w:p>
      <w:pPr>
        <w:spacing w:after="0" w:line="220" w:lineRule="auto"/>
        <w:rPr>
          <w:sz w:val="20"/>
          <w:szCs w:val="20"/>
          <w:color w:val="auto"/>
        </w:rPr>
      </w:pPr>
      <w:r>
        <w:rPr>
          <w:rFonts w:ascii="Times New Roman" w:cs="Times New Roman" w:eastAsia="Times New Roman" w:hAnsi="Times New Roman"/>
          <w:sz w:val="22"/>
          <w:szCs w:val="22"/>
          <w:color w:val="auto"/>
        </w:rPr>
        <w:t>employment agreements, or plan awards), the amount such Executive Officer has already reimbursed the Company shall be credited to the required recovery under the Rule 10D-1 Clawback Requirements. Recovery pursuant to the Rule 10D-1 Clawback Requirements does not preclude recovery under the Sarbanes-Oxley Clawback Requirements, to the extent any applicable amounts have not been reimbursed to the Company.</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b w:val="1"/>
          <w:bCs w:val="1"/>
          <w:color w:val="auto"/>
        </w:rPr>
        <w:t>G. General Provisions</w:t>
      </w:r>
    </w:p>
    <w:p>
      <w:pPr>
        <w:spacing w:after="0" w:line="183" w:lineRule="exact"/>
        <w:rPr>
          <w:sz w:val="20"/>
          <w:szCs w:val="20"/>
          <w:color w:val="auto"/>
        </w:rPr>
      </w:pPr>
    </w:p>
    <w:p>
      <w:pPr>
        <w:ind w:right="200" w:firstLine="1215"/>
        <w:spacing w:after="0" w:line="236" w:lineRule="auto"/>
        <w:rPr>
          <w:sz w:val="20"/>
          <w:szCs w:val="20"/>
          <w:color w:val="auto"/>
        </w:rPr>
      </w:pPr>
      <w:r>
        <w:rPr>
          <w:rFonts w:ascii="Times New Roman" w:cs="Times New Roman" w:eastAsia="Times New Roman" w:hAnsi="Times New Roman"/>
          <w:sz w:val="22"/>
          <w:szCs w:val="22"/>
          <w:color w:val="auto"/>
        </w:rPr>
        <w:t>This Policy may be amended by the Board from time to time. Changes to this Policy will be communicated to all persons to whom this Policy applies.</w:t>
      </w:r>
    </w:p>
    <w:p>
      <w:pPr>
        <w:spacing w:after="0" w:line="150" w:lineRule="exact"/>
        <w:rPr>
          <w:sz w:val="20"/>
          <w:szCs w:val="20"/>
          <w:color w:val="auto"/>
        </w:rPr>
      </w:pPr>
    </w:p>
    <w:p>
      <w:pPr>
        <w:ind w:right="20" w:firstLine="1215"/>
        <w:spacing w:after="0" w:line="236" w:lineRule="auto"/>
        <w:rPr>
          <w:sz w:val="20"/>
          <w:szCs w:val="20"/>
          <w:color w:val="auto"/>
        </w:rPr>
      </w:pPr>
      <w:r>
        <w:rPr>
          <w:rFonts w:ascii="Times New Roman" w:cs="Times New Roman" w:eastAsia="Times New Roman" w:hAnsi="Times New Roman"/>
          <w:sz w:val="22"/>
          <w:szCs w:val="22"/>
          <w:color w:val="auto"/>
        </w:rPr>
        <w:t>The Company will not indemnify or provide insurance to cover any repayment of incentive-based compensation in accordance with this Policy.</w:t>
      </w:r>
    </w:p>
    <w:p>
      <w:pPr>
        <w:spacing w:after="0" w:line="150" w:lineRule="exact"/>
        <w:rPr>
          <w:sz w:val="20"/>
          <w:szCs w:val="20"/>
          <w:color w:val="auto"/>
        </w:rPr>
      </w:pPr>
    </w:p>
    <w:p>
      <w:pPr>
        <w:ind w:right="80" w:firstLine="1215"/>
        <w:spacing w:after="0" w:line="220" w:lineRule="auto"/>
        <w:rPr>
          <w:sz w:val="20"/>
          <w:szCs w:val="20"/>
          <w:color w:val="auto"/>
        </w:rPr>
      </w:pPr>
      <w:r>
        <w:rPr>
          <w:rFonts w:ascii="Times New Roman" w:cs="Times New Roman" w:eastAsia="Times New Roman" w:hAnsi="Times New Roman"/>
          <w:sz w:val="22"/>
          <w:szCs w:val="22"/>
          <w:color w:val="auto"/>
        </w:rPr>
        <w:t>The provisions of this Policy apply to the fullest extent of the law; provided however, to the extent that any provisions of this Policy are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52" w:lineRule="exact"/>
        <w:rPr>
          <w:sz w:val="20"/>
          <w:szCs w:val="20"/>
          <w:color w:val="auto"/>
        </w:rPr>
      </w:pPr>
    </w:p>
    <w:p>
      <w:pPr>
        <w:ind w:right="100" w:firstLine="1215"/>
        <w:spacing w:after="0" w:line="217" w:lineRule="auto"/>
        <w:rPr>
          <w:sz w:val="20"/>
          <w:szCs w:val="20"/>
          <w:color w:val="auto"/>
        </w:rPr>
      </w:pPr>
      <w:r>
        <w:rPr>
          <w:rFonts w:ascii="Times New Roman" w:cs="Times New Roman" w:eastAsia="Times New Roman" w:hAnsi="Times New Roman"/>
          <w:sz w:val="22"/>
          <w:szCs w:val="22"/>
          <w:color w:val="auto"/>
        </w:rPr>
        <w:t>This Policy is in addition to (and not in lieu of) any right of repayment, forfeiture or right of offset against any Executive Officer that is required pursuant to any other statutory repayment requirement (regardless of whether implemented at any time prior to or following the adoption of this Policy). Nothing in this Policy in any way detracts from or limits any obligation that those subject to it have in law or pursuant to a management, employment, consulting or other agreement with the Company or any of its subsidiaries.</w:t>
      </w:r>
    </w:p>
    <w:p>
      <w:pPr>
        <w:spacing w:after="0" w:line="152" w:lineRule="exact"/>
        <w:rPr>
          <w:sz w:val="20"/>
          <w:szCs w:val="20"/>
          <w:color w:val="auto"/>
        </w:rPr>
      </w:pPr>
    </w:p>
    <w:p>
      <w:pPr>
        <w:ind w:firstLine="1215"/>
        <w:spacing w:after="0" w:line="217" w:lineRule="auto"/>
        <w:rPr>
          <w:sz w:val="20"/>
          <w:szCs w:val="20"/>
          <w:color w:val="auto"/>
        </w:rPr>
      </w:pPr>
      <w:r>
        <w:rPr>
          <w:rFonts w:ascii="Times New Roman" w:cs="Times New Roman" w:eastAsia="Times New Roman" w:hAnsi="Times New Roman"/>
          <w:sz w:val="22"/>
          <w:szCs w:val="22"/>
          <w:color w:val="auto"/>
        </w:rPr>
        <w:t>All determinations and decisions made by the Board (or any committee thereof) pursuant to the provisions of this Policy shall be final, conclusive and binding on the Company, its subsidiaries and the persons to whom this Policy applies. Executive Officers (as defined above) are required to acknowledge that they have read this Policy annually. If you have questions about the interpretation of this Policy, please contact Jean Sera, Senior Vice President, General Counsel, Chief Compliance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180"/>
      </w:cols>
      <w:pgMar w:left="320" w:top="139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2"/>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
      <w:numFmt w:val="bullet"/>
      <w:start w:val="1"/>
    </w:lvl>
  </w:abstractNum>
  <w:abstractNum w:abstractNumId="10">
    <w:nsid w:val="3DC240FB"/>
    <w:multiLevelType w:val="hybridMultilevel"/>
    <w:lvl w:ilvl="0">
      <w:lvlJc w:val="left"/>
      <w:lvlText w:val="•"/>
      <w:numFmt w:val="bullet"/>
      <w:start w:val="1"/>
    </w:lvl>
    <w:lvl w:ilvl="1">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lvl w:ilvl="1">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lowerLetter"/>
      <w:start w:val="1"/>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
      <w:numFmt w:val="bullet"/>
      <w:start w:val="1"/>
    </w:lvl>
    <w:lvl w:ilvl="1">
      <w:lvlJc w:val="left"/>
      <w:lvlText w:val="\endash "/>
      <w:numFmt w:val="bullet"/>
      <w:start w:val="1"/>
    </w:lvl>
  </w:abstractNum>
  <w:abstractNum w:abstractNumId="21">
    <w:nsid w:val="275AC794"/>
    <w:multiLevelType w:val="hybridMultilevel"/>
    <w:lvl w:ilvl="0">
      <w:lvlJc w:val="left"/>
      <w:lvlText w:val="•"/>
      <w:numFmt w:val="bullet"/>
      <w:start w:val="1"/>
    </w:lvl>
    <w:lvl w:ilvl="1">
      <w:lvlJc w:val="left"/>
      <w:lvlText w:val="\endash "/>
      <w:numFmt w:val="bullet"/>
      <w:start w:val="1"/>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decimal"/>
      <w:start w:val="2"/>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lowerRoman"/>
      <w:start w:val="1"/>
    </w:lvl>
  </w:abstractNum>
  <w:abstractNum w:abstractNumId="28">
    <w:nsid w:val="15B5AF5C"/>
    <w:multiLevelType w:val="hybridMultilevel"/>
    <w:lvl w:ilvl="0">
      <w:lvlJc w:val="left"/>
      <w:lvlText w:val="%1."/>
      <w:numFmt w:val="decimal"/>
      <w:start w:val="3"/>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decimal"/>
      <w:start w:val="4"/>
    </w:lvl>
  </w:abstractNum>
  <w:abstractNum w:abstractNumId="32">
    <w:nsid w:val="3F6AB60F"/>
    <w:multiLevelType w:val="hybridMultilevel"/>
    <w:lvl w:ilvl="0">
      <w:lvlJc w:val="left"/>
      <w:lvlText w:val="%1"/>
      <w:numFmt w:val="decimal"/>
      <w:start w:val="1"/>
    </w:lvl>
    <w:lvl w:ilvl="1">
      <w:lvlJc w:val="left"/>
      <w:lvlText w:val="(%2)"/>
      <w:numFmt w:val="lowerLetter"/>
      <w:start w:val="1"/>
    </w:lvl>
  </w:abstractNum>
  <w:abstractNum w:abstractNumId="33">
    <w:nsid w:val="61574095"/>
    <w:multiLevelType w:val="hybridMultilevel"/>
    <w:lvl w:ilvl="0">
      <w:lvlJc w:val="left"/>
      <w:lvlText w:val="%1."/>
      <w:numFmt w:val="decimal"/>
      <w:start w:val="5"/>
    </w:lvl>
    <w:lvl w:ilvl="1">
      <w:lvlJc w:val="left"/>
      <w:lvlText w:val="%2"/>
      <w:numFmt w:val="lowerLetter"/>
      <w:start w:val="1"/>
    </w:lvl>
  </w:abstractNum>
  <w:abstractNum w:abstractNumId="34">
    <w:nsid w:val="7E0C57B1"/>
    <w:multiLevelType w:val="hybridMultilevel"/>
    <w:lvl w:ilvl="0">
      <w:lvlJc w:val="left"/>
      <w:lvlText w:val="%1."/>
      <w:numFmt w:val="decimal"/>
      <w:start w:val="6"/>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lowerLetter"/>
      <w:start w:val="1"/>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decimal"/>
      <w:start w:val="1"/>
    </w:lvl>
    <w:lvl w:ilvl="1">
      <w:lvlJc w:val="left"/>
      <w:lvlText w:val="(%2)"/>
      <w:numFmt w:val="lowerLetter"/>
      <w:start w:val="1"/>
    </w:lvl>
  </w:abstractNum>
  <w:abstractNum w:abstractNumId="40">
    <w:nsid w:val="25A70BF7"/>
    <w:multiLevelType w:val="hybridMultilevel"/>
    <w:lvl w:ilvl="0">
      <w:lvlJc w:val="left"/>
      <w:lvlText w:val="%1."/>
      <w:numFmt w:val="decimal"/>
      <w:start w:val="10"/>
    </w:lvl>
    <w:lvl w:ilvl="1">
      <w:lvlJc w:val="left"/>
      <w:lvlText w:val="%2"/>
      <w:numFmt w:val="lowerLetter"/>
      <w:start w:val="1"/>
    </w:lvl>
  </w:abstractNum>
  <w:abstractNum w:abstractNumId="41">
    <w:nsid w:val="1DBABF00"/>
    <w:multiLevelType w:val="hybridMultilevel"/>
    <w:lvl w:ilvl="0">
      <w:lvlJc w:val="left"/>
      <w:lvlText w:val="%1."/>
      <w:numFmt w:val="decimal"/>
      <w:start w:val="13"/>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decimal"/>
      <w:start w:val="14"/>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1"/>
    </w:lvl>
  </w:abstractNum>
  <w:abstractNum w:abstractNumId="49">
    <w:nsid w:val="5F5E7FD0"/>
    <w:multiLevelType w:val="hybridMultilevel"/>
    <w:lvl w:ilvl="0">
      <w:lvlJc w:val="left"/>
      <w:lvlText w:val="%1."/>
      <w:numFmt w:val="decimal"/>
      <w:start w:val="15"/>
    </w:lvl>
  </w:abstractNum>
  <w:abstractNum w:abstractNumId="50">
    <w:nsid w:val="98A3148"/>
    <w:multiLevelType w:val="hybridMultilevel"/>
    <w:lvl w:ilvl="0">
      <w:lvlJc w:val="left"/>
      <w:lvlText w:val="%1"/>
      <w:numFmt w:val="decimal"/>
      <w:start w:val="1"/>
    </w:lvl>
    <w:lvl w:ilvl="1">
      <w:lvlJc w:val="left"/>
      <w:lvlText w:val="(%2)"/>
      <w:numFmt w:val="lowerRoman"/>
      <w:start w:val="3"/>
    </w:lvl>
  </w:abstractNum>
  <w:abstractNum w:abstractNumId="51">
    <w:nsid w:val="799D0247"/>
    <w:multiLevelType w:val="hybridMultilevel"/>
    <w:lvl w:ilvl="0">
      <w:lvlJc w:val="left"/>
      <w:lvlText w:val="%1"/>
      <w:numFmt w:val="decimal"/>
      <w:start w:val="1"/>
    </w:lvl>
    <w:lvl w:ilvl="1">
      <w:lvlJc w:val="left"/>
      <w:lvlText w:val="(%2)"/>
      <w:numFmt w:val="lowerRoman"/>
      <w:start w:val="2"/>
    </w:lvl>
  </w:abstractNum>
  <w:abstractNum w:abstractNumId="52">
    <w:nsid w:val="6B94764"/>
    <w:multiLevelType w:val="hybridMultilevel"/>
    <w:lvl w:ilvl="0">
      <w:lvlJc w:val="left"/>
      <w:lvlText w:val="%1."/>
      <w:numFmt w:val="decimal"/>
      <w:start w:val="16"/>
    </w:lvl>
    <w:lvl w:ilvl="1">
      <w:lvlJc w:val="left"/>
      <w:lvlText w:val="%2"/>
      <w:numFmt w:val="lowerRoman"/>
      <w:start w:val="1"/>
    </w:lvl>
  </w:abstractNum>
  <w:abstractNum w:abstractNumId="53">
    <w:nsid w:val="42C296BD"/>
    <w:multiLevelType w:val="hybridMultilevel"/>
    <w:lvl w:ilvl="0">
      <w:lvlJc w:val="left"/>
      <w:lvlText w:val="%1"/>
      <w:numFmt w:val="decimal"/>
      <w:start w:val="1"/>
    </w:lvl>
    <w:lvl w:ilvl="1">
      <w:lvlJc w:val="left"/>
      <w:lvlText w:val="(%2)"/>
      <w:numFmt w:val="lowerLetter"/>
      <w:start w:val="1"/>
    </w:lvl>
  </w:abstractNum>
  <w:abstractNum w:abstractNumId="54">
    <w:nsid w:val="168E121F"/>
    <w:multiLevelType w:val="hybridMultilevel"/>
    <w:lvl w:ilvl="0">
      <w:lvlJc w:val="left"/>
      <w:lvlText w:val="%1."/>
      <w:numFmt w:val="decimal"/>
      <w:start w:val="17"/>
    </w:lvl>
    <w:lvl w:ilvl="1">
      <w:lvlJc w:val="left"/>
      <w:lvlText w:val="%2"/>
      <w:numFmt w:val="lowerLetter"/>
      <w:start w:val="1"/>
    </w:lvl>
  </w:abstractNum>
  <w:abstractNum w:abstractNumId="55">
    <w:nsid w:val="1EBA5D23"/>
    <w:multiLevelType w:val="hybridMultilevel"/>
    <w:lvl w:ilvl="0">
      <w:lvlJc w:val="left"/>
      <w:lvlText w:val="%1."/>
      <w:numFmt w:val="decimal"/>
      <w:start w:val="18"/>
    </w:lvl>
  </w:abstractNum>
  <w:abstractNum w:abstractNumId="56">
    <w:nsid w:val="661E3F1E"/>
    <w:multiLevelType w:val="hybridMultilevel"/>
    <w:lvl w:ilvl="0">
      <w:lvlJc w:val="left"/>
      <w:lvlText w:val="(%1)"/>
      <w:numFmt w:val="lowerLetter"/>
      <w:start w:val="1"/>
    </w:lvl>
  </w:abstractNum>
  <w:abstractNum w:abstractNumId="57">
    <w:nsid w:val="5DC79EA8"/>
    <w:multiLevelType w:val="hybridMultilevel"/>
    <w:lvl w:ilvl="0">
      <w:lvlJc w:val="left"/>
      <w:lvlText w:val="%1."/>
      <w:numFmt w:val="decimal"/>
      <w:start w:val="19"/>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decimal"/>
      <w:start w:val="20"/>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1"/>
      <w:numFmt w:val="decimal"/>
      <w:start w:val="1"/>
    </w:lvl>
    <w:lvl w:ilvl="1">
      <w:lvlJc w:val="left"/>
      <w:lvlText w:val="(%2)"/>
      <w:numFmt w:val="lowerLetter"/>
      <w:start w:val="1"/>
    </w:lvl>
  </w:abstractNum>
  <w:abstractNum w:abstractNumId="64">
    <w:nsid w:val="42963E5A"/>
    <w:multiLevelType w:val="hybridMultilevel"/>
    <w:lvl w:ilvl="0">
      <w:lvlJc w:val="left"/>
      <w:lvlText w:val="%1."/>
      <w:numFmt w:val="decimal"/>
      <w:start w:val="21"/>
    </w:lvl>
    <w:lvl w:ilvl="1">
      <w:lvlJc w:val="left"/>
      <w:lvlText w:val="%2"/>
      <w:numFmt w:val="lowerLetter"/>
      <w:start w:val="1"/>
    </w:lvl>
  </w:abstractNum>
  <w:abstractNum w:abstractNumId="65">
    <w:nsid w:val="A0382C5"/>
    <w:multiLevelType w:val="hybridMultilevel"/>
    <w:lvl w:ilvl="0">
      <w:lvlJc w:val="left"/>
      <w:lvlText w:val="(%1)"/>
      <w:numFmt w:val="lowerLetter"/>
      <w:start w:val="1"/>
    </w:lvl>
  </w:abstractNum>
  <w:abstractNum w:abstractNumId="66">
    <w:nsid w:val="8F2B15E"/>
    <w:multiLevelType w:val="hybridMultilevel"/>
    <w:lvl w:ilvl="0">
      <w:lvlJc w:val="left"/>
      <w:lvlText w:val="(%1)"/>
      <w:numFmt w:val="lowerLetter"/>
      <w:start w:val="1"/>
    </w:lvl>
  </w:abstractNum>
  <w:abstractNum w:abstractNumId="67">
    <w:nsid w:val="1A32234B"/>
    <w:multiLevelType w:val="hybridMultilevel"/>
    <w:lvl w:ilvl="0">
      <w:lvlJc w:val="left"/>
      <w:lvlText w:val="(%1)"/>
      <w:numFmt w:val="lowerLetter"/>
      <w:start w:val="1"/>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decimal"/>
      <w:start w:val="22"/>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4"/>
    </w:lvl>
  </w:abstractNum>
  <w:abstractNum w:abstractNumId="79">
    <w:nsid w:val="6EB5BD4"/>
    <w:multiLevelType w:val="hybridMultilevel"/>
    <w:lvl w:ilvl="0">
      <w:lvlJc w:val="left"/>
      <w:lvlText w:val="%1."/>
      <w:numFmt w:val="decimal"/>
      <w:start w:val="5"/>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4"/>
    </w:lvl>
  </w:abstractNum>
  <w:abstractNum w:abstractNumId="82">
    <w:nsid w:val="885E1B"/>
    <w:multiLevelType w:val="hybridMultilevel"/>
    <w:lvl w:ilvl="0">
      <w:lvlJc w:val="left"/>
      <w:lvlText w:val="%1."/>
      <w:numFmt w:val="decimal"/>
      <w:start w:val="5"/>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decimal"/>
      <w:start w:val="1"/>
    </w:lvl>
    <w:lvl w:ilvl="1">
      <w:lvlJc w:val="left"/>
      <w:lvlText w:val="%2)"/>
      <w:numFmt w:val="lowerLetter"/>
      <w:start w:val="1"/>
    </w:lvl>
  </w:abstractNum>
  <w:abstractNum w:abstractNumId="85">
    <w:nsid w:val="1716703B"/>
    <w:multiLevelType w:val="hybridMultilevel"/>
    <w:lvl w:ilvl="0">
      <w:lvlJc w:val="left"/>
      <w:lvlText w:val="%1."/>
      <w:numFmt w:val="decimal"/>
      <w:start w:val="1"/>
    </w:lvl>
    <w:lvl w:ilvl="1">
      <w:lvlJc w:val="left"/>
      <w:lvlText w:val="%2)"/>
      <w:numFmt w:val="lowerLetter"/>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87" Type="http://schemas.openxmlformats.org/officeDocument/2006/relationships/image" Target="media/image161.png"/><Relationship Id="rId207" Type="http://schemas.openxmlformats.org/officeDocument/2006/relationships/image" Target="media/image162.png"/><Relationship Id="rId223" Type="http://schemas.openxmlformats.org/officeDocument/2006/relationships/image" Target="media/image163.png"/><Relationship Id="rId236" Type="http://schemas.openxmlformats.org/officeDocument/2006/relationships/image" Target="media/image164.png"/><Relationship Id="rId252" Type="http://schemas.openxmlformats.org/officeDocument/2006/relationships/image" Target="media/image165.png"/><Relationship Id="rId269" Type="http://schemas.openxmlformats.org/officeDocument/2006/relationships/image" Target="media/image166.png"/><Relationship Id="rId272" Type="http://schemas.openxmlformats.org/officeDocument/2006/relationships/image" Target="media/image167.png"/><Relationship Id="rId273" Type="http://schemas.openxmlformats.org/officeDocument/2006/relationships/image" Target="media/image168.png"/><Relationship Id="rId274" Type="http://schemas.openxmlformats.org/officeDocument/2006/relationships/image" Target="media/image169.png"/><Relationship Id="rId275" Type="http://schemas.openxmlformats.org/officeDocument/2006/relationships/image" Target="media/image170.png"/><Relationship Id="rId276" Type="http://schemas.openxmlformats.org/officeDocument/2006/relationships/image" Target="media/image171.png"/><Relationship Id="rId277" Type="http://schemas.openxmlformats.org/officeDocument/2006/relationships/image" Target="media/image172.png"/><Relationship Id="rId168" Type="http://schemas.openxmlformats.org/officeDocument/2006/relationships/hyperlink" Target="http://www.sec.gov/Archives/edgar/data/723612/000119312506158308/dex21.htm" TargetMode="External"/><Relationship Id="rId169" Type="http://schemas.openxmlformats.org/officeDocument/2006/relationships/hyperlink" Target="http://www.sec.gov/Archives/edgar/data/723612/000119312507175647/dex22.htm" TargetMode="External"/><Relationship Id="rId170" Type="http://schemas.openxmlformats.org/officeDocument/2006/relationships/hyperlink" Target="http://www.sec.gov/Archives/edgar/data/723612/000072361206000058/articles.htm" TargetMode="External"/><Relationship Id="rId171" Type="http://schemas.openxmlformats.org/officeDocument/2006/relationships/hyperlink" Target="http://www.sec.gov/Archives/edgar/data/723612/000119312520218349/d84038dex32.htm" TargetMode="External"/><Relationship Id="rId172" Type="http://schemas.openxmlformats.org/officeDocument/2006/relationships/hyperlink" Target="http://www.sec.gov/Archives/edgar/data/723612/000072361218000113/exhibit41avisbudgetfinance.htm" TargetMode="External"/><Relationship Id="rId173" Type="http://schemas.openxmlformats.org/officeDocument/2006/relationships/hyperlink" Target="http://www.sec.gov/Archives/edgar/data/723612/000072361219000112/exhibit41-indenturex57.htm" TargetMode="External"/><Relationship Id="rId174" Type="http://schemas.openxmlformats.org/officeDocument/2006/relationships/hyperlink" Target="http://www.sec.gov/Archives/edgar/data/0000723612/000119312520213522/d11524dex41.htm" TargetMode="External"/><Relationship Id="rId175" Type="http://schemas.openxmlformats.org/officeDocument/2006/relationships/hyperlink" Target="http://www.sec.gov/Archives/edgar/data/0000723612/000119312521063570/d22737dex41.htm" TargetMode="External"/><Relationship Id="rId176" Type="http://schemas.openxmlformats.org/officeDocument/2006/relationships/hyperlink" Target="http://www.sec.gov/Archives/edgar/data/0000723612/000119312521091360/d159419dex41.htm" TargetMode="External"/><Relationship Id="rId177" Type="http://schemas.openxmlformats.org/officeDocument/2006/relationships/hyperlink" Target="http://www.sec.gov/Archives/edgar/data/723612/000119312523187288/d519763dex41.htm" TargetMode="External"/><Relationship Id="rId178" Type="http://schemas.openxmlformats.org/officeDocument/2006/relationships/hyperlink" Target="http://www.sec.gov/Archives/edgar/data/723612/000119312523282276/d797894dex41.htm" TargetMode="External"/><Relationship Id="rId179" Type="http://schemas.openxmlformats.org/officeDocument/2006/relationships/hyperlink" Target="http://www.sec.gov/Archives/edgar/data/723612/000072361222000006/exhibit48-descriptionofreg.htm" TargetMode="External"/><Relationship Id="rId180" Type="http://schemas.openxmlformats.org/officeDocument/2006/relationships/hyperlink" Target="http://www.sec.gov/Archives/edgar/data/723612/000072361216000244/exhibit105-ferraroemployme.htm" TargetMode="External"/><Relationship Id="rId181" Type="http://schemas.openxmlformats.org/officeDocument/2006/relationships/hyperlink" Target="http://www.sec.gov/Archives/edgar/data/723612/000072361220000011/exhibit108-abgexecutiv.htm" TargetMode="External"/><Relationship Id="rId182" Type="http://schemas.openxmlformats.org/officeDocument/2006/relationships/hyperlink" Target="http://www.sec.gov/Archives/edgar/data/723612/000072361220000011/exhibit109-krseverance.htm" TargetMode="External"/><Relationship Id="rId183" Type="http://schemas.openxmlformats.org/officeDocument/2006/relationships/hyperlink" Target="http://www.sec.gov/Archives/edgar/data/723612/000072361220000011/exhibit1010-employment.htm" TargetMode="External"/><Relationship Id="rId184" Type="http://schemas.openxmlformats.org/officeDocument/2006/relationships/hyperlink" Target="http://www.sec.gov/Archives/edgar/data/723612/000119312520218349/d84038dex102.htm" TargetMode="External"/><Relationship Id="rId185" Type="http://schemas.openxmlformats.org/officeDocument/2006/relationships/hyperlink" Target="http://www.sec.gov/Archives/edgar/data/723612/000072361223000015/exhibit1075-offerletter.htm" TargetMode="External"/><Relationship Id="rId186" Type="http://schemas.openxmlformats.org/officeDocument/2006/relationships/hyperlink" Target="http://www.sec.gov/Archives/edgar/data/723612/000119312520316997/d33545dex101.htm" TargetMode="External"/><Relationship Id="rId188" Type="http://schemas.openxmlformats.org/officeDocument/2006/relationships/hyperlink" Target="http://www.sec.gov/Archives/edgar/data/723612/000095014222003481/eh220316264_ex1001.htm" TargetMode="External"/><Relationship Id="rId189" Type="http://schemas.openxmlformats.org/officeDocument/2006/relationships/hyperlink" Target="http://www.sec.gov/Archives/edgar/data/0000723612/000120677419001054/avis3494471-def14a.htm" TargetMode="External"/><Relationship Id="rId190" Type="http://schemas.openxmlformats.org/officeDocument/2006/relationships/hyperlink" Target="http://www.sec.gov/Archives/edgar/data/0000723612/000072361221000064/amendmenttoarequityplanoct.htm" TargetMode="External"/><Relationship Id="rId191" Type="http://schemas.openxmlformats.org/officeDocument/2006/relationships/hyperlink" Target="http://www.sec.gov/Archives/edgar/data/0000723612/000072361219000025/formofrsuaward.htm" TargetMode="External"/><Relationship Id="rId192" Type="http://schemas.openxmlformats.org/officeDocument/2006/relationships/hyperlink" Target="http://www.sec.gov/Archives/edgar/data/723612/000072361219000025/formofperformanceaward.htm" TargetMode="External"/><Relationship Id="rId193" Type="http://schemas.openxmlformats.org/officeDocument/2006/relationships/hyperlink" Target="http://www.sec.gov/Archives/edgar/data/723612/000072361219000025/formofdirectoraward.htm" TargetMode="External"/><Relationship Id="rId194" Type="http://schemas.openxmlformats.org/officeDocument/2006/relationships/hyperlink" Target="http://www.sec.gov/Archives/edgar/data/723612/000072361219000025/formofseveranceagmt.htm" TargetMode="External"/><Relationship Id="rId195" Type="http://schemas.openxmlformats.org/officeDocument/2006/relationships/hyperlink" Target="http://www.sec.gov/Archives/edgar/data/723612/000072361219000025/directorplan.htm" TargetMode="External"/><Relationship Id="rId196" Type="http://schemas.openxmlformats.org/officeDocument/2006/relationships/hyperlink" Target="http://www.sec.gov/Archives/edgar/data/723612/000072361223000015/exhibit1018-supplementalsa.htm" TargetMode="External"/><Relationship Id="rId197" Type="http://schemas.openxmlformats.org/officeDocument/2006/relationships/hyperlink" Target="http://www.sec.gov/Archives/edgar/data/723612/000119312509039260/dex1018.htm" TargetMode="External"/><Relationship Id="rId198" Type="http://schemas.openxmlformats.org/officeDocument/2006/relationships/hyperlink" Target="http://www.sec.gov/Archives/edgar/data/723612/000072361219000025/avisrentacarpension.htm" TargetMode="External"/><Relationship Id="rId199" Type="http://schemas.openxmlformats.org/officeDocument/2006/relationships/hyperlink" Target="http://www.sec.gov/Archives/edgar/data/723612/000072361205000004/financialservicespolicy.htm" TargetMode="External"/><Relationship Id="rId200" Type="http://schemas.openxmlformats.org/officeDocument/2006/relationships/hyperlink" Target="http://www.sec.gov/Archives/edgar/data/723612/000119312506158308/dex102.htm" TargetMode="External"/><Relationship Id="rId201" Type="http://schemas.openxmlformats.org/officeDocument/2006/relationships/hyperlink" Target="http://www.sec.gov/Archives/edgar/data/723612/000119312508170083/dex104.htm" TargetMode="External"/><Relationship Id="rId202" Type="http://schemas.openxmlformats.org/officeDocument/2006/relationships/hyperlink" Target="http://www.sec.gov/Archives/edgar/data/723612/000095012304009102/y99348exv10w7.htm" TargetMode="External"/><Relationship Id="rId203" Type="http://schemas.openxmlformats.org/officeDocument/2006/relationships/hyperlink" Target="http://www.sec.gov/Archives/edgar/data/723612/000072361206000002/exhibit-1.htm" TargetMode="External"/><Relationship Id="rId204" Type="http://schemas.openxmlformats.org/officeDocument/2006/relationships/hyperlink" Target="http://www.sec.gov/Archives/edgar/data/723612/000119312507175647/dex106.htm" TargetMode="External"/><Relationship Id="rId205" Type="http://schemas.openxmlformats.org/officeDocument/2006/relationships/hyperlink" Target="http://www.sec.gov/Archives/edgar/data/723612/000072361214000041/exhibit1035csupplementalin.htm" TargetMode="External"/><Relationship Id="rId206" Type="http://schemas.openxmlformats.org/officeDocument/2006/relationships/hyperlink" Target="http://www.sec.gov/Archives/edgar/data/723612/000095012304009102/y99348exv10w8.htm" TargetMode="External"/><Relationship Id="rId208" Type="http://schemas.openxmlformats.org/officeDocument/2006/relationships/hyperlink" Target="http://www.sec.gov/Archives/edgar/data/723612/000072361206000002/exhibit-2.htm" TargetMode="External"/><Relationship Id="rId209" Type="http://schemas.openxmlformats.org/officeDocument/2006/relationships/hyperlink" Target="http://www.sec.gov/Archives/edgar/data/723612/000119312507175647/dex108.htm" TargetMode="External"/><Relationship Id="rId210" Type="http://schemas.openxmlformats.org/officeDocument/2006/relationships/hyperlink" Target="http://www.sec.gov/Archives/edgar/data/723612/000072361214000041/exhibit1036cthirdamendment.htm" TargetMode="External"/><Relationship Id="rId211" Type="http://schemas.openxmlformats.org/officeDocument/2006/relationships/hyperlink" Target="http://www.sec.gov/Archives/edgar/data/723612/000072361222000051/exhibit102-fourthamendment.htm" TargetMode="External"/><Relationship Id="rId212" Type="http://schemas.openxmlformats.org/officeDocument/2006/relationships/hyperlink" Target="http://www.sec.gov/Archives/edgar/data/723612/000119312507044472/dex1029a.htm" TargetMode="External"/><Relationship Id="rId213" Type="http://schemas.openxmlformats.org/officeDocument/2006/relationships/hyperlink" Target="http://www.sec.gov/Archives/edgar/data/723612/000119312507044472/dex1029b.htm" TargetMode="External"/><Relationship Id="rId214" Type="http://schemas.openxmlformats.org/officeDocument/2006/relationships/hyperlink" Target="http://www.sec.gov/Archives/edgar/data/723612/000119312507175647/dex107.htm" TargetMode="External"/><Relationship Id="rId215" Type="http://schemas.openxmlformats.org/officeDocument/2006/relationships/hyperlink" Target="http://www.sec.gov/Archives/edgar/data/723612/000072361214000041/exhibit1037cthirdamendment.htm" TargetMode="External"/><Relationship Id="rId216" Type="http://schemas.openxmlformats.org/officeDocument/2006/relationships/hyperlink" Target="http://www.sec.gov/Archives/edgar/data/723612/000072361222000051/exhibit105-fourthamendment.htm" TargetMode="External"/><Relationship Id="rId217" Type="http://schemas.openxmlformats.org/officeDocument/2006/relationships/hyperlink" Target="http://www.sec.gov/Archives/edgar/data/723612/000095012304009102/y99348exv10w9.htm" TargetMode="External"/><Relationship Id="rId218" Type="http://schemas.openxmlformats.org/officeDocument/2006/relationships/hyperlink" Target="http://www.sec.gov/Archives/edgar/data/723612/000072361206000002/exhibit-3.htm" TargetMode="External"/><Relationship Id="rId219" Type="http://schemas.openxmlformats.org/officeDocument/2006/relationships/hyperlink" Target="http://www.sec.gov/Archives/edgar/data/723612/000119312507175647/dex109.htm" TargetMode="External"/><Relationship Id="rId220" Type="http://schemas.openxmlformats.org/officeDocument/2006/relationships/hyperlink" Target="http://www.sec.gov/Archives/edgar/data/723612/000072361214000041/exhibit1038cfourthamendmen.htm" TargetMode="External"/><Relationship Id="rId221" Type="http://schemas.openxmlformats.org/officeDocument/2006/relationships/hyperlink" Target="http://www.sec.gov/Archives/edgar/data/723612/000072361222000051/exhibit103-fifthamendmentt.htm" TargetMode="External"/><Relationship Id="rId222" Type="http://schemas.openxmlformats.org/officeDocument/2006/relationships/hyperlink" Target="http://www.sec.gov/Archives/edgar/data/723612/000119312507044472/dex1030a.htm" TargetMode="External"/><Relationship Id="rId224" Type="http://schemas.openxmlformats.org/officeDocument/2006/relationships/hyperlink" Target="http://www.sec.gov/Archives/edgar/data/723612/000119312507044472/dex1030b.htm" TargetMode="External"/><Relationship Id="rId225" Type="http://schemas.openxmlformats.org/officeDocument/2006/relationships/hyperlink" Target="http://www.sec.gov/Archives/edgar/data/723612/000119312507175647/dex1011.htm" TargetMode="External"/><Relationship Id="rId226" Type="http://schemas.openxmlformats.org/officeDocument/2006/relationships/hyperlink" Target="http://www.sec.gov/Archives/edgar/data/723612/000072361214000041/exhibit1039cfourthamendmen.htm" TargetMode="External"/><Relationship Id="rId227" Type="http://schemas.openxmlformats.org/officeDocument/2006/relationships/hyperlink" Target="http://www.sec.gov/Archives/edgar/data/723612/000072361222000051/exhibit104-fifthamendmentt.htm" TargetMode="External"/><Relationship Id="rId228" Type="http://schemas.openxmlformats.org/officeDocument/2006/relationships/hyperlink" Target="http://www.sec.gov/Archives/edgar/data/723612/000072361213000018/exhibit101aesopioperatingsu.htm" TargetMode="External"/><Relationship Id="rId229" Type="http://schemas.openxmlformats.org/officeDocument/2006/relationships/hyperlink" Target="http://www.sec.gov/Archives/edgar/data/723612/000095012306002437/y17817exv10w34.htm" TargetMode="External"/><Relationship Id="rId230" Type="http://schemas.openxmlformats.org/officeDocument/2006/relationships/hyperlink" Target="http://www.sec.gov/Archives/edgar/data/723612/000072361214000041/exhibit1041afirstamendment.htm" TargetMode="External"/><Relationship Id="rId231" Type="http://schemas.openxmlformats.org/officeDocument/2006/relationships/hyperlink" Target="http://www.sec.gov/Archives/edgar/data/723612/000095014222001417/eh220244714_ex1002.htm" TargetMode="External"/><Relationship Id="rId232" Type="http://schemas.openxmlformats.org/officeDocument/2006/relationships/hyperlink" Target="http://www.sec.gov/Archives/edgar/data/723612/000095014223000959/eh230344743_ex1001.htm" TargetMode="External"/><Relationship Id="rId233" Type="http://schemas.openxmlformats.org/officeDocument/2006/relationships/hyperlink" Target="http://www.sec.gov/Archives/edgar/data/723612/000095014223001247/eh230352485_ex1001.htm" TargetMode="External"/><Relationship Id="rId234" Type="http://schemas.openxmlformats.org/officeDocument/2006/relationships/hyperlink" Target="http://www.sec.gov/Archives/edgar/data/723612/000095014223002738/eh230417405_ex1001.htm" TargetMode="External"/><Relationship Id="rId235" Type="http://schemas.openxmlformats.org/officeDocument/2006/relationships/hyperlink" Target="http://www.sec.gov/Archives/edgar/data/723612/000095014224000165/eh240438620_ex1002.htm" TargetMode="External"/><Relationship Id="rId237" Type="http://schemas.openxmlformats.org/officeDocument/2006/relationships/hyperlink" Target="http://www.sec.gov/Archives/edgar/data/723612/000095014222001417/eh220244714_ex1003.htm" TargetMode="External"/><Relationship Id="rId238" Type="http://schemas.openxmlformats.org/officeDocument/2006/relationships/hyperlink" Target="http://www.sec.gov/Archives/edgar/data/723612/000095014223000959/eh230344743_ex1002.htm" TargetMode="External"/><Relationship Id="rId239" Type="http://schemas.openxmlformats.org/officeDocument/2006/relationships/hyperlink" Target="http://www.sec.gov/Archives/edgar/data/723612/000095014223001247/eh230352485_ex1002.htm" TargetMode="External"/><Relationship Id="rId240" Type="http://schemas.openxmlformats.org/officeDocument/2006/relationships/hyperlink" Target="http://www.sec.gov/Archives/edgar/data/723612/000095014223002738/eh230417405_ex1002.htm" TargetMode="External"/><Relationship Id="rId241" Type="http://schemas.openxmlformats.org/officeDocument/2006/relationships/hyperlink" Target="http://www.sec.gov/Archives/edgar/data/723612/000095014224000165/eh240438620_ex1003.htm" TargetMode="External"/><Relationship Id="rId242" Type="http://schemas.openxmlformats.org/officeDocument/2006/relationships/hyperlink" Target="http://www.sec.gov/Archives/edgar/data/0000723612/000119312521197313/d168700dex101.htm" TargetMode="External"/><Relationship Id="rId243" Type="http://schemas.openxmlformats.org/officeDocument/2006/relationships/hyperlink" Target="http://www.sec.gov/Archives/edgar/data/0000723612/000119312521197313/d168700dex102.htm" TargetMode="External"/><Relationship Id="rId244" Type="http://schemas.openxmlformats.org/officeDocument/2006/relationships/hyperlink" Target="http://www.sec.gov/Archives/edgar/data/723612/000095014222001871/eh220256619_ex1002.htm" TargetMode="External"/><Relationship Id="rId245" Type="http://schemas.openxmlformats.org/officeDocument/2006/relationships/hyperlink" Target="http://www.sec.gov/Archives/edgar/data/0000723612/000119312521197313/d168700dex103.htm" TargetMode="External"/><Relationship Id="rId246" Type="http://schemas.openxmlformats.org/officeDocument/2006/relationships/hyperlink" Target="http://www.sec.gov/Archives/edgar/data/723612/000119312520220383/d109512dex101.htm" TargetMode="External"/><Relationship Id="rId247" Type="http://schemas.openxmlformats.org/officeDocument/2006/relationships/hyperlink" Target="http://www.sec.gov/Archives/edgar/data/0000723612/000119312521169321/d166440dex101.htm" TargetMode="External"/><Relationship Id="rId248" Type="http://schemas.openxmlformats.org/officeDocument/2006/relationships/hyperlink" Target="http://www.sec.gov/Archives/edgar/data/0000723612/000119312521335185/d233170dex101.htm" TargetMode="External"/><Relationship Id="rId249" Type="http://schemas.openxmlformats.org/officeDocument/2006/relationships/hyperlink" Target="http://www.sec.gov/Archives/edgar/data/723612/000095014222001417/eh220244714_ex1001.htm" TargetMode="External"/><Relationship Id="rId250" Type="http://schemas.openxmlformats.org/officeDocument/2006/relationships/hyperlink" Target="http://www.sec.gov/Archives/edgar/data/723612/000095014222002300/eh220272511_ex1001.htm" TargetMode="External"/><Relationship Id="rId251" Type="http://schemas.openxmlformats.org/officeDocument/2006/relationships/hyperlink" Target="http://www.sec.gov/Archives/edgar/data/723612/000095014222002300/eh220272511_ex1002.htm" TargetMode="External"/><Relationship Id="rId253" Type="http://schemas.openxmlformats.org/officeDocument/2006/relationships/hyperlink" Target="http://www.sec.gov/Archives/edgar/data/723612/000095014222003287/eh220307786_ex1001.htm" TargetMode="External"/><Relationship Id="rId254" Type="http://schemas.openxmlformats.org/officeDocument/2006/relationships/hyperlink" Target="http://www.sec.gov/Archives/edgar/data/723612/000095014223000177/eh230319711_ex1001.htm" TargetMode="External"/><Relationship Id="rId255" Type="http://schemas.openxmlformats.org/officeDocument/2006/relationships/hyperlink" Target="http://www.sec.gov/Archives/edgar/data/723612/000095014223000177/eh230319711_ex1002.htm" TargetMode="External"/><Relationship Id="rId256" Type="http://schemas.openxmlformats.org/officeDocument/2006/relationships/hyperlink" Target="http://www.sec.gov/Archives/edgar/data/723612/000095014223001058/eh230347691_ex1001.htm" TargetMode="External"/><Relationship Id="rId257" Type="http://schemas.openxmlformats.org/officeDocument/2006/relationships/hyperlink" Target="http://www.sec.gov/Archives/edgar/data/723612/000095014223001058/eh230347691_ex1002.htm" TargetMode="External"/><Relationship Id="rId258" Type="http://schemas.openxmlformats.org/officeDocument/2006/relationships/hyperlink" Target="http://www.sec.gov/Archives/edgar/data/723612/000095014223001614/eh230364308_ex1001.htm" TargetMode="External"/><Relationship Id="rId259" Type="http://schemas.openxmlformats.org/officeDocument/2006/relationships/hyperlink" Target="http://www.sec.gov/Archives/edgar/data/723612/000095014223001614/eh230364308_ex1002.htm" TargetMode="External"/><Relationship Id="rId260" Type="http://schemas.openxmlformats.org/officeDocument/2006/relationships/hyperlink" Target="http://www.sec.gov/Archives/edgar/data/723612/000095014223002455/eh230400939_ex1001.htm" TargetMode="External"/><Relationship Id="rId261" Type="http://schemas.openxmlformats.org/officeDocument/2006/relationships/hyperlink" Target="http://www.sec.gov/Archives/edgar/data/723612/000095014223002455/eh230400939_ex1002.htm" TargetMode="External"/><Relationship Id="rId262" Type="http://schemas.openxmlformats.org/officeDocument/2006/relationships/hyperlink" Target="http://www.sec.gov/Archives/edgar/data/723612/000095014224000165/eh240438620_ex1001.htm" TargetMode="External"/><Relationship Id="rId263" Type="http://schemas.openxmlformats.org/officeDocument/2006/relationships/hyperlink" Target="http://www.sec.gov/Archives/edgar/data/0000723612/000119312521214124/d353521dex101.htm" TargetMode="External"/><Relationship Id="rId264" Type="http://schemas.openxmlformats.org/officeDocument/2006/relationships/hyperlink" Target="http://www.sec.gov/Archives/edgar/data/723612/000119312522085353/d330835dex102.htm" TargetMode="External"/><Relationship Id="rId265" Type="http://schemas.openxmlformats.org/officeDocument/2006/relationships/hyperlink" Target="http://www.sec.gov/Archives/edgar/data/723612/000119312522085353/d330835dex101.htm" TargetMode="External"/><Relationship Id="rId266" Type="http://schemas.openxmlformats.org/officeDocument/2006/relationships/hyperlink" Target="http://www.sec.gov/Archives/edgar/data/723612/000072361222000051/exhibit101-thirdamendmentt.htm" TargetMode="External"/><Relationship Id="rId267" Type="http://schemas.openxmlformats.org/officeDocument/2006/relationships/hyperlink" Target="http://www.sec.gov/Archives/edgar/data/723612/000072361223000015/exhibit1076-fourthamendment.htm" TargetMode="External"/><Relationship Id="rId268" Type="http://schemas.openxmlformats.org/officeDocument/2006/relationships/hyperlink" Target="http://www.sec.gov/Archives/edgar/data/723612/000072361223000048/exhibit101-q2fy23.htm" TargetMode="External"/><Relationship Id="rId270" Type="http://schemas.openxmlformats.org/officeDocument/2006/relationships/hyperlink" Target="http://www.sec.gov/Archives/edgar/data/723612/000095014223002963/eh230429453_ex1001.htm" TargetMode="External"/><Relationship Id="rId271" Type="http://schemas.openxmlformats.org/officeDocument/2006/relationships/hyperlink" Target="http://www.sec.gov/Archives/edgar/data/723612/000095014224000026/eh23043345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2024-02-16T05:42:03Z</dcterms:created>
  <dcterms:modified xsi:type="dcterms:W3CDTF">2024-02-16T05:42:03Z</dcterms:modified>
</cp:coreProperties>
</file>