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66167x1_def14a_100-regcov_pg1"/>
        <w:bookmarkStart w:id="1" w:name="ny20066167x1_def14a.htm"/>
        <w:bookmarkStart w:id="2" w:name="ksny20066167x1_def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Arial;Helvetica;sans-serif" w:hAnsi="Arial;Helvetica;sans-serif"/>
          <w:b/>
          <w:color w:val="000000"/>
          <w:sz w:val="28"/>
        </w:rPr>
      </w:pPr>
      <w:r>
        <w:rPr>
          <w:rFonts w:ascii="Arial;Helvetica;sans-serif" w:hAnsi="Arial;Helvetica;sans-serif"/>
          <w:b/>
          <w:color w:val="000000"/>
          <w:sz w:val="28"/>
        </w:rPr>
        <w:t xml:space="preserve">UNITED STATES </w:t>
      </w:r>
    </w:p>
    <w:p>
      <w:pPr>
        <w:pStyle w:val="TextBody"/>
        <w:bidi w:val="0"/>
        <w:spacing w:before="0" w:after="283"/>
        <w:jc w:val="center"/>
        <w:rPr>
          <w:rFonts w:ascii="Arial;Helvetica;sans-serif" w:hAnsi="Arial;Helvetica;sans-serif"/>
          <w:b/>
          <w:color w:val="000000"/>
          <w:sz w:val="28"/>
        </w:rPr>
      </w:pPr>
      <w:r>
        <w:rPr>
          <w:rFonts w:ascii="Arial;Helvetica;sans-serif" w:hAnsi="Arial;Helvetica;sans-serif"/>
          <w:b/>
          <w:color w:val="000000"/>
          <w:sz w:val="28"/>
        </w:rPr>
        <w:t xml:space="preserve">SECURITIES AND EXCHANGE COMMISSION </w:t>
      </w:r>
    </w:p>
    <w:p>
      <w:pPr>
        <w:pStyle w:val="TextBody"/>
        <w:bidi w:val="0"/>
        <w:spacing w:before="0" w:after="283"/>
        <w:jc w:val="center"/>
        <w:rPr>
          <w:rFonts w:ascii="Arial;Helvetica;sans-serif" w:hAnsi="Arial;Helvetica;sans-serif"/>
          <w:b/>
          <w:color w:val="000000"/>
          <w:sz w:val="24"/>
        </w:rPr>
      </w:pPr>
      <w:r>
        <w:rPr>
          <w:rFonts w:ascii="Arial;Helvetica;sans-serif" w:hAnsi="Arial;Helvetica;sans-serif"/>
          <w:b/>
          <w:color w:val="000000"/>
          <w:sz w:val="24"/>
        </w:rPr>
        <w:t xml:space="preserve">Washington, D.C. 20549 </w:t>
      </w:r>
    </w:p>
    <w:p>
      <w:pPr>
        <w:pStyle w:val="TextBody"/>
        <w:bidi w:val="0"/>
        <w:spacing w:before="210" w:after="283"/>
        <w:jc w:val="center"/>
        <w:rPr>
          <w:rFonts w:ascii="Arial;Helvetica;sans-serif" w:hAnsi="Arial;Helvetica;sans-serif"/>
          <w:b/>
          <w:color w:val="000000"/>
          <w:sz w:val="32"/>
        </w:rPr>
      </w:pPr>
      <w:r>
        <w:rPr>
          <w:rFonts w:ascii="Arial;Helvetica;sans-serif" w:hAnsi="Arial;Helvetica;sans-serif"/>
          <w:b/>
          <w:color w:val="000000"/>
          <w:sz w:val="32"/>
        </w:rPr>
        <w:t xml:space="preserve">SCHEDULE 14A </w:t>
      </w:r>
    </w:p>
    <w:p>
      <w:pPr>
        <w:pStyle w:val="TextBody"/>
        <w:bidi w:val="0"/>
        <w:spacing w:before="130" w:after="283"/>
        <w:jc w:val="center"/>
        <w:rPr>
          <w:rFonts w:ascii="Arial;Helvetica;sans-serif" w:hAnsi="Arial;Helvetica;sans-serif"/>
          <w:color w:val="000000"/>
          <w:sz w:val="20"/>
        </w:rPr>
      </w:pPr>
      <w:r>
        <w:rPr>
          <w:rFonts w:ascii="Arial;Helvetica;sans-serif" w:hAnsi="Arial;Helvetica;sans-serif"/>
          <w:color w:val="000000"/>
          <w:sz w:val="20"/>
        </w:rPr>
        <w:t xml:space="preserve">Proxy Statement Pursuant to Section 14(a) of the </w:t>
      </w:r>
    </w:p>
    <w:p>
      <w:pPr>
        <w:pStyle w:val="TextBody"/>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Securities Exchange Act of 1934 (Amendment No. ) </w:t>
      </w:r>
    </w:p>
    <w:p>
      <w:pPr>
        <w:pStyle w:val="TextBody"/>
        <w:bidi w:val="0"/>
        <w:spacing w:before="17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Filed by the Registrant ☒ </w:t>
      </w:r>
    </w:p>
    <w:p>
      <w:pPr>
        <w:pStyle w:val="TextBody"/>
        <w:bidi w:val="0"/>
        <w:spacing w:before="17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Filed by a Party other than the Registrant  ☐ </w:t>
      </w:r>
    </w:p>
    <w:p>
      <w:pPr>
        <w:pStyle w:val="TextBody"/>
        <w:bidi w:val="0"/>
        <w:spacing w:before="17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CHECK THE APPROPRIATE BOX: </w:t>
      </w:r>
    </w:p>
    <w:tbl>
      <w:tblPr>
        <w:tblW w:w="8135" w:type="dxa"/>
        <w:jc w:val="left"/>
        <w:tblInd w:w="0" w:type="dxa"/>
        <w:tblLayout w:type="fixed"/>
        <w:tblCellMar>
          <w:top w:w="0" w:type="dxa"/>
          <w:left w:w="0" w:type="dxa"/>
          <w:bottom w:w="0" w:type="dxa"/>
          <w:right w:w="0" w:type="dxa"/>
        </w:tblCellMar>
      </w:tblPr>
      <w:tblGrid>
        <w:gridCol w:w="320"/>
        <w:gridCol w:w="170"/>
        <w:gridCol w:w="170"/>
        <w:gridCol w:w="7475"/>
      </w:tblGrid>
      <w:tr>
        <w:trPr/>
        <w:tc>
          <w:tcPr>
            <w:tcW w:w="3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75"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7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Preliminary Proxy Statement </w:t>
            </w:r>
          </w:p>
        </w:tc>
      </w:tr>
      <w:tr>
        <w:trPr/>
        <w:tc>
          <w:tcPr>
            <w:tcW w:w="3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75" w:type="dxa"/>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Confidential, for Use of the Commission Only (as permitted by Rule 14a-6(e)(2)) </w:t>
            </w:r>
          </w:p>
        </w:tc>
      </w:tr>
      <w:tr>
        <w:trPr/>
        <w:tc>
          <w:tcPr>
            <w:tcW w:w="32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7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Definitive Proxy Statement </w:t>
            </w:r>
          </w:p>
        </w:tc>
      </w:tr>
      <w:tr>
        <w:trPr/>
        <w:tc>
          <w:tcPr>
            <w:tcW w:w="3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7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Definitive Additional Materials </w:t>
            </w:r>
          </w:p>
        </w:tc>
      </w:tr>
      <w:tr>
        <w:trPr/>
        <w:tc>
          <w:tcPr>
            <w:tcW w:w="3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7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Soliciting Material Pursuant to §240.14a-12</w:t>
            </w:r>
          </w:p>
        </w:tc>
      </w:tr>
      <w:tr>
        <w:trPr/>
        <w:tc>
          <w:tcPr>
            <w:tcW w:w="3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75" w:type="dxa"/>
            <w:tcBorders/>
            <w:vAlign w:val="center"/>
          </w:tcPr>
          <w:p>
            <w:pPr>
              <w:pStyle w:val="TableContents"/>
              <w:bidi w:val="0"/>
              <w:spacing w:before="0" w:after="0"/>
              <w:jc w:val="left"/>
              <w:rPr/>
            </w:pPr>
            <w:r>
              <w:rPr/>
              <w:t> </w:t>
            </w:r>
          </w:p>
        </w:tc>
      </w:tr>
    </w:tbl>
    <w:tbl>
      <w:tblPr>
        <w:tblW w:w="6350" w:type="dxa"/>
        <w:jc w:val="left"/>
        <w:tblInd w:w="0" w:type="dxa"/>
        <w:tblLayout w:type="fixed"/>
        <w:tblCellMar>
          <w:top w:w="0" w:type="dxa"/>
          <w:left w:w="0" w:type="dxa"/>
          <w:bottom w:w="0" w:type="dxa"/>
          <w:right w:w="0" w:type="dxa"/>
        </w:tblCellMar>
      </w:tblPr>
      <w:tblGrid>
        <w:gridCol w:w="6350"/>
      </w:tblGrid>
      <w:tr>
        <w:trPr/>
        <w:tc>
          <w:tcPr>
            <w:tcW w:w="6350" w:type="dxa"/>
            <w:tcBorders/>
            <w:vAlign w:val="center"/>
          </w:tcPr>
          <w:p>
            <w:pPr>
              <w:pStyle w:val="TableContents"/>
              <w:bidi w:val="0"/>
              <w:spacing w:before="0" w:after="0"/>
              <w:jc w:val="left"/>
              <w:rPr/>
            </w:pPr>
            <w:r>
              <w:rPr/>
              <w:t> </w:t>
            </w:r>
          </w:p>
        </w:tc>
      </w:tr>
      <w:tr>
        <w:trPr/>
        <w:tc>
          <w:tcPr>
            <w:tcW w:w="6350"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36"/>
              </w:rPr>
            </w:pPr>
            <w:r>
              <w:rPr>
                <w:rFonts w:ascii="Arial;Helvetica;sans-serif" w:hAnsi="Arial;Helvetica;sans-serif"/>
                <w:b/>
                <w:color w:val="000000"/>
                <w:sz w:val="36"/>
              </w:rPr>
              <w:t xml:space="preserve">Avis Budget Group, Inc. </w:t>
            </w:r>
          </w:p>
        </w:tc>
      </w:tr>
      <w:tr>
        <w:trPr/>
        <w:tc>
          <w:tcPr>
            <w:tcW w:w="635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(Name of Registrant as Specified In Its Charter) </w:t>
            </w:r>
          </w:p>
        </w:tc>
      </w:tr>
      <w:tr>
        <w:trPr/>
        <w:tc>
          <w:tcPr>
            <w:tcW w:w="635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r>
      <w:tr>
        <w:trPr/>
        <w:tc>
          <w:tcPr>
            <w:tcW w:w="635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(Name of Person(s) Filing Proxy Statement, if other than the Registrant)</w:t>
            </w:r>
          </w:p>
        </w:tc>
      </w:tr>
      <w:tr>
        <w:trPr/>
        <w:tc>
          <w:tcPr>
            <w:tcW w:w="6350"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Payment of Filing Fee (Check all boxes that apply): </w:t>
      </w:r>
    </w:p>
    <w:tbl>
      <w:tblPr>
        <w:tblW w:w="9530" w:type="dxa"/>
        <w:jc w:val="left"/>
        <w:tblInd w:w="0" w:type="dxa"/>
        <w:tblLayout w:type="fixed"/>
        <w:tblCellMar>
          <w:top w:w="0" w:type="dxa"/>
          <w:left w:w="0" w:type="dxa"/>
          <w:bottom w:w="0" w:type="dxa"/>
          <w:right w:w="0" w:type="dxa"/>
        </w:tblCellMar>
      </w:tblPr>
      <w:tblGrid>
        <w:gridCol w:w="320"/>
        <w:gridCol w:w="170"/>
        <w:gridCol w:w="170"/>
        <w:gridCol w:w="8870"/>
      </w:tblGrid>
      <w:tr>
        <w:trPr/>
        <w:tc>
          <w:tcPr>
            <w:tcW w:w="3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7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7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No fee required. </w:t>
            </w:r>
          </w:p>
        </w:tc>
      </w:tr>
      <w:tr>
        <w:trPr/>
        <w:tc>
          <w:tcPr>
            <w:tcW w:w="3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7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Fee paid previously with preliminary materials. </w:t>
            </w:r>
          </w:p>
        </w:tc>
      </w:tr>
      <w:tr>
        <w:trPr/>
        <w:tc>
          <w:tcPr>
            <w:tcW w:w="32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7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Fee computed on table in exhibit required by Item 25(b) per Exchange Act Rules 14a-6(i)(1) and 0-11.</w:t>
            </w:r>
          </w:p>
        </w:tc>
      </w:tr>
      <w:tr>
        <w:trPr/>
        <w:tc>
          <w:tcPr>
            <w:tcW w:w="3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7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 w:name="ny20066167x1_def14a_101-cov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2771775" cy="37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71775" cy="3714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400" w:after="283"/>
        <w:jc w:val="right"/>
        <w:rPr>
          <w:rFonts w:ascii="Arial;Helvetica;sans-serif" w:hAnsi="Arial;Helvetica;sans-serif"/>
          <w:color w:val="000000"/>
          <w:sz w:val="20"/>
        </w:rPr>
      </w:pPr>
      <w:r>
        <w:rPr>
          <w:rFonts w:ascii="Arial;Helvetica;sans-serif" w:hAnsi="Arial;Helvetica;sans-serif"/>
          <w:color w:val="000000"/>
          <w:sz w:val="20"/>
        </w:rPr>
        <w:t xml:space="preserve">April 2, 2026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Dear Fellow Shareholder: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It is our pleasure to invite you to attend the Annual Meeting of Shareholders of Avis Budget Group, Inc., which will be held virtually on May 20, 2026, at 11:00 a.m. Eastern Time.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This booklet includes the Notice of Annual Meeting and the Proxy Statement. The Proxy Statement describes the business to be conducted at the Annual Meeting and provides other information concerning our Company of which you should be aware when you vote your shares. Your vote is very important, regardless of the number of shares you own. Whether or not you attend the virtual Annual Meeting, we would like for your shares to be represented and we encourage you to vote promptly.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On behalf of the Board of Directors and the employees of Avis Budget Group, Inc., we would like to thank you for being a shareholder and express our appreciation for your ongoing support of our Company. </w:t>
      </w:r>
    </w:p>
    <w:p>
      <w:pPr>
        <w:pStyle w:val="TextBody"/>
        <w:bidi w:val="0"/>
        <w:spacing w:before="16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Sincerely, </w:t>
      </w:r>
    </w:p>
    <w:p>
      <w:pPr>
        <w:pStyle w:val="TextBody"/>
        <w:bidi w:val="0"/>
        <w:spacing w:before="0" w:after="283"/>
        <w:ind w:left="0" w:right="0" w:hanging="0"/>
        <w:jc w:val="left"/>
        <w:rPr>
          <w:color w:val="000000"/>
        </w:rPr>
      </w:pPr>
      <w:r>
        <w:rPr>
          <w:color w:val="000000"/>
        </w:rPr>
        <w:t> </w:t>
      </w:r>
    </w:p>
    <w:p>
      <w:pPr>
        <w:pStyle w:val="TextBody"/>
        <w:bidi w:val="0"/>
        <w:spacing w:before="0" w:after="283"/>
        <w:ind w:left="0" w:right="0" w:hanging="0"/>
        <w:jc w:val="left"/>
        <w:rPr>
          <w:color w:val="000000"/>
        </w:rPr>
      </w:pPr>
      <w:r>
        <w:rPr>
          <w:color w:val="000000"/>
        </w:rPr>
        <w:drawing>
          <wp:inline distT="0" distB="0" distL="0" distR="0">
            <wp:extent cx="647700" cy="419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47700" cy="4191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Brian J. Choi </w:t>
      </w:r>
    </w:p>
    <w:p>
      <w:pPr>
        <w:pStyle w:val="TextBody"/>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Chief Executive Officer </w:t>
      </w:r>
    </w:p>
    <w:p>
      <w:pPr>
        <w:pStyle w:val="TextBody"/>
        <w:bidi w:val="0"/>
        <w:spacing w:before="0" w:after="283"/>
        <w:ind w:left="0" w:right="0" w:hanging="0"/>
        <w:jc w:val="left"/>
        <w:rPr>
          <w:color w:val="000000"/>
        </w:rPr>
      </w:pPr>
      <w:r>
        <w:rPr>
          <w:color w:val="000000"/>
        </w:rPr>
        <w:t> </w:t>
      </w:r>
    </w:p>
    <w:p>
      <w:pPr>
        <w:pStyle w:val="TextBody"/>
        <w:bidi w:val="0"/>
        <w:spacing w:before="0" w:after="283"/>
        <w:ind w:left="0" w:right="0" w:hanging="0"/>
        <w:jc w:val="left"/>
        <w:rPr>
          <w:color w:val="000000"/>
        </w:rPr>
      </w:pPr>
      <w:r>
        <w:rPr>
          <w:color w:val="000000"/>
        </w:rPr>
        <w:drawing>
          <wp:inline distT="0" distB="0" distL="0" distR="0">
            <wp:extent cx="1381125" cy="6572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381125" cy="6572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Jagdeep Pahwa </w:t>
      </w:r>
    </w:p>
    <w:p>
      <w:pPr>
        <w:pStyle w:val="TextBody"/>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Executive Chairman of the Board </w:t>
      </w:r>
    </w:p>
    <w:p>
      <w:pPr>
        <w:pStyle w:val="HorizontalLine"/>
        <w:bidi w:val="0"/>
        <w:spacing w:before="200" w:after="200"/>
        <w:jc w:val="left"/>
        <w:rPr/>
      </w:pPr>
      <w:r>
        <w:rPr/>
      </w:r>
    </w:p>
    <w:p>
      <w:pPr>
        <w:pStyle w:val="TextBody"/>
        <w:bidi w:val="0"/>
        <w:jc w:val="left"/>
        <w:rPr/>
      </w:pPr>
      <w:hyperlink w:anchor="TOC">
        <w:bookmarkStart w:id="4" w:name="ny20066167x1_def14a_102-notice_pg1"/>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270" w:after="283"/>
        <w:ind w:left="0" w:right="0" w:hanging="0"/>
        <w:jc w:val="left"/>
        <w:rPr>
          <w:rFonts w:ascii="Arial;Helvetica;sans-serif" w:hAnsi="Arial;Helvetica;sans-serif"/>
          <w:color w:val="000000"/>
          <w:sz w:val="50"/>
        </w:rPr>
      </w:pPr>
      <w:r>
        <w:rPr>
          <w:rFonts w:ascii="Arial;Helvetica;sans-serif" w:hAnsi="Arial;Helvetica;sans-serif"/>
          <w:color w:val="000000"/>
          <w:sz w:val="50"/>
        </w:rPr>
        <w:t xml:space="preserve">Notice of 2026 Annual Meeting of Shareholders </w:t>
      </w:r>
    </w:p>
    <w:p>
      <w:pPr>
        <w:pStyle w:val="TextBody"/>
        <w:bidi w:val="0"/>
        <w:spacing w:before="20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NOTICE IS HEREBY GIVEN that the Annual Meeting of Shareholders (the “Meeting”) of Avis Budget Group, Inc. (the “Company”) will be held online on May 20, 2026, at 11:00 a.m. Eastern Time, to consider and vote upon the following matters: </w:t>
      </w:r>
    </w:p>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1.</w:t>
            </w:r>
          </w:p>
        </w:tc>
        <w:tc>
          <w:tcPr>
            <w:tcW w:w="10023"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The election as directors of the six nominees named in the accompanying proxy statement for a one-year term expiring in 2027 and until his or her successor is duly elected and qualified or until his or her earlier resignation or removal.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2.</w:t>
            </w:r>
          </w:p>
        </w:tc>
        <w:tc>
          <w:tcPr>
            <w:tcW w:w="10000"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The ratification of the appointment of Deloitte &amp; Touche LLP as the independent registered public accounting firm for fiscal year 2026. </w:t>
            </w:r>
          </w:p>
        </w:tc>
      </w:tr>
    </w:tbl>
    <w:tbl>
      <w:tblPr>
        <w:tblW w:w="6610" w:type="dxa"/>
        <w:jc w:val="left"/>
        <w:tblInd w:w="0" w:type="dxa"/>
        <w:tblLayout w:type="fixed"/>
        <w:tblCellMar>
          <w:top w:w="0" w:type="dxa"/>
          <w:left w:w="0" w:type="dxa"/>
          <w:bottom w:w="0" w:type="dxa"/>
          <w:right w:w="0" w:type="dxa"/>
        </w:tblCellMar>
      </w:tblPr>
      <w:tblGrid>
        <w:gridCol w:w="215"/>
        <w:gridCol w:w="6395"/>
      </w:tblGrid>
      <w:tr>
        <w:trPr/>
        <w:tc>
          <w:tcPr>
            <w:tcW w:w="21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3.</w:t>
            </w:r>
          </w:p>
        </w:tc>
        <w:tc>
          <w:tcPr>
            <w:tcW w:w="63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Advisory approval of the compensation of our named executive officers. </w:t>
            </w:r>
          </w:p>
        </w:tc>
      </w:tr>
    </w:tbl>
    <w:tbl>
      <w:tblPr>
        <w:tblW w:w="9625" w:type="dxa"/>
        <w:jc w:val="left"/>
        <w:tblInd w:w="0" w:type="dxa"/>
        <w:tblLayout w:type="fixed"/>
        <w:tblCellMar>
          <w:top w:w="0" w:type="dxa"/>
          <w:left w:w="0" w:type="dxa"/>
          <w:bottom w:w="0" w:type="dxa"/>
          <w:right w:w="0" w:type="dxa"/>
        </w:tblCellMar>
      </w:tblPr>
      <w:tblGrid>
        <w:gridCol w:w="215"/>
        <w:gridCol w:w="9410"/>
      </w:tblGrid>
      <w:tr>
        <w:trPr/>
        <w:tc>
          <w:tcPr>
            <w:tcW w:w="21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4.</w:t>
            </w:r>
          </w:p>
        </w:tc>
        <w:tc>
          <w:tcPr>
            <w:tcW w:w="941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Consideration of a shareholder proposal regarding governance by majority voting and meeting adjournment. </w:t>
            </w:r>
          </w:p>
        </w:tc>
      </w:tr>
    </w:tbl>
    <w:tbl>
      <w:tblPr>
        <w:tblW w:w="9775" w:type="dxa"/>
        <w:jc w:val="left"/>
        <w:tblInd w:w="0" w:type="dxa"/>
        <w:tblLayout w:type="fixed"/>
        <w:tblCellMar>
          <w:top w:w="0" w:type="dxa"/>
          <w:left w:w="0" w:type="dxa"/>
          <w:bottom w:w="0" w:type="dxa"/>
          <w:right w:w="0" w:type="dxa"/>
        </w:tblCellMar>
      </w:tblPr>
      <w:tblGrid>
        <w:gridCol w:w="215"/>
        <w:gridCol w:w="9560"/>
      </w:tblGrid>
      <w:tr>
        <w:trPr/>
        <w:tc>
          <w:tcPr>
            <w:tcW w:w="21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5.</w:t>
            </w:r>
          </w:p>
        </w:tc>
        <w:tc>
          <w:tcPr>
            <w:tcW w:w="956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Such other business as may properly come before the Meeting or any adjournment or postponement thereof. </w:t>
            </w:r>
          </w:p>
        </w:tc>
      </w:tr>
    </w:tbl>
    <w:p>
      <w:pPr>
        <w:pStyle w:val="TextBody"/>
        <w:bidi w:val="0"/>
        <w:spacing w:before="20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Meeting will be held virtually. You will not be able to attend the Meeting physically in person. We have designed the format of the Meeting to provide shareholders the same ability to participate that they would have at an in-person meeting. Shareholders will be able to listen to the webcast live, submit questions and vote during the online Meeting. You can attend the Meeting by accessing </w:t>
      </w:r>
      <w:r>
        <w:rPr>
          <w:rFonts w:ascii="Arial;Helvetica;sans-serif" w:hAnsi="Arial;Helvetica;sans-serif"/>
          <w:i/>
          <w:color w:val="000000"/>
          <w:sz w:val="20"/>
        </w:rPr>
        <w:t>www.virtualshareholdermeeting.com/CAR2026</w:t>
      </w:r>
      <w:r>
        <w:rPr>
          <w:rFonts w:ascii="Arial;Helvetica;sans-serif" w:hAnsi="Arial;Helvetica;sans-serif"/>
          <w:color w:val="000000"/>
          <w:sz w:val="20"/>
        </w:rPr>
        <w:t xml:space="preserve"> and entering the 16-digit control number found on the proxy card or notice. No password is required. In the event of a technical malfunction or situation that makes it advisable to adjourn the Meeting, the chair will convene the meeting at 11:00 a.m. Eastern Time on May 20, 2026 at the Company’s principal business address solely for the purpose of adjourning the meeting to reconvene at a date, time and location announced by the meeting chair. If this happens, more information will be provided at </w:t>
      </w:r>
      <w:r>
        <w:rPr>
          <w:rFonts w:ascii="Arial;Helvetica;sans-serif" w:hAnsi="Arial;Helvetica;sans-serif"/>
          <w:i/>
          <w:color w:val="000000"/>
          <w:sz w:val="20"/>
        </w:rPr>
        <w:t>www.avisbudgetgroup.com</w:t>
      </w:r>
      <w:r>
        <w:rPr>
          <w:rFonts w:ascii="Arial;Helvetica;sans-serif" w:hAnsi="Arial;Helvetica;sans-serif"/>
          <w:color w:val="000000"/>
          <w:sz w:val="20"/>
        </w:rPr>
        <w:t xml:space="preserve">. </w:t>
      </w:r>
    </w:p>
    <w:p>
      <w:pPr>
        <w:pStyle w:val="TextBody"/>
        <w:bidi w:val="0"/>
        <w:spacing w:before="20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Board of Directors has fixed the close of business on March 25, 2026 as the record date for the Meeting. Only shareholders of record at that time are entitled to notice of, and to vote at, the Meeting and any adjournment or postponement thereof. A list of shareholders entitled to vote at the Meeting will be available for examination by any shareholder, for any purpose germane to the Meeting, for at least ten days prior to the Meeting during ordinary business hours at the Company’s principal executive offices, by e-mailing </w:t>
      </w:r>
      <w:r>
        <w:rPr>
          <w:rFonts w:ascii="Arial;Helvetica;sans-serif" w:hAnsi="Arial;Helvetica;sans-serif"/>
          <w:i/>
          <w:color w:val="000000"/>
          <w:sz w:val="20"/>
        </w:rPr>
        <w:t>chairman@avisbudget.com</w:t>
      </w:r>
      <w:r>
        <w:rPr>
          <w:rFonts w:ascii="Arial;Helvetica;sans-serif" w:hAnsi="Arial;Helvetica;sans-serif"/>
          <w:color w:val="000000"/>
          <w:sz w:val="20"/>
        </w:rPr>
        <w:t xml:space="preserve">. </w:t>
      </w:r>
    </w:p>
    <w:tbl>
      <w:tblPr>
        <w:tblW w:w="6255" w:type="dxa"/>
        <w:jc w:val="left"/>
        <w:tblInd w:w="0" w:type="dxa"/>
        <w:tblLayout w:type="fixed"/>
        <w:tblCellMar>
          <w:top w:w="0" w:type="dxa"/>
          <w:left w:w="0" w:type="dxa"/>
          <w:bottom w:w="0" w:type="dxa"/>
          <w:right w:w="0" w:type="dxa"/>
        </w:tblCellMar>
      </w:tblPr>
      <w:tblGrid>
        <w:gridCol w:w="185"/>
        <w:gridCol w:w="5855"/>
        <w:gridCol w:w="215"/>
      </w:tblGrid>
      <w:tr>
        <w:trPr/>
        <w:tc>
          <w:tcPr>
            <w:tcW w:w="185" w:type="dxa"/>
            <w:tcBorders/>
            <w:vAlign w:val="center"/>
          </w:tcPr>
          <w:p>
            <w:pPr>
              <w:pStyle w:val="TableContents"/>
              <w:bidi w:val="0"/>
              <w:spacing w:before="0" w:after="0"/>
              <w:jc w:val="left"/>
              <w:rPr/>
            </w:pPr>
            <w:r>
              <w:rPr/>
              <w:t> </w:t>
            </w:r>
          </w:p>
        </w:tc>
        <w:tc>
          <w:tcPr>
            <w:tcW w:w="585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855" w:type="dxa"/>
            <w:tcBorders/>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Important Notice Regarding the Availability of Proxy Materials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for the Shareholder Meeting to Be Held on May 20, 2026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The Company’s Proxy Statement on Schedule 14A,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form of proxy card and 2025 Annual Report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are available at </w:t>
            </w:r>
          </w:p>
          <w:p>
            <w:pPr>
              <w:pStyle w:val="TableContents"/>
              <w:bidi w:val="0"/>
              <w:spacing w:before="0" w:after="283"/>
              <w:jc w:val="center"/>
              <w:rPr>
                <w:rFonts w:ascii="Arial;Helvetica;sans-serif" w:hAnsi="Arial;Helvetica;sans-serif"/>
                <w:b/>
                <w:i/>
                <w:color w:val="000000"/>
                <w:sz w:val="20"/>
                <w:u w:val="single"/>
              </w:rPr>
            </w:pPr>
            <w:r>
              <w:rPr>
                <w:rFonts w:ascii="Arial;Helvetica;sans-serif" w:hAnsi="Arial;Helvetica;sans-serif"/>
                <w:b/>
                <w:i/>
                <w:color w:val="000000"/>
                <w:sz w:val="20"/>
                <w:u w:val="single"/>
              </w:rPr>
              <w:t>www.proxyvote.com</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85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By Order of the Board of Directors </w:t>
      </w:r>
    </w:p>
    <w:p>
      <w:pPr>
        <w:pStyle w:val="TextBody"/>
        <w:bidi w:val="0"/>
        <w:spacing w:before="375" w:after="283"/>
        <w:ind w:left="0" w:right="0" w:hanging="0"/>
        <w:jc w:val="left"/>
        <w:rPr>
          <w:color w:val="000000"/>
        </w:rPr>
      </w:pPr>
      <w:r>
        <w:rPr>
          <w:color w:val="000000"/>
        </w:rPr>
        <w:drawing>
          <wp:inline distT="0" distB="0" distL="0" distR="0">
            <wp:extent cx="1571625" cy="4667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571625" cy="4667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2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Jean M. Sera </w:t>
      </w:r>
    </w:p>
    <w:p>
      <w:pPr>
        <w:pStyle w:val="TextBody"/>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Senior Vice President, General Counsel, </w:t>
      </w:r>
    </w:p>
    <w:p>
      <w:pPr>
        <w:pStyle w:val="TextBody"/>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Chief Compliance Officer and Corporate Secretary </w:t>
      </w:r>
    </w:p>
    <w:p>
      <w:pPr>
        <w:pStyle w:val="TextBody"/>
        <w:bidi w:val="0"/>
        <w:spacing w:before="2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Dated: April 2, 2026 </w:t>
      </w:r>
    </w:p>
    <w:p>
      <w:pPr>
        <w:pStyle w:val="HorizontalLine"/>
        <w:bidi w:val="0"/>
        <w:spacing w:before="200" w:after="200"/>
        <w:jc w:val="left"/>
        <w:rPr/>
      </w:pPr>
      <w:r>
        <w:rPr/>
      </w:r>
    </w:p>
    <w:p>
      <w:pPr>
        <w:pStyle w:val="TextBody"/>
        <w:bidi w:val="0"/>
        <w:jc w:val="left"/>
        <w:rPr/>
      </w:pPr>
      <w:hyperlink w:anchor="TOC">
        <w:bookmarkStart w:id="5" w:name="ny20066167x1_def14a_103-toc_pg1"/>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270" w:after="283"/>
        <w:ind w:left="0" w:right="0" w:hanging="0"/>
        <w:jc w:val="center"/>
        <w:rPr>
          <w:rFonts w:ascii="Arial;Helvetica;sans-serif" w:hAnsi="Arial;Helvetica;sans-serif"/>
          <w:color w:val="000000"/>
          <w:sz w:val="44"/>
        </w:rPr>
      </w:pPr>
      <w:r>
        <w:rPr>
          <w:rFonts w:ascii="Arial;Helvetica;sans-serif" w:hAnsi="Arial;Helvetica;sans-serif"/>
          <w:color w:val="000000"/>
          <w:sz w:val="44"/>
        </w:rPr>
        <w:t xml:space="preserve">Proxy Statement </w:t>
      </w:r>
    </w:p>
    <w:p>
      <w:pPr>
        <w:pStyle w:val="TextBody"/>
        <w:bidi w:val="0"/>
        <w:spacing w:before="280" w:after="283"/>
        <w:ind w:left="0" w:right="0" w:hanging="0"/>
        <w:jc w:val="left"/>
        <w:rPr>
          <w:rFonts w:ascii="Arial;Helvetica;sans-serif" w:hAnsi="Arial;Helvetica;sans-serif"/>
          <w:color w:val="000000"/>
          <w:sz w:val="40"/>
        </w:rPr>
      </w:pPr>
      <w:r>
        <w:rPr>
          <w:rFonts w:ascii="Arial;Helvetica;sans-serif" w:hAnsi="Arial;Helvetica;sans-serif"/>
          <w:color w:val="000000"/>
          <w:sz w:val="40"/>
        </w:rPr>
        <w:t xml:space="preserve">Table of Contents </w:t>
      </w:r>
    </w:p>
    <w:p>
      <w:pPr>
        <w:pStyle w:val="Normal"/>
        <w:bidi w:val="0"/>
        <w:spacing w:before="0" w:after="0"/>
        <w:ind w:left="0" w:right="0" w:hanging="0"/>
        <w:jc w:val="left"/>
        <w:rPr>
          <w:sz w:val="4"/>
          <w:szCs w:val="4"/>
        </w:rPr>
      </w:pPr>
      <w:r>
        <w:rPr>
          <w:sz w:val="4"/>
          <w:szCs w:val="4"/>
        </w:rPr>
      </w:r>
      <w:bookmarkStart w:id="6" w:name="TOC"/>
      <w:bookmarkStart w:id="7" w:name="TOC"/>
      <w:bookmarkEnd w:id="7"/>
    </w:p>
    <w:tbl>
      <w:tblPr>
        <w:tblW w:w="10205" w:type="dxa"/>
        <w:jc w:val="left"/>
        <w:tblInd w:w="0" w:type="dxa"/>
        <w:tblLayout w:type="fixed"/>
        <w:tblCellMar>
          <w:top w:w="0" w:type="dxa"/>
          <w:left w:w="0" w:type="dxa"/>
          <w:bottom w:w="0" w:type="dxa"/>
          <w:right w:w="0" w:type="dxa"/>
        </w:tblCellMar>
      </w:tblPr>
      <w:tblGrid>
        <w:gridCol w:w="9503"/>
        <w:gridCol w:w="170"/>
        <w:gridCol w:w="170"/>
        <w:gridCol w:w="362"/>
      </w:tblGrid>
      <w:tr>
        <w:trPr/>
        <w:tc>
          <w:tcPr>
            <w:tcW w:w="950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2" w:type="dxa"/>
            <w:tcBorders/>
            <w:vAlign w:val="center"/>
          </w:tcPr>
          <w:p>
            <w:pPr>
              <w:pStyle w:val="TableContents"/>
              <w:bidi w:val="0"/>
              <w:spacing w:before="0" w:after="0"/>
              <w:jc w:val="left"/>
              <w:rPr/>
            </w:pPr>
            <w:r>
              <w:rPr/>
              <w:t> </w:t>
            </w:r>
          </w:p>
        </w:tc>
      </w:tr>
      <w:tr>
        <w:trPr/>
        <w:tc>
          <w:tcPr>
            <w:tcW w:w="9503" w:type="dxa"/>
            <w:tcBorders/>
            <w:vAlign w:val="center"/>
          </w:tcPr>
          <w:p>
            <w:pPr>
              <w:pStyle w:val="TableContents"/>
              <w:bidi w:val="0"/>
              <w:spacing w:before="0" w:after="283"/>
              <w:ind w:left="0" w:right="0" w:hanging="0"/>
              <w:jc w:val="left"/>
              <w:rPr/>
            </w:pPr>
            <w:hyperlink w:anchor="tPSS">
              <w:r>
                <w:rPr>
                  <w:rStyle w:val="InternetLink"/>
                  <w:rFonts w:ascii="Arial;Helvetica;sans-serif" w:hAnsi="Arial;Helvetica;sans-serif"/>
                  <w:b/>
                  <w:color w:val="000000"/>
                  <w:sz w:val="20"/>
                </w:rPr>
                <w:t>2026 Proxy Statement Summary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2" w:type="dxa"/>
            <w:tcBorders/>
            <w:vAlign w:val="center"/>
          </w:tcPr>
          <w:p>
            <w:pPr>
              <w:pStyle w:val="TableContents"/>
              <w:bidi w:val="0"/>
              <w:spacing w:before="0" w:after="283"/>
              <w:ind w:left="0" w:right="0" w:hanging="0"/>
              <w:jc w:val="left"/>
              <w:rPr/>
            </w:pPr>
            <w:hyperlink w:anchor="tPSS">
              <w:r>
                <w:rPr>
                  <w:rStyle w:val="InternetLink"/>
                  <w:rFonts w:ascii="Arial;Helvetica;sans-serif" w:hAnsi="Arial;Helvetica;sans-serif"/>
                  <w:color w:val="000000"/>
                  <w:sz w:val="20"/>
                </w:rPr>
                <w:t>1</w:t>
              </w:r>
            </w:hyperlink>
            <w:hyperlink w:anchor="tPSS">
              <w:r>
                <w:rPr>
                  <w:rStyle w:val="InternetLink"/>
                  <w:rFonts w:ascii="Arial;Helvetica;sans-serif" w:hAnsi="Arial;Helvetica;sans-serif"/>
                  <w:color w:val="000000"/>
                  <w:sz w:val="20"/>
                </w:rPr>
                <w:t xml:space="preserve"> </w:t>
              </w:r>
            </w:hyperlink>
          </w:p>
        </w:tc>
      </w:tr>
      <w:tr>
        <w:trPr/>
        <w:tc>
          <w:tcPr>
            <w:tcW w:w="9503" w:type="dxa"/>
            <w:tcBorders/>
            <w:vAlign w:val="center"/>
          </w:tcPr>
          <w:p>
            <w:pPr>
              <w:pStyle w:val="TableContents"/>
              <w:bidi w:val="0"/>
              <w:spacing w:before="0" w:after="283"/>
              <w:ind w:left="0" w:right="0" w:hanging="0"/>
              <w:jc w:val="left"/>
              <w:rPr/>
            </w:pPr>
            <w:hyperlink w:anchor="tANM">
              <w:r>
                <w:rPr>
                  <w:rStyle w:val="InternetLink"/>
                  <w:rFonts w:ascii="Arial;Helvetica;sans-serif" w:hAnsi="Arial;Helvetica;sans-serif"/>
                  <w:b/>
                  <w:color w:val="000000"/>
                  <w:sz w:val="20"/>
                </w:rPr>
                <w:t>About the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2" w:type="dxa"/>
            <w:tcBorders/>
            <w:vAlign w:val="center"/>
          </w:tcPr>
          <w:p>
            <w:pPr>
              <w:pStyle w:val="TableContents"/>
              <w:bidi w:val="0"/>
              <w:spacing w:before="0" w:after="283"/>
              <w:ind w:left="0" w:right="0" w:hanging="0"/>
              <w:jc w:val="left"/>
              <w:rPr/>
            </w:pPr>
            <w:hyperlink w:anchor="tANM">
              <w:r>
                <w:rPr>
                  <w:rStyle w:val="InternetLink"/>
                  <w:rFonts w:ascii="Arial;Helvetica;sans-serif" w:hAnsi="Arial;Helvetica;sans-serif"/>
                  <w:color w:val="000000"/>
                  <w:sz w:val="20"/>
                </w:rPr>
                <w:t>2</w:t>
              </w:r>
            </w:hyperlink>
          </w:p>
        </w:tc>
      </w:tr>
      <w:tr>
        <w:trPr/>
        <w:tc>
          <w:tcPr>
            <w:tcW w:w="9503" w:type="dxa"/>
            <w:tcBorders/>
            <w:vAlign w:val="center"/>
          </w:tcPr>
          <w:p>
            <w:pPr>
              <w:pStyle w:val="TableContents"/>
              <w:bidi w:val="0"/>
              <w:spacing w:before="0" w:after="283"/>
              <w:ind w:left="0" w:right="0" w:hanging="0"/>
              <w:jc w:val="left"/>
              <w:rPr/>
            </w:pPr>
            <w:hyperlink w:anchor="tPVM">
              <w:r>
                <w:rPr>
                  <w:rStyle w:val="InternetLink"/>
                  <w:rFonts w:ascii="Arial;Helvetica;sans-serif" w:hAnsi="Arial;Helvetica;sans-serif"/>
                  <w:b/>
                  <w:color w:val="000000"/>
                  <w:sz w:val="20"/>
                </w:rPr>
                <w:t>Proposals to Be Voted on at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2" w:type="dxa"/>
            <w:tcBorders/>
            <w:vAlign w:val="center"/>
          </w:tcPr>
          <w:p>
            <w:pPr>
              <w:pStyle w:val="TableContents"/>
              <w:bidi w:val="0"/>
              <w:spacing w:before="0" w:after="283"/>
              <w:ind w:left="0" w:right="0" w:hanging="0"/>
              <w:jc w:val="left"/>
              <w:rPr/>
            </w:pPr>
            <w:hyperlink w:anchor="tPVM">
              <w:r>
                <w:rPr>
                  <w:rStyle w:val="InternetLink"/>
                  <w:rFonts w:ascii="Arial;Helvetica;sans-serif" w:hAnsi="Arial;Helvetica;sans-serif"/>
                  <w:color w:val="000000"/>
                  <w:sz w:val="20"/>
                </w:rPr>
                <w:t>7</w:t>
              </w:r>
            </w:hyperlink>
            <w:hyperlink w:anchor="tPVM">
              <w:r>
                <w:rPr>
                  <w:rStyle w:val="InternetLink"/>
                  <w:rFonts w:ascii="Arial;Helvetica;sans-serif" w:hAnsi="Arial;Helvetica;sans-serif"/>
                  <w:color w:val="000000"/>
                  <w:sz w:val="20"/>
                </w:rPr>
                <w:t xml:space="preserve"> </w:t>
              </w:r>
            </w:hyperlink>
          </w:p>
        </w:tc>
      </w:tr>
      <w:tr>
        <w:trPr/>
        <w:tc>
          <w:tcPr>
            <w:tcW w:w="9503" w:type="dxa"/>
            <w:tcBorders/>
            <w:vAlign w:val="center"/>
          </w:tcPr>
          <w:p>
            <w:pPr>
              <w:pStyle w:val="TableContents"/>
              <w:bidi w:val="0"/>
              <w:spacing w:before="0" w:after="283"/>
              <w:ind w:left="0" w:right="0" w:hanging="0"/>
              <w:jc w:val="left"/>
              <w:rPr/>
            </w:pPr>
            <w:hyperlink w:anchor="tPROP1">
              <w:r>
                <w:rPr>
                  <w:rStyle w:val="InternetLink"/>
                  <w:rFonts w:ascii="Arial;Helvetica;sans-serif" w:hAnsi="Arial;Helvetica;sans-serif"/>
                  <w:b/>
                  <w:color w:val="000000"/>
                  <w:sz w:val="20"/>
                </w:rPr>
                <w:t>Proposal No. 1 Election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2" w:type="dxa"/>
            <w:tcBorders/>
            <w:vAlign w:val="center"/>
          </w:tcPr>
          <w:p>
            <w:pPr>
              <w:pStyle w:val="TableContents"/>
              <w:bidi w:val="0"/>
              <w:spacing w:before="0" w:after="283"/>
              <w:ind w:left="0" w:right="0" w:hanging="0"/>
              <w:jc w:val="left"/>
              <w:rPr/>
            </w:pPr>
            <w:hyperlink w:anchor="tPROP1">
              <w:r>
                <w:rPr>
                  <w:rStyle w:val="InternetLink"/>
                  <w:rFonts w:ascii="Arial;Helvetica;sans-serif" w:hAnsi="Arial;Helvetica;sans-serif"/>
                  <w:color w:val="000000"/>
                  <w:sz w:val="20"/>
                </w:rPr>
                <w:t>7</w:t>
              </w:r>
            </w:hyperlink>
            <w:hyperlink w:anchor="tPROP1">
              <w:r>
                <w:rPr>
                  <w:rStyle w:val="InternetLink"/>
                  <w:rFonts w:ascii="Arial;Helvetica;sans-serif" w:hAnsi="Arial;Helvetica;sans-serif"/>
                  <w:color w:val="000000"/>
                  <w:sz w:val="20"/>
                </w:rPr>
                <w:t xml:space="preserve"> </w:t>
              </w:r>
            </w:hyperlink>
          </w:p>
        </w:tc>
      </w:tr>
      <w:tr>
        <w:trPr/>
        <w:tc>
          <w:tcPr>
            <w:tcW w:w="9503" w:type="dxa"/>
            <w:tcBorders/>
            <w:vAlign w:val="center"/>
          </w:tcPr>
          <w:p>
            <w:pPr>
              <w:pStyle w:val="TableContents"/>
              <w:bidi w:val="0"/>
              <w:spacing w:before="0" w:after="283"/>
              <w:ind w:left="400" w:right="0" w:hanging="0"/>
              <w:jc w:val="left"/>
              <w:rPr/>
            </w:pPr>
            <w:hyperlink w:anchor="tBIN">
              <w:r>
                <w:rPr>
                  <w:rStyle w:val="InternetLink"/>
                  <w:rFonts w:ascii="Arial;Helvetica;sans-serif" w:hAnsi="Arial;Helvetica;sans-serif"/>
                  <w:color w:val="000000"/>
                  <w:sz w:val="20"/>
                </w:rPr>
                <w:t>Biographical Information for Nominees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2" w:type="dxa"/>
            <w:tcBorders/>
            <w:vAlign w:val="center"/>
          </w:tcPr>
          <w:p>
            <w:pPr>
              <w:pStyle w:val="TableContents"/>
              <w:bidi w:val="0"/>
              <w:spacing w:before="0" w:after="283"/>
              <w:ind w:left="0" w:right="0" w:hanging="0"/>
              <w:jc w:val="left"/>
              <w:rPr/>
            </w:pPr>
            <w:hyperlink w:anchor="tBIN">
              <w:r>
                <w:rPr>
                  <w:rStyle w:val="InternetLink"/>
                  <w:rFonts w:ascii="Arial;Helvetica;sans-serif" w:hAnsi="Arial;Helvetica;sans-serif"/>
                  <w:color w:val="000000"/>
                  <w:sz w:val="20"/>
                </w:rPr>
                <w:t>7</w:t>
              </w:r>
            </w:hyperlink>
            <w:hyperlink w:anchor="tBIN">
              <w:r>
                <w:rPr>
                  <w:rStyle w:val="InternetLink"/>
                  <w:rFonts w:ascii="Arial;Helvetica;sans-serif" w:hAnsi="Arial;Helvetica;sans-serif"/>
                  <w:color w:val="000000"/>
                  <w:sz w:val="20"/>
                </w:rPr>
                <w:t xml:space="preserve"> </w:t>
              </w:r>
            </w:hyperlink>
          </w:p>
        </w:tc>
      </w:tr>
      <w:tr>
        <w:trPr/>
        <w:tc>
          <w:tcPr>
            <w:tcW w:w="9503" w:type="dxa"/>
            <w:tcBorders/>
            <w:vAlign w:val="center"/>
          </w:tcPr>
          <w:p>
            <w:pPr>
              <w:pStyle w:val="TableContents"/>
              <w:bidi w:val="0"/>
              <w:spacing w:before="0" w:after="283"/>
              <w:ind w:left="400" w:right="0" w:hanging="0"/>
              <w:jc w:val="left"/>
              <w:rPr/>
            </w:pPr>
            <w:hyperlink w:anchor="tDNP">
              <w:r>
                <w:rPr>
                  <w:rStyle w:val="InternetLink"/>
                  <w:rFonts w:ascii="Arial;Helvetica;sans-serif" w:hAnsi="Arial;Helvetica;sans-serif"/>
                  <w:color w:val="000000"/>
                  <w:sz w:val="20"/>
                </w:rPr>
                <w:t>Director Nomination Process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2" w:type="dxa"/>
            <w:tcBorders/>
            <w:vAlign w:val="center"/>
          </w:tcPr>
          <w:p>
            <w:pPr>
              <w:pStyle w:val="TableContents"/>
              <w:bidi w:val="0"/>
              <w:spacing w:before="0" w:after="283"/>
              <w:ind w:left="0" w:right="0" w:hanging="0"/>
              <w:jc w:val="left"/>
              <w:rPr/>
            </w:pPr>
            <w:hyperlink w:anchor="tDNP">
              <w:r>
                <w:rPr>
                  <w:rStyle w:val="InternetLink"/>
                  <w:rFonts w:ascii="Arial;Helvetica;sans-serif" w:hAnsi="Arial;Helvetica;sans-serif"/>
                  <w:color w:val="000000"/>
                  <w:sz w:val="20"/>
                </w:rPr>
                <w:t>9</w:t>
              </w:r>
            </w:hyperlink>
            <w:hyperlink w:anchor="tDNP">
              <w:r>
                <w:rPr>
                  <w:rStyle w:val="InternetLink"/>
                  <w:rFonts w:ascii="Arial;Helvetica;sans-serif" w:hAnsi="Arial;Helvetica;sans-serif"/>
                  <w:color w:val="000000"/>
                  <w:sz w:val="20"/>
                </w:rPr>
                <w:t xml:space="preserve"> </w:t>
              </w:r>
            </w:hyperlink>
          </w:p>
        </w:tc>
      </w:tr>
      <w:tr>
        <w:trPr/>
        <w:tc>
          <w:tcPr>
            <w:tcW w:w="9503" w:type="dxa"/>
            <w:tcBorders/>
            <w:vAlign w:val="center"/>
          </w:tcPr>
          <w:p>
            <w:pPr>
              <w:pStyle w:val="TableContents"/>
              <w:bidi w:val="0"/>
              <w:spacing w:before="0" w:after="283"/>
              <w:ind w:left="0" w:right="0" w:hanging="0"/>
              <w:jc w:val="left"/>
              <w:rPr/>
            </w:pPr>
            <w:hyperlink w:anchor="tCGE">
              <w:r>
                <w:rPr>
                  <w:rStyle w:val="InternetLink"/>
                  <w:rFonts w:ascii="Arial;Helvetica;sans-serif" w:hAnsi="Arial;Helvetica;sans-serif"/>
                  <w:b/>
                  <w:color w:val="000000"/>
                  <w:sz w:val="20"/>
                </w:rPr>
                <w:t>Corporate Governance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2" w:type="dxa"/>
            <w:tcBorders/>
            <w:vAlign w:val="center"/>
          </w:tcPr>
          <w:p>
            <w:pPr>
              <w:pStyle w:val="TableContents"/>
              <w:bidi w:val="0"/>
              <w:spacing w:before="0" w:after="283"/>
              <w:ind w:left="0" w:right="0" w:hanging="0"/>
              <w:jc w:val="left"/>
              <w:rPr/>
            </w:pPr>
            <w:hyperlink w:anchor="tCGE">
              <w:r>
                <w:rPr>
                  <w:rStyle w:val="InternetLink"/>
                  <w:rFonts w:ascii="Arial;Helvetica;sans-serif" w:hAnsi="Arial;Helvetica;sans-serif"/>
                  <w:color w:val="000000"/>
                  <w:sz w:val="20"/>
                </w:rPr>
                <w:t>10</w:t>
              </w:r>
            </w:hyperlink>
          </w:p>
        </w:tc>
      </w:tr>
      <w:tr>
        <w:trPr/>
        <w:tc>
          <w:tcPr>
            <w:tcW w:w="9503" w:type="dxa"/>
            <w:tcBorders/>
            <w:vAlign w:val="center"/>
          </w:tcPr>
          <w:p>
            <w:pPr>
              <w:pStyle w:val="TableContents"/>
              <w:bidi w:val="0"/>
              <w:spacing w:before="0" w:after="283"/>
              <w:ind w:left="400" w:right="0" w:hanging="0"/>
              <w:jc w:val="left"/>
              <w:rPr/>
            </w:pPr>
            <w:hyperlink w:anchor="tFMB">
              <w:r>
                <w:rPr>
                  <w:rStyle w:val="InternetLink"/>
                  <w:rFonts w:ascii="Arial;Helvetica;sans-serif" w:hAnsi="Arial;Helvetica;sans-serif"/>
                  <w:color w:val="000000"/>
                  <w:sz w:val="20"/>
                </w:rPr>
                <w:t>Functions and Meetings of the 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2" w:type="dxa"/>
            <w:tcBorders/>
            <w:vAlign w:val="center"/>
          </w:tcPr>
          <w:p>
            <w:pPr>
              <w:pStyle w:val="TableContents"/>
              <w:bidi w:val="0"/>
              <w:spacing w:before="0" w:after="283"/>
              <w:ind w:left="0" w:right="0" w:hanging="0"/>
              <w:jc w:val="left"/>
              <w:rPr/>
            </w:pPr>
            <w:hyperlink w:anchor="tFMB">
              <w:r>
                <w:rPr>
                  <w:rStyle w:val="InternetLink"/>
                  <w:rFonts w:ascii="Arial;Helvetica;sans-serif" w:hAnsi="Arial;Helvetica;sans-serif"/>
                  <w:color w:val="000000"/>
                  <w:sz w:val="20"/>
                </w:rPr>
                <w:t xml:space="preserve">10 </w:t>
              </w:r>
            </w:hyperlink>
          </w:p>
        </w:tc>
      </w:tr>
      <w:tr>
        <w:trPr/>
        <w:tc>
          <w:tcPr>
            <w:tcW w:w="9503" w:type="dxa"/>
            <w:tcBorders/>
            <w:vAlign w:val="center"/>
          </w:tcPr>
          <w:p>
            <w:pPr>
              <w:pStyle w:val="TableContents"/>
              <w:bidi w:val="0"/>
              <w:spacing w:before="0" w:after="283"/>
              <w:ind w:left="800" w:right="0" w:hanging="0"/>
              <w:jc w:val="left"/>
              <w:rPr/>
            </w:pPr>
            <w:hyperlink w:anchor="tDID">
              <w:r>
                <w:rPr>
                  <w:rStyle w:val="InternetLink"/>
                  <w:rFonts w:ascii="Arial;Helvetica;sans-serif" w:hAnsi="Arial;Helvetica;sans-serif"/>
                  <w:color w:val="000000"/>
                  <w:sz w:val="20"/>
                </w:rPr>
                <w:t>Director Independence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2" w:type="dxa"/>
            <w:tcBorders/>
            <w:vAlign w:val="center"/>
          </w:tcPr>
          <w:p>
            <w:pPr>
              <w:pStyle w:val="TableContents"/>
              <w:bidi w:val="0"/>
              <w:spacing w:before="0" w:after="283"/>
              <w:ind w:left="0" w:right="0" w:hanging="0"/>
              <w:jc w:val="left"/>
              <w:rPr/>
            </w:pPr>
            <w:hyperlink w:anchor="tDID">
              <w:r>
                <w:rPr>
                  <w:rStyle w:val="InternetLink"/>
                  <w:rFonts w:ascii="Arial;Helvetica;sans-serif" w:hAnsi="Arial;Helvetica;sans-serif"/>
                  <w:color w:val="000000"/>
                  <w:sz w:val="20"/>
                </w:rPr>
                <w:t>10</w:t>
              </w:r>
            </w:hyperlink>
          </w:p>
        </w:tc>
      </w:tr>
      <w:tr>
        <w:trPr/>
        <w:tc>
          <w:tcPr>
            <w:tcW w:w="9503" w:type="dxa"/>
            <w:tcBorders/>
            <w:vAlign w:val="center"/>
          </w:tcPr>
          <w:p>
            <w:pPr>
              <w:pStyle w:val="TableContents"/>
              <w:bidi w:val="0"/>
              <w:spacing w:before="0" w:after="283"/>
              <w:ind w:left="800" w:right="0" w:hanging="0"/>
              <w:jc w:val="left"/>
              <w:rPr/>
            </w:pPr>
            <w:hyperlink w:anchor="tBLS">
              <w:r>
                <w:rPr>
                  <w:rStyle w:val="InternetLink"/>
                  <w:rFonts w:ascii="Arial;Helvetica;sans-serif" w:hAnsi="Arial;Helvetica;sans-serif"/>
                  <w:color w:val="000000"/>
                  <w:sz w:val="20"/>
                </w:rPr>
                <w:t>Board Leadership Structure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2" w:type="dxa"/>
            <w:tcBorders/>
            <w:vAlign w:val="center"/>
          </w:tcPr>
          <w:p>
            <w:pPr>
              <w:pStyle w:val="TableContents"/>
              <w:bidi w:val="0"/>
              <w:spacing w:before="0" w:after="283"/>
              <w:ind w:left="0" w:right="0" w:hanging="0"/>
              <w:jc w:val="left"/>
              <w:rPr/>
            </w:pPr>
            <w:hyperlink w:anchor="tBLS">
              <w:r>
                <w:rPr>
                  <w:rStyle w:val="InternetLink"/>
                  <w:rFonts w:ascii="Arial;Helvetica;sans-serif" w:hAnsi="Arial;Helvetica;sans-serif"/>
                  <w:color w:val="000000"/>
                  <w:sz w:val="20"/>
                </w:rPr>
                <w:t xml:space="preserve">10 </w:t>
              </w:r>
            </w:hyperlink>
          </w:p>
        </w:tc>
      </w:tr>
      <w:tr>
        <w:trPr/>
        <w:tc>
          <w:tcPr>
            <w:tcW w:w="9503" w:type="dxa"/>
            <w:tcBorders/>
            <w:vAlign w:val="center"/>
          </w:tcPr>
          <w:p>
            <w:pPr>
              <w:pStyle w:val="TableContents"/>
              <w:bidi w:val="0"/>
              <w:spacing w:before="0" w:after="283"/>
              <w:ind w:left="800" w:right="0" w:hanging="0"/>
              <w:jc w:val="left"/>
              <w:rPr/>
            </w:pPr>
            <w:hyperlink w:anchor="tRMR">
              <w:r>
                <w:rPr>
                  <w:rStyle w:val="InternetLink"/>
                  <w:rFonts w:ascii="Arial;Helvetica;sans-serif" w:hAnsi="Arial;Helvetica;sans-serif"/>
                  <w:color w:val="000000"/>
                  <w:sz w:val="20"/>
                </w:rPr>
                <w:t>Risk Management and Risk Assessment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2" w:type="dxa"/>
            <w:tcBorders/>
            <w:vAlign w:val="center"/>
          </w:tcPr>
          <w:p>
            <w:pPr>
              <w:pStyle w:val="TableContents"/>
              <w:bidi w:val="0"/>
              <w:spacing w:before="0" w:after="283"/>
              <w:ind w:left="0" w:right="0" w:hanging="0"/>
              <w:jc w:val="left"/>
              <w:rPr/>
            </w:pPr>
            <w:hyperlink w:anchor="tRMR">
              <w:r>
                <w:rPr>
                  <w:rStyle w:val="InternetLink"/>
                  <w:rFonts w:ascii="Arial;Helvetica;sans-serif" w:hAnsi="Arial;Helvetica;sans-serif"/>
                  <w:color w:val="000000"/>
                  <w:sz w:val="20"/>
                </w:rPr>
                <w:t xml:space="preserve">12 </w:t>
              </w:r>
            </w:hyperlink>
          </w:p>
        </w:tc>
      </w:tr>
      <w:tr>
        <w:trPr/>
        <w:tc>
          <w:tcPr>
            <w:tcW w:w="9503" w:type="dxa"/>
            <w:tcBorders/>
            <w:vAlign w:val="center"/>
          </w:tcPr>
          <w:p>
            <w:pPr>
              <w:pStyle w:val="TableContents"/>
              <w:bidi w:val="0"/>
              <w:spacing w:before="0" w:after="283"/>
              <w:ind w:left="800" w:right="0" w:hanging="0"/>
              <w:jc w:val="left"/>
              <w:rPr/>
            </w:pPr>
            <w:hyperlink w:anchor="tCWBD">
              <w:r>
                <w:rPr>
                  <w:rStyle w:val="InternetLink"/>
                  <w:rFonts w:ascii="Arial;Helvetica;sans-serif" w:hAnsi="Arial;Helvetica;sans-serif"/>
                  <w:color w:val="000000"/>
                  <w:sz w:val="20"/>
                </w:rPr>
                <w:t>Communicating with the 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2" w:type="dxa"/>
            <w:tcBorders/>
            <w:vAlign w:val="center"/>
          </w:tcPr>
          <w:p>
            <w:pPr>
              <w:pStyle w:val="TableContents"/>
              <w:bidi w:val="0"/>
              <w:spacing w:before="0" w:after="283"/>
              <w:ind w:left="0" w:right="0" w:hanging="0"/>
              <w:jc w:val="left"/>
              <w:rPr/>
            </w:pPr>
            <w:hyperlink w:anchor="tCWBD">
              <w:r>
                <w:rPr>
                  <w:rStyle w:val="InternetLink"/>
                  <w:rFonts w:ascii="Arial;Helvetica;sans-serif" w:hAnsi="Arial;Helvetica;sans-serif"/>
                  <w:color w:val="000000"/>
                  <w:sz w:val="20"/>
                </w:rPr>
                <w:t xml:space="preserve">13 </w:t>
              </w:r>
            </w:hyperlink>
          </w:p>
        </w:tc>
      </w:tr>
      <w:tr>
        <w:trPr/>
        <w:tc>
          <w:tcPr>
            <w:tcW w:w="9503" w:type="dxa"/>
            <w:tcBorders/>
            <w:vAlign w:val="center"/>
          </w:tcPr>
          <w:p>
            <w:pPr>
              <w:pStyle w:val="TableContents"/>
              <w:bidi w:val="0"/>
              <w:spacing w:before="0" w:after="283"/>
              <w:ind w:left="800" w:right="0" w:hanging="0"/>
              <w:jc w:val="left"/>
              <w:rPr/>
            </w:pPr>
            <w:hyperlink w:anchor="tCOD">
              <w:r>
                <w:rPr>
                  <w:rStyle w:val="InternetLink"/>
                  <w:rFonts w:ascii="Arial;Helvetica;sans-serif" w:hAnsi="Arial;Helvetica;sans-serif"/>
                  <w:color w:val="000000"/>
                  <w:sz w:val="20"/>
                </w:rPr>
                <w:t>Codes of Conduct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2" w:type="dxa"/>
            <w:tcBorders/>
            <w:vAlign w:val="center"/>
          </w:tcPr>
          <w:p>
            <w:pPr>
              <w:pStyle w:val="TableContents"/>
              <w:bidi w:val="0"/>
              <w:spacing w:before="0" w:after="283"/>
              <w:ind w:left="0" w:right="0" w:hanging="0"/>
              <w:jc w:val="left"/>
              <w:rPr/>
            </w:pPr>
            <w:hyperlink w:anchor="tCOD">
              <w:r>
                <w:rPr>
                  <w:rStyle w:val="InternetLink"/>
                  <w:rFonts w:ascii="Arial;Helvetica;sans-serif" w:hAnsi="Arial;Helvetica;sans-serif"/>
                  <w:color w:val="000000"/>
                  <w:sz w:val="20"/>
                </w:rPr>
                <w:t>13</w:t>
              </w:r>
            </w:hyperlink>
          </w:p>
        </w:tc>
      </w:tr>
      <w:tr>
        <w:trPr/>
        <w:tc>
          <w:tcPr>
            <w:tcW w:w="9503" w:type="dxa"/>
            <w:tcBorders/>
            <w:vAlign w:val="center"/>
          </w:tcPr>
          <w:p>
            <w:pPr>
              <w:pStyle w:val="TableContents"/>
              <w:bidi w:val="0"/>
              <w:spacing w:before="0" w:after="283"/>
              <w:ind w:left="800" w:right="0" w:hanging="0"/>
              <w:jc w:val="left"/>
              <w:rPr/>
            </w:pPr>
            <w:hyperlink w:anchor="tITP">
              <w:r>
                <w:rPr>
                  <w:rStyle w:val="InternetLink"/>
                  <w:rFonts w:ascii="Arial;Helvetica;sans-serif" w:hAnsi="Arial;Helvetica;sans-serif"/>
                  <w:color w:val="000000"/>
                  <w:sz w:val="20"/>
                </w:rPr>
                <w:t>Insider Trading Policy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2" w:type="dxa"/>
            <w:tcBorders/>
            <w:vAlign w:val="center"/>
          </w:tcPr>
          <w:p>
            <w:pPr>
              <w:pStyle w:val="TableContents"/>
              <w:bidi w:val="0"/>
              <w:spacing w:before="0" w:after="283"/>
              <w:ind w:left="0" w:right="0" w:hanging="0"/>
              <w:jc w:val="left"/>
              <w:rPr/>
            </w:pPr>
            <w:hyperlink w:anchor="tITP">
              <w:r>
                <w:rPr>
                  <w:rStyle w:val="InternetLink"/>
                  <w:rFonts w:ascii="Arial;Helvetica;sans-serif" w:hAnsi="Arial;Helvetica;sans-serif"/>
                  <w:color w:val="000000"/>
                  <w:sz w:val="20"/>
                </w:rPr>
                <w:t xml:space="preserve">13 </w:t>
              </w:r>
            </w:hyperlink>
          </w:p>
        </w:tc>
      </w:tr>
      <w:tr>
        <w:trPr/>
        <w:tc>
          <w:tcPr>
            <w:tcW w:w="9503" w:type="dxa"/>
            <w:tcBorders/>
            <w:vAlign w:val="center"/>
          </w:tcPr>
          <w:p>
            <w:pPr>
              <w:pStyle w:val="TableContents"/>
              <w:bidi w:val="0"/>
              <w:spacing w:before="0" w:after="283"/>
              <w:ind w:left="400" w:right="0" w:hanging="0"/>
              <w:jc w:val="left"/>
              <w:rPr/>
            </w:pPr>
            <w:hyperlink w:anchor="tBDMS">
              <w:r>
                <w:rPr>
                  <w:rStyle w:val="InternetLink"/>
                  <w:rFonts w:ascii="Arial;Helvetica;sans-serif" w:hAnsi="Arial;Helvetica;sans-serif"/>
                  <w:color w:val="000000"/>
                  <w:sz w:val="20"/>
                </w:rPr>
                <w:t>Board of Directors Meetings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2" w:type="dxa"/>
            <w:tcBorders/>
            <w:vAlign w:val="center"/>
          </w:tcPr>
          <w:p>
            <w:pPr>
              <w:pStyle w:val="TableContents"/>
              <w:bidi w:val="0"/>
              <w:spacing w:before="0" w:after="283"/>
              <w:ind w:left="0" w:right="0" w:hanging="0"/>
              <w:jc w:val="left"/>
              <w:rPr/>
            </w:pPr>
            <w:hyperlink w:anchor="tBDMS">
              <w:r>
                <w:rPr>
                  <w:rStyle w:val="InternetLink"/>
                  <w:rFonts w:ascii="Arial;Helvetica;sans-serif" w:hAnsi="Arial;Helvetica;sans-serif"/>
                  <w:color w:val="000000"/>
                  <w:sz w:val="20"/>
                </w:rPr>
                <w:t xml:space="preserve">13 </w:t>
              </w:r>
            </w:hyperlink>
          </w:p>
        </w:tc>
      </w:tr>
      <w:tr>
        <w:trPr/>
        <w:tc>
          <w:tcPr>
            <w:tcW w:w="9503" w:type="dxa"/>
            <w:tcBorders/>
            <w:vAlign w:val="center"/>
          </w:tcPr>
          <w:p>
            <w:pPr>
              <w:pStyle w:val="TableContents"/>
              <w:bidi w:val="0"/>
              <w:spacing w:before="0" w:after="283"/>
              <w:ind w:left="400" w:right="0" w:hanging="0"/>
              <w:jc w:val="left"/>
              <w:rPr/>
            </w:pPr>
            <w:hyperlink w:anchor="tCBDS">
              <w:r>
                <w:rPr>
                  <w:rStyle w:val="InternetLink"/>
                  <w:rFonts w:ascii="Arial;Helvetica;sans-serif" w:hAnsi="Arial;Helvetica;sans-serif"/>
                  <w:color w:val="000000"/>
                  <w:sz w:val="20"/>
                </w:rPr>
                <w:t>Committees of the Board of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2" w:type="dxa"/>
            <w:tcBorders/>
            <w:vAlign w:val="center"/>
          </w:tcPr>
          <w:p>
            <w:pPr>
              <w:pStyle w:val="TableContents"/>
              <w:bidi w:val="0"/>
              <w:spacing w:before="0" w:after="283"/>
              <w:ind w:left="0" w:right="0" w:hanging="0"/>
              <w:jc w:val="left"/>
              <w:rPr/>
            </w:pPr>
            <w:hyperlink w:anchor="tCBDS">
              <w:r>
                <w:rPr>
                  <w:rStyle w:val="InternetLink"/>
                  <w:rFonts w:ascii="Arial;Helvetica;sans-serif" w:hAnsi="Arial;Helvetica;sans-serif"/>
                  <w:color w:val="000000"/>
                  <w:sz w:val="20"/>
                </w:rPr>
                <w:t>14</w:t>
              </w:r>
            </w:hyperlink>
          </w:p>
        </w:tc>
      </w:tr>
      <w:tr>
        <w:trPr/>
        <w:tc>
          <w:tcPr>
            <w:tcW w:w="9503" w:type="dxa"/>
            <w:tcBorders/>
            <w:vAlign w:val="center"/>
          </w:tcPr>
          <w:p>
            <w:pPr>
              <w:pStyle w:val="TableContents"/>
              <w:bidi w:val="0"/>
              <w:spacing w:before="0" w:after="283"/>
              <w:ind w:left="800" w:right="0" w:hanging="0"/>
              <w:jc w:val="left"/>
              <w:rPr/>
            </w:pPr>
            <w:hyperlink w:anchor="tAUC">
              <w:r>
                <w:rPr>
                  <w:rStyle w:val="InternetLink"/>
                  <w:rFonts w:ascii="Arial;Helvetica;sans-serif" w:hAnsi="Arial;Helvetica;sans-serif"/>
                  <w:color w:val="000000"/>
                  <w:sz w:val="20"/>
                </w:rPr>
                <w:t>Audit Committee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2" w:type="dxa"/>
            <w:tcBorders/>
            <w:vAlign w:val="center"/>
          </w:tcPr>
          <w:p>
            <w:pPr>
              <w:pStyle w:val="TableContents"/>
              <w:bidi w:val="0"/>
              <w:spacing w:before="0" w:after="283"/>
              <w:ind w:left="0" w:right="0" w:hanging="0"/>
              <w:jc w:val="left"/>
              <w:rPr/>
            </w:pPr>
            <w:hyperlink w:anchor="tAUC">
              <w:r>
                <w:rPr>
                  <w:rStyle w:val="InternetLink"/>
                  <w:rFonts w:ascii="Arial;Helvetica;sans-serif" w:hAnsi="Arial;Helvetica;sans-serif"/>
                  <w:color w:val="000000"/>
                  <w:sz w:val="20"/>
                </w:rPr>
                <w:t>14</w:t>
              </w:r>
            </w:hyperlink>
          </w:p>
        </w:tc>
      </w:tr>
      <w:tr>
        <w:trPr/>
        <w:tc>
          <w:tcPr>
            <w:tcW w:w="9503" w:type="dxa"/>
            <w:tcBorders/>
            <w:vAlign w:val="center"/>
          </w:tcPr>
          <w:p>
            <w:pPr>
              <w:pStyle w:val="TableContents"/>
              <w:bidi w:val="0"/>
              <w:spacing w:before="0" w:after="283"/>
              <w:ind w:left="800" w:right="0" w:hanging="0"/>
              <w:jc w:val="left"/>
              <w:rPr/>
            </w:pPr>
            <w:hyperlink w:anchor="tCCEE">
              <w:r>
                <w:rPr>
                  <w:rStyle w:val="InternetLink"/>
                  <w:rFonts w:ascii="Arial;Helvetica;sans-serif" w:hAnsi="Arial;Helvetica;sans-serif"/>
                  <w:color w:val="000000"/>
                  <w:sz w:val="20"/>
                </w:rPr>
                <w:t>Compensation Committee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2" w:type="dxa"/>
            <w:tcBorders/>
            <w:vAlign w:val="center"/>
          </w:tcPr>
          <w:p>
            <w:pPr>
              <w:pStyle w:val="TableContents"/>
              <w:bidi w:val="0"/>
              <w:spacing w:before="0" w:after="283"/>
              <w:ind w:left="0" w:right="0" w:hanging="0"/>
              <w:jc w:val="left"/>
              <w:rPr/>
            </w:pPr>
            <w:hyperlink w:anchor="tCCEE">
              <w:r>
                <w:rPr>
                  <w:rStyle w:val="InternetLink"/>
                  <w:rFonts w:ascii="Arial;Helvetica;sans-serif" w:hAnsi="Arial;Helvetica;sans-serif"/>
                  <w:color w:val="000000"/>
                  <w:sz w:val="20"/>
                </w:rPr>
                <w:t>14</w:t>
              </w:r>
            </w:hyperlink>
          </w:p>
        </w:tc>
      </w:tr>
      <w:tr>
        <w:trPr/>
        <w:tc>
          <w:tcPr>
            <w:tcW w:w="9503" w:type="dxa"/>
            <w:tcBorders/>
            <w:vAlign w:val="center"/>
          </w:tcPr>
          <w:p>
            <w:pPr>
              <w:pStyle w:val="TableContents"/>
              <w:bidi w:val="0"/>
              <w:spacing w:before="0" w:after="283"/>
              <w:ind w:left="800" w:right="0" w:hanging="0"/>
              <w:jc w:val="left"/>
              <w:rPr/>
            </w:pPr>
            <w:hyperlink w:anchor="tCGC1">
              <w:r>
                <w:rPr>
                  <w:rStyle w:val="InternetLink"/>
                  <w:rFonts w:ascii="Arial;Helvetica;sans-serif" w:hAnsi="Arial;Helvetica;sans-serif"/>
                  <w:color w:val="000000"/>
                  <w:sz w:val="20"/>
                </w:rPr>
                <w:t>Corporate Governance Committee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2" w:type="dxa"/>
            <w:tcBorders/>
            <w:vAlign w:val="center"/>
          </w:tcPr>
          <w:p>
            <w:pPr>
              <w:pStyle w:val="TableContents"/>
              <w:bidi w:val="0"/>
              <w:spacing w:before="0" w:after="283"/>
              <w:ind w:left="0" w:right="0" w:hanging="0"/>
              <w:jc w:val="left"/>
              <w:rPr/>
            </w:pPr>
            <w:hyperlink w:anchor="tCGC1">
              <w:r>
                <w:rPr>
                  <w:rStyle w:val="InternetLink"/>
                  <w:rFonts w:ascii="Arial;Helvetica;sans-serif" w:hAnsi="Arial;Helvetica;sans-serif"/>
                  <w:color w:val="000000"/>
                  <w:sz w:val="20"/>
                </w:rPr>
                <w:t xml:space="preserve">15 </w:t>
              </w:r>
            </w:hyperlink>
          </w:p>
        </w:tc>
      </w:tr>
      <w:tr>
        <w:trPr/>
        <w:tc>
          <w:tcPr>
            <w:tcW w:w="9503" w:type="dxa"/>
            <w:tcBorders/>
            <w:vAlign w:val="center"/>
          </w:tcPr>
          <w:p>
            <w:pPr>
              <w:pStyle w:val="TableContents"/>
              <w:bidi w:val="0"/>
              <w:spacing w:before="0" w:after="283"/>
              <w:ind w:left="400" w:right="0" w:hanging="0"/>
              <w:jc w:val="left"/>
              <w:rPr/>
            </w:pPr>
            <w:hyperlink w:anchor="tSPG">
              <w:r>
                <w:rPr>
                  <w:rStyle w:val="InternetLink"/>
                  <w:rFonts w:ascii="Arial;Helvetica;sans-serif" w:hAnsi="Arial;Helvetica;sans-serif"/>
                  <w:color w:val="000000"/>
                  <w:sz w:val="20"/>
                </w:rPr>
                <w:t>Succession Planning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2" w:type="dxa"/>
            <w:tcBorders/>
            <w:vAlign w:val="center"/>
          </w:tcPr>
          <w:p>
            <w:pPr>
              <w:pStyle w:val="TableContents"/>
              <w:bidi w:val="0"/>
              <w:spacing w:before="0" w:after="283"/>
              <w:ind w:left="0" w:right="0" w:hanging="0"/>
              <w:jc w:val="left"/>
              <w:rPr/>
            </w:pPr>
            <w:hyperlink w:anchor="tSPG">
              <w:r>
                <w:rPr>
                  <w:rStyle w:val="InternetLink"/>
                  <w:rFonts w:ascii="Arial;Helvetica;sans-serif" w:hAnsi="Arial;Helvetica;sans-serif"/>
                  <w:color w:val="000000"/>
                  <w:sz w:val="20"/>
                </w:rPr>
                <w:t>16</w:t>
              </w:r>
            </w:hyperlink>
          </w:p>
        </w:tc>
      </w:tr>
      <w:tr>
        <w:trPr/>
        <w:tc>
          <w:tcPr>
            <w:tcW w:w="9503" w:type="dxa"/>
            <w:tcBorders/>
            <w:vAlign w:val="center"/>
          </w:tcPr>
          <w:p>
            <w:pPr>
              <w:pStyle w:val="TableContents"/>
              <w:bidi w:val="0"/>
              <w:spacing w:before="0" w:after="283"/>
              <w:ind w:left="400" w:right="0" w:hanging="0"/>
              <w:jc w:val="left"/>
              <w:rPr/>
            </w:pPr>
            <w:hyperlink w:anchor="tRPT">
              <w:r>
                <w:rPr>
                  <w:rStyle w:val="InternetLink"/>
                  <w:rFonts w:ascii="Arial;Helvetica;sans-serif" w:hAnsi="Arial;Helvetica;sans-serif"/>
                  <w:color w:val="000000"/>
                  <w:sz w:val="20"/>
                </w:rPr>
                <w:t>Related Person Transactions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2" w:type="dxa"/>
            <w:tcBorders/>
            <w:vAlign w:val="center"/>
          </w:tcPr>
          <w:p>
            <w:pPr>
              <w:pStyle w:val="TableContents"/>
              <w:bidi w:val="0"/>
              <w:spacing w:before="0" w:after="283"/>
              <w:ind w:left="0" w:right="0" w:hanging="0"/>
              <w:jc w:val="left"/>
              <w:rPr/>
            </w:pPr>
            <w:hyperlink w:anchor="tRPT">
              <w:r>
                <w:rPr>
                  <w:rStyle w:val="InternetLink"/>
                  <w:rFonts w:ascii="Arial;Helvetica;sans-serif" w:hAnsi="Arial;Helvetica;sans-serif"/>
                  <w:color w:val="000000"/>
                  <w:sz w:val="20"/>
                </w:rPr>
                <w:t xml:space="preserve">16 </w:t>
              </w:r>
            </w:hyperlink>
          </w:p>
        </w:tc>
      </w:tr>
      <w:tr>
        <w:trPr/>
        <w:tc>
          <w:tcPr>
            <w:tcW w:w="9503" w:type="dxa"/>
            <w:tcBorders/>
            <w:vAlign w:val="center"/>
          </w:tcPr>
          <w:p>
            <w:pPr>
              <w:pStyle w:val="TableContents"/>
              <w:bidi w:val="0"/>
              <w:spacing w:before="0" w:after="283"/>
              <w:ind w:left="400" w:right="0" w:hanging="0"/>
              <w:jc w:val="left"/>
              <w:rPr/>
            </w:pPr>
            <w:hyperlink w:anchor="tSENT">
              <w:r>
                <w:rPr>
                  <w:rStyle w:val="InternetLink"/>
                  <w:rFonts w:ascii="Arial;Helvetica;sans-serif" w:hAnsi="Arial;Helvetica;sans-serif"/>
                  <w:color w:val="000000"/>
                  <w:sz w:val="20"/>
                </w:rPr>
                <w:t>Shareholder Engagement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2" w:type="dxa"/>
            <w:tcBorders/>
            <w:vAlign w:val="center"/>
          </w:tcPr>
          <w:p>
            <w:pPr>
              <w:pStyle w:val="TableContents"/>
              <w:bidi w:val="0"/>
              <w:spacing w:before="0" w:after="283"/>
              <w:ind w:left="0" w:right="0" w:hanging="0"/>
              <w:jc w:val="left"/>
              <w:rPr/>
            </w:pPr>
            <w:hyperlink w:anchor="tSENT">
              <w:r>
                <w:rPr>
                  <w:rStyle w:val="InternetLink"/>
                  <w:rFonts w:ascii="Arial;Helvetica;sans-serif" w:hAnsi="Arial;Helvetica;sans-serif"/>
                  <w:color w:val="000000"/>
                  <w:sz w:val="20"/>
                </w:rPr>
                <w:t xml:space="preserve">17 </w:t>
              </w:r>
            </w:hyperlink>
          </w:p>
        </w:tc>
      </w:tr>
      <w:tr>
        <w:trPr/>
        <w:tc>
          <w:tcPr>
            <w:tcW w:w="9503" w:type="dxa"/>
            <w:tcBorders/>
            <w:vAlign w:val="center"/>
          </w:tcPr>
          <w:p>
            <w:pPr>
              <w:pStyle w:val="TableContents"/>
              <w:bidi w:val="0"/>
              <w:spacing w:before="0" w:after="283"/>
              <w:ind w:left="0" w:right="0" w:hanging="0"/>
              <w:jc w:val="left"/>
              <w:rPr/>
            </w:pPr>
            <w:hyperlink w:anchor="tSO">
              <w:r>
                <w:rPr>
                  <w:rStyle w:val="InternetLink"/>
                  <w:rFonts w:ascii="Arial;Helvetica;sans-serif" w:hAnsi="Arial;Helvetica;sans-serif"/>
                  <w:b/>
                  <w:color w:val="000000"/>
                  <w:sz w:val="20"/>
                </w:rPr>
                <w:t>Stock Ownership</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2" w:type="dxa"/>
            <w:tcBorders/>
            <w:vAlign w:val="center"/>
          </w:tcPr>
          <w:p>
            <w:pPr>
              <w:pStyle w:val="TableContents"/>
              <w:bidi w:val="0"/>
              <w:spacing w:before="0" w:after="283"/>
              <w:ind w:left="0" w:right="0" w:hanging="0"/>
              <w:jc w:val="left"/>
              <w:rPr/>
            </w:pPr>
            <w:hyperlink w:anchor="tSO">
              <w:r>
                <w:rPr>
                  <w:rStyle w:val="InternetLink"/>
                  <w:rFonts w:ascii="Arial;Helvetica;sans-serif" w:hAnsi="Arial;Helvetica;sans-serif"/>
                  <w:color w:val="000000"/>
                  <w:sz w:val="20"/>
                </w:rPr>
                <w:t xml:space="preserve">17 </w:t>
              </w:r>
            </w:hyperlink>
          </w:p>
        </w:tc>
      </w:tr>
      <w:tr>
        <w:trPr/>
        <w:tc>
          <w:tcPr>
            <w:tcW w:w="9503" w:type="dxa"/>
            <w:tcBorders/>
            <w:vAlign w:val="center"/>
          </w:tcPr>
          <w:p>
            <w:pPr>
              <w:pStyle w:val="TableContents"/>
              <w:bidi w:val="0"/>
              <w:spacing w:before="0" w:after="283"/>
              <w:ind w:left="400" w:right="0" w:hanging="0"/>
              <w:jc w:val="left"/>
              <w:rPr/>
            </w:pPr>
            <w:hyperlink w:anchor="tECPI">
              <w:r>
                <w:rPr>
                  <w:rStyle w:val="InternetLink"/>
                  <w:rFonts w:ascii="Arial;Helvetica;sans-serif" w:hAnsi="Arial;Helvetica;sans-serif"/>
                  <w:color w:val="000000"/>
                  <w:sz w:val="20"/>
                </w:rPr>
                <w:t>Equity Compensation Plan Information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2" w:type="dxa"/>
            <w:tcBorders/>
            <w:vAlign w:val="center"/>
          </w:tcPr>
          <w:p>
            <w:pPr>
              <w:pStyle w:val="TableContents"/>
              <w:bidi w:val="0"/>
              <w:spacing w:before="0" w:after="283"/>
              <w:ind w:left="0" w:right="0" w:hanging="0"/>
              <w:jc w:val="left"/>
              <w:rPr/>
            </w:pPr>
            <w:hyperlink w:anchor="tECPI">
              <w:r>
                <w:rPr>
                  <w:rStyle w:val="InternetLink"/>
                  <w:rFonts w:ascii="Arial;Helvetica;sans-serif" w:hAnsi="Arial;Helvetica;sans-serif"/>
                  <w:color w:val="000000"/>
                  <w:sz w:val="20"/>
                </w:rPr>
                <w:t xml:space="preserve">17 </w:t>
              </w:r>
            </w:hyperlink>
          </w:p>
        </w:tc>
      </w:tr>
      <w:tr>
        <w:trPr/>
        <w:tc>
          <w:tcPr>
            <w:tcW w:w="9503" w:type="dxa"/>
            <w:tcBorders/>
            <w:vAlign w:val="center"/>
          </w:tcPr>
          <w:p>
            <w:pPr>
              <w:pStyle w:val="TableContents"/>
              <w:bidi w:val="0"/>
              <w:spacing w:before="0" w:after="283"/>
              <w:ind w:left="400" w:right="0" w:hanging="0"/>
              <w:jc w:val="left"/>
              <w:rPr/>
            </w:pPr>
            <w:hyperlink w:anchor="tSOCB">
              <w:r>
                <w:rPr>
                  <w:rStyle w:val="InternetLink"/>
                  <w:rFonts w:ascii="Arial;Helvetica;sans-serif" w:hAnsi="Arial;Helvetica;sans-serif"/>
                  <w:color w:val="000000"/>
                  <w:sz w:val="20"/>
                </w:rPr>
                <w:t>Security Ownership of Certain Beneficial Owners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2" w:type="dxa"/>
            <w:tcBorders/>
            <w:vAlign w:val="center"/>
          </w:tcPr>
          <w:p>
            <w:pPr>
              <w:pStyle w:val="TableContents"/>
              <w:bidi w:val="0"/>
              <w:spacing w:before="0" w:after="283"/>
              <w:ind w:left="0" w:right="0" w:hanging="0"/>
              <w:jc w:val="left"/>
              <w:rPr/>
            </w:pPr>
            <w:hyperlink w:anchor="tSOCB">
              <w:r>
                <w:rPr>
                  <w:rStyle w:val="InternetLink"/>
                  <w:rFonts w:ascii="Arial;Helvetica;sans-serif" w:hAnsi="Arial;Helvetica;sans-serif"/>
                  <w:color w:val="000000"/>
                  <w:sz w:val="20"/>
                </w:rPr>
                <w:t xml:space="preserve">18 </w:t>
              </w:r>
            </w:hyperlink>
          </w:p>
        </w:tc>
      </w:tr>
      <w:tr>
        <w:trPr/>
        <w:tc>
          <w:tcPr>
            <w:tcW w:w="9503" w:type="dxa"/>
            <w:tcBorders/>
            <w:vAlign w:val="center"/>
          </w:tcPr>
          <w:p>
            <w:pPr>
              <w:pStyle w:val="TableContents"/>
              <w:bidi w:val="0"/>
              <w:spacing w:before="0" w:after="283"/>
              <w:ind w:left="0" w:right="0" w:hanging="0"/>
              <w:jc w:val="left"/>
              <w:rPr/>
            </w:pPr>
            <w:hyperlink w:anchor="tEXO">
              <w:r>
                <w:rPr>
                  <w:rStyle w:val="InternetLink"/>
                  <w:rFonts w:ascii="Arial;Helvetica;sans-serif" w:hAnsi="Arial;Helvetica;sans-serif"/>
                  <w:b/>
                  <w:color w:val="000000"/>
                  <w:sz w:val="20"/>
                </w:rPr>
                <w:t>Executive Officers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2" w:type="dxa"/>
            <w:tcBorders/>
            <w:vAlign w:val="center"/>
          </w:tcPr>
          <w:p>
            <w:pPr>
              <w:pStyle w:val="TableContents"/>
              <w:bidi w:val="0"/>
              <w:spacing w:before="0" w:after="283"/>
              <w:ind w:left="0" w:right="0" w:hanging="0"/>
              <w:jc w:val="left"/>
              <w:rPr/>
            </w:pPr>
            <w:hyperlink w:anchor="tEXO">
              <w:r>
                <w:rPr>
                  <w:rStyle w:val="InternetLink"/>
                  <w:rFonts w:ascii="Arial;Helvetica;sans-serif" w:hAnsi="Arial;Helvetica;sans-serif"/>
                  <w:color w:val="000000"/>
                  <w:sz w:val="20"/>
                </w:rPr>
                <w:t xml:space="preserve">20 </w:t>
              </w:r>
            </w:hyperlink>
          </w:p>
        </w:tc>
      </w:tr>
      <w:tr>
        <w:trPr/>
        <w:tc>
          <w:tcPr>
            <w:tcW w:w="9503" w:type="dxa"/>
            <w:tcBorders/>
            <w:vAlign w:val="center"/>
          </w:tcPr>
          <w:p>
            <w:pPr>
              <w:pStyle w:val="TableContents"/>
              <w:bidi w:val="0"/>
              <w:spacing w:before="0" w:after="283"/>
              <w:ind w:left="0" w:right="0" w:hanging="0"/>
              <w:jc w:val="left"/>
              <w:rPr/>
            </w:pPr>
            <w:hyperlink w:anchor="tEXCP">
              <w:r>
                <w:rPr>
                  <w:rStyle w:val="InternetLink"/>
                  <w:rFonts w:ascii="Arial;Helvetica;sans-serif" w:hAnsi="Arial;Helvetica;sans-serif"/>
                  <w:b/>
                  <w:color w:val="000000"/>
                  <w:sz w:val="20"/>
                </w:rPr>
                <w:t>Executive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2" w:type="dxa"/>
            <w:tcBorders/>
            <w:vAlign w:val="center"/>
          </w:tcPr>
          <w:p>
            <w:pPr>
              <w:pStyle w:val="TableContents"/>
              <w:bidi w:val="0"/>
              <w:spacing w:before="0" w:after="283"/>
              <w:ind w:left="0" w:right="0" w:hanging="0"/>
              <w:jc w:val="left"/>
              <w:rPr/>
            </w:pPr>
            <w:hyperlink w:anchor="tEXCP">
              <w:r>
                <w:rPr>
                  <w:rStyle w:val="InternetLink"/>
                  <w:rFonts w:ascii="Arial;Helvetica;sans-serif" w:hAnsi="Arial;Helvetica;sans-serif"/>
                  <w:color w:val="000000"/>
                  <w:sz w:val="20"/>
                </w:rPr>
                <w:t xml:space="preserve">22 </w:t>
              </w:r>
            </w:hyperlink>
          </w:p>
        </w:tc>
      </w:tr>
      <w:tr>
        <w:trPr/>
        <w:tc>
          <w:tcPr>
            <w:tcW w:w="9503" w:type="dxa"/>
            <w:tcBorders/>
            <w:vAlign w:val="center"/>
          </w:tcPr>
          <w:p>
            <w:pPr>
              <w:pStyle w:val="TableContents"/>
              <w:bidi w:val="0"/>
              <w:spacing w:before="0" w:after="283"/>
              <w:ind w:left="0" w:right="0" w:hanging="0"/>
              <w:jc w:val="left"/>
              <w:rPr/>
            </w:pPr>
            <w:hyperlink w:anchor="tDCN2">
              <w:r>
                <w:rPr>
                  <w:rStyle w:val="InternetLink"/>
                  <w:rFonts w:ascii="Arial;Helvetica;sans-serif" w:hAnsi="Arial;Helvetica;sans-serif"/>
                  <w:b/>
                  <w:color w:val="000000"/>
                  <w:sz w:val="20"/>
                </w:rPr>
                <w:t>Director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2" w:type="dxa"/>
            <w:tcBorders/>
            <w:vAlign w:val="center"/>
          </w:tcPr>
          <w:p>
            <w:pPr>
              <w:pStyle w:val="TableContents"/>
              <w:bidi w:val="0"/>
              <w:spacing w:before="0" w:after="283"/>
              <w:ind w:left="0" w:right="0" w:hanging="0"/>
              <w:jc w:val="left"/>
              <w:rPr/>
            </w:pPr>
            <w:hyperlink w:anchor="tDCN2">
              <w:r>
                <w:rPr>
                  <w:rStyle w:val="InternetLink"/>
                  <w:rFonts w:ascii="Arial;Helvetica;sans-serif" w:hAnsi="Arial;Helvetica;sans-serif"/>
                  <w:color w:val="000000"/>
                  <w:sz w:val="20"/>
                </w:rPr>
                <w:t xml:space="preserve">44 </w:t>
              </w:r>
            </w:hyperlink>
          </w:p>
        </w:tc>
      </w:tr>
      <w:tr>
        <w:trPr/>
        <w:tc>
          <w:tcPr>
            <w:tcW w:w="9503" w:type="dxa"/>
            <w:tcBorders/>
            <w:vAlign w:val="center"/>
          </w:tcPr>
          <w:p>
            <w:pPr>
              <w:pStyle w:val="TableContents"/>
              <w:bidi w:val="0"/>
              <w:spacing w:before="0" w:after="283"/>
              <w:ind w:left="0" w:right="0" w:hanging="0"/>
              <w:jc w:val="left"/>
              <w:rPr/>
            </w:pPr>
            <w:hyperlink w:anchor="tCCIIP">
              <w:r>
                <w:rPr>
                  <w:rStyle w:val="InternetLink"/>
                  <w:rFonts w:ascii="Arial;Helvetica;sans-serif" w:hAnsi="Arial;Helvetica;sans-serif"/>
                  <w:b/>
                  <w:color w:val="000000"/>
                  <w:sz w:val="20"/>
                </w:rPr>
                <w:t>Compensation Committee Interlocks and Insider Participation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2" w:type="dxa"/>
            <w:tcBorders/>
            <w:vAlign w:val="center"/>
          </w:tcPr>
          <w:p>
            <w:pPr>
              <w:pStyle w:val="TableContents"/>
              <w:bidi w:val="0"/>
              <w:spacing w:before="0" w:after="283"/>
              <w:ind w:left="0" w:right="0" w:hanging="0"/>
              <w:jc w:val="left"/>
              <w:rPr/>
            </w:pPr>
            <w:hyperlink w:anchor="tCCIIP">
              <w:r>
                <w:rPr>
                  <w:rStyle w:val="InternetLink"/>
                  <w:rFonts w:ascii="Arial;Helvetica;sans-serif" w:hAnsi="Arial;Helvetica;sans-serif"/>
                  <w:color w:val="000000"/>
                  <w:sz w:val="20"/>
                </w:rPr>
                <w:t>45</w:t>
              </w:r>
            </w:hyperlink>
          </w:p>
        </w:tc>
      </w:tr>
      <w:tr>
        <w:trPr/>
        <w:tc>
          <w:tcPr>
            <w:tcW w:w="9503" w:type="dxa"/>
            <w:tcBorders/>
            <w:vAlign w:val="center"/>
          </w:tcPr>
          <w:p>
            <w:pPr>
              <w:pStyle w:val="TableContents"/>
              <w:bidi w:val="0"/>
              <w:spacing w:before="0" w:after="283"/>
              <w:ind w:left="0" w:right="0" w:hanging="0"/>
              <w:jc w:val="left"/>
              <w:rPr/>
            </w:pPr>
            <w:hyperlink w:anchor="tRAC">
              <w:r>
                <w:rPr>
                  <w:rStyle w:val="InternetLink"/>
                  <w:rFonts w:ascii="Arial;Helvetica;sans-serif" w:hAnsi="Arial;Helvetica;sans-serif"/>
                  <w:b/>
                  <w:color w:val="000000"/>
                  <w:sz w:val="20"/>
                </w:rPr>
                <w:t>Report of Audit Committee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2" w:type="dxa"/>
            <w:tcBorders/>
            <w:vAlign w:val="center"/>
          </w:tcPr>
          <w:p>
            <w:pPr>
              <w:pStyle w:val="TableContents"/>
              <w:bidi w:val="0"/>
              <w:spacing w:before="0" w:after="283"/>
              <w:ind w:left="0" w:right="0" w:hanging="0"/>
              <w:jc w:val="left"/>
              <w:rPr/>
            </w:pPr>
            <w:hyperlink w:anchor="tRAC">
              <w:r>
                <w:rPr>
                  <w:rStyle w:val="InternetLink"/>
                  <w:rFonts w:ascii="Arial;Helvetica;sans-serif" w:hAnsi="Arial;Helvetica;sans-serif"/>
                  <w:color w:val="000000"/>
                  <w:sz w:val="20"/>
                </w:rPr>
                <w:t>46</w:t>
              </w:r>
            </w:hyperlink>
          </w:p>
        </w:tc>
      </w:tr>
      <w:tr>
        <w:trPr/>
        <w:tc>
          <w:tcPr>
            <w:tcW w:w="9503" w:type="dxa"/>
            <w:tcBorders/>
            <w:vAlign w:val="center"/>
          </w:tcPr>
          <w:p>
            <w:pPr>
              <w:pStyle w:val="TableContents"/>
              <w:bidi w:val="0"/>
              <w:spacing w:before="0" w:after="283"/>
              <w:ind w:left="0" w:right="0" w:hanging="0"/>
              <w:jc w:val="left"/>
              <w:rPr/>
            </w:pPr>
            <w:hyperlink w:anchor="tPROP2">
              <w:r>
                <w:rPr>
                  <w:rStyle w:val="InternetLink"/>
                  <w:rFonts w:ascii="Arial;Helvetica;sans-serif" w:hAnsi="Arial;Helvetica;sans-serif"/>
                  <w:b/>
                  <w:color w:val="000000"/>
                  <w:sz w:val="20"/>
                </w:rPr>
                <w:t>Proposal No. 2 Ratification of Appointment of Auditors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2" w:type="dxa"/>
            <w:tcBorders/>
            <w:vAlign w:val="center"/>
          </w:tcPr>
          <w:p>
            <w:pPr>
              <w:pStyle w:val="TableContents"/>
              <w:bidi w:val="0"/>
              <w:spacing w:before="0" w:after="283"/>
              <w:ind w:left="0" w:right="0" w:hanging="0"/>
              <w:jc w:val="left"/>
              <w:rPr/>
            </w:pPr>
            <w:hyperlink w:anchor="tPROP2">
              <w:r>
                <w:rPr>
                  <w:rStyle w:val="InternetLink"/>
                  <w:rFonts w:ascii="Arial;Helvetica;sans-serif" w:hAnsi="Arial;Helvetica;sans-serif"/>
                  <w:color w:val="000000"/>
                  <w:sz w:val="20"/>
                </w:rPr>
                <w:t xml:space="preserve">47 </w:t>
              </w:r>
            </w:hyperlink>
          </w:p>
        </w:tc>
      </w:tr>
      <w:tr>
        <w:trPr/>
        <w:tc>
          <w:tcPr>
            <w:tcW w:w="9503" w:type="dxa"/>
            <w:tcBorders/>
            <w:vAlign w:val="center"/>
          </w:tcPr>
          <w:p>
            <w:pPr>
              <w:pStyle w:val="TableContents"/>
              <w:bidi w:val="0"/>
              <w:spacing w:before="0" w:after="283"/>
              <w:ind w:left="0" w:right="0" w:hanging="0"/>
              <w:jc w:val="left"/>
              <w:rPr/>
            </w:pPr>
            <w:hyperlink w:anchor="tPROP3">
              <w:r>
                <w:rPr>
                  <w:rStyle w:val="InternetLink"/>
                  <w:rFonts w:ascii="Arial;Helvetica;sans-serif" w:hAnsi="Arial;Helvetica;sans-serif"/>
                  <w:b/>
                  <w:color w:val="000000"/>
                  <w:sz w:val="20"/>
                </w:rPr>
                <w:t>Proposal No. 3 Advisory Approval of Executive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2" w:type="dxa"/>
            <w:tcBorders/>
            <w:vAlign w:val="center"/>
          </w:tcPr>
          <w:p>
            <w:pPr>
              <w:pStyle w:val="TableContents"/>
              <w:bidi w:val="0"/>
              <w:spacing w:before="0" w:after="283"/>
              <w:ind w:left="0" w:right="0" w:hanging="0"/>
              <w:jc w:val="left"/>
              <w:rPr/>
            </w:pPr>
            <w:hyperlink w:anchor="tPROP3">
              <w:r>
                <w:rPr>
                  <w:rStyle w:val="InternetLink"/>
                  <w:rFonts w:ascii="Arial;Helvetica;sans-serif" w:hAnsi="Arial;Helvetica;sans-serif"/>
                  <w:color w:val="000000"/>
                  <w:sz w:val="20"/>
                </w:rPr>
                <w:t xml:space="preserve">49 </w:t>
              </w:r>
            </w:hyperlink>
          </w:p>
        </w:tc>
      </w:tr>
      <w:tr>
        <w:trPr/>
        <w:tc>
          <w:tcPr>
            <w:tcW w:w="9503" w:type="dxa"/>
            <w:tcBorders/>
            <w:vAlign w:val="center"/>
          </w:tcPr>
          <w:p>
            <w:pPr>
              <w:pStyle w:val="TableContents"/>
              <w:bidi w:val="0"/>
              <w:spacing w:before="0" w:after="283"/>
              <w:ind w:left="200" w:right="0" w:hanging="200"/>
              <w:jc w:val="left"/>
              <w:rPr/>
            </w:pPr>
            <w:hyperlink w:anchor="tPROP4">
              <w:r>
                <w:rPr>
                  <w:rStyle w:val="InternetLink"/>
                  <w:rFonts w:ascii="Arial;Helvetica;sans-serif" w:hAnsi="Arial;Helvetica;sans-serif"/>
                  <w:b/>
                  <w:color w:val="000000"/>
                  <w:sz w:val="20"/>
                </w:rPr>
                <w:t>Proposal No. 4 Shareholder Proposal Regarding Governance by Majority Voting and Meeting Adjournment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2" w:type="dxa"/>
            <w:tcBorders/>
            <w:vAlign w:val="center"/>
          </w:tcPr>
          <w:p>
            <w:pPr>
              <w:pStyle w:val="TableContents"/>
              <w:bidi w:val="0"/>
              <w:spacing w:before="0" w:after="283"/>
              <w:ind w:left="0" w:right="0" w:hanging="0"/>
              <w:jc w:val="left"/>
              <w:rPr/>
            </w:pPr>
            <w:hyperlink w:anchor="tPROP4">
              <w:r>
                <w:rPr>
                  <w:rStyle w:val="InternetLink"/>
                  <w:rFonts w:ascii="Arial;Helvetica;sans-serif" w:hAnsi="Arial;Helvetica;sans-serif"/>
                  <w:color w:val="000000"/>
                  <w:sz w:val="20"/>
                </w:rPr>
                <w:t>50</w:t>
              </w:r>
            </w:hyperlink>
          </w:p>
        </w:tc>
      </w:tr>
      <w:tr>
        <w:trPr/>
        <w:tc>
          <w:tcPr>
            <w:tcW w:w="9503" w:type="dxa"/>
            <w:tcBorders/>
            <w:vAlign w:val="center"/>
          </w:tcPr>
          <w:p>
            <w:pPr>
              <w:pStyle w:val="TableContents"/>
              <w:bidi w:val="0"/>
              <w:spacing w:before="0" w:after="283"/>
              <w:ind w:left="200" w:right="0" w:hanging="0"/>
              <w:jc w:val="left"/>
              <w:rPr/>
            </w:pPr>
            <w:hyperlink w:anchor="tSSB">
              <w:r>
                <w:rPr>
                  <w:rStyle w:val="InternetLink"/>
                  <w:rFonts w:ascii="Arial;Helvetica;sans-serif" w:hAnsi="Arial;Helvetica;sans-serif"/>
                  <w:color w:val="000000"/>
                  <w:sz w:val="20"/>
                </w:rPr>
                <w:t>Statement by the Board of Directors on the Shareholder Proposal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2" w:type="dxa"/>
            <w:tcBorders/>
            <w:vAlign w:val="center"/>
          </w:tcPr>
          <w:p>
            <w:pPr>
              <w:pStyle w:val="TableContents"/>
              <w:bidi w:val="0"/>
              <w:spacing w:before="0" w:after="283"/>
              <w:ind w:left="0" w:right="0" w:hanging="0"/>
              <w:jc w:val="left"/>
              <w:rPr/>
            </w:pPr>
            <w:hyperlink w:anchor="tSSB">
              <w:r>
                <w:rPr>
                  <w:rStyle w:val="InternetLink"/>
                  <w:rFonts w:ascii="Arial;Helvetica;sans-serif" w:hAnsi="Arial;Helvetica;sans-serif"/>
                  <w:color w:val="000000"/>
                  <w:sz w:val="20"/>
                </w:rPr>
                <w:t xml:space="preserve">51 </w:t>
              </w:r>
            </w:hyperlink>
          </w:p>
        </w:tc>
      </w:tr>
      <w:tr>
        <w:trPr/>
        <w:tc>
          <w:tcPr>
            <w:tcW w:w="9503" w:type="dxa"/>
            <w:tcBorders/>
            <w:vAlign w:val="center"/>
          </w:tcPr>
          <w:p>
            <w:pPr>
              <w:pStyle w:val="TableContents"/>
              <w:bidi w:val="0"/>
              <w:spacing w:before="0" w:after="283"/>
              <w:ind w:left="0" w:right="0" w:hanging="0"/>
              <w:jc w:val="left"/>
              <w:rPr/>
            </w:pPr>
            <w:hyperlink w:anchor="tSPAM">
              <w:r>
                <w:rPr>
                  <w:rStyle w:val="InternetLink"/>
                  <w:rFonts w:ascii="Arial;Helvetica;sans-serif" w:hAnsi="Arial;Helvetica;sans-serif"/>
                  <w:b/>
                  <w:color w:val="000000"/>
                  <w:sz w:val="20"/>
                </w:rPr>
                <w:t>Shareholder Proposals for 2027 Annual Meeting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2" w:type="dxa"/>
            <w:tcBorders/>
            <w:vAlign w:val="center"/>
          </w:tcPr>
          <w:p>
            <w:pPr>
              <w:pStyle w:val="TableContents"/>
              <w:bidi w:val="0"/>
              <w:spacing w:before="0" w:after="283"/>
              <w:ind w:left="0" w:right="0" w:hanging="0"/>
              <w:jc w:val="left"/>
              <w:rPr/>
            </w:pPr>
            <w:hyperlink w:anchor="tSPAM">
              <w:r>
                <w:rPr>
                  <w:rStyle w:val="InternetLink"/>
                  <w:rFonts w:ascii="Arial;Helvetica;sans-serif" w:hAnsi="Arial;Helvetica;sans-serif"/>
                  <w:color w:val="000000"/>
                  <w:sz w:val="20"/>
                </w:rPr>
                <w:t>52</w:t>
              </w:r>
            </w:hyperlink>
          </w:p>
        </w:tc>
      </w:tr>
      <w:tr>
        <w:trPr/>
        <w:tc>
          <w:tcPr>
            <w:tcW w:w="9503" w:type="dxa"/>
            <w:tcBorders/>
            <w:vAlign w:val="center"/>
          </w:tcPr>
          <w:p>
            <w:pPr>
              <w:pStyle w:val="TableContents"/>
              <w:bidi w:val="0"/>
              <w:spacing w:before="0" w:after="283"/>
              <w:ind w:left="0" w:right="0" w:hanging="0"/>
              <w:jc w:val="left"/>
              <w:rPr/>
            </w:pPr>
            <w:hyperlink w:anchor="tADDI">
              <w:r>
                <w:rPr>
                  <w:rStyle w:val="InternetLink"/>
                  <w:rFonts w:ascii="Arial;Helvetica;sans-serif" w:hAnsi="Arial;Helvetica;sans-serif"/>
                  <w:b/>
                  <w:color w:val="000000"/>
                  <w:sz w:val="20"/>
                </w:rPr>
                <w:t>Additional Information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2" w:type="dxa"/>
            <w:tcBorders/>
            <w:vAlign w:val="center"/>
          </w:tcPr>
          <w:p>
            <w:pPr>
              <w:pStyle w:val="TableContents"/>
              <w:bidi w:val="0"/>
              <w:spacing w:before="0" w:after="283"/>
              <w:ind w:left="0" w:right="0" w:hanging="0"/>
              <w:jc w:val="left"/>
              <w:rPr/>
            </w:pPr>
            <w:hyperlink w:anchor="tADDI">
              <w:r>
                <w:rPr>
                  <w:rStyle w:val="InternetLink"/>
                  <w:rFonts w:ascii="Arial;Helvetica;sans-serif" w:hAnsi="Arial;Helvetica;sans-serif"/>
                  <w:color w:val="000000"/>
                  <w:sz w:val="20"/>
                </w:rPr>
                <w:t>52</w:t>
              </w:r>
            </w:hyperlink>
          </w:p>
        </w:tc>
      </w:tr>
      <w:tr>
        <w:trPr/>
        <w:tc>
          <w:tcPr>
            <w:tcW w:w="950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62"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 w:name="ny20066167x1_def14a_104-proxy_pg1"/>
        <w:bookmarkEnd w:id="8"/>
        <w:r>
          <w:rPr>
            <w:rStyle w:val="InternetLink"/>
            <w:rFonts w:ascii="Times New Roman;Times;Serif" w:hAnsi="Times New Roman;Times;Serif"/>
            <w:b/>
            <w:caps w:val="false"/>
            <w:smallCaps w:val="false"/>
            <w:color w:val="000000"/>
            <w:sz w:val="16"/>
          </w:rPr>
          <w:t>TABLE OF CONTENTS</w:t>
        </w:r>
      </w:hyperlink>
    </w:p>
    <w:p>
      <w:pPr>
        <w:pStyle w:val="TextBody"/>
        <w:bidi w:val="0"/>
        <w:spacing w:before="270" w:after="283"/>
        <w:ind w:left="0" w:right="0" w:hanging="0"/>
        <w:jc w:val="left"/>
        <w:rPr>
          <w:rFonts w:ascii="Arial;Helvetica;sans-serif" w:hAnsi="Arial;Helvetica;sans-serif"/>
          <w:color w:val="000000"/>
          <w:sz w:val="40"/>
        </w:rPr>
      </w:pPr>
      <w:bookmarkStart w:id="9" w:name="tPSS"/>
      <w:bookmarkEnd w:id="9"/>
      <w:r>
        <w:rPr>
          <w:rFonts w:ascii="Arial;Helvetica;sans-serif" w:hAnsi="Arial;Helvetica;sans-serif"/>
          <w:color w:val="000000"/>
          <w:sz w:val="40"/>
        </w:rPr>
        <w:t xml:space="preserve">2026 Proxy Statement Summary </w:t>
      </w:r>
    </w:p>
    <w:p>
      <w:pPr>
        <w:pStyle w:val="TextBody"/>
        <w:bidi w:val="0"/>
        <w:spacing w:before="160" w:after="283"/>
        <w:ind w:left="0" w:right="0" w:hanging="0"/>
        <w:jc w:val="both"/>
        <w:rPr>
          <w:rFonts w:ascii="Arial;Helvetica;sans-serif" w:hAnsi="Arial;Helvetica;sans-serif"/>
          <w:i/>
          <w:color w:val="000000"/>
          <w:sz w:val="20"/>
        </w:rPr>
      </w:pPr>
      <w:r>
        <w:rPr>
          <w:rFonts w:ascii="Arial;Helvetica;sans-serif" w:hAnsi="Arial;Helvetica;sans-serif"/>
          <w:i/>
          <w:color w:val="000000"/>
          <w:sz w:val="20"/>
        </w:rPr>
        <w:t>This summary highlights information contained elsewhere in this Proxy Statement, including under “Executive Compensation.” This summary does not contain all of the information that you should consider and you should read the entire Proxy Statement carefully before voting.</w:t>
      </w:r>
      <w:r>
        <w:rPr>
          <w:rFonts w:ascii="Arial;Helvetica;sans-serif" w:hAnsi="Arial;Helvetica;sans-serif"/>
          <w:i/>
          <w:caps w:val="false"/>
          <w:smallCaps w:val="false"/>
          <w:color w:val="000000"/>
          <w:sz w:val="20"/>
        </w:rPr>
        <w:t xml:space="preserve"> </w:t>
      </w:r>
    </w:p>
    <w:p>
      <w:pPr>
        <w:pStyle w:val="TextBody"/>
        <w:bidi w:val="0"/>
        <w:spacing w:before="37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Annual Meeting of Shareholders </w:t>
      </w:r>
    </w:p>
    <w:tbl>
      <w:tblPr>
        <w:tblW w:w="6375" w:type="dxa"/>
        <w:jc w:val="left"/>
        <w:tblInd w:w="0" w:type="dxa"/>
        <w:tblLayout w:type="fixed"/>
        <w:tblCellMar>
          <w:top w:w="0" w:type="dxa"/>
          <w:left w:w="0" w:type="dxa"/>
          <w:bottom w:w="0" w:type="dxa"/>
          <w:right w:w="0" w:type="dxa"/>
        </w:tblCellMar>
      </w:tblPr>
      <w:tblGrid>
        <w:gridCol w:w="185"/>
        <w:gridCol w:w="170"/>
        <w:gridCol w:w="170"/>
        <w:gridCol w:w="170"/>
        <w:gridCol w:w="1385"/>
        <w:gridCol w:w="170"/>
        <w:gridCol w:w="170"/>
        <w:gridCol w:w="3740"/>
        <w:gridCol w:w="21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4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3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Date and Time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4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May 20, 2026 at 11:00 a.m. Eastern Time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3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Record Date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4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March 25, 2026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3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Format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4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Virtual</w:t>
            </w:r>
          </w:p>
        </w:tc>
        <w:tc>
          <w:tcPr>
            <w:tcW w:w="215"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These materials were first sent or made available to shareholders on April 2, 2026. The Company’s principal executive offices are located at 379 Interpace Parkway, Parsippany, NJ 07054. </w:t>
      </w:r>
    </w:p>
    <w:p>
      <w:pPr>
        <w:pStyle w:val="TextBody"/>
        <w:bidi w:val="0"/>
        <w:spacing w:before="37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Voting Matters and Voting Recommendations </w:t>
      </w:r>
    </w:p>
    <w:p>
      <w:pPr>
        <w:pStyle w:val="TextBody"/>
        <w:bidi w:val="0"/>
        <w:spacing w:before="19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This proxy statement describes four proposals for your vote. </w:t>
      </w:r>
    </w:p>
    <w:tbl>
      <w:tblPr>
        <w:tblW w:w="10205" w:type="dxa"/>
        <w:jc w:val="left"/>
        <w:tblInd w:w="0" w:type="dxa"/>
        <w:tblLayout w:type="fixed"/>
        <w:tblCellMar>
          <w:top w:w="0" w:type="dxa"/>
          <w:left w:w="0" w:type="dxa"/>
          <w:bottom w:w="0" w:type="dxa"/>
          <w:right w:w="0" w:type="dxa"/>
        </w:tblCellMar>
      </w:tblPr>
      <w:tblGrid>
        <w:gridCol w:w="185"/>
        <w:gridCol w:w="6313"/>
        <w:gridCol w:w="170"/>
        <w:gridCol w:w="170"/>
        <w:gridCol w:w="925"/>
        <w:gridCol w:w="170"/>
        <w:gridCol w:w="170"/>
        <w:gridCol w:w="1886"/>
        <w:gridCol w:w="216"/>
      </w:tblGrid>
      <w:tr>
        <w:trPr/>
        <w:tc>
          <w:tcPr>
            <w:tcW w:w="185" w:type="dxa"/>
            <w:tcBorders/>
            <w:vAlign w:val="center"/>
          </w:tcPr>
          <w:p>
            <w:pPr>
              <w:pStyle w:val="TableContents"/>
              <w:bidi w:val="0"/>
              <w:spacing w:before="0" w:after="0"/>
              <w:jc w:val="left"/>
              <w:rPr/>
            </w:pPr>
            <w:r>
              <w:rPr/>
              <w:t> </w:t>
            </w:r>
          </w:p>
        </w:tc>
        <w:tc>
          <w:tcPr>
            <w:tcW w:w="631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86"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6313" w:type="dxa"/>
            <w:tcBorders>
              <w:bottom w:val="single" w:sz="8" w:space="0" w:color="000000"/>
            </w:tcBorders>
            <w:tcMar>
              <w:bottom w:w="38" w:type="dxa"/>
            </w:tcMar>
            <w:vAlign w:val="center"/>
          </w:tcPr>
          <w:p>
            <w:pPr>
              <w:pStyle w:val="TableContents"/>
              <w:bidi w:val="0"/>
              <w:spacing w:before="0" w:after="283"/>
              <w:ind w:left="30" w:right="0" w:hanging="0"/>
              <w:jc w:val="left"/>
              <w:rPr>
                <w:rFonts w:ascii="Arial;Helvetica;sans-serif" w:hAnsi="Arial;Helvetica;sans-serif"/>
                <w:b/>
                <w:color w:val="000000"/>
                <w:sz w:val="20"/>
              </w:rPr>
            </w:pPr>
            <w:r>
              <w:rPr>
                <w:rFonts w:ascii="Arial;Helvetica;sans-serif" w:hAnsi="Arial;Helvetica;sans-serif"/>
                <w:b/>
                <w:color w:val="000000"/>
                <w:sz w:val="20"/>
              </w:rPr>
              <w:t>Voting Matters</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25" w:type="dxa"/>
            <w:tcBorders>
              <w:bottom w:val="single" w:sz="8" w:space="0" w:color="000000"/>
            </w:tcBorders>
            <w:tcMar>
              <w:bottom w:w="38"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Proposal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No.</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886" w:type="dxa"/>
            <w:tcBorders>
              <w:bottom w:val="single" w:sz="8" w:space="0" w:color="000000"/>
            </w:tcBorders>
            <w:tcMar>
              <w:bottom w:w="38"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Our Board’s Voting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Recommendation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6313" w:type="dxa"/>
            <w:tcBorders>
              <w:bottom w:val="single" w:sz="8" w:space="0" w:color="000000"/>
            </w:tcBorders>
            <w:shd w:fill="CCCCCC" w:val="clear"/>
            <w:tcMar>
              <w:bottom w:w="33" w:type="dxa"/>
            </w:tcMar>
            <w:vAlign w:val="center"/>
          </w:tcPr>
          <w:p>
            <w:pPr>
              <w:pStyle w:val="TableContents"/>
              <w:bidi w:val="0"/>
              <w:spacing w:before="0" w:after="283"/>
              <w:ind w:left="30" w:right="0" w:hanging="0"/>
              <w:jc w:val="left"/>
              <w:rPr/>
            </w:pPr>
            <w:r>
              <w:rPr>
                <w:rFonts w:ascii="Arial;Helvetica;sans-serif" w:hAnsi="Arial;Helvetica;sans-serif"/>
                <w:color w:val="000000"/>
                <w:sz w:val="20"/>
              </w:rPr>
              <w:t xml:space="preserve">Proposal 1 – Election of Directors (page </w:t>
            </w:r>
            <w:hyperlink w:anchor="tPROP1">
              <w:r>
                <w:rPr>
                  <w:rStyle w:val="InternetLink"/>
                  <w:rFonts w:ascii="Arial;Helvetica;sans-serif" w:hAnsi="Arial;Helvetica;sans-serif"/>
                  <w:color w:val="000080"/>
                  <w:sz w:val="20"/>
                </w:rPr>
                <w:t>7</w:t>
              </w:r>
            </w:hyperlink>
            <w:r>
              <w:rPr>
                <w:rFonts w:ascii="Arial;Helvetica;sans-serif" w:hAnsi="Arial;Helvetica;sans-serif"/>
                <w:color w:val="000000"/>
                <w:sz w:val="20"/>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925" w:type="dxa"/>
            <w:tcBorders>
              <w:bottom w:val="single" w:sz="8" w:space="0" w:color="000000"/>
            </w:tcBorders>
            <w:shd w:fill="CCCCCC" w:val="clear"/>
            <w:tcMar>
              <w:bottom w:w="33" w:type="dxa"/>
            </w:tcM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886" w:type="dxa"/>
            <w:tcBorders>
              <w:bottom w:val="single" w:sz="8" w:space="0" w:color="000000"/>
            </w:tcBorders>
            <w:shd w:fill="CCCCCC" w:val="clear"/>
            <w:tcMar>
              <w:bottom w:w="33" w:type="dxa"/>
            </w:tcM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FOR ALL NOMINEES </w:t>
            </w:r>
          </w:p>
        </w:tc>
        <w:tc>
          <w:tcPr>
            <w:tcW w:w="216"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6313" w:type="dxa"/>
            <w:tcBorders>
              <w:bottom w:val="single" w:sz="8" w:space="0" w:color="000000"/>
            </w:tcBorders>
            <w:tcMar>
              <w:bottom w:w="33" w:type="dxa"/>
            </w:tcMar>
            <w:vAlign w:val="center"/>
          </w:tcPr>
          <w:p>
            <w:pPr>
              <w:pStyle w:val="TableContents"/>
              <w:bidi w:val="0"/>
              <w:spacing w:before="0" w:after="283"/>
              <w:ind w:left="30" w:right="0" w:hanging="0"/>
              <w:jc w:val="left"/>
              <w:rPr/>
            </w:pPr>
            <w:r>
              <w:rPr>
                <w:rFonts w:ascii="Arial;Helvetica;sans-serif" w:hAnsi="Arial;Helvetica;sans-serif"/>
                <w:color w:val="000000"/>
                <w:sz w:val="20"/>
              </w:rPr>
              <w:t xml:space="preserve">Proposal 2 – Ratification of Appointment of Auditors (page </w:t>
            </w:r>
            <w:hyperlink w:anchor="tPROP2">
              <w:r>
                <w:rPr>
                  <w:rStyle w:val="InternetLink"/>
                  <w:rFonts w:ascii="Arial;Helvetica;sans-serif" w:hAnsi="Arial;Helvetica;sans-serif"/>
                  <w:color w:val="000080"/>
                  <w:sz w:val="20"/>
                </w:rPr>
                <w:t>47</w:t>
              </w:r>
            </w:hyperlink>
            <w:r>
              <w:rPr>
                <w:rFonts w:ascii="Arial;Helvetica;sans-serif" w:hAnsi="Arial;Helvetica;sans-serif"/>
                <w:color w:val="000000"/>
                <w:sz w:val="2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25" w:type="dxa"/>
            <w:tcBorders>
              <w:bottom w:val="single" w:sz="8" w:space="0" w:color="000000"/>
            </w:tcBorders>
            <w:tcMar>
              <w:bottom w:w="33" w:type="dxa"/>
            </w:tcM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886" w:type="dxa"/>
            <w:tcBorders>
              <w:bottom w:val="single" w:sz="8" w:space="0" w:color="000000"/>
            </w:tcBorders>
            <w:tcMar>
              <w:bottom w:w="33" w:type="dxa"/>
            </w:tcM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FOR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shd w:fill="CCCCCC" w:val="clear"/>
            <w:vAlign w:val="center"/>
          </w:tcPr>
          <w:p>
            <w:pPr>
              <w:pStyle w:val="TableContents"/>
              <w:bidi w:val="0"/>
              <w:spacing w:before="0" w:after="0"/>
              <w:jc w:val="left"/>
              <w:rPr/>
            </w:pPr>
            <w:r>
              <w:rPr/>
              <w:t> </w:t>
            </w:r>
          </w:p>
        </w:tc>
        <w:tc>
          <w:tcPr>
            <w:tcW w:w="6313" w:type="dxa"/>
            <w:tcBorders/>
            <w:shd w:fill="CCCCCC" w:val="clear"/>
            <w:vAlign w:val="center"/>
          </w:tcPr>
          <w:p>
            <w:pPr>
              <w:pStyle w:val="TableContents"/>
              <w:bidi w:val="0"/>
              <w:spacing w:before="0" w:after="283"/>
              <w:ind w:left="30" w:right="0" w:hanging="0"/>
              <w:jc w:val="left"/>
              <w:rPr/>
            </w:pPr>
            <w:r>
              <w:rPr>
                <w:rFonts w:ascii="Arial;Helvetica;sans-serif" w:hAnsi="Arial;Helvetica;sans-serif"/>
                <w:color w:val="000000"/>
                <w:sz w:val="20"/>
              </w:rPr>
              <w:t xml:space="preserve">Proposal 3 – Advisory Approval of the Compensation of our Named Executive Officers (page </w:t>
            </w:r>
            <w:hyperlink w:anchor="tPROP3">
              <w:r>
                <w:rPr>
                  <w:rStyle w:val="InternetLink"/>
                  <w:rFonts w:ascii="Arial;Helvetica;sans-serif" w:hAnsi="Arial;Helvetica;sans-serif"/>
                  <w:color w:val="000080"/>
                  <w:sz w:val="20"/>
                </w:rPr>
                <w:t>49</w:t>
              </w:r>
            </w:hyperlink>
            <w:r>
              <w:rPr>
                <w:rFonts w:ascii="Arial;Helvetica;sans-serif" w:hAnsi="Arial;Helvetica;sans-serif"/>
                <w:color w:val="000000"/>
                <w:sz w:val="2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925" w:type="dxa"/>
            <w:tcBorders/>
            <w:shd w:fill="CCCCCC" w:val="cle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886" w:type="dxa"/>
            <w:tcBorders/>
            <w:shd w:fill="CCCCCC" w:val="cle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FOR </w:t>
            </w:r>
          </w:p>
        </w:tc>
        <w:tc>
          <w:tcPr>
            <w:tcW w:w="216" w:type="dxa"/>
            <w:tcBorders/>
            <w:shd w:fill="CCCCCC"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313" w:type="dxa"/>
            <w:tcBorders/>
            <w:vAlign w:val="center"/>
          </w:tcPr>
          <w:p>
            <w:pPr>
              <w:pStyle w:val="TableContents"/>
              <w:bidi w:val="0"/>
              <w:spacing w:before="0" w:after="283"/>
              <w:ind w:left="30" w:right="0" w:hanging="0"/>
              <w:jc w:val="left"/>
              <w:rPr/>
            </w:pPr>
            <w:r>
              <w:rPr>
                <w:rFonts w:ascii="Arial;Helvetica;sans-serif" w:hAnsi="Arial;Helvetica;sans-serif"/>
                <w:color w:val="000000"/>
                <w:sz w:val="20"/>
              </w:rPr>
              <w:t xml:space="preserve">Proposal 4 – Shareholder Proposal Regarding Governance by Majority Voting and Meeting Adjournment (page </w:t>
            </w:r>
            <w:hyperlink w:anchor="tPROP4">
              <w:r>
                <w:rPr>
                  <w:rStyle w:val="InternetLink"/>
                  <w:rFonts w:ascii="Arial;Helvetica;sans-serif" w:hAnsi="Arial;Helvetica;sans-serif"/>
                  <w:color w:val="000080"/>
                  <w:sz w:val="20"/>
                </w:rPr>
                <w:t>50</w:t>
              </w:r>
            </w:hyperlink>
            <w:r>
              <w:rPr>
                <w:rFonts w:ascii="Arial;Helvetica;sans-serif" w:hAnsi="Arial;Helvetica;san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86"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AGAINST</w:t>
            </w:r>
          </w:p>
        </w:tc>
        <w:tc>
          <w:tcPr>
            <w:tcW w:w="216" w:type="dxa"/>
            <w:tcBorders/>
            <w:vAlign w:val="center"/>
          </w:tcPr>
          <w:p>
            <w:pPr>
              <w:pStyle w:val="TableContents"/>
              <w:bidi w:val="0"/>
              <w:spacing w:before="0" w:after="0"/>
              <w:jc w:val="left"/>
              <w:rPr/>
            </w:pPr>
            <w:r>
              <w:rPr/>
              <w:t> </w:t>
            </w:r>
          </w:p>
        </w:tc>
      </w:tr>
    </w:tbl>
    <w:p>
      <w:pPr>
        <w:pStyle w:val="TextBody"/>
        <w:bidi w:val="0"/>
        <w:spacing w:before="33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Corporate Governance Highlights </w:t>
      </w:r>
    </w:p>
    <w:tbl>
      <w:tblPr>
        <w:tblW w:w="4645" w:type="dxa"/>
        <w:jc w:val="left"/>
        <w:tblInd w:w="0" w:type="dxa"/>
        <w:tblLayout w:type="fixed"/>
        <w:tblCellMar>
          <w:top w:w="0" w:type="dxa"/>
          <w:left w:w="0" w:type="dxa"/>
          <w:bottom w:w="0" w:type="dxa"/>
          <w:right w:w="0" w:type="dxa"/>
        </w:tblCellMar>
      </w:tblPr>
      <w:tblGrid>
        <w:gridCol w:w="140"/>
        <w:gridCol w:w="4505"/>
      </w:tblGrid>
      <w:tr>
        <w:trPr/>
        <w:tc>
          <w:tcPr>
            <w:tcW w:w="140" w:type="dxa"/>
            <w:tcBorders/>
            <w:vAlign w:val="center"/>
          </w:tcPr>
          <w:p>
            <w:pPr>
              <w:pStyle w:val="TableContents"/>
              <w:bidi w:val="0"/>
              <w:spacing w:before="0" w:after="0"/>
              <w:jc w:val="left"/>
              <w:rPr>
                <w:color w:val="000000"/>
              </w:rPr>
            </w:pPr>
            <w:r>
              <w:rPr>
                <w:color w:val="000000"/>
              </w:rPr>
              <w:t>•</w:t>
            </w:r>
          </w:p>
        </w:tc>
        <w:tc>
          <w:tcPr>
            <w:tcW w:w="450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2 of 6 (33%) of our directors are diverse by gender </w:t>
            </w:r>
          </w:p>
        </w:tc>
      </w:tr>
    </w:tbl>
    <w:tbl>
      <w:tblPr>
        <w:tblW w:w="5455" w:type="dxa"/>
        <w:jc w:val="left"/>
        <w:tblInd w:w="0" w:type="dxa"/>
        <w:tblLayout w:type="fixed"/>
        <w:tblCellMar>
          <w:top w:w="0" w:type="dxa"/>
          <w:left w:w="0" w:type="dxa"/>
          <w:bottom w:w="0" w:type="dxa"/>
          <w:right w:w="0" w:type="dxa"/>
        </w:tblCellMar>
      </w:tblPr>
      <w:tblGrid>
        <w:gridCol w:w="140"/>
        <w:gridCol w:w="5315"/>
      </w:tblGrid>
      <w:tr>
        <w:trPr/>
        <w:tc>
          <w:tcPr>
            <w:tcW w:w="140" w:type="dxa"/>
            <w:tcBorders/>
            <w:vAlign w:val="center"/>
          </w:tcPr>
          <w:p>
            <w:pPr>
              <w:pStyle w:val="TableContents"/>
              <w:bidi w:val="0"/>
              <w:spacing w:before="0" w:after="0"/>
              <w:jc w:val="left"/>
              <w:rPr>
                <w:color w:val="000000"/>
              </w:rPr>
            </w:pPr>
            <w:r>
              <w:rPr>
                <w:color w:val="000000"/>
              </w:rPr>
              <w:t>•</w:t>
            </w:r>
          </w:p>
        </w:tc>
        <w:tc>
          <w:tcPr>
            <w:tcW w:w="531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4 of 6 (67%) of our directors are diverse by ethnicity or race </w:t>
            </w:r>
          </w:p>
        </w:tc>
      </w:tr>
    </w:tbl>
    <w:tbl>
      <w:tblPr>
        <w:tblW w:w="8740" w:type="dxa"/>
        <w:jc w:val="left"/>
        <w:tblInd w:w="0" w:type="dxa"/>
        <w:tblLayout w:type="fixed"/>
        <w:tblCellMar>
          <w:top w:w="0" w:type="dxa"/>
          <w:left w:w="0" w:type="dxa"/>
          <w:bottom w:w="0" w:type="dxa"/>
          <w:right w:w="0" w:type="dxa"/>
        </w:tblCellMar>
      </w:tblPr>
      <w:tblGrid>
        <w:gridCol w:w="140"/>
        <w:gridCol w:w="8600"/>
      </w:tblGrid>
      <w:tr>
        <w:trPr/>
        <w:tc>
          <w:tcPr>
            <w:tcW w:w="140" w:type="dxa"/>
            <w:tcBorders/>
            <w:vAlign w:val="center"/>
          </w:tcPr>
          <w:p>
            <w:pPr>
              <w:pStyle w:val="TableContents"/>
              <w:bidi w:val="0"/>
              <w:spacing w:before="0" w:after="0"/>
              <w:jc w:val="left"/>
              <w:rPr>
                <w:color w:val="000000"/>
              </w:rPr>
            </w:pPr>
            <w:r>
              <w:rPr>
                <w:color w:val="000000"/>
              </w:rPr>
              <w:t>•</w:t>
            </w:r>
          </w:p>
        </w:tc>
        <w:tc>
          <w:tcPr>
            <w:tcW w:w="860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All members of our Compensation, Corporate Governance and Audit Committees are independent </w:t>
            </w:r>
          </w:p>
        </w:tc>
      </w:tr>
    </w:tbl>
    <w:tbl>
      <w:tblPr>
        <w:tblW w:w="2905" w:type="dxa"/>
        <w:jc w:val="left"/>
        <w:tblInd w:w="0" w:type="dxa"/>
        <w:tblLayout w:type="fixed"/>
        <w:tblCellMar>
          <w:top w:w="0" w:type="dxa"/>
          <w:left w:w="0" w:type="dxa"/>
          <w:bottom w:w="0" w:type="dxa"/>
          <w:right w:w="0" w:type="dxa"/>
        </w:tblCellMar>
      </w:tblPr>
      <w:tblGrid>
        <w:gridCol w:w="140"/>
        <w:gridCol w:w="2765"/>
      </w:tblGrid>
      <w:tr>
        <w:trPr/>
        <w:tc>
          <w:tcPr>
            <w:tcW w:w="140" w:type="dxa"/>
            <w:tcBorders/>
            <w:vAlign w:val="center"/>
          </w:tcPr>
          <w:p>
            <w:pPr>
              <w:pStyle w:val="TableContents"/>
              <w:bidi w:val="0"/>
              <w:spacing w:before="0" w:after="0"/>
              <w:jc w:val="left"/>
              <w:rPr>
                <w:color w:val="000000"/>
              </w:rPr>
            </w:pPr>
            <w:r>
              <w:rPr>
                <w:color w:val="000000"/>
              </w:rPr>
              <w:t>•</w:t>
            </w:r>
          </w:p>
        </w:tc>
        <w:tc>
          <w:tcPr>
            <w:tcW w:w="27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Annual election of all directors </w:t>
            </w:r>
          </w:p>
        </w:tc>
      </w:tr>
    </w:tbl>
    <w:tbl>
      <w:tblPr>
        <w:tblW w:w="8995" w:type="dxa"/>
        <w:jc w:val="left"/>
        <w:tblInd w:w="0" w:type="dxa"/>
        <w:tblLayout w:type="fixed"/>
        <w:tblCellMar>
          <w:top w:w="0" w:type="dxa"/>
          <w:left w:w="0" w:type="dxa"/>
          <w:bottom w:w="0" w:type="dxa"/>
          <w:right w:w="0" w:type="dxa"/>
        </w:tblCellMar>
      </w:tblPr>
      <w:tblGrid>
        <w:gridCol w:w="140"/>
        <w:gridCol w:w="8855"/>
      </w:tblGrid>
      <w:tr>
        <w:trPr/>
        <w:tc>
          <w:tcPr>
            <w:tcW w:w="140" w:type="dxa"/>
            <w:tcBorders/>
            <w:vAlign w:val="center"/>
          </w:tcPr>
          <w:p>
            <w:pPr>
              <w:pStyle w:val="TableContents"/>
              <w:bidi w:val="0"/>
              <w:spacing w:before="0" w:after="0"/>
              <w:jc w:val="left"/>
              <w:rPr>
                <w:color w:val="000000"/>
              </w:rPr>
            </w:pPr>
            <w:r>
              <w:rPr>
                <w:color w:val="000000"/>
              </w:rPr>
              <w:t>•</w:t>
            </w:r>
          </w:p>
        </w:tc>
        <w:tc>
          <w:tcPr>
            <w:tcW w:w="885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Majority voting (of votes cast) with a director resignation policy for directors in uncontested elections </w:t>
            </w:r>
          </w:p>
        </w:tc>
      </w:tr>
    </w:tbl>
    <w:tbl>
      <w:tblPr>
        <w:tblW w:w="5275" w:type="dxa"/>
        <w:jc w:val="left"/>
        <w:tblInd w:w="0" w:type="dxa"/>
        <w:tblLayout w:type="fixed"/>
        <w:tblCellMar>
          <w:top w:w="0" w:type="dxa"/>
          <w:left w:w="0" w:type="dxa"/>
          <w:bottom w:w="0" w:type="dxa"/>
          <w:right w:w="0" w:type="dxa"/>
        </w:tblCellMar>
      </w:tblPr>
      <w:tblGrid>
        <w:gridCol w:w="140"/>
        <w:gridCol w:w="5135"/>
      </w:tblGrid>
      <w:tr>
        <w:trPr/>
        <w:tc>
          <w:tcPr>
            <w:tcW w:w="140" w:type="dxa"/>
            <w:tcBorders/>
            <w:vAlign w:val="center"/>
          </w:tcPr>
          <w:p>
            <w:pPr>
              <w:pStyle w:val="TableContents"/>
              <w:bidi w:val="0"/>
              <w:spacing w:before="0" w:after="0"/>
              <w:jc w:val="left"/>
              <w:rPr>
                <w:color w:val="000000"/>
              </w:rPr>
            </w:pPr>
            <w:r>
              <w:rPr>
                <w:color w:val="000000"/>
              </w:rPr>
              <w:t>•</w:t>
            </w:r>
          </w:p>
        </w:tc>
        <w:tc>
          <w:tcPr>
            <w:tcW w:w="513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Robust executive and director stock ownership guidelines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Each director nominee who served on the Board in 2025 attended at least 75% of Board and Committee meetings held in 2025 </w:t>
            </w:r>
          </w:p>
        </w:tc>
      </w:tr>
    </w:tbl>
    <w:tbl>
      <w:tblPr>
        <w:tblW w:w="7180" w:type="dxa"/>
        <w:jc w:val="left"/>
        <w:tblInd w:w="0" w:type="dxa"/>
        <w:tblLayout w:type="fixed"/>
        <w:tblCellMar>
          <w:top w:w="0" w:type="dxa"/>
          <w:left w:w="0" w:type="dxa"/>
          <w:bottom w:w="0" w:type="dxa"/>
          <w:right w:w="0" w:type="dxa"/>
        </w:tblCellMar>
      </w:tblPr>
      <w:tblGrid>
        <w:gridCol w:w="140"/>
        <w:gridCol w:w="7040"/>
      </w:tblGrid>
      <w:tr>
        <w:trPr/>
        <w:tc>
          <w:tcPr>
            <w:tcW w:w="140" w:type="dxa"/>
            <w:tcBorders/>
            <w:vAlign w:val="center"/>
          </w:tcPr>
          <w:p>
            <w:pPr>
              <w:pStyle w:val="TableContents"/>
              <w:bidi w:val="0"/>
              <w:spacing w:before="0" w:after="0"/>
              <w:jc w:val="left"/>
              <w:rPr>
                <w:color w:val="000000"/>
              </w:rPr>
            </w:pPr>
            <w:r>
              <w:rPr>
                <w:color w:val="000000"/>
              </w:rPr>
              <w:t>•</w:t>
            </w:r>
          </w:p>
        </w:tc>
        <w:tc>
          <w:tcPr>
            <w:tcW w:w="704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Policy requiring annual performance evaluation of the Board and its committees </w:t>
            </w:r>
          </w:p>
        </w:tc>
      </w:tr>
    </w:tbl>
    <w:p>
      <w:pPr>
        <w:pStyle w:val="TextBody"/>
        <w:bidi w:val="0"/>
        <w:spacing w:before="37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Company Performance and Executive Compensation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saw sustained demand for vehicle rentals in 2025, which resulted in revenue of approximately $11.7 billion. For 2025, net loss was $995 million and Adjusted EBITDA (as defined and reconciled in the “Compensation Discussion &amp; Analysis” section below (the “CD&amp;A”)) was $748 million. During the fourth quarter of 2025, we reviewed our fleet strategy specific to certain United States electric vehicle (“EV”) rental car vehicles and as a result, we shortened the useful life associated with such vehicles. Our net loss reflects $518 million in long-lived asset impairment and other related charges, which was recorded to reduce the carrying value of certain United States EV rental car vehicles to their fair value in connection with this change. Our closing stock price at the end of 2025 was $128.32 resulting in total shareholder return (“TSR”) of 59% for the year and five-year TSR of 271%.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 w:name="ny20066167x1_def14a_104-proxy_pg2"/>
        <w:bookmarkEnd w:id="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As described further in the CD&amp;A, compensation paid to our named executive officers (“NEOs”) for 2025 generally was higher compared to 2024, primarily due to payouts under the annual cash incentive program, at below-target amounts, aligned with the Company’s financial performance, together with the grant of additional performance-based equity awards for 2025. </w:t>
      </w:r>
    </w:p>
    <w:p>
      <w:pPr>
        <w:pStyle w:val="TextBody"/>
        <w:bidi w:val="0"/>
        <w:spacing w:before="250" w:after="283"/>
        <w:ind w:left="0" w:right="0" w:hanging="0"/>
        <w:jc w:val="left"/>
        <w:rPr>
          <w:rFonts w:ascii="Arial;Helvetica;sans-serif" w:hAnsi="Arial;Helvetica;sans-serif"/>
          <w:color w:val="000000"/>
          <w:sz w:val="40"/>
        </w:rPr>
      </w:pPr>
      <w:bookmarkStart w:id="11" w:name="tANM"/>
      <w:bookmarkEnd w:id="11"/>
      <w:r>
        <w:rPr>
          <w:rFonts w:ascii="Arial;Helvetica;sans-serif" w:hAnsi="Arial;Helvetica;sans-serif"/>
          <w:color w:val="000000"/>
          <w:sz w:val="40"/>
        </w:rPr>
        <w:t xml:space="preserve">About the Annual Meeting </w:t>
      </w:r>
    </w:p>
    <w:p>
      <w:pPr>
        <w:pStyle w:val="TextBody"/>
        <w:bidi w:val="0"/>
        <w:spacing w:before="45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Why am I receiving proxy materials?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Board of Directors (the “Board”) of Avis Budget Group, Inc. (the “Company” or “Avis Budget”) is soliciting your vote at the 2026 Annual Meeting of Shareholders, and any adjournment or postponement thereof (the “Meeting”), to be held virtually on May 20, 2026 at 11:00 a.m. Eastern Time, for the purposes set forth in this Proxy Statement.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On or about April 2, 2026, the Company will first mail to certain shareholders of record the Notice of Internet Availability of Proxy Materials containing instructions on how to access this Proxy Statement online, or in the alternative, request a paper copy of the proxy materials and a proxy card, and also will first mail to certain other shareholders this Proxy Statement and the accompanying proxy card. </w:t>
      </w:r>
    </w:p>
    <w:p>
      <w:pPr>
        <w:pStyle w:val="TextBody"/>
        <w:bidi w:val="0"/>
        <w:spacing w:before="41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When and where will the Meeting be held? </w:t>
      </w:r>
    </w:p>
    <w:p>
      <w:pPr>
        <w:pStyle w:val="TextBody"/>
        <w:bidi w:val="0"/>
        <w:spacing w:before="19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Meeting is scheduled to be held in a virtual-only format at 11:00 a.m. Eastern Time, on May 20, 2026. </w:t>
      </w:r>
    </w:p>
    <w:p>
      <w:pPr>
        <w:pStyle w:val="TextBody"/>
        <w:bidi w:val="0"/>
        <w:spacing w:before="41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How can I attend the Meeting? </w:t>
      </w:r>
    </w:p>
    <w:p>
      <w:pPr>
        <w:pStyle w:val="TextBody"/>
        <w:bidi w:val="0"/>
        <w:spacing w:before="19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Shareholders at the close of business on March 25, 2026 (the “Record Date”) are entitled to virtually attend the Meeting. </w:t>
      </w:r>
    </w:p>
    <w:p>
      <w:pPr>
        <w:pStyle w:val="TextBody"/>
        <w:bidi w:val="0"/>
        <w:spacing w:before="160" w:after="283"/>
        <w:ind w:left="0" w:right="0" w:hanging="0"/>
        <w:jc w:val="both"/>
        <w:rPr>
          <w:rFonts w:ascii="Arial;Helvetica;sans-serif" w:hAnsi="Arial;Helvetica;sans-serif"/>
          <w:i/>
          <w:color w:val="000000"/>
          <w:sz w:val="20"/>
        </w:rPr>
      </w:pPr>
      <w:r>
        <w:rPr>
          <w:rFonts w:ascii="Arial;Helvetica;sans-serif" w:hAnsi="Arial;Helvetica;sans-serif"/>
          <w:i/>
          <w:color w:val="000000"/>
          <w:sz w:val="20"/>
        </w:rPr>
        <w:t xml:space="preserve">Registered Shareholders: </w:t>
      </w:r>
      <w:r>
        <w:rPr>
          <w:rFonts w:ascii="Arial;Helvetica;sans-serif" w:hAnsi="Arial;Helvetica;sans-serif"/>
          <w:i w:val="false"/>
          <w:caps w:val="false"/>
          <w:smallCaps w:val="false"/>
          <w:color w:val="000000"/>
          <w:sz w:val="20"/>
        </w:rPr>
        <w:t>If you were a holder of record of the Company’s Common Stock as of the Record Date (</w:t>
      </w:r>
      <w:r>
        <w:rPr>
          <w:rFonts w:ascii="Arial;Helvetica;sans-serif" w:hAnsi="Arial;Helvetica;sans-serif"/>
          <w:i/>
          <w:color w:val="000000"/>
          <w:sz w:val="20"/>
        </w:rPr>
        <w:t>i.e.</w:t>
      </w:r>
      <w:r>
        <w:rPr>
          <w:rFonts w:ascii="Arial;Helvetica;sans-serif" w:hAnsi="Arial;Helvetica;sans-serif"/>
          <w:i w:val="false"/>
          <w:caps w:val="false"/>
          <w:smallCaps w:val="false"/>
          <w:color w:val="000000"/>
          <w:sz w:val="20"/>
        </w:rPr>
        <w:t xml:space="preserve">, you held your shares in your own name as reflected in the records of our transfer agent, Computershare), you can attend the Meeting by accessing </w:t>
      </w:r>
      <w:r>
        <w:rPr>
          <w:rFonts w:ascii="Arial;Helvetica;sans-serif" w:hAnsi="Arial;Helvetica;sans-serif"/>
          <w:i/>
          <w:color w:val="000000"/>
          <w:sz w:val="20"/>
        </w:rPr>
        <w:t>www.virtualshareholdermeeting.com/CAR2026</w:t>
      </w:r>
      <w:r>
        <w:rPr>
          <w:rFonts w:ascii="Arial;Helvetica;sans-serif" w:hAnsi="Arial;Helvetica;sans-serif"/>
          <w:i/>
          <w:caps w:val="false"/>
          <w:smallCaps w:val="false"/>
          <w:color w:val="000000"/>
          <w:sz w:val="20"/>
        </w:rPr>
        <w:t xml:space="preserve"> </w:t>
      </w:r>
      <w:r>
        <w:rPr>
          <w:rFonts w:ascii="Arial;Helvetica;sans-serif" w:hAnsi="Arial;Helvetica;sans-serif"/>
          <w:i w:val="false"/>
          <w:caps w:val="false"/>
          <w:smallCaps w:val="false"/>
          <w:color w:val="000000"/>
          <w:sz w:val="20"/>
        </w:rPr>
        <w:t xml:space="preserve">and entering the 16-digit control number found on the proxy card or notice. No password is required. You may also vote your shares during the Meeting by following the online instructions. </w:t>
      </w:r>
    </w:p>
    <w:p>
      <w:pPr>
        <w:pStyle w:val="TextBody"/>
        <w:bidi w:val="0"/>
        <w:spacing w:before="160" w:after="283"/>
        <w:ind w:left="0" w:right="0" w:hanging="0"/>
        <w:jc w:val="both"/>
        <w:rPr>
          <w:rFonts w:ascii="Arial;Helvetica;sans-serif" w:hAnsi="Arial;Helvetica;sans-serif"/>
          <w:i/>
          <w:color w:val="000000"/>
          <w:sz w:val="20"/>
        </w:rPr>
      </w:pPr>
      <w:r>
        <w:rPr>
          <w:rFonts w:ascii="Arial;Helvetica;sans-serif" w:hAnsi="Arial;Helvetica;sans-serif"/>
          <w:i/>
          <w:color w:val="000000"/>
          <w:sz w:val="20"/>
        </w:rPr>
        <w:t xml:space="preserve">Beneficial Owners: </w:t>
      </w:r>
      <w:r>
        <w:rPr>
          <w:rFonts w:ascii="Arial;Helvetica;sans-serif" w:hAnsi="Arial;Helvetica;sans-serif"/>
          <w:i w:val="false"/>
          <w:caps w:val="false"/>
          <w:smallCaps w:val="false"/>
          <w:color w:val="000000"/>
          <w:sz w:val="20"/>
        </w:rPr>
        <w:t xml:space="preserve">If you are a beneficial shareholder, please follow the instruction form provided by your bank or broker or other nominee in order to participate in the Meeting. Please contact your bank or broker if you have questions about how to obtain your control number.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Those without a control number may attend the Meeting as a guest but will not have the option to vote or ask questions at the Meeting. We encourage you to access the Meeting prior to the start time and allow sufficient time to log into the Meeting. </w:t>
      </w:r>
    </w:p>
    <w:p>
      <w:pPr>
        <w:pStyle w:val="TextBody"/>
        <w:bidi w:val="0"/>
        <w:spacing w:before="41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What items will I be voting on and what are the Board’s voting recommendations? </w:t>
      </w:r>
    </w:p>
    <w:tbl>
      <w:tblPr>
        <w:tblW w:w="10205" w:type="dxa"/>
        <w:jc w:val="left"/>
        <w:tblInd w:w="0" w:type="dxa"/>
        <w:tblLayout w:type="fixed"/>
        <w:tblCellMar>
          <w:top w:w="0" w:type="dxa"/>
          <w:left w:w="0" w:type="dxa"/>
          <w:bottom w:w="0" w:type="dxa"/>
          <w:right w:w="0" w:type="dxa"/>
        </w:tblCellMar>
      </w:tblPr>
      <w:tblGrid>
        <w:gridCol w:w="185"/>
        <w:gridCol w:w="7529"/>
        <w:gridCol w:w="170"/>
        <w:gridCol w:w="170"/>
        <w:gridCol w:w="1935"/>
        <w:gridCol w:w="216"/>
      </w:tblGrid>
      <w:tr>
        <w:trPr/>
        <w:tc>
          <w:tcPr>
            <w:tcW w:w="185" w:type="dxa"/>
            <w:tcBorders/>
            <w:vAlign w:val="center"/>
          </w:tcPr>
          <w:p>
            <w:pPr>
              <w:pStyle w:val="TableContents"/>
              <w:bidi w:val="0"/>
              <w:spacing w:before="0" w:after="0"/>
              <w:jc w:val="left"/>
              <w:rPr/>
            </w:pPr>
            <w:r>
              <w:rPr/>
              <w:t> </w:t>
            </w:r>
          </w:p>
        </w:tc>
        <w:tc>
          <w:tcPr>
            <w:tcW w:w="752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35"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7529" w:type="dxa"/>
            <w:tcBorders>
              <w:bottom w:val="single" w:sz="8" w:space="0" w:color="000000"/>
            </w:tcBorders>
            <w:tcMar>
              <w:bottom w:w="38" w:type="dxa"/>
            </w:tcMar>
            <w:vAlign w:val="center"/>
          </w:tcPr>
          <w:p>
            <w:pPr>
              <w:pStyle w:val="TableContents"/>
              <w:bidi w:val="0"/>
              <w:spacing w:before="0" w:after="283"/>
              <w:ind w:left="30" w:right="0" w:hanging="0"/>
              <w:jc w:val="left"/>
              <w:rPr>
                <w:rFonts w:ascii="Arial;Helvetica;sans-serif" w:hAnsi="Arial;Helvetica;sans-serif"/>
                <w:b/>
                <w:color w:val="000000"/>
                <w:sz w:val="20"/>
              </w:rPr>
            </w:pPr>
            <w:r>
              <w:rPr>
                <w:rFonts w:ascii="Arial;Helvetica;sans-serif" w:hAnsi="Arial;Helvetica;sans-serif"/>
                <w:b/>
                <w:color w:val="000000"/>
                <w:sz w:val="20"/>
              </w:rPr>
              <w:t>Proposal</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935" w:type="dxa"/>
            <w:tcBorders>
              <w:bottom w:val="single" w:sz="8" w:space="0" w:color="000000"/>
            </w:tcBorders>
            <w:tcMar>
              <w:bottom w:w="38"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Board’s Voting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Recommendation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7529" w:type="dxa"/>
            <w:tcBorders>
              <w:bottom w:val="single" w:sz="8" w:space="0" w:color="000000"/>
            </w:tcBorders>
            <w:shd w:fill="CCCCCC" w:val="clear"/>
            <w:tcMar>
              <w:bottom w:w="33" w:type="dxa"/>
            </w:tcMar>
            <w:vAlign w:val="center"/>
          </w:tcPr>
          <w:p>
            <w:pPr>
              <w:pStyle w:val="TableContents"/>
              <w:bidi w:val="0"/>
              <w:spacing w:before="0" w:after="283"/>
              <w:ind w:left="30" w:right="0" w:hanging="0"/>
              <w:jc w:val="left"/>
              <w:rPr/>
            </w:pPr>
            <w:r>
              <w:rPr>
                <w:rFonts w:ascii="Arial;Helvetica;sans-serif" w:hAnsi="Arial;Helvetica;sans-serif"/>
                <w:color w:val="000000"/>
                <w:sz w:val="20"/>
              </w:rPr>
              <w:t xml:space="preserve">Proposal 1 – Election of Directors (page </w:t>
            </w:r>
            <w:hyperlink w:anchor="tPROP1">
              <w:r>
                <w:rPr>
                  <w:rStyle w:val="InternetLink"/>
                  <w:rFonts w:ascii="Arial;Helvetica;sans-serif" w:hAnsi="Arial;Helvetica;sans-serif"/>
                  <w:color w:val="000080"/>
                  <w:sz w:val="20"/>
                </w:rPr>
                <w:t>7</w:t>
              </w:r>
            </w:hyperlink>
            <w:r>
              <w:rPr>
                <w:rFonts w:ascii="Arial;Helvetica;sans-serif" w:hAnsi="Arial;Helvetica;sans-serif"/>
                <w:color w:val="000000"/>
                <w:sz w:val="20"/>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935" w:type="dxa"/>
            <w:tcBorders>
              <w:bottom w:val="single" w:sz="8" w:space="0" w:color="000000"/>
            </w:tcBorders>
            <w:shd w:fill="CCCCCC" w:val="clear"/>
            <w:tcMar>
              <w:bottom w:w="33" w:type="dxa"/>
            </w:tcM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FOR ALL NOMINEES </w:t>
            </w:r>
          </w:p>
        </w:tc>
        <w:tc>
          <w:tcPr>
            <w:tcW w:w="216"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7529" w:type="dxa"/>
            <w:tcBorders>
              <w:bottom w:val="single" w:sz="8" w:space="0" w:color="000000"/>
            </w:tcBorders>
            <w:tcMar>
              <w:bottom w:w="33" w:type="dxa"/>
            </w:tcMar>
            <w:vAlign w:val="center"/>
          </w:tcPr>
          <w:p>
            <w:pPr>
              <w:pStyle w:val="TableContents"/>
              <w:bidi w:val="0"/>
              <w:spacing w:before="0" w:after="283"/>
              <w:ind w:left="30" w:right="0" w:hanging="0"/>
              <w:jc w:val="left"/>
              <w:rPr/>
            </w:pPr>
            <w:r>
              <w:rPr>
                <w:rFonts w:ascii="Arial;Helvetica;sans-serif" w:hAnsi="Arial;Helvetica;sans-serif"/>
                <w:color w:val="000000"/>
                <w:sz w:val="20"/>
              </w:rPr>
              <w:t xml:space="preserve">Proposal 2 – Ratification of Appointment of Auditors (page </w:t>
            </w:r>
            <w:hyperlink w:anchor="tPROP2">
              <w:r>
                <w:rPr>
                  <w:rStyle w:val="InternetLink"/>
                  <w:rFonts w:ascii="Arial;Helvetica;sans-serif" w:hAnsi="Arial;Helvetica;sans-serif"/>
                  <w:color w:val="000080"/>
                  <w:sz w:val="20"/>
                </w:rPr>
                <w:t>47</w:t>
              </w:r>
            </w:hyperlink>
            <w:r>
              <w:rPr>
                <w:rFonts w:ascii="Arial;Helvetica;sans-serif" w:hAnsi="Arial;Helvetica;sans-serif"/>
                <w:color w:val="000000"/>
                <w:sz w:val="2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935" w:type="dxa"/>
            <w:tcBorders>
              <w:bottom w:val="single" w:sz="8" w:space="0" w:color="000000"/>
            </w:tcBorders>
            <w:tcMar>
              <w:bottom w:w="33" w:type="dxa"/>
            </w:tcM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FOR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7529" w:type="dxa"/>
            <w:tcBorders>
              <w:bottom w:val="single" w:sz="8" w:space="0" w:color="000000"/>
            </w:tcBorders>
            <w:shd w:fill="CCCCCC" w:val="clear"/>
            <w:tcMar>
              <w:bottom w:w="33" w:type="dxa"/>
            </w:tcMar>
            <w:vAlign w:val="center"/>
          </w:tcPr>
          <w:p>
            <w:pPr>
              <w:pStyle w:val="TableContents"/>
              <w:bidi w:val="0"/>
              <w:spacing w:before="0" w:after="283"/>
              <w:ind w:left="30" w:right="0" w:hanging="0"/>
              <w:jc w:val="left"/>
              <w:rPr/>
            </w:pPr>
            <w:r>
              <w:rPr>
                <w:rFonts w:ascii="Arial;Helvetica;sans-serif" w:hAnsi="Arial;Helvetica;sans-serif"/>
                <w:color w:val="000000"/>
                <w:sz w:val="20"/>
              </w:rPr>
              <w:t xml:space="preserve">Proposal 3 – Advisory Approval of the Compensation of our Named Executive Officers (page </w:t>
            </w:r>
            <w:hyperlink w:anchor="tPROP3">
              <w:r>
                <w:rPr>
                  <w:rStyle w:val="InternetLink"/>
                  <w:rFonts w:ascii="Arial;Helvetica;sans-serif" w:hAnsi="Arial;Helvetica;sans-serif"/>
                  <w:color w:val="000080"/>
                  <w:sz w:val="20"/>
                </w:rPr>
                <w:t>49</w:t>
              </w:r>
            </w:hyperlink>
            <w:r>
              <w:rPr>
                <w:rFonts w:ascii="Arial;Helvetica;sans-serif" w:hAnsi="Arial;Helvetica;sans-serif"/>
                <w:color w:val="000000"/>
                <w:sz w:val="20"/>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935" w:type="dxa"/>
            <w:tcBorders>
              <w:bottom w:val="single" w:sz="8" w:space="0" w:color="000000"/>
            </w:tcBorders>
            <w:shd w:fill="CCCCCC" w:val="clear"/>
            <w:tcMar>
              <w:bottom w:w="33" w:type="dxa"/>
            </w:tcM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FOR </w:t>
            </w:r>
          </w:p>
        </w:tc>
        <w:tc>
          <w:tcPr>
            <w:tcW w:w="216"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7529" w:type="dxa"/>
            <w:tcBorders>
              <w:bottom w:val="single" w:sz="8" w:space="0" w:color="000000"/>
            </w:tcBorders>
            <w:tcMar>
              <w:bottom w:w="28" w:type="dxa"/>
            </w:tcMar>
            <w:vAlign w:val="center"/>
          </w:tcPr>
          <w:p>
            <w:pPr>
              <w:pStyle w:val="TableContents"/>
              <w:bidi w:val="0"/>
              <w:spacing w:before="0" w:after="283"/>
              <w:ind w:left="30" w:right="0" w:hanging="0"/>
              <w:jc w:val="left"/>
              <w:rPr/>
            </w:pPr>
            <w:r>
              <w:rPr>
                <w:rFonts w:ascii="Arial;Helvetica;sans-serif" w:hAnsi="Arial;Helvetica;sans-serif"/>
                <w:color w:val="000000"/>
                <w:sz w:val="20"/>
              </w:rPr>
              <w:t xml:space="preserve">Proposal 4 – Shareholder Proposal Regarding Governance by Majority Voting and Meeting Adjournment (page </w:t>
            </w:r>
            <w:hyperlink w:anchor="tPROP4">
              <w:r>
                <w:rPr>
                  <w:rStyle w:val="InternetLink"/>
                  <w:rFonts w:ascii="Arial;Helvetica;sans-serif" w:hAnsi="Arial;Helvetica;sans-serif"/>
                  <w:color w:val="000080"/>
                  <w:sz w:val="20"/>
                </w:rPr>
                <w:t>50</w:t>
              </w:r>
            </w:hyperlink>
            <w:r>
              <w:rPr>
                <w:rFonts w:ascii="Arial;Helvetica;sans-serif" w:hAnsi="Arial;Helvetica;sans-serif"/>
                <w:color w:val="000000"/>
                <w:sz w:val="2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935"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AGAINST</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Could other matters be decided at the Meeting?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Board is not aware of any other matters to be brought before the Meeting. However, if any other matters properly come before the Meeting, the individuals named as proxies, or their duly constituted substitutes acting at the Meeting, will be authorized to vote or otherwise act thereon in accordance with their judgment on such matters.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 w:name="ny20066167x1_def14a_104-proxy_pg3"/>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145"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How many votes do I have? </w:t>
      </w:r>
    </w:p>
    <w:p>
      <w:pPr>
        <w:pStyle w:val="TextBody"/>
        <w:bidi w:val="0"/>
        <w:spacing w:before="19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You will have one vote for every share of Common Stock you owned as of the close of business on the Record Date. </w:t>
      </w:r>
    </w:p>
    <w:p>
      <w:pPr>
        <w:pStyle w:val="TextBody"/>
        <w:bidi w:val="0"/>
        <w:spacing w:before="41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How many votes can be cast by all shareholders?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35,324,685 votes, consisting of one vote for each share of Common Stock outstanding on the Record Date. There is no cumulative voting, and the holders of the Common Stock vote together as a single class. </w:t>
      </w:r>
    </w:p>
    <w:p>
      <w:pPr>
        <w:pStyle w:val="TextBody"/>
        <w:bidi w:val="0"/>
        <w:spacing w:before="41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How many votes must be present to hold the Meeting?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One-third of the outstanding shares of Common Stock entitled to vote at the Meeting, or 11,774,895 votes, must be present, in person or by proxy, to constitute a quorum at the Meeting. Abstentions and broker non-votes, if any, will be counted for the purpose of determining whether a quorum is present. </w:t>
      </w:r>
    </w:p>
    <w:p>
      <w:pPr>
        <w:pStyle w:val="TextBody"/>
        <w:bidi w:val="0"/>
        <w:spacing w:before="41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How many votes are required to elect directors and adopt the other proposals? </w:t>
      </w:r>
    </w:p>
    <w:tbl>
      <w:tblPr>
        <w:tblW w:w="10205" w:type="dxa"/>
        <w:jc w:val="left"/>
        <w:tblInd w:w="0" w:type="dxa"/>
        <w:tblLayout w:type="fixed"/>
        <w:tblCellMar>
          <w:top w:w="0" w:type="dxa"/>
          <w:left w:w="0" w:type="dxa"/>
          <w:bottom w:w="0" w:type="dxa"/>
          <w:right w:w="0" w:type="dxa"/>
        </w:tblCellMar>
      </w:tblPr>
      <w:tblGrid>
        <w:gridCol w:w="185"/>
        <w:gridCol w:w="2176"/>
        <w:gridCol w:w="170"/>
        <w:gridCol w:w="170"/>
        <w:gridCol w:w="3068"/>
        <w:gridCol w:w="170"/>
        <w:gridCol w:w="170"/>
        <w:gridCol w:w="1732"/>
        <w:gridCol w:w="170"/>
        <w:gridCol w:w="170"/>
        <w:gridCol w:w="1807"/>
        <w:gridCol w:w="217"/>
      </w:tblGrid>
      <w:tr>
        <w:trPr/>
        <w:tc>
          <w:tcPr>
            <w:tcW w:w="185" w:type="dxa"/>
            <w:tcBorders/>
            <w:vAlign w:val="center"/>
          </w:tcPr>
          <w:p>
            <w:pPr>
              <w:pStyle w:val="TableContents"/>
              <w:bidi w:val="0"/>
              <w:spacing w:before="0" w:after="0"/>
              <w:jc w:val="left"/>
              <w:rPr/>
            </w:pPr>
            <w:r>
              <w:rPr/>
              <w:t> </w:t>
            </w:r>
          </w:p>
        </w:tc>
        <w:tc>
          <w:tcPr>
            <w:tcW w:w="217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6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3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07"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176" w:type="dxa"/>
            <w:tcBorders>
              <w:bottom w:val="single" w:sz="8" w:space="0" w:color="000000"/>
            </w:tcBorders>
            <w:tcMar>
              <w:bottom w:w="38" w:type="dxa"/>
            </w:tcMar>
            <w:vAlign w:val="center"/>
          </w:tcPr>
          <w:p>
            <w:pPr>
              <w:pStyle w:val="TableContents"/>
              <w:bidi w:val="0"/>
              <w:spacing w:before="0" w:after="283"/>
              <w:ind w:left="30" w:right="0" w:hanging="0"/>
              <w:jc w:val="left"/>
              <w:rPr>
                <w:rFonts w:ascii="Arial;Helvetica;sans-serif" w:hAnsi="Arial;Helvetica;sans-serif"/>
                <w:b/>
                <w:color w:val="000000"/>
                <w:sz w:val="20"/>
              </w:rPr>
            </w:pPr>
            <w:r>
              <w:rPr>
                <w:rFonts w:ascii="Arial;Helvetica;sans-serif" w:hAnsi="Arial;Helvetica;sans-serif"/>
                <w:b/>
                <w:color w:val="000000"/>
                <w:sz w:val="20"/>
              </w:rPr>
              <w:t>Proposal</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068" w:type="dxa"/>
            <w:tcBorders>
              <w:bottom w:val="single" w:sz="8" w:space="0" w:color="000000"/>
            </w:tcBorders>
            <w:tcMar>
              <w:bottom w:w="38" w:type="dxa"/>
            </w:tcMar>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Vote Requirement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32" w:type="dxa"/>
            <w:tcBorders>
              <w:bottom w:val="single" w:sz="8" w:space="0" w:color="000000"/>
            </w:tcBorders>
            <w:tcMar>
              <w:bottom w:w="38" w:type="dxa"/>
            </w:tcMar>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Impact of Abstentions</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807" w:type="dxa"/>
            <w:tcBorders>
              <w:bottom w:val="single" w:sz="8" w:space="0" w:color="000000"/>
            </w:tcBorders>
            <w:tcMar>
              <w:bottom w:w="38" w:type="dxa"/>
            </w:tcMar>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Impact of Broker</w:t>
            </w:r>
          </w:p>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Non-Votes </w:t>
            </w:r>
          </w:p>
        </w:tc>
        <w:tc>
          <w:tcPr>
            <w:tcW w:w="21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2176" w:type="dxa"/>
            <w:tcBorders>
              <w:bottom w:val="single" w:sz="8" w:space="0" w:color="000000"/>
            </w:tcBorders>
            <w:shd w:fill="CCCCCC" w:val="clear"/>
            <w:tcMar>
              <w:bottom w:w="33"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Proposal 1 – Election of Directors</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3068" w:type="dxa"/>
            <w:tcBorders>
              <w:bottom w:val="single" w:sz="8" w:space="0" w:color="000000"/>
            </w:tcBorders>
            <w:shd w:fill="CCCCCC" w:val="clear"/>
            <w:tcMar>
              <w:bottom w:w="33" w:type="dxa"/>
            </w:tcMar>
            <w:vAlign w:val="center"/>
          </w:tcPr>
          <w:p>
            <w:pPr>
              <w:pStyle w:val="TableContents"/>
              <w:bidi w:val="0"/>
              <w:spacing w:before="0" w:after="283"/>
              <w:ind w:left="0" w:right="0" w:hanging="0"/>
              <w:jc w:val="both"/>
              <w:rPr>
                <w:color w:val="000000"/>
              </w:rPr>
            </w:pPr>
            <w:r>
              <w:rPr>
                <w:color w:val="000000"/>
              </w:rPr>
              <w:t>• </w:t>
            </w:r>
          </w:p>
          <w:p>
            <w:pPr>
              <w:pStyle w:val="TableContents"/>
              <w:bidi w:val="0"/>
              <w:spacing w:before="0" w:after="283"/>
              <w:jc w:val="both"/>
              <w:rPr>
                <w:rFonts w:ascii="Arial;Helvetica;sans-serif" w:hAnsi="Arial;Helvetica;sans-serif"/>
                <w:color w:val="000000"/>
                <w:sz w:val="20"/>
              </w:rPr>
            </w:pPr>
            <w:r>
              <w:rPr>
                <w:rFonts w:ascii="Arial;Helvetica;sans-serif" w:hAnsi="Arial;Helvetica;sans-serif"/>
                <w:color w:val="000000"/>
                <w:sz w:val="20"/>
              </w:rPr>
              <w:t>Uncontested Election (applies to the Meeting): Directors are elected by a majority of votes cast (number of votes cast “for” each nominee must exceed the number of votes cast “against” that nominee)</w:t>
            </w:r>
          </w:p>
          <w:p>
            <w:pPr>
              <w:pStyle w:val="TableContents"/>
              <w:bidi w:val="0"/>
              <w:spacing w:before="120" w:after="283"/>
              <w:ind w:left="0" w:right="0" w:hanging="0"/>
              <w:jc w:val="both"/>
              <w:rPr>
                <w:color w:val="000000"/>
              </w:rPr>
            </w:pPr>
            <w:r>
              <w:rPr>
                <w:color w:val="000000"/>
              </w:rPr>
              <w:t>• </w:t>
            </w:r>
          </w:p>
          <w:p>
            <w:pPr>
              <w:pStyle w:val="TableContents"/>
              <w:bidi w:val="0"/>
              <w:spacing w:before="120" w:after="283"/>
              <w:jc w:val="both"/>
              <w:rPr>
                <w:rFonts w:ascii="Arial;Helvetica;sans-serif" w:hAnsi="Arial;Helvetica;sans-serif"/>
                <w:color w:val="000000"/>
                <w:sz w:val="20"/>
              </w:rPr>
            </w:pPr>
            <w:r>
              <w:rPr>
                <w:rFonts w:ascii="Arial;Helvetica;sans-serif" w:hAnsi="Arial;Helvetica;sans-serif"/>
                <w:color w:val="000000"/>
                <w:sz w:val="20"/>
              </w:rPr>
              <w:t>Contested Election (does not apply to the Meeting): Directors are elected by a plurality of shares present, in person or by proxy, and entitled to vote on the election of directors</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32" w:type="dxa"/>
            <w:tcBorders>
              <w:bottom w:val="single" w:sz="8" w:space="0" w:color="000000"/>
            </w:tcBorders>
            <w:shd w:fill="CCCCCC" w:val="clear"/>
            <w:tcMar>
              <w:bottom w:w="33" w:type="dxa"/>
            </w:tcMar>
            <w:vAlign w:val="center"/>
          </w:tcPr>
          <w:p>
            <w:pPr>
              <w:pStyle w:val="TableContents"/>
              <w:bidi w:val="0"/>
              <w:spacing w:before="0" w:after="283"/>
              <w:ind w:left="0" w:right="0" w:hanging="0"/>
              <w:jc w:val="both"/>
              <w:rPr>
                <w:rFonts w:ascii="Arial;Helvetica;sans-serif" w:hAnsi="Arial;Helvetica;sans-serif"/>
                <w:color w:val="000000"/>
                <w:sz w:val="20"/>
              </w:rPr>
            </w:pPr>
            <w:r>
              <w:rPr>
                <w:rFonts w:ascii="Arial;Helvetica;sans-serif" w:hAnsi="Arial;Helvetica;sans-serif"/>
                <w:color w:val="000000"/>
                <w:sz w:val="20"/>
              </w:rPr>
              <w:t>Will have no effect on the outcome</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807" w:type="dxa"/>
            <w:tcBorders>
              <w:bottom w:val="single" w:sz="8" w:space="0" w:color="000000"/>
            </w:tcBorders>
            <w:shd w:fill="CCCCCC" w:val="clear"/>
            <w:tcMar>
              <w:bottom w:w="33" w:type="dxa"/>
            </w:tcMar>
            <w:vAlign w:val="center"/>
          </w:tcPr>
          <w:p>
            <w:pPr>
              <w:pStyle w:val="TableContents"/>
              <w:bidi w:val="0"/>
              <w:spacing w:before="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Will have no effect on the outcome </w:t>
            </w:r>
          </w:p>
        </w:tc>
        <w:tc>
          <w:tcPr>
            <w:tcW w:w="217"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176" w:type="dxa"/>
            <w:tcBorders>
              <w:bottom w:val="single" w:sz="8" w:space="0" w:color="000000"/>
            </w:tcBorders>
            <w:tcMar>
              <w:bottom w:w="33"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Proposal 2 – Ratification of Appointment of Auditors</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068" w:type="dxa"/>
            <w:tcBorders>
              <w:bottom w:val="single" w:sz="8" w:space="0" w:color="000000"/>
            </w:tcBorders>
            <w:tcMar>
              <w:bottom w:w="33" w:type="dxa"/>
            </w:tcMar>
            <w:vAlign w:val="center"/>
          </w:tcPr>
          <w:p>
            <w:pPr>
              <w:pStyle w:val="TableContents"/>
              <w:bidi w:val="0"/>
              <w:spacing w:before="0" w:after="283"/>
              <w:ind w:left="0" w:right="0" w:hanging="0"/>
              <w:jc w:val="both"/>
              <w:rPr>
                <w:rFonts w:ascii="Arial;Helvetica;sans-serif" w:hAnsi="Arial;Helvetica;sans-serif"/>
                <w:color w:val="000000"/>
                <w:sz w:val="20"/>
              </w:rPr>
            </w:pPr>
            <w:r>
              <w:rPr>
                <w:rFonts w:ascii="Arial;Helvetica;sans-serif" w:hAnsi="Arial;Helvetica;sans-serif"/>
                <w:color w:val="000000"/>
                <w:sz w:val="20"/>
              </w:rPr>
              <w:t>Majority of shares present, in person or by proxy, and entitled to vote on the subject matter</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32" w:type="dxa"/>
            <w:tcBorders>
              <w:bottom w:val="single" w:sz="8" w:space="0" w:color="000000"/>
            </w:tcBorders>
            <w:tcMar>
              <w:bottom w:w="33" w:type="dxa"/>
            </w:tcMar>
            <w:vAlign w:val="center"/>
          </w:tcPr>
          <w:p>
            <w:pPr>
              <w:pStyle w:val="TableContents"/>
              <w:bidi w:val="0"/>
              <w:spacing w:before="0" w:after="283"/>
              <w:ind w:left="0" w:right="0" w:hanging="0"/>
              <w:jc w:val="both"/>
              <w:rPr>
                <w:rFonts w:ascii="Arial;Helvetica;sans-serif" w:hAnsi="Arial;Helvetica;sans-serif"/>
                <w:color w:val="000000"/>
                <w:sz w:val="20"/>
              </w:rPr>
            </w:pPr>
            <w:r>
              <w:rPr>
                <w:rFonts w:ascii="Arial;Helvetica;sans-serif" w:hAnsi="Arial;Helvetica;sans-serif"/>
                <w:color w:val="000000"/>
                <w:sz w:val="20"/>
              </w:rPr>
              <w:t>Counted and will have the same effect as a vote against such proposal</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807" w:type="dxa"/>
            <w:tcBorders>
              <w:bottom w:val="single" w:sz="8" w:space="0" w:color="000000"/>
            </w:tcBorders>
            <w:tcMar>
              <w:bottom w:w="33" w:type="dxa"/>
            </w:tcMar>
            <w:vAlign w:val="center"/>
          </w:tcPr>
          <w:p>
            <w:pPr>
              <w:pStyle w:val="TableContents"/>
              <w:bidi w:val="0"/>
              <w:spacing w:before="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Not applicable. Brokers are permitted to vote your shares on this proposal in their discretion </w:t>
            </w:r>
          </w:p>
        </w:tc>
        <w:tc>
          <w:tcPr>
            <w:tcW w:w="21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2176" w:type="dxa"/>
            <w:tcBorders>
              <w:bottom w:val="single" w:sz="8" w:space="0" w:color="000000"/>
            </w:tcBorders>
            <w:shd w:fill="CCCCCC" w:val="clear"/>
            <w:tcMar>
              <w:bottom w:w="33"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Proposal 3 – Advisory Approval of the Compensation of our Named Executive Officers</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3068" w:type="dxa"/>
            <w:tcBorders>
              <w:bottom w:val="single" w:sz="8" w:space="0" w:color="000000"/>
            </w:tcBorders>
            <w:shd w:fill="CCCCCC" w:val="clear"/>
            <w:tcMar>
              <w:bottom w:w="33" w:type="dxa"/>
            </w:tcMar>
            <w:vAlign w:val="center"/>
          </w:tcPr>
          <w:p>
            <w:pPr>
              <w:pStyle w:val="TableContents"/>
              <w:bidi w:val="0"/>
              <w:spacing w:before="0" w:after="283"/>
              <w:ind w:left="0" w:right="0" w:hanging="0"/>
              <w:jc w:val="both"/>
              <w:rPr>
                <w:rFonts w:ascii="Arial;Helvetica;sans-serif" w:hAnsi="Arial;Helvetica;sans-serif"/>
                <w:color w:val="000000"/>
                <w:sz w:val="20"/>
              </w:rPr>
            </w:pPr>
            <w:r>
              <w:rPr>
                <w:rFonts w:ascii="Arial;Helvetica;sans-serif" w:hAnsi="Arial;Helvetica;sans-serif"/>
                <w:color w:val="000000"/>
                <w:sz w:val="20"/>
              </w:rPr>
              <w:t>Majority of shares present, in person or by proxy, and entitled to vote on the subject matter</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32" w:type="dxa"/>
            <w:tcBorders>
              <w:bottom w:val="single" w:sz="8" w:space="0" w:color="000000"/>
            </w:tcBorders>
            <w:shd w:fill="CCCCCC" w:val="clear"/>
            <w:tcMar>
              <w:bottom w:w="33" w:type="dxa"/>
            </w:tcMar>
            <w:vAlign w:val="center"/>
          </w:tcPr>
          <w:p>
            <w:pPr>
              <w:pStyle w:val="TableContents"/>
              <w:bidi w:val="0"/>
              <w:spacing w:before="0" w:after="283"/>
              <w:ind w:left="0" w:right="0" w:hanging="0"/>
              <w:jc w:val="both"/>
              <w:rPr>
                <w:rFonts w:ascii="Arial;Helvetica;sans-serif" w:hAnsi="Arial;Helvetica;sans-serif"/>
                <w:color w:val="000000"/>
                <w:sz w:val="20"/>
              </w:rPr>
            </w:pPr>
            <w:r>
              <w:rPr>
                <w:rFonts w:ascii="Arial;Helvetica;sans-serif" w:hAnsi="Arial;Helvetica;sans-serif"/>
                <w:color w:val="000000"/>
                <w:sz w:val="20"/>
              </w:rPr>
              <w:t>Counted and will have the same effect as a vote against such proposal</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807" w:type="dxa"/>
            <w:tcBorders>
              <w:bottom w:val="single" w:sz="8" w:space="0" w:color="000000"/>
            </w:tcBorders>
            <w:shd w:fill="CCCCCC" w:val="clear"/>
            <w:tcMar>
              <w:bottom w:w="33" w:type="dxa"/>
            </w:tcMar>
            <w:vAlign w:val="center"/>
          </w:tcPr>
          <w:p>
            <w:pPr>
              <w:pStyle w:val="TableContents"/>
              <w:bidi w:val="0"/>
              <w:spacing w:before="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Will have no effect on the outcome </w:t>
            </w:r>
          </w:p>
        </w:tc>
        <w:tc>
          <w:tcPr>
            <w:tcW w:w="217"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176" w:type="dxa"/>
            <w:tcBorders/>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 xml:space="preserve">Proposal 4 – Shareholder Proposal Regarding Governance by Majority Voting and Meeting Adjournment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68" w:type="dxa"/>
            <w:tcBorders/>
            <w:vAlign w:val="center"/>
          </w:tcPr>
          <w:p>
            <w:pPr>
              <w:pStyle w:val="TableContents"/>
              <w:bidi w:val="0"/>
              <w:spacing w:before="0" w:after="283"/>
              <w:ind w:left="0" w:right="0" w:hanging="0"/>
              <w:jc w:val="both"/>
              <w:rPr>
                <w:rFonts w:ascii="Arial;Helvetica;sans-serif" w:hAnsi="Arial;Helvetica;sans-serif"/>
                <w:color w:val="000000"/>
                <w:sz w:val="20"/>
              </w:rPr>
            </w:pPr>
            <w:r>
              <w:rPr>
                <w:rFonts w:ascii="Arial;Helvetica;sans-serif" w:hAnsi="Arial;Helvetica;sans-serif"/>
                <w:color w:val="000000"/>
                <w:sz w:val="20"/>
              </w:rPr>
              <w:t>Majority of shares present, in person or by proxy, and entitled to vote on the subject matter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32" w:type="dxa"/>
            <w:tcBorders/>
            <w:vAlign w:val="center"/>
          </w:tcPr>
          <w:p>
            <w:pPr>
              <w:pStyle w:val="TableContents"/>
              <w:bidi w:val="0"/>
              <w:spacing w:before="0" w:after="283"/>
              <w:ind w:left="0" w:right="0" w:hanging="0"/>
              <w:jc w:val="both"/>
              <w:rPr>
                <w:rFonts w:ascii="Arial;Helvetica;sans-serif" w:hAnsi="Arial;Helvetica;sans-serif"/>
                <w:color w:val="000000"/>
                <w:sz w:val="20"/>
              </w:rPr>
            </w:pPr>
            <w:r>
              <w:rPr>
                <w:rFonts w:ascii="Arial;Helvetica;sans-serif" w:hAnsi="Arial;Helvetica;sans-serif"/>
                <w:color w:val="000000"/>
                <w:sz w:val="20"/>
              </w:rPr>
              <w:t>Counted and will have the same effect as a vote against such proposal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07" w:type="dxa"/>
            <w:tcBorders/>
            <w:vAlign w:val="center"/>
          </w:tcPr>
          <w:p>
            <w:pPr>
              <w:pStyle w:val="TableContents"/>
              <w:bidi w:val="0"/>
              <w:spacing w:before="0" w:after="283"/>
              <w:ind w:left="0" w:right="0" w:hanging="0"/>
              <w:jc w:val="both"/>
              <w:rPr>
                <w:rFonts w:ascii="Arial;Helvetica;sans-serif" w:hAnsi="Arial;Helvetica;sans-serif"/>
                <w:color w:val="000000"/>
                <w:sz w:val="20"/>
              </w:rPr>
            </w:pPr>
            <w:r>
              <w:rPr>
                <w:rFonts w:ascii="Arial;Helvetica;sans-serif" w:hAnsi="Arial;Helvetica;sans-serif"/>
                <w:color w:val="000000"/>
                <w:sz w:val="20"/>
              </w:rPr>
              <w:t>Will have no effect on the outcome</w:t>
            </w:r>
          </w:p>
        </w:tc>
        <w:tc>
          <w:tcPr>
            <w:tcW w:w="217"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Under the Company’s Amended and Restated By-laws (the “By-laws”), each incumbent director is required to submit a contingent, irrevocable resignation that the Board of Directors may accept if the director fails to receive the required vote for election or re-election in an uncontested election. The Corporate Governance Committee is required to make a recommendation to the Board as to the action to be taken with respect to the tendered resignation. The Board is required to act on the resignation within 90 days of the date of certification of election results.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3" w:name="ny20066167x1_def14a_104-proxy_pg4"/>
        <w:bookmarkEnd w:id="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If for some reason any director nominee is unable to serve, or for good cause will not serve if elected, the persons named as proxies may vote for a substitute nominee recommended by the Board and, unless you indicate otherwise on the proxy card, your shares will be voted in favor of the remaining nominees. If any substitute nominees are designated prior to the Meeting, the Company will file materials, that, as applicable, identifies the substitute nominees, discloses that such nominees have consented to being named in the revised proxy statement and to serve if elected, and includes certain biographical and other information about such nominee as required by the rules of the Securities and Exchange Commission (the “SEC”). Alternatively, the Board may decide, under certain circumstances, to reduce the size of the Board.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Pursuant to the By-laws, written notice by shareholders of qualifying nominations for election to the Board must have been received by our Secretary by February 13, 2026. </w:t>
      </w:r>
    </w:p>
    <w:p>
      <w:pPr>
        <w:pStyle w:val="TextBody"/>
        <w:bidi w:val="0"/>
        <w:spacing w:before="41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What is a broker non-vote?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 broker non-vote occurs when a broker does not have discretion to vote on a particular proposal and the broker has not received instructions from the beneficial owner of the shares of Common Stock as to how to vote on such proposal. If you hold your shares of Common Stock in “street name” and do not provide voting instructions to your broker within the required time frame before the Meeting, your shares of Common Stock will not be voted by the broker for Proposal Nos. 1 (Election of Directors), 3 (Advisory Approval of Named Executive Officer Compensation) or 4 (Shareholder Proposal Regarding Governance by Majority Voting and Meeting Adjournment), but the broker will have the discretion to vote your shares of Common Stock on Proposal No. 2 (Ratification of Appointment of Auditors). See the table above for the expected impact of broker non-votes on the proposals in this Proxy Statement. </w:t>
      </w:r>
    </w:p>
    <w:p>
      <w:pPr>
        <w:pStyle w:val="TextBody"/>
        <w:bidi w:val="0"/>
        <w:spacing w:before="36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Why did certain shareholders receive in the mail a one-page Notice regarding Internet availability of this Proxy Statement rather than a printed copy?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are sending to virtually all of our shareholders a Notice (the “Notice” or “Notice of Internet Availability”) containing instructions on how to access this Proxy Statement online, as permitted by SEC rules. If you received a Notice of Internet Availability by mail, you will not receive a printed copy of this Proxy Statement in the mail. Instructions on how to access this Proxy Statement over the Internet or how to obtain printed copies, if you prefer, are set forth in such Notice. </w:t>
      </w:r>
    </w:p>
    <w:p>
      <w:pPr>
        <w:pStyle w:val="TextBody"/>
        <w:bidi w:val="0"/>
        <w:spacing w:before="41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How do I vote?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You should submit your proxy card or voting instruction form as soon as possible. If you received or requested printed copies of the proxy materials by mail, the materials will include a proxy card for registered shareholders (that is, if you hold your shares of Common Stock directly in your name through our transfer agent), or a voting instruction form for beneficial owners (if your shares of Common Stock are held in “street name,” such as in a stock brokerage account or through a bank or other nominee). Whether you are a registered shareholder or hold any of your shares in “street name,” you may vote in the following ways: </w:t>
      </w:r>
    </w:p>
    <w:tbl>
      <w:tblPr>
        <w:tblW w:w="10205" w:type="dxa"/>
        <w:jc w:val="left"/>
        <w:tblInd w:w="0" w:type="dxa"/>
        <w:tblLayout w:type="fixed"/>
        <w:tblCellMar>
          <w:top w:w="0" w:type="dxa"/>
          <w:left w:w="0" w:type="dxa"/>
          <w:bottom w:w="0" w:type="dxa"/>
          <w:right w:w="0" w:type="dxa"/>
        </w:tblCellMar>
      </w:tblPr>
      <w:tblGrid>
        <w:gridCol w:w="185"/>
        <w:gridCol w:w="4537"/>
        <w:gridCol w:w="170"/>
        <w:gridCol w:w="170"/>
        <w:gridCol w:w="4927"/>
        <w:gridCol w:w="216"/>
      </w:tblGrid>
      <w:tr>
        <w:trPr/>
        <w:tc>
          <w:tcPr>
            <w:tcW w:w="185" w:type="dxa"/>
            <w:tcBorders/>
            <w:vAlign w:val="center"/>
          </w:tcPr>
          <w:p>
            <w:pPr>
              <w:pStyle w:val="TableContents"/>
              <w:bidi w:val="0"/>
              <w:spacing w:before="0" w:after="0"/>
              <w:jc w:val="left"/>
              <w:rPr/>
            </w:pPr>
            <w:r>
              <w:rPr/>
              <w:t> </w:t>
            </w:r>
          </w:p>
        </w:tc>
        <w:tc>
          <w:tcPr>
            <w:tcW w:w="453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927"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4537" w:type="dxa"/>
            <w:tcBorders>
              <w:bottom w:val="single" w:sz="8" w:space="0" w:color="000000"/>
            </w:tcBorders>
            <w:tcMar>
              <w:bottom w:w="38" w:type="dxa"/>
            </w:tcMar>
            <w:vAlign w:val="center"/>
          </w:tcPr>
          <w:p>
            <w:pPr>
              <w:pStyle w:val="TableContents"/>
              <w:bidi w:val="0"/>
              <w:spacing w:before="0" w:after="283"/>
              <w:ind w:left="30" w:right="0" w:hanging="0"/>
              <w:jc w:val="left"/>
              <w:rPr>
                <w:rFonts w:ascii="Arial;Helvetica;sans-serif" w:hAnsi="Arial;Helvetica;sans-serif"/>
                <w:b/>
                <w:color w:val="000000"/>
                <w:sz w:val="20"/>
              </w:rPr>
            </w:pPr>
            <w:r>
              <w:rPr>
                <w:rFonts w:ascii="Arial;Helvetica;sans-serif" w:hAnsi="Arial;Helvetica;sans-serif"/>
                <w:b/>
                <w:color w:val="000000"/>
                <w:sz w:val="20"/>
              </w:rPr>
              <w:t>By Phone</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927" w:type="dxa"/>
            <w:tcBorders>
              <w:bottom w:val="single" w:sz="8" w:space="0" w:color="000000"/>
            </w:tcBorders>
            <w:tcMar>
              <w:bottom w:w="38" w:type="dxa"/>
            </w:tcMar>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By Mail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4537" w:type="dxa"/>
            <w:tcBorders>
              <w:bottom w:val="single" w:sz="8" w:space="0" w:color="000000"/>
            </w:tcBorders>
            <w:shd w:fill="CCCCCC" w:val="clear"/>
            <w:tcMar>
              <w:bottom w:w="33"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If you received or requested printed copies of the proxy materials by mail, vote by dialing the number on the proxy card/voting instruction form and following the easy voice prompts</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4927" w:type="dxa"/>
            <w:tcBorders>
              <w:bottom w:val="single" w:sz="8" w:space="0" w:color="000000"/>
            </w:tcBorders>
            <w:shd w:fill="CCCCCC" w:val="clear"/>
            <w:tcMar>
              <w:bottom w:w="33"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If you received or requested printed copies of the proxy materials by mail, vote by marking, signing and dating the proxy card/voting instruction form and returning it promptly in the envelope provided </w:t>
            </w:r>
          </w:p>
        </w:tc>
        <w:tc>
          <w:tcPr>
            <w:tcW w:w="216"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4537" w:type="dxa"/>
            <w:tcBorders>
              <w:bottom w:val="single" w:sz="8" w:space="0" w:color="000000"/>
            </w:tcBorders>
            <w:tcMar>
              <w:bottom w:w="33" w:type="dxa"/>
            </w:tcMar>
            <w:vAlign w:val="center"/>
          </w:tcPr>
          <w:p>
            <w:pPr>
              <w:pStyle w:val="TableContents"/>
              <w:bidi w:val="0"/>
              <w:spacing w:before="0" w:after="283"/>
              <w:ind w:left="30" w:right="0" w:hanging="0"/>
              <w:jc w:val="left"/>
              <w:rPr>
                <w:rFonts w:ascii="Arial;Helvetica;sans-serif" w:hAnsi="Arial;Helvetica;sans-serif"/>
                <w:b/>
                <w:color w:val="000000"/>
                <w:sz w:val="20"/>
              </w:rPr>
            </w:pPr>
            <w:r>
              <w:rPr>
                <w:rFonts w:ascii="Arial;Helvetica;sans-serif" w:hAnsi="Arial;Helvetica;sans-serif"/>
                <w:b/>
                <w:color w:val="000000"/>
                <w:sz w:val="20"/>
              </w:rPr>
              <w:t>By Internet Before the Meeting</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927" w:type="dxa"/>
            <w:tcBorders>
              <w:bottom w:val="single" w:sz="8" w:space="0" w:color="000000"/>
            </w:tcBorders>
            <w:tcMar>
              <w:bottom w:w="33" w:type="dxa"/>
            </w:tcMar>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By Internet During the Meeting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shd w:fill="CCCCCC" w:val="clear"/>
            <w:vAlign w:val="center"/>
          </w:tcPr>
          <w:p>
            <w:pPr>
              <w:pStyle w:val="TableContents"/>
              <w:bidi w:val="0"/>
              <w:spacing w:before="0" w:after="0"/>
              <w:jc w:val="left"/>
              <w:rPr/>
            </w:pPr>
            <w:r>
              <w:rPr/>
              <w:t> </w:t>
            </w:r>
          </w:p>
        </w:tc>
        <w:tc>
          <w:tcPr>
            <w:tcW w:w="4537" w:type="dxa"/>
            <w:tcBorders/>
            <w:shd w:fill="CCCCCC" w:val="cle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Follow the instructions included on the proxy card/voting instruction form or Notice of Internet Availability</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4927" w:type="dxa"/>
            <w:tcBorders/>
            <w:shd w:fill="CCCCCC"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Vote during the virtual Meeting while the polls remain open by following the online instructions</w:t>
            </w:r>
          </w:p>
        </w:tc>
        <w:tc>
          <w:tcPr>
            <w:tcW w:w="216" w:type="dxa"/>
            <w:tcBorders/>
            <w:shd w:fill="CCCCCC" w:val="clear"/>
            <w:vAlign w:val="center"/>
          </w:tcPr>
          <w:p>
            <w:pPr>
              <w:pStyle w:val="TableContents"/>
              <w:bidi w:val="0"/>
              <w:spacing w:before="0" w:after="0"/>
              <w:jc w:val="left"/>
              <w:rPr/>
            </w:pPr>
            <w:r>
              <w:rPr/>
              <w:t> </w:t>
            </w:r>
          </w:p>
        </w:tc>
      </w:tr>
    </w:tbl>
    <w:p>
      <w:pPr>
        <w:pStyle w:val="TextBody"/>
        <w:bidi w:val="0"/>
        <w:spacing w:before="24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deadline for voting by telephone or by Internet will vary depending upon how you vote your shares—please follow the instructions shown on your proxy card/voting instruction form or Notice of Internet Availability. If you are not the shareholder of record, please refer to the voting instructions provided by your bank, broker or other nominee to direct it how to vote your shares. Your vote is important.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Certain of our shareholders hold their shares in more than one account and may receive separate proxy cards/voting instruction forms or Notices of Internet Availability for each of those accounts. To ensure that all of your shares are represented at the Meeting, we recommend that you follow the instructions included on each proxy card/voting instruction form or Notice of Internet Availability you receive.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4" w:name="ny20066167x1_def14a_104-proxy_pg5"/>
        <w:bookmarkEnd w:id="14"/>
        <w:r>
          <w:rPr>
            <w:rStyle w:val="InternetLink"/>
            <w:rFonts w:ascii="Times New Roman;Times;Serif" w:hAnsi="Times New Roman;Times;Serif"/>
            <w:b/>
            <w:caps w:val="false"/>
            <w:smallCaps w:val="false"/>
            <w:color w:val="000000"/>
            <w:sz w:val="16"/>
          </w:rPr>
          <w:t>TABLE OF CONTENTS</w:t>
        </w:r>
      </w:hyperlink>
    </w:p>
    <w:p>
      <w:pPr>
        <w:pStyle w:val="TextBody"/>
        <w:bidi w:val="0"/>
        <w:spacing w:before="145"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Can I change my vote?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Yes. If you are a registered shareholder, you may revoke your proxy at any time prior to the voting at the Meeting if, in accordance with the voting procedures described above, you: </w:t>
      </w:r>
    </w:p>
    <w:tbl>
      <w:tblPr>
        <w:tblW w:w="6520" w:type="dxa"/>
        <w:jc w:val="left"/>
        <w:tblInd w:w="0" w:type="dxa"/>
        <w:tblLayout w:type="fixed"/>
        <w:tblCellMar>
          <w:top w:w="0" w:type="dxa"/>
          <w:left w:w="0" w:type="dxa"/>
          <w:bottom w:w="0" w:type="dxa"/>
          <w:right w:w="0" w:type="dxa"/>
        </w:tblCellMar>
      </w:tblPr>
      <w:tblGrid>
        <w:gridCol w:w="140"/>
        <w:gridCol w:w="6380"/>
      </w:tblGrid>
      <w:tr>
        <w:trPr/>
        <w:tc>
          <w:tcPr>
            <w:tcW w:w="140" w:type="dxa"/>
            <w:tcBorders/>
            <w:vAlign w:val="center"/>
          </w:tcPr>
          <w:p>
            <w:pPr>
              <w:pStyle w:val="TableContents"/>
              <w:bidi w:val="0"/>
              <w:spacing w:before="0" w:after="0"/>
              <w:jc w:val="left"/>
              <w:rPr>
                <w:color w:val="000000"/>
              </w:rPr>
            </w:pPr>
            <w:r>
              <w:rPr>
                <w:color w:val="000000"/>
              </w:rPr>
              <w:t>•</w:t>
            </w:r>
          </w:p>
        </w:tc>
        <w:tc>
          <w:tcPr>
            <w:tcW w:w="63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vote again (including by phone or Internet by the applicable deadline); or </w:t>
            </w:r>
          </w:p>
        </w:tc>
      </w:tr>
    </w:tbl>
    <w:tbl>
      <w:tblPr>
        <w:tblW w:w="8470" w:type="dxa"/>
        <w:jc w:val="left"/>
        <w:tblInd w:w="0" w:type="dxa"/>
        <w:tblLayout w:type="fixed"/>
        <w:tblCellMar>
          <w:top w:w="0" w:type="dxa"/>
          <w:left w:w="0" w:type="dxa"/>
          <w:bottom w:w="0" w:type="dxa"/>
          <w:right w:w="0" w:type="dxa"/>
        </w:tblCellMar>
      </w:tblPr>
      <w:tblGrid>
        <w:gridCol w:w="140"/>
        <w:gridCol w:w="8330"/>
      </w:tblGrid>
      <w:tr>
        <w:trPr/>
        <w:tc>
          <w:tcPr>
            <w:tcW w:w="140" w:type="dxa"/>
            <w:tcBorders/>
            <w:vAlign w:val="center"/>
          </w:tcPr>
          <w:p>
            <w:pPr>
              <w:pStyle w:val="TableContents"/>
              <w:bidi w:val="0"/>
              <w:spacing w:before="0" w:after="0"/>
              <w:jc w:val="left"/>
              <w:rPr>
                <w:color w:val="000000"/>
              </w:rPr>
            </w:pPr>
            <w:r>
              <w:rPr>
                <w:color w:val="000000"/>
              </w:rPr>
              <w:t>•</w:t>
            </w:r>
          </w:p>
        </w:tc>
        <w:tc>
          <w:tcPr>
            <w:tcW w:w="833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complete, sign, date and return a new proxy card or voting instruction form with a later date;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give timely written notice of such revocation to our Corporate Secretary at 379 Interpace Parkway, Parsippany, N.J. 07054; or </w:t>
            </w:r>
          </w:p>
        </w:tc>
      </w:tr>
    </w:tbl>
    <w:tbl>
      <w:tblPr>
        <w:tblW w:w="5380" w:type="dxa"/>
        <w:jc w:val="left"/>
        <w:tblInd w:w="0" w:type="dxa"/>
        <w:tblLayout w:type="fixed"/>
        <w:tblCellMar>
          <w:top w:w="0" w:type="dxa"/>
          <w:left w:w="0" w:type="dxa"/>
          <w:bottom w:w="0" w:type="dxa"/>
          <w:right w:w="0" w:type="dxa"/>
        </w:tblCellMar>
      </w:tblPr>
      <w:tblGrid>
        <w:gridCol w:w="140"/>
        <w:gridCol w:w="5240"/>
      </w:tblGrid>
      <w:tr>
        <w:trPr/>
        <w:tc>
          <w:tcPr>
            <w:tcW w:w="140" w:type="dxa"/>
            <w:tcBorders/>
            <w:vAlign w:val="center"/>
          </w:tcPr>
          <w:p>
            <w:pPr>
              <w:pStyle w:val="TableContents"/>
              <w:bidi w:val="0"/>
              <w:spacing w:before="0" w:after="0"/>
              <w:jc w:val="left"/>
              <w:rPr>
                <w:color w:val="000000"/>
              </w:rPr>
            </w:pPr>
            <w:r>
              <w:rPr>
                <w:color w:val="000000"/>
              </w:rPr>
              <w:t>•</w:t>
            </w:r>
          </w:p>
        </w:tc>
        <w:tc>
          <w:tcPr>
            <w:tcW w:w="524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vote during the virtual Meeting while the polls remain open. </w:t>
            </w:r>
          </w:p>
        </w:tc>
      </w:tr>
    </w:tbl>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If your shares are held in “street name” (</w:t>
      </w:r>
      <w:r>
        <w:rPr>
          <w:rFonts w:ascii="Arial;Helvetica;sans-serif" w:hAnsi="Arial;Helvetica;sans-serif"/>
          <w:i/>
          <w:color w:val="000000"/>
          <w:sz w:val="20"/>
        </w:rPr>
        <w:t>i.e.</w:t>
      </w:r>
      <w:r>
        <w:rPr>
          <w:rFonts w:ascii="Arial;Helvetica;sans-serif" w:hAnsi="Arial;Helvetica;sans-serif"/>
          <w:color w:val="000000"/>
          <w:sz w:val="20"/>
        </w:rPr>
        <w:t xml:space="preserve">, the shares are held of record by a broker, bank or other nominee) and you wish to revoke a proxy, you should contact your bank, broker or nominee and follow its procedures for changing your voting instructions. </w:t>
      </w:r>
    </w:p>
    <w:p>
      <w:pPr>
        <w:pStyle w:val="TextBody"/>
        <w:bidi w:val="0"/>
        <w:spacing w:before="21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Only the latest validly executed proxy that you submit will be counted. </w:t>
      </w:r>
    </w:p>
    <w:p>
      <w:pPr>
        <w:pStyle w:val="TextBody"/>
        <w:bidi w:val="0"/>
        <w:spacing w:before="41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What if I do not vote with respect to some of the proposals?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Shares of Common Stock represented by proxies received by the Company (whether through the return of a proxy card or voting instruction form) that do not contain voting instructions (or if you vote by telephone or electronically via the Internet without indicating how you want to vote) will be voted in accordance with the recommendations of the Board, including: </w:t>
      </w:r>
    </w:p>
    <w:tbl>
      <w:tblPr>
        <w:tblW w:w="6700" w:type="dxa"/>
        <w:jc w:val="left"/>
        <w:tblInd w:w="0" w:type="dxa"/>
        <w:tblLayout w:type="fixed"/>
        <w:tblCellMar>
          <w:top w:w="0" w:type="dxa"/>
          <w:left w:w="0" w:type="dxa"/>
          <w:bottom w:w="0" w:type="dxa"/>
          <w:right w:w="0" w:type="dxa"/>
        </w:tblCellMar>
      </w:tblPr>
      <w:tblGrid>
        <w:gridCol w:w="140"/>
        <w:gridCol w:w="6560"/>
      </w:tblGrid>
      <w:tr>
        <w:trPr/>
        <w:tc>
          <w:tcPr>
            <w:tcW w:w="140" w:type="dxa"/>
            <w:tcBorders/>
            <w:vAlign w:val="center"/>
          </w:tcPr>
          <w:p>
            <w:pPr>
              <w:pStyle w:val="TableContents"/>
              <w:bidi w:val="0"/>
              <w:spacing w:before="0" w:after="0"/>
              <w:jc w:val="left"/>
              <w:rPr>
                <w:color w:val="000000"/>
              </w:rPr>
            </w:pPr>
            <w:r>
              <w:rPr>
                <w:color w:val="000000"/>
              </w:rPr>
              <w:t>•</w:t>
            </w:r>
          </w:p>
        </w:tc>
        <w:tc>
          <w:tcPr>
            <w:tcW w:w="6560"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color w:val="000000"/>
                <w:sz w:val="20"/>
              </w:rPr>
              <w:t xml:space="preserve">FOR ALL” of the nominees recommended by the Board (Proposal No. 1); </w:t>
            </w:r>
          </w:p>
        </w:tc>
      </w:tr>
    </w:tbl>
    <w:tbl>
      <w:tblPr>
        <w:tblW w:w="6325" w:type="dxa"/>
        <w:jc w:val="left"/>
        <w:tblInd w:w="0" w:type="dxa"/>
        <w:tblLayout w:type="fixed"/>
        <w:tblCellMar>
          <w:top w:w="0" w:type="dxa"/>
          <w:left w:w="0" w:type="dxa"/>
          <w:bottom w:w="0" w:type="dxa"/>
          <w:right w:w="0" w:type="dxa"/>
        </w:tblCellMar>
      </w:tblPr>
      <w:tblGrid>
        <w:gridCol w:w="140"/>
        <w:gridCol w:w="6185"/>
      </w:tblGrid>
      <w:tr>
        <w:trPr/>
        <w:tc>
          <w:tcPr>
            <w:tcW w:w="140" w:type="dxa"/>
            <w:tcBorders/>
            <w:vAlign w:val="center"/>
          </w:tcPr>
          <w:p>
            <w:pPr>
              <w:pStyle w:val="TableContents"/>
              <w:bidi w:val="0"/>
              <w:spacing w:before="0" w:after="0"/>
              <w:jc w:val="left"/>
              <w:rPr>
                <w:color w:val="000000"/>
              </w:rPr>
            </w:pPr>
            <w:r>
              <w:rPr>
                <w:color w:val="000000"/>
              </w:rPr>
              <w:t>•</w:t>
            </w:r>
          </w:p>
        </w:tc>
        <w:tc>
          <w:tcPr>
            <w:tcW w:w="6185"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color w:val="000000"/>
                <w:sz w:val="20"/>
              </w:rPr>
              <w:t xml:space="preserve">FOR” the ratification of the appointment of auditors (Proposal No. 2);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color w:val="000000"/>
              </w:rPr>
            </w:pPr>
            <w:r>
              <w:rPr>
                <w:color w:val="000000"/>
              </w:rPr>
              <w:t>“</w:t>
            </w:r>
            <w:r>
              <w:rPr>
                <w:rFonts w:ascii="Arial;Helvetica;sans-serif" w:hAnsi="Arial;Helvetica;sans-serif"/>
                <w:color w:val="000000"/>
                <w:sz w:val="20"/>
              </w:rPr>
              <w:t xml:space="preserve">FOR” the proposal regarding advisory approval of the compensation of our named executive officers (Proposal No. 3);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color w:val="000000"/>
              </w:rPr>
            </w:pPr>
            <w:r>
              <w:rPr>
                <w:color w:val="000000"/>
              </w:rPr>
              <w:t>“</w:t>
            </w:r>
            <w:r>
              <w:rPr>
                <w:rFonts w:ascii="Arial;Helvetica;sans-serif" w:hAnsi="Arial;Helvetica;sans-serif"/>
                <w:color w:val="000000"/>
                <w:sz w:val="20"/>
              </w:rPr>
              <w:t xml:space="preserve">AGAINST” the shareholder proposal regarding governance by majority voting and meeting adjournment (Proposal No. 4). </w:t>
            </w:r>
          </w:p>
        </w:tc>
      </w:tr>
    </w:tbl>
    <w:p>
      <w:pPr>
        <w:pStyle w:val="TextBody"/>
        <w:bidi w:val="0"/>
        <w:spacing w:before="41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How do participants in savings plans vote?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If you hold shares of Common Stock in the “Avis Budget Group, Inc. Employee Savings Plan” or the “AB Car Rental Services Retirement Savings Plan for Bargaining Hourly Employees” (collectively, the “Savings Plans”), you will receive a proxy card that covers shares of Common Stock held for you in the Savings Plans. In accordance with the provisions of the Savings Plans, the respective trustees will vote your shares of Common Stock as you have directed. To the extent such instructions are not received prior to 11:59 pm Eastern Time on May 17, 2026 (the day prior to the cut-off date of May 18, 2026), the trustees of the Savings Plans will vote the shares of Common Stock with respect to which they have not received instructions proportionately in accordance with the shares of Common Stock for which they have received instructions. Instructions given with respect to shares of Common Stock in accounts of the Savings Plans may be changed or revoked only in writing, and no such instructions may be revoked after 11:59 pm Eastern Time on May 17, 2026. Participants in the Savings Plans are not entitled to vote in person at the Meeting. </w:t>
      </w:r>
    </w:p>
    <w:p>
      <w:pPr>
        <w:pStyle w:val="TextBody"/>
        <w:bidi w:val="0"/>
        <w:spacing w:before="41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How can I find the voting results of the Meeting?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Voting results will be tallied by the inspector of election. The Company will report the results in a Current Report on Form 8-K, to be filed with the SEC within four business days following the Meeting. </w:t>
      </w:r>
    </w:p>
    <w:p>
      <w:pPr>
        <w:pStyle w:val="TextBody"/>
        <w:bidi w:val="0"/>
        <w:spacing w:before="41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How can I access the Company’s proxy materials and annual report electronically?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This Proxy Statement and the 2025 Annual Report may be viewed online at </w:t>
      </w:r>
      <w:r>
        <w:rPr>
          <w:rFonts w:ascii="Arial;Helvetica;sans-serif" w:hAnsi="Arial;Helvetica;sans-serif"/>
          <w:i/>
          <w:color w:val="000000"/>
          <w:sz w:val="20"/>
        </w:rPr>
        <w:t>www.proxyvote.com</w:t>
      </w:r>
      <w:r>
        <w:rPr>
          <w:rFonts w:ascii="Arial;Helvetica;sans-serif" w:hAnsi="Arial;Helvetica;sans-serif"/>
          <w:color w:val="000000"/>
          <w:sz w:val="20"/>
        </w:rPr>
        <w:t xml:space="preserve">. If you are a shareholder of record, you can elect to receive future annual reports and proxy statements electronically by enrolling at </w:t>
      </w:r>
      <w:r>
        <w:rPr>
          <w:rFonts w:ascii="Arial;Helvetica;sans-serif" w:hAnsi="Arial;Helvetica;sans-serif"/>
          <w:i/>
          <w:color w:val="000000"/>
          <w:sz w:val="20"/>
        </w:rPr>
        <w:t>www.proxyvote.com</w:t>
      </w:r>
      <w:r>
        <w:rPr>
          <w:rFonts w:ascii="Arial;Helvetica;sans-serif" w:hAnsi="Arial;Helvetica;sans-serif"/>
          <w:color w:val="000000"/>
          <w:sz w:val="20"/>
        </w:rPr>
        <w:t xml:space="preserve">. If you choose this option, you will receive a proxy form prior to our shareholder meeting in 2027 listing the website locations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5</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5" w:name="ny20066167x1_def14a_104-proxy_pg6"/>
        <w:bookmarkEnd w:id="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where proxy materials will be posted, and your choice will remain in effect until you notify us by mail that you wish to resume mail delivery of these documents. If you hold your shares of Common Stock through a bank, broker or another holder of record, refer to the information provided by that entity for instructions on how to elect this option. </w:t>
      </w:r>
    </w:p>
    <w:p>
      <w:pPr>
        <w:pStyle w:val="TextBody"/>
        <w:bidi w:val="0"/>
        <w:spacing w:before="40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How does a shareholder nominate someone to be a director? </w:t>
      </w:r>
    </w:p>
    <w:p>
      <w:pPr>
        <w:pStyle w:val="TextBody"/>
        <w:bidi w:val="0"/>
        <w:spacing w:before="160" w:after="283"/>
        <w:ind w:left="0" w:right="0" w:hanging="0"/>
        <w:jc w:val="both"/>
        <w:rPr/>
      </w:pPr>
      <w:r>
        <w:rPr>
          <w:rFonts w:ascii="Arial;Helvetica;sans-serif" w:hAnsi="Arial;Helvetica;sans-serif"/>
          <w:color w:val="000000"/>
          <w:sz w:val="20"/>
        </w:rPr>
        <w:t xml:space="preserve">Director nominations may be made by a shareholder so long as the qualifying shareholder follows the procedures outlined in the By-laws. Pursuant to the By-laws, for a nomination to be made by a shareholder, such shareholder must have given the proper notice within the specific time limits set forth in the relevant provision therein. For the 2027 annual meeting, the Company must receive this notice on or before February 19, 2027. Such notice and nomination should be submitted in writing to the Corporate Secretary of the Company and should include the information required for shareholder nominations set forth in the By-laws and any additional information required by applicable law. For more information, see “Shareholder Proposals for 2027 Annual Meeting” on page </w:t>
      </w:r>
      <w:hyperlink w:anchor="tADDI">
        <w:r>
          <w:rPr>
            <w:rStyle w:val="InternetLink"/>
            <w:rFonts w:ascii="Arial;Helvetica;sans-serif" w:hAnsi="Arial;Helvetica;sans-serif"/>
            <w:color w:val="000080"/>
            <w:sz w:val="20"/>
          </w:rPr>
          <w:t>52</w:t>
        </w:r>
      </w:hyperlink>
      <w:r>
        <w:rPr>
          <w:rFonts w:ascii="Arial;Helvetica;sans-serif" w:hAnsi="Arial;Helvetica;sans-serif"/>
          <w:color w:val="000000"/>
          <w:sz w:val="20"/>
        </w:rPr>
        <w:t xml:space="preserve">.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Additionally, a copy of the full text of the provision of the By-laws describing the procedure for shareholder nominations may be accessed in the “Investors—Governance” section of the Company’s website at </w:t>
      </w:r>
      <w:r>
        <w:rPr>
          <w:rFonts w:ascii="Arial;Helvetica;sans-serif" w:hAnsi="Arial;Helvetica;sans-serif"/>
          <w:i/>
          <w:color w:val="000000"/>
          <w:sz w:val="20"/>
        </w:rPr>
        <w:t>www.avisbudgetgroup.com</w:t>
      </w:r>
      <w:r>
        <w:rPr>
          <w:rFonts w:ascii="Arial;Helvetica;sans-serif" w:hAnsi="Arial;Helvetica;sans-serif"/>
          <w:color w:val="000000"/>
          <w:sz w:val="20"/>
        </w:rPr>
        <w:t xml:space="preserve">. Nothing contained in any section of the Company’s website is incorporated by reference into this Proxy Statement.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6</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6" w:name="ny20066167x1_def14a_105-prop1_pg1"/>
        <w:bookmarkEnd w:id="16"/>
        <w:r>
          <w:rPr>
            <w:rStyle w:val="InternetLink"/>
            <w:rFonts w:ascii="Times New Roman;Times;Serif" w:hAnsi="Times New Roman;Times;Serif"/>
            <w:b/>
            <w:caps w:val="false"/>
            <w:smallCaps w:val="false"/>
            <w:color w:val="000000"/>
            <w:sz w:val="16"/>
          </w:rPr>
          <w:t>TABLE OF CONTENTS</w:t>
        </w:r>
      </w:hyperlink>
    </w:p>
    <w:p>
      <w:pPr>
        <w:pStyle w:val="TextBody"/>
        <w:bidi w:val="0"/>
        <w:spacing w:before="270" w:after="283"/>
        <w:ind w:left="0" w:right="0" w:hanging="0"/>
        <w:jc w:val="left"/>
        <w:rPr>
          <w:rFonts w:ascii="Arial;Helvetica;sans-serif" w:hAnsi="Arial;Helvetica;sans-serif"/>
          <w:color w:val="000000"/>
          <w:sz w:val="40"/>
        </w:rPr>
      </w:pPr>
      <w:bookmarkStart w:id="17" w:name="tPVM"/>
      <w:bookmarkEnd w:id="17"/>
      <w:r>
        <w:rPr>
          <w:rFonts w:ascii="Arial;Helvetica;sans-serif" w:hAnsi="Arial;Helvetica;sans-serif"/>
          <w:color w:val="000000"/>
          <w:sz w:val="40"/>
        </w:rPr>
        <w:t xml:space="preserve">Proposals to Be Voted on at Meeting </w:t>
      </w:r>
    </w:p>
    <w:p>
      <w:pPr>
        <w:pStyle w:val="TextBody"/>
        <w:bidi w:val="0"/>
        <w:spacing w:before="0" w:after="283"/>
        <w:ind w:left="0" w:right="0" w:hanging="0"/>
        <w:jc w:val="left"/>
        <w:rPr>
          <w:rFonts w:ascii="Arial;Helvetica;sans-serif" w:hAnsi="Arial;Helvetica;sans-serif"/>
          <w:color w:val="000000"/>
          <w:sz w:val="40"/>
        </w:rPr>
      </w:pPr>
      <w:bookmarkStart w:id="18" w:name="tPROP1"/>
      <w:bookmarkEnd w:id="18"/>
      <w:r>
        <w:rPr>
          <w:rFonts w:ascii="Arial;Helvetica;sans-serif" w:hAnsi="Arial;Helvetica;sans-serif"/>
          <w:color w:val="000000"/>
          <w:sz w:val="40"/>
        </w:rPr>
        <w:t xml:space="preserve">Proposal No. 1 </w:t>
      </w:r>
    </w:p>
    <w:p>
      <w:pPr>
        <w:pStyle w:val="TextBody"/>
        <w:bidi w:val="0"/>
        <w:spacing w:before="290" w:after="283"/>
        <w:ind w:left="0" w:right="0" w:hanging="0"/>
        <w:jc w:val="left"/>
        <w:rPr>
          <w:rFonts w:ascii="Arial;Helvetica;sans-serif" w:hAnsi="Arial;Helvetica;sans-serif"/>
          <w:b/>
          <w:color w:val="000000"/>
          <w:sz w:val="28"/>
        </w:rPr>
      </w:pPr>
      <w:r>
        <w:rPr>
          <w:rFonts w:ascii="Arial;Helvetica;sans-serif" w:hAnsi="Arial;Helvetica;sans-serif"/>
          <w:b/>
          <w:color w:val="000000"/>
          <w:sz w:val="28"/>
        </w:rPr>
        <w:t xml:space="preserve">Election of Directors </w:t>
      </w:r>
    </w:p>
    <w:p>
      <w:pPr>
        <w:pStyle w:val="TextBody"/>
        <w:bidi w:val="0"/>
        <w:spacing w:lineRule="atLeast" w:line="230"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Board of Directors (the “Board”) has nominated Jagdeep Pahwa, Anu Hariharan, Bernardo Hees, Lynn Krominga, Glenn Lurie and Karthik Sarma to be elected at the 2026 Annual Meeting of Shareholders (the “Meeting”) to serve as directors for a one-year term ending at the 2027 annual meeting of shareholders and until his or her successor is duly elected and qualified or until his or her earlier resignation or removal. The nominations of Mr. Pahwa and Mr. Sarma were initially in accordance with the terms of the Fourth Amended and Restated Cooperation Agreement (as amended through the date hereof, the “Cooperation Agreement”), dated as of December 23, 2022, between the Company and SRS and certain of its affiliates. </w:t>
      </w:r>
    </w:p>
    <w:p>
      <w:pPr>
        <w:pStyle w:val="TextBody"/>
        <w:bidi w:val="0"/>
        <w:spacing w:before="230" w:after="283"/>
        <w:ind w:left="0" w:right="0" w:hanging="0"/>
        <w:jc w:val="left"/>
        <w:rPr>
          <w:rFonts w:ascii="Arial;Helvetica;sans-serif" w:hAnsi="Arial;Helvetica;sans-serif"/>
          <w:b/>
          <w:color w:val="000000"/>
          <w:sz w:val="28"/>
        </w:rPr>
      </w:pPr>
      <w:bookmarkStart w:id="19" w:name="tBIN"/>
      <w:bookmarkEnd w:id="19"/>
      <w:r>
        <w:rPr>
          <w:rFonts w:ascii="Arial;Helvetica;sans-serif" w:hAnsi="Arial;Helvetica;sans-serif"/>
          <w:b/>
          <w:color w:val="000000"/>
          <w:sz w:val="28"/>
        </w:rPr>
        <w:t xml:space="preserve">Biographical Information for Nominees </w:t>
      </w:r>
    </w:p>
    <w:p>
      <w:pPr>
        <w:pStyle w:val="TextBody"/>
        <w:bidi w:val="0"/>
        <w:spacing w:before="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following material contains information concerning the Board’s nominees, including their period of service as a director, their recent employment, other directorships, including those held during the past five years with a public company or registered investment company, and age as of the Meeting. </w:t>
      </w:r>
    </w:p>
    <w:p>
      <w:pPr>
        <w:pStyle w:val="TextBody"/>
        <w:bidi w:val="0"/>
        <w:spacing w:before="250" w:after="283"/>
        <w:ind w:left="0" w:right="0" w:hanging="0"/>
        <w:jc w:val="left"/>
        <w:rPr>
          <w:rFonts w:ascii="Arial;Helvetica;sans-serif" w:hAnsi="Arial;Helvetica;sans-serif"/>
          <w:b/>
          <w:i/>
          <w:color w:val="000000"/>
          <w:sz w:val="24"/>
        </w:rPr>
      </w:pPr>
      <w:r>
        <w:rPr>
          <w:rFonts w:ascii="Arial;Helvetica;sans-serif" w:hAnsi="Arial;Helvetica;sans-serif"/>
          <w:b/>
          <w:i/>
          <w:color w:val="000000"/>
          <w:sz w:val="24"/>
        </w:rPr>
        <w:t xml:space="preserve">JAGDEEP PAHWA </w:t>
      </w:r>
    </w:p>
    <w:p>
      <w:pPr>
        <w:pStyle w:val="TextBody"/>
        <w:bidi w:val="0"/>
        <w:spacing w:before="9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Executive Chairman of the Board </w:t>
      </w:r>
    </w:p>
    <w:p>
      <w:pPr>
        <w:pStyle w:val="TextBody"/>
        <w:bidi w:val="0"/>
        <w:spacing w:lineRule="atLeast" w:line="230" w:before="160" w:after="283"/>
        <w:ind w:left="0" w:right="0" w:hanging="0"/>
        <w:jc w:val="both"/>
        <w:rPr>
          <w:rFonts w:ascii="Arial;Helvetica;sans-serif" w:hAnsi="Arial;Helvetica;sans-serif"/>
          <w:b/>
          <w:color w:val="000000"/>
          <w:sz w:val="20"/>
        </w:rPr>
      </w:pPr>
      <w:r>
        <w:rPr>
          <w:rFonts w:ascii="Arial;Helvetica;sans-serif" w:hAnsi="Arial;Helvetica;sans-serif"/>
          <w:b/>
          <w:color w:val="000000"/>
          <w:sz w:val="20"/>
        </w:rPr>
        <w:t>Mr. Pahwa</w:t>
      </w:r>
      <w:r>
        <w:rPr>
          <w:rFonts w:ascii="Arial;Helvetica;sans-serif" w:hAnsi="Arial;Helvetica;sans-serif"/>
          <w:b w:val="false"/>
          <w:color w:val="000000"/>
          <w:sz w:val="20"/>
        </w:rPr>
        <w:t xml:space="preserve">, age 52, has been a director since April 2018 and Chairman since May 2024. After serving as Vice Chairman since February 2020, Mr. Pahwa was appointed as Executive Chairman, effective March 1, 2025. Mr. Pahwa has been the President of SRS Investment Management, LLC since 2017 and has led SRS’s private equity business since 2006. Previously, Mr. Pahwa worked at McKinsey &amp; Company in the U.S. and India, where he led client engagements in the telecom, technology and real estate sectors. Prior thereto, Mr. Pahwa worked in the Mergers &amp; Acquisitions group of Lehman Brothers in New York. Mr. Pahwa received a Bachelor of Technology from the Indian Institute of Technology, Delhi, and an M.S. from Princeton University and an M.B.A. from Harvard Business School. </w:t>
      </w:r>
    </w:p>
    <w:p>
      <w:pPr>
        <w:pStyle w:val="TextBody"/>
        <w:bidi w:val="0"/>
        <w:spacing w:before="0" w:after="283"/>
        <w:ind w:left="0" w:right="0" w:hanging="0"/>
        <w:jc w:val="left"/>
        <w:rPr>
          <w:color w:val="000000"/>
        </w:rPr>
      </w:pPr>
      <w:r>
        <w:rPr>
          <w:color w:val="000000"/>
        </w:rPr>
        <w:t> </w:t>
      </w:r>
    </w:p>
    <w:p>
      <w:pPr>
        <w:pStyle w:val="TextBody"/>
        <w:bidi w:val="0"/>
        <w:spacing w:before="9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Specific Qualifications, Attributes, Skills and Experience: </w:t>
      </w:r>
    </w:p>
    <w:tbl>
      <w:tblPr>
        <w:tblW w:w="3310" w:type="dxa"/>
        <w:jc w:val="left"/>
        <w:tblInd w:w="0" w:type="dxa"/>
        <w:tblLayout w:type="fixed"/>
        <w:tblCellMar>
          <w:top w:w="0" w:type="dxa"/>
          <w:left w:w="0" w:type="dxa"/>
          <w:bottom w:w="0" w:type="dxa"/>
          <w:right w:w="0" w:type="dxa"/>
        </w:tblCellMar>
      </w:tblPr>
      <w:tblGrid>
        <w:gridCol w:w="140"/>
        <w:gridCol w:w="3170"/>
      </w:tblGrid>
      <w:tr>
        <w:trPr/>
        <w:tc>
          <w:tcPr>
            <w:tcW w:w="140" w:type="dxa"/>
            <w:tcBorders/>
            <w:vAlign w:val="center"/>
          </w:tcPr>
          <w:p>
            <w:pPr>
              <w:pStyle w:val="TableContents"/>
              <w:bidi w:val="0"/>
              <w:spacing w:before="0" w:after="0"/>
              <w:jc w:val="left"/>
              <w:rPr>
                <w:color w:val="000000"/>
              </w:rPr>
            </w:pPr>
            <w:r>
              <w:rPr>
                <w:color w:val="000000"/>
              </w:rPr>
              <w:t>•</w:t>
            </w:r>
          </w:p>
        </w:tc>
        <w:tc>
          <w:tcPr>
            <w:tcW w:w="317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Financial and investment expertise </w:t>
            </w:r>
          </w:p>
        </w:tc>
      </w:tr>
    </w:tbl>
    <w:tbl>
      <w:tblPr>
        <w:tblW w:w="4870" w:type="dxa"/>
        <w:jc w:val="left"/>
        <w:tblInd w:w="0" w:type="dxa"/>
        <w:tblLayout w:type="fixed"/>
        <w:tblCellMar>
          <w:top w:w="0" w:type="dxa"/>
          <w:left w:w="0" w:type="dxa"/>
          <w:bottom w:w="0" w:type="dxa"/>
          <w:right w:w="0" w:type="dxa"/>
        </w:tblCellMar>
      </w:tblPr>
      <w:tblGrid>
        <w:gridCol w:w="140"/>
        <w:gridCol w:w="4730"/>
      </w:tblGrid>
      <w:tr>
        <w:trPr/>
        <w:tc>
          <w:tcPr>
            <w:tcW w:w="140" w:type="dxa"/>
            <w:tcBorders/>
            <w:vAlign w:val="center"/>
          </w:tcPr>
          <w:p>
            <w:pPr>
              <w:pStyle w:val="TableContents"/>
              <w:bidi w:val="0"/>
              <w:spacing w:before="0" w:after="0"/>
              <w:jc w:val="left"/>
              <w:rPr>
                <w:color w:val="000000"/>
              </w:rPr>
            </w:pPr>
            <w:r>
              <w:rPr>
                <w:color w:val="000000"/>
              </w:rPr>
              <w:t>•</w:t>
            </w:r>
          </w:p>
        </w:tc>
        <w:tc>
          <w:tcPr>
            <w:tcW w:w="473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Advisory experience in business strategy and growth </w:t>
            </w:r>
          </w:p>
        </w:tc>
      </w:tr>
    </w:tbl>
    <w:tbl>
      <w:tblPr>
        <w:tblW w:w="6715" w:type="dxa"/>
        <w:jc w:val="left"/>
        <w:tblInd w:w="0" w:type="dxa"/>
        <w:tblLayout w:type="fixed"/>
        <w:tblCellMar>
          <w:top w:w="0" w:type="dxa"/>
          <w:left w:w="0" w:type="dxa"/>
          <w:bottom w:w="0" w:type="dxa"/>
          <w:right w:w="0" w:type="dxa"/>
        </w:tblCellMar>
      </w:tblPr>
      <w:tblGrid>
        <w:gridCol w:w="140"/>
        <w:gridCol w:w="6575"/>
      </w:tblGrid>
      <w:tr>
        <w:trPr/>
        <w:tc>
          <w:tcPr>
            <w:tcW w:w="140" w:type="dxa"/>
            <w:tcBorders/>
            <w:vAlign w:val="center"/>
          </w:tcPr>
          <w:p>
            <w:pPr>
              <w:pStyle w:val="TableContents"/>
              <w:bidi w:val="0"/>
              <w:spacing w:before="0" w:after="0"/>
              <w:jc w:val="left"/>
              <w:rPr>
                <w:color w:val="000000"/>
              </w:rPr>
            </w:pPr>
            <w:r>
              <w:rPr>
                <w:color w:val="000000"/>
              </w:rPr>
              <w:t>•</w:t>
            </w:r>
          </w:p>
        </w:tc>
        <w:tc>
          <w:tcPr>
            <w:tcW w:w="65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Broad international experience and understanding of the technology sector </w:t>
            </w:r>
          </w:p>
        </w:tc>
      </w:tr>
    </w:tbl>
    <w:tbl>
      <w:tblPr>
        <w:tblW w:w="2800" w:type="dxa"/>
        <w:jc w:val="left"/>
        <w:tblInd w:w="0" w:type="dxa"/>
        <w:tblLayout w:type="fixed"/>
        <w:tblCellMar>
          <w:top w:w="0" w:type="dxa"/>
          <w:left w:w="0" w:type="dxa"/>
          <w:bottom w:w="0" w:type="dxa"/>
          <w:right w:w="0" w:type="dxa"/>
        </w:tblCellMar>
      </w:tblPr>
      <w:tblGrid>
        <w:gridCol w:w="140"/>
        <w:gridCol w:w="2660"/>
      </w:tblGrid>
      <w:tr>
        <w:trPr/>
        <w:tc>
          <w:tcPr>
            <w:tcW w:w="140" w:type="dxa"/>
            <w:tcBorders/>
            <w:vAlign w:val="center"/>
          </w:tcPr>
          <w:p>
            <w:pPr>
              <w:pStyle w:val="TableContents"/>
              <w:bidi w:val="0"/>
              <w:spacing w:before="0" w:after="0"/>
              <w:jc w:val="left"/>
              <w:rPr>
                <w:color w:val="000000"/>
              </w:rPr>
            </w:pPr>
            <w:r>
              <w:rPr>
                <w:color w:val="000000"/>
              </w:rPr>
              <w:t>•</w:t>
            </w:r>
          </w:p>
        </w:tc>
        <w:tc>
          <w:tcPr>
            <w:tcW w:w="266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Diverse personal background </w:t>
            </w:r>
          </w:p>
        </w:tc>
      </w:tr>
    </w:tbl>
    <w:tbl>
      <w:tblPr>
        <w:tblW w:w="3220" w:type="dxa"/>
        <w:jc w:val="left"/>
        <w:tblInd w:w="0" w:type="dxa"/>
        <w:tblLayout w:type="fixed"/>
        <w:tblCellMar>
          <w:top w:w="0" w:type="dxa"/>
          <w:left w:w="0" w:type="dxa"/>
          <w:bottom w:w="0" w:type="dxa"/>
          <w:right w:w="0" w:type="dxa"/>
        </w:tblCellMar>
      </w:tblPr>
      <w:tblGrid>
        <w:gridCol w:w="140"/>
        <w:gridCol w:w="3080"/>
      </w:tblGrid>
      <w:tr>
        <w:trPr/>
        <w:tc>
          <w:tcPr>
            <w:tcW w:w="140" w:type="dxa"/>
            <w:tcBorders/>
            <w:vAlign w:val="center"/>
          </w:tcPr>
          <w:p>
            <w:pPr>
              <w:pStyle w:val="TableContents"/>
              <w:bidi w:val="0"/>
              <w:spacing w:before="0" w:after="0"/>
              <w:jc w:val="left"/>
              <w:rPr>
                <w:color w:val="000000"/>
              </w:rPr>
            </w:pPr>
            <w:r>
              <w:rPr>
                <w:color w:val="000000"/>
              </w:rPr>
              <w:t>•</w:t>
            </w:r>
          </w:p>
        </w:tc>
        <w:tc>
          <w:tcPr>
            <w:tcW w:w="30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Public company board experience </w:t>
            </w:r>
          </w:p>
        </w:tc>
      </w:tr>
    </w:tbl>
    <w:p>
      <w:pPr>
        <w:pStyle w:val="TextBody"/>
        <w:bidi w:val="0"/>
        <w:spacing w:before="250" w:after="283"/>
        <w:ind w:left="0" w:right="0" w:hanging="0"/>
        <w:jc w:val="left"/>
        <w:rPr>
          <w:rFonts w:ascii="Arial;Helvetica;sans-serif" w:hAnsi="Arial;Helvetica;sans-serif"/>
          <w:b/>
          <w:i/>
          <w:color w:val="000000"/>
          <w:sz w:val="24"/>
        </w:rPr>
      </w:pPr>
      <w:r>
        <w:rPr>
          <w:rFonts w:ascii="Arial;Helvetica;sans-serif" w:hAnsi="Arial;Helvetica;sans-serif"/>
          <w:b/>
          <w:i/>
          <w:color w:val="000000"/>
          <w:sz w:val="24"/>
        </w:rPr>
        <w:t xml:space="preserve">ANU HARIHARAN </w:t>
      </w:r>
    </w:p>
    <w:p>
      <w:pPr>
        <w:pStyle w:val="TextBody"/>
        <w:bidi w:val="0"/>
        <w:spacing w:before="14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Board Committees: Audit </w:t>
      </w:r>
    </w:p>
    <w:p>
      <w:pPr>
        <w:pStyle w:val="TextBody"/>
        <w:bidi w:val="0"/>
        <w:spacing w:before="160" w:after="283"/>
        <w:ind w:left="0" w:right="0" w:hanging="0"/>
        <w:jc w:val="both"/>
        <w:rPr>
          <w:rFonts w:ascii="Arial;Helvetica;sans-serif" w:hAnsi="Arial;Helvetica;sans-serif"/>
          <w:b/>
          <w:color w:val="000000"/>
          <w:sz w:val="20"/>
        </w:rPr>
      </w:pPr>
      <w:r>
        <w:rPr>
          <w:rFonts w:ascii="Arial;Helvetica;sans-serif" w:hAnsi="Arial;Helvetica;sans-serif"/>
          <w:b/>
          <w:color w:val="000000"/>
          <w:sz w:val="20"/>
        </w:rPr>
        <w:t>Ms. Hariharan</w:t>
      </w:r>
      <w:r>
        <w:rPr>
          <w:rFonts w:ascii="Arial;Helvetica;sans-serif" w:hAnsi="Arial;Helvetica;sans-serif"/>
          <w:b w:val="false"/>
          <w:color w:val="000000"/>
          <w:sz w:val="20"/>
        </w:rPr>
        <w:t>, age 45, has been a director since January 2022. Ms. Hariharan is Founder and Managing Partner of Avra, a venture fund focused on empowering growth stage founders with the right foundation to scale their company. From 2016 until March 2023, Ms. Hariharan was Managing Director at Y Combinator’s Continuity Fund focused on growth stage investments, where she led investments in Brex, Gusto and Faire, among many others. Prior to joining Y Combinator, Ms. Hariharan was a Partner with the investment team at Andreessen Horowitz, from 2014 to 2016. Previously, Ms. Hariharan was a Principal with The Boston Consulting Group, from 2010 to 2014, and, prior to that, a senior software engineer with Qualcomm. Ms. Hariharan holds a B.E. from the National Institute of Technology Karnataka, an M.S. from Virginia Tech and an M.B.A. from The Wharton School at the University of Pennsylvania.</w:t>
      </w:r>
    </w:p>
    <w:p>
      <w:pPr>
        <w:pStyle w:val="TextBody"/>
        <w:bidi w:val="0"/>
        <w:spacing w:before="0" w:after="283"/>
        <w:ind w:left="0" w:right="0" w:hanging="0"/>
        <w:jc w:val="left"/>
        <w:rPr>
          <w:color w:val="000000"/>
        </w:rPr>
      </w:pPr>
      <w:r>
        <w:rPr>
          <w:color w:val="000000"/>
        </w:rPr>
        <w:t xml:space="preserve">  </w:t>
      </w:r>
    </w:p>
    <w:p>
      <w:pPr>
        <w:pStyle w:val="TextBody"/>
        <w:bidi w:val="0"/>
        <w:spacing w:before="12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Specific Qualifications, Attributes, Skills and Experience: </w:t>
      </w:r>
    </w:p>
    <w:tbl>
      <w:tblPr>
        <w:tblW w:w="4870" w:type="dxa"/>
        <w:jc w:val="left"/>
        <w:tblInd w:w="0" w:type="dxa"/>
        <w:tblLayout w:type="fixed"/>
        <w:tblCellMar>
          <w:top w:w="0" w:type="dxa"/>
          <w:left w:w="0" w:type="dxa"/>
          <w:bottom w:w="0" w:type="dxa"/>
          <w:right w:w="0" w:type="dxa"/>
        </w:tblCellMar>
      </w:tblPr>
      <w:tblGrid>
        <w:gridCol w:w="140"/>
        <w:gridCol w:w="4730"/>
      </w:tblGrid>
      <w:tr>
        <w:trPr/>
        <w:tc>
          <w:tcPr>
            <w:tcW w:w="140" w:type="dxa"/>
            <w:tcBorders/>
            <w:vAlign w:val="center"/>
          </w:tcPr>
          <w:p>
            <w:pPr>
              <w:pStyle w:val="TableContents"/>
              <w:bidi w:val="0"/>
              <w:spacing w:before="0" w:after="0"/>
              <w:jc w:val="left"/>
              <w:rPr>
                <w:color w:val="000000"/>
              </w:rPr>
            </w:pPr>
            <w:r>
              <w:rPr>
                <w:color w:val="000000"/>
              </w:rPr>
              <w:t>•</w:t>
            </w:r>
          </w:p>
        </w:tc>
        <w:tc>
          <w:tcPr>
            <w:tcW w:w="473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Advisory experience in business strategy and growth </w:t>
            </w:r>
          </w:p>
        </w:tc>
      </w:tr>
    </w:tbl>
    <w:tbl>
      <w:tblPr>
        <w:tblW w:w="3640" w:type="dxa"/>
        <w:jc w:val="left"/>
        <w:tblInd w:w="0" w:type="dxa"/>
        <w:tblLayout w:type="fixed"/>
        <w:tblCellMar>
          <w:top w:w="0" w:type="dxa"/>
          <w:left w:w="0" w:type="dxa"/>
          <w:bottom w:w="0" w:type="dxa"/>
          <w:right w:w="0" w:type="dxa"/>
        </w:tblCellMar>
      </w:tblPr>
      <w:tblGrid>
        <w:gridCol w:w="140"/>
        <w:gridCol w:w="3500"/>
      </w:tblGrid>
      <w:tr>
        <w:trPr/>
        <w:tc>
          <w:tcPr>
            <w:tcW w:w="140" w:type="dxa"/>
            <w:tcBorders/>
            <w:vAlign w:val="center"/>
          </w:tcPr>
          <w:p>
            <w:pPr>
              <w:pStyle w:val="TableContents"/>
              <w:bidi w:val="0"/>
              <w:spacing w:before="0" w:after="0"/>
              <w:jc w:val="left"/>
              <w:rPr>
                <w:color w:val="000000"/>
              </w:rPr>
            </w:pPr>
            <w:r>
              <w:rPr>
                <w:color w:val="000000"/>
              </w:rPr>
              <w:t>•</w:t>
            </w:r>
          </w:p>
        </w:tc>
        <w:tc>
          <w:tcPr>
            <w:tcW w:w="350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Investment and technology experience </w:t>
            </w:r>
          </w:p>
        </w:tc>
      </w:tr>
    </w:tbl>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7</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0" w:name="ny20066167x1_def14a_105-prop1_pg2"/>
        <w:bookmarkEnd w:id="20"/>
        <w:r>
          <w:rPr>
            <w:rStyle w:val="InternetLink"/>
            <w:rFonts w:ascii="Times New Roman;Times;Serif" w:hAnsi="Times New Roman;Times;Serif"/>
            <w:b/>
            <w:caps w:val="false"/>
            <w:smallCaps w:val="false"/>
            <w:color w:val="000000"/>
            <w:sz w:val="16"/>
          </w:rPr>
          <w:t>TABLE OF CONTENTS</w:t>
        </w:r>
      </w:hyperlink>
    </w:p>
    <w:tbl>
      <w:tblPr>
        <w:tblW w:w="2485" w:type="dxa"/>
        <w:jc w:val="left"/>
        <w:tblInd w:w="0" w:type="dxa"/>
        <w:tblLayout w:type="fixed"/>
        <w:tblCellMar>
          <w:top w:w="0" w:type="dxa"/>
          <w:left w:w="0" w:type="dxa"/>
          <w:bottom w:w="0" w:type="dxa"/>
          <w:right w:w="0" w:type="dxa"/>
        </w:tblCellMar>
      </w:tblPr>
      <w:tblGrid>
        <w:gridCol w:w="140"/>
        <w:gridCol w:w="2345"/>
      </w:tblGrid>
      <w:tr>
        <w:trPr/>
        <w:tc>
          <w:tcPr>
            <w:tcW w:w="140" w:type="dxa"/>
            <w:tcBorders/>
            <w:vAlign w:val="center"/>
          </w:tcPr>
          <w:p>
            <w:pPr>
              <w:pStyle w:val="TableContents"/>
              <w:bidi w:val="0"/>
              <w:spacing w:before="0" w:after="0"/>
              <w:jc w:val="left"/>
              <w:rPr>
                <w:color w:val="000000"/>
              </w:rPr>
            </w:pPr>
            <w:r>
              <w:rPr>
                <w:color w:val="000000"/>
              </w:rPr>
              <w:t>•</w:t>
            </w:r>
          </w:p>
        </w:tc>
        <w:tc>
          <w:tcPr>
            <w:tcW w:w="234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Cybersecurity experience </w:t>
            </w:r>
          </w:p>
        </w:tc>
      </w:tr>
    </w:tbl>
    <w:tbl>
      <w:tblPr>
        <w:tblW w:w="2800" w:type="dxa"/>
        <w:jc w:val="left"/>
        <w:tblInd w:w="0" w:type="dxa"/>
        <w:tblLayout w:type="fixed"/>
        <w:tblCellMar>
          <w:top w:w="0" w:type="dxa"/>
          <w:left w:w="0" w:type="dxa"/>
          <w:bottom w:w="0" w:type="dxa"/>
          <w:right w:w="0" w:type="dxa"/>
        </w:tblCellMar>
      </w:tblPr>
      <w:tblGrid>
        <w:gridCol w:w="140"/>
        <w:gridCol w:w="2660"/>
      </w:tblGrid>
      <w:tr>
        <w:trPr/>
        <w:tc>
          <w:tcPr>
            <w:tcW w:w="140" w:type="dxa"/>
            <w:tcBorders/>
            <w:vAlign w:val="center"/>
          </w:tcPr>
          <w:p>
            <w:pPr>
              <w:pStyle w:val="TableContents"/>
              <w:bidi w:val="0"/>
              <w:spacing w:before="0" w:after="0"/>
              <w:jc w:val="left"/>
              <w:rPr>
                <w:color w:val="000000"/>
              </w:rPr>
            </w:pPr>
            <w:r>
              <w:rPr>
                <w:color w:val="000000"/>
              </w:rPr>
              <w:t>•</w:t>
            </w:r>
          </w:p>
        </w:tc>
        <w:tc>
          <w:tcPr>
            <w:tcW w:w="266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Diverse personal background </w:t>
            </w:r>
          </w:p>
        </w:tc>
      </w:tr>
    </w:tbl>
    <w:p>
      <w:pPr>
        <w:pStyle w:val="TextBody"/>
        <w:bidi w:val="0"/>
        <w:spacing w:before="250" w:after="283"/>
        <w:ind w:left="0" w:right="0" w:hanging="0"/>
        <w:jc w:val="left"/>
        <w:rPr>
          <w:rFonts w:ascii="Arial;Helvetica;sans-serif" w:hAnsi="Arial;Helvetica;sans-serif"/>
          <w:b/>
          <w:i/>
          <w:color w:val="000000"/>
          <w:sz w:val="24"/>
        </w:rPr>
      </w:pPr>
      <w:r>
        <w:rPr>
          <w:rFonts w:ascii="Arial;Helvetica;sans-serif" w:hAnsi="Arial;Helvetica;sans-serif"/>
          <w:b/>
          <w:i/>
          <w:color w:val="000000"/>
          <w:sz w:val="24"/>
        </w:rPr>
        <w:t xml:space="preserve">BERNARDO HEES </w:t>
      </w:r>
    </w:p>
    <w:p>
      <w:pPr>
        <w:pStyle w:val="TextBody"/>
        <w:bidi w:val="0"/>
        <w:spacing w:before="15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Member of the Board </w:t>
      </w:r>
    </w:p>
    <w:p>
      <w:pPr>
        <w:pStyle w:val="TextBody"/>
        <w:bidi w:val="0"/>
        <w:spacing w:before="160" w:after="283"/>
        <w:ind w:left="0" w:right="0" w:hanging="0"/>
        <w:jc w:val="both"/>
        <w:rPr>
          <w:rFonts w:ascii="Arial;Helvetica;sans-serif" w:hAnsi="Arial;Helvetica;sans-serif"/>
          <w:b/>
          <w:color w:val="000000"/>
          <w:sz w:val="20"/>
        </w:rPr>
      </w:pPr>
      <w:r>
        <w:rPr>
          <w:rFonts w:ascii="Arial;Helvetica;sans-serif" w:hAnsi="Arial;Helvetica;sans-serif"/>
          <w:b/>
          <w:color w:val="000000"/>
          <w:sz w:val="20"/>
        </w:rPr>
        <w:t>Mr. Hees</w:t>
      </w:r>
      <w:r>
        <w:rPr>
          <w:rFonts w:ascii="Arial;Helvetica;sans-serif" w:hAnsi="Arial;Helvetica;sans-serif"/>
          <w:b w:val="false"/>
          <w:color w:val="000000"/>
          <w:sz w:val="20"/>
        </w:rPr>
        <w:t xml:space="preserve">, age 56, has been a director since February 2020 and previously served as Executive Chairman from July 2020 to May 2024. Since March 2024, Mr. Hees has served as an Operating Partner of The Cranemere Group, a diversified holding company. Previously, Mr. Hees served as Chief Executive Officer of The Kraft Heinz Company from 2015 to June 2019. He served as Chief Executive Officer of H.J. Heinz Holding Corporation from 2013 until its merger with Kraft Foods Group in 2015. From 2010 to 2013, Mr. Hees served as Chief Executive Officer of Burger King Worldwide Holdings, Inc., a global fast food restaurant chain, and Burger King Worldwide, Inc. from 2012 to 2013. From 2005 to 2010, he was Chief Executive Officer of América Latina Logística, a Brazilian logistics company. Mr. Hees was also a partner at 3G Capital, a global investment firm, from 2010 to 2019. Also, Mr. Hees is a director of Krispy Kreme, Inc. and was a director of Bunge Limited; both companies file reports pursuant to the Securities Exchange Act of 1934, as amended (the “Exchange Act”). </w:t>
      </w:r>
    </w:p>
    <w:p>
      <w:pPr>
        <w:pStyle w:val="TextBody"/>
        <w:bidi w:val="0"/>
        <w:spacing w:before="41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Specific Qualifications, Attributes, Skills and Experience: </w:t>
      </w:r>
    </w:p>
    <w:tbl>
      <w:tblPr>
        <w:tblW w:w="3310" w:type="dxa"/>
        <w:jc w:val="left"/>
        <w:tblInd w:w="0" w:type="dxa"/>
        <w:tblLayout w:type="fixed"/>
        <w:tblCellMar>
          <w:top w:w="0" w:type="dxa"/>
          <w:left w:w="0" w:type="dxa"/>
          <w:bottom w:w="0" w:type="dxa"/>
          <w:right w:w="0" w:type="dxa"/>
        </w:tblCellMar>
      </w:tblPr>
      <w:tblGrid>
        <w:gridCol w:w="140"/>
        <w:gridCol w:w="3170"/>
      </w:tblGrid>
      <w:tr>
        <w:trPr/>
        <w:tc>
          <w:tcPr>
            <w:tcW w:w="140" w:type="dxa"/>
            <w:tcBorders/>
            <w:vAlign w:val="center"/>
          </w:tcPr>
          <w:p>
            <w:pPr>
              <w:pStyle w:val="TableContents"/>
              <w:bidi w:val="0"/>
              <w:spacing w:before="0" w:after="0"/>
              <w:jc w:val="left"/>
              <w:rPr>
                <w:color w:val="000000"/>
              </w:rPr>
            </w:pPr>
            <w:r>
              <w:rPr>
                <w:color w:val="000000"/>
              </w:rPr>
              <w:t>•</w:t>
            </w:r>
          </w:p>
        </w:tc>
        <w:tc>
          <w:tcPr>
            <w:tcW w:w="317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Chief Executive Officer experience </w:t>
            </w:r>
          </w:p>
        </w:tc>
      </w:tr>
    </w:tbl>
    <w:tbl>
      <w:tblPr>
        <w:tblW w:w="3220" w:type="dxa"/>
        <w:jc w:val="left"/>
        <w:tblInd w:w="0" w:type="dxa"/>
        <w:tblLayout w:type="fixed"/>
        <w:tblCellMar>
          <w:top w:w="0" w:type="dxa"/>
          <w:left w:w="0" w:type="dxa"/>
          <w:bottom w:w="0" w:type="dxa"/>
          <w:right w:w="0" w:type="dxa"/>
        </w:tblCellMar>
      </w:tblPr>
      <w:tblGrid>
        <w:gridCol w:w="140"/>
        <w:gridCol w:w="3080"/>
      </w:tblGrid>
      <w:tr>
        <w:trPr/>
        <w:tc>
          <w:tcPr>
            <w:tcW w:w="140" w:type="dxa"/>
            <w:tcBorders/>
            <w:vAlign w:val="center"/>
          </w:tcPr>
          <w:p>
            <w:pPr>
              <w:pStyle w:val="TableContents"/>
              <w:bidi w:val="0"/>
              <w:spacing w:before="0" w:after="0"/>
              <w:jc w:val="left"/>
              <w:rPr>
                <w:color w:val="000000"/>
              </w:rPr>
            </w:pPr>
            <w:r>
              <w:rPr>
                <w:color w:val="000000"/>
              </w:rPr>
              <w:t>•</w:t>
            </w:r>
          </w:p>
        </w:tc>
        <w:tc>
          <w:tcPr>
            <w:tcW w:w="30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Public company board experience </w:t>
            </w:r>
          </w:p>
        </w:tc>
      </w:tr>
    </w:tbl>
    <w:tbl>
      <w:tblPr>
        <w:tblW w:w="2350" w:type="dxa"/>
        <w:jc w:val="left"/>
        <w:tblInd w:w="0" w:type="dxa"/>
        <w:tblLayout w:type="fixed"/>
        <w:tblCellMar>
          <w:top w:w="0" w:type="dxa"/>
          <w:left w:w="0" w:type="dxa"/>
          <w:bottom w:w="0" w:type="dxa"/>
          <w:right w:w="0" w:type="dxa"/>
        </w:tblCellMar>
      </w:tblPr>
      <w:tblGrid>
        <w:gridCol w:w="140"/>
        <w:gridCol w:w="2210"/>
      </w:tblGrid>
      <w:tr>
        <w:trPr/>
        <w:tc>
          <w:tcPr>
            <w:tcW w:w="140" w:type="dxa"/>
            <w:tcBorders/>
            <w:vAlign w:val="center"/>
          </w:tcPr>
          <w:p>
            <w:pPr>
              <w:pStyle w:val="TableContents"/>
              <w:bidi w:val="0"/>
              <w:spacing w:before="0" w:after="0"/>
              <w:jc w:val="left"/>
              <w:rPr>
                <w:color w:val="000000"/>
              </w:rPr>
            </w:pPr>
            <w:r>
              <w:rPr>
                <w:color w:val="000000"/>
              </w:rPr>
              <w:t>•</w:t>
            </w:r>
          </w:p>
        </w:tc>
        <w:tc>
          <w:tcPr>
            <w:tcW w:w="221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International experience </w:t>
            </w:r>
          </w:p>
        </w:tc>
      </w:tr>
    </w:tbl>
    <w:tbl>
      <w:tblPr>
        <w:tblW w:w="2800" w:type="dxa"/>
        <w:jc w:val="left"/>
        <w:tblInd w:w="0" w:type="dxa"/>
        <w:tblLayout w:type="fixed"/>
        <w:tblCellMar>
          <w:top w:w="0" w:type="dxa"/>
          <w:left w:w="0" w:type="dxa"/>
          <w:bottom w:w="0" w:type="dxa"/>
          <w:right w:w="0" w:type="dxa"/>
        </w:tblCellMar>
      </w:tblPr>
      <w:tblGrid>
        <w:gridCol w:w="140"/>
        <w:gridCol w:w="2660"/>
      </w:tblGrid>
      <w:tr>
        <w:trPr/>
        <w:tc>
          <w:tcPr>
            <w:tcW w:w="140" w:type="dxa"/>
            <w:tcBorders/>
            <w:vAlign w:val="center"/>
          </w:tcPr>
          <w:p>
            <w:pPr>
              <w:pStyle w:val="TableContents"/>
              <w:bidi w:val="0"/>
              <w:spacing w:before="0" w:after="0"/>
              <w:jc w:val="left"/>
              <w:rPr>
                <w:color w:val="000000"/>
              </w:rPr>
            </w:pPr>
            <w:r>
              <w:rPr>
                <w:color w:val="000000"/>
              </w:rPr>
              <w:t>•</w:t>
            </w:r>
          </w:p>
        </w:tc>
        <w:tc>
          <w:tcPr>
            <w:tcW w:w="266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Diverse personal background </w:t>
            </w:r>
          </w:p>
        </w:tc>
      </w:tr>
    </w:tbl>
    <w:p>
      <w:pPr>
        <w:pStyle w:val="TextBody"/>
        <w:bidi w:val="0"/>
        <w:spacing w:before="250" w:after="283"/>
        <w:ind w:left="0" w:right="0" w:hanging="0"/>
        <w:jc w:val="left"/>
        <w:rPr>
          <w:rFonts w:ascii="Arial;Helvetica;sans-serif" w:hAnsi="Arial;Helvetica;sans-serif"/>
          <w:b/>
          <w:i/>
          <w:color w:val="000000"/>
          <w:sz w:val="24"/>
        </w:rPr>
      </w:pPr>
      <w:r>
        <w:rPr>
          <w:rFonts w:ascii="Arial;Helvetica;sans-serif" w:hAnsi="Arial;Helvetica;sans-serif"/>
          <w:b/>
          <w:i/>
          <w:color w:val="000000"/>
          <w:sz w:val="24"/>
        </w:rPr>
        <w:t xml:space="preserve">LYNN KROMINGA </w:t>
      </w:r>
    </w:p>
    <w:p>
      <w:pPr>
        <w:pStyle w:val="TextBody"/>
        <w:bidi w:val="0"/>
        <w:spacing w:before="15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Lead Independent Director </w:t>
      </w:r>
    </w:p>
    <w:p>
      <w:pPr>
        <w:pStyle w:val="TextBody"/>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Board Committees: Audit, Compensation, Corporate Governance (Chair) </w:t>
      </w:r>
    </w:p>
    <w:p>
      <w:pPr>
        <w:pStyle w:val="TextBody"/>
        <w:bidi w:val="0"/>
        <w:spacing w:before="160" w:after="283"/>
        <w:ind w:left="0" w:right="0" w:hanging="0"/>
        <w:jc w:val="both"/>
        <w:rPr>
          <w:rFonts w:ascii="Arial;Helvetica;sans-serif" w:hAnsi="Arial;Helvetica;sans-serif"/>
          <w:b/>
          <w:color w:val="000000"/>
          <w:sz w:val="20"/>
        </w:rPr>
      </w:pPr>
      <w:r>
        <w:rPr>
          <w:rFonts w:ascii="Arial;Helvetica;sans-serif" w:hAnsi="Arial;Helvetica;sans-serif"/>
          <w:b/>
          <w:color w:val="000000"/>
          <w:sz w:val="20"/>
        </w:rPr>
        <w:t>Ms. Krominga</w:t>
      </w:r>
      <w:r>
        <w:rPr>
          <w:rFonts w:ascii="Arial;Helvetica;sans-serif" w:hAnsi="Arial;Helvetica;sans-serif"/>
          <w:b w:val="false"/>
          <w:color w:val="000000"/>
          <w:sz w:val="20"/>
        </w:rPr>
        <w:t xml:space="preserve">, age 75, has been a director since October 2006 and Lead Independent Director since February 2024. Ms. Krominga is an attorney, management consultant and former senior executive of global businesses. Ms. Krominga has served on the boards of directors of public, private and not-for-profit companies, as well as advisory boards of start-up and early stage technology and personal care businesses in the U.S. and abroad. Since 1999, she has been a consultant to private equity, venture capital, hedge funds and angel investors, in which capacity she served in a number of operating and board roles, including Chief Executive Officer of Fashion Wire Daily, Inc.; director and audit committee member of AHAVA Dead Sea Laboratories, Ltd. (a global cosmeceuticals business); advisor to London-based Apax Partners for acquisitions in Israel and the United States; director of StructuredWeb, Inc; board of advisors of Makeover Studios, Inc.; General Manager-North America of Electric Fuel, Inc. (an early stage fuel cell-based technology business); and Internet Consultant for private websites in the U.S. and Europe. From 2007 until January 2013, Ms. Krominga served as a director of publicly traded Sunrise Senior Living, Inc., one of the world’s largest assisted living companies, with operations in the U.S., Canada, the U.K. and Germany. From March through November 2008, she served as Chairman of the Board of Sunrise Senior Living and as Lead Director thereafter until January 2013 (when the company was sold). She also served as Chairman of the Compensation Committee (2008-2011), and as a member of the Audit, Compensation and Governance Committees from 2007-2013. Ms. Krominga is the former President of the Revlon and Coleman Worldwide Licensing Divisions, and previously served as General Counsel and International Counsel for Revlon’s global operations. Prior to joining Revlon, she was Senior Counsel at American Express Company and an associate at Cleary, Gottlieb, Steen &amp; Hamilton. </w:t>
      </w:r>
    </w:p>
    <w:p>
      <w:pPr>
        <w:pStyle w:val="TextBody"/>
        <w:bidi w:val="0"/>
        <w:spacing w:before="40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Specific Qualifications, Attributes, Skills and Experience: </w:t>
      </w:r>
    </w:p>
    <w:tbl>
      <w:tblPr>
        <w:tblW w:w="6880" w:type="dxa"/>
        <w:jc w:val="left"/>
        <w:tblInd w:w="0" w:type="dxa"/>
        <w:tblLayout w:type="fixed"/>
        <w:tblCellMar>
          <w:top w:w="0" w:type="dxa"/>
          <w:left w:w="0" w:type="dxa"/>
          <w:bottom w:w="0" w:type="dxa"/>
          <w:right w:w="0" w:type="dxa"/>
        </w:tblCellMar>
      </w:tblPr>
      <w:tblGrid>
        <w:gridCol w:w="140"/>
        <w:gridCol w:w="6740"/>
      </w:tblGrid>
      <w:tr>
        <w:trPr/>
        <w:tc>
          <w:tcPr>
            <w:tcW w:w="140" w:type="dxa"/>
            <w:tcBorders/>
            <w:vAlign w:val="center"/>
          </w:tcPr>
          <w:p>
            <w:pPr>
              <w:pStyle w:val="TableContents"/>
              <w:bidi w:val="0"/>
              <w:spacing w:before="0" w:after="0"/>
              <w:jc w:val="left"/>
              <w:rPr>
                <w:color w:val="000000"/>
              </w:rPr>
            </w:pPr>
            <w:r>
              <w:rPr>
                <w:color w:val="000000"/>
              </w:rPr>
              <w:t>•</w:t>
            </w:r>
          </w:p>
        </w:tc>
        <w:tc>
          <w:tcPr>
            <w:tcW w:w="674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Significant legal, governance, licensing, technology and regulatory expertise </w:t>
            </w:r>
          </w:p>
        </w:tc>
      </w:tr>
    </w:tbl>
    <w:tbl>
      <w:tblPr>
        <w:tblW w:w="2350" w:type="dxa"/>
        <w:jc w:val="left"/>
        <w:tblInd w:w="0" w:type="dxa"/>
        <w:tblLayout w:type="fixed"/>
        <w:tblCellMar>
          <w:top w:w="0" w:type="dxa"/>
          <w:left w:w="0" w:type="dxa"/>
          <w:bottom w:w="0" w:type="dxa"/>
          <w:right w:w="0" w:type="dxa"/>
        </w:tblCellMar>
      </w:tblPr>
      <w:tblGrid>
        <w:gridCol w:w="140"/>
        <w:gridCol w:w="2210"/>
      </w:tblGrid>
      <w:tr>
        <w:trPr/>
        <w:tc>
          <w:tcPr>
            <w:tcW w:w="140" w:type="dxa"/>
            <w:tcBorders/>
            <w:vAlign w:val="center"/>
          </w:tcPr>
          <w:p>
            <w:pPr>
              <w:pStyle w:val="TableContents"/>
              <w:bidi w:val="0"/>
              <w:spacing w:before="0" w:after="0"/>
              <w:jc w:val="left"/>
              <w:rPr>
                <w:color w:val="000000"/>
              </w:rPr>
            </w:pPr>
            <w:r>
              <w:rPr>
                <w:color w:val="000000"/>
              </w:rPr>
              <w:t>•</w:t>
            </w:r>
          </w:p>
        </w:tc>
        <w:tc>
          <w:tcPr>
            <w:tcW w:w="221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International experience </w:t>
            </w:r>
          </w:p>
        </w:tc>
      </w:tr>
    </w:tbl>
    <w:tbl>
      <w:tblPr>
        <w:tblW w:w="5350" w:type="dxa"/>
        <w:jc w:val="left"/>
        <w:tblInd w:w="0" w:type="dxa"/>
        <w:tblLayout w:type="fixed"/>
        <w:tblCellMar>
          <w:top w:w="0" w:type="dxa"/>
          <w:left w:w="0" w:type="dxa"/>
          <w:bottom w:w="0" w:type="dxa"/>
          <w:right w:w="0" w:type="dxa"/>
        </w:tblCellMar>
      </w:tblPr>
      <w:tblGrid>
        <w:gridCol w:w="140"/>
        <w:gridCol w:w="5210"/>
      </w:tblGrid>
      <w:tr>
        <w:trPr/>
        <w:tc>
          <w:tcPr>
            <w:tcW w:w="140" w:type="dxa"/>
            <w:tcBorders/>
            <w:vAlign w:val="center"/>
          </w:tcPr>
          <w:p>
            <w:pPr>
              <w:pStyle w:val="TableContents"/>
              <w:bidi w:val="0"/>
              <w:spacing w:before="0" w:after="0"/>
              <w:jc w:val="left"/>
              <w:rPr>
                <w:color w:val="000000"/>
              </w:rPr>
            </w:pPr>
            <w:r>
              <w:rPr>
                <w:color w:val="000000"/>
              </w:rPr>
              <w:t>•</w:t>
            </w:r>
          </w:p>
        </w:tc>
        <w:tc>
          <w:tcPr>
            <w:tcW w:w="521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Executive management experience and financial expertise </w:t>
            </w:r>
          </w:p>
        </w:tc>
      </w:tr>
    </w:tbl>
    <w:tbl>
      <w:tblPr>
        <w:tblW w:w="2800" w:type="dxa"/>
        <w:jc w:val="left"/>
        <w:tblInd w:w="0" w:type="dxa"/>
        <w:tblLayout w:type="fixed"/>
        <w:tblCellMar>
          <w:top w:w="0" w:type="dxa"/>
          <w:left w:w="0" w:type="dxa"/>
          <w:bottom w:w="0" w:type="dxa"/>
          <w:right w:w="0" w:type="dxa"/>
        </w:tblCellMar>
      </w:tblPr>
      <w:tblGrid>
        <w:gridCol w:w="140"/>
        <w:gridCol w:w="2660"/>
      </w:tblGrid>
      <w:tr>
        <w:trPr/>
        <w:tc>
          <w:tcPr>
            <w:tcW w:w="140" w:type="dxa"/>
            <w:tcBorders/>
            <w:vAlign w:val="center"/>
          </w:tcPr>
          <w:p>
            <w:pPr>
              <w:pStyle w:val="TableContents"/>
              <w:bidi w:val="0"/>
              <w:spacing w:before="0" w:after="0"/>
              <w:jc w:val="left"/>
              <w:rPr>
                <w:color w:val="000000"/>
              </w:rPr>
            </w:pPr>
            <w:r>
              <w:rPr>
                <w:color w:val="000000"/>
              </w:rPr>
              <w:t>•</w:t>
            </w:r>
          </w:p>
        </w:tc>
        <w:tc>
          <w:tcPr>
            <w:tcW w:w="266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Diverse personal background </w:t>
            </w:r>
          </w:p>
        </w:tc>
      </w:tr>
    </w:tbl>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8</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1" w:name="ny20066167x1_def14a_105-prop1_pg3"/>
        <w:bookmarkEnd w:id="21"/>
        <w:r>
          <w:rPr>
            <w:rStyle w:val="InternetLink"/>
            <w:rFonts w:ascii="Times New Roman;Times;Serif" w:hAnsi="Times New Roman;Times;Serif"/>
            <w:b/>
            <w:caps w:val="false"/>
            <w:smallCaps w:val="false"/>
            <w:color w:val="000000"/>
            <w:sz w:val="16"/>
          </w:rPr>
          <w:t>TABLE OF CONTENTS</w:t>
        </w:r>
      </w:hyperlink>
    </w:p>
    <w:tbl>
      <w:tblPr>
        <w:tblW w:w="3220" w:type="dxa"/>
        <w:jc w:val="left"/>
        <w:tblInd w:w="0" w:type="dxa"/>
        <w:tblLayout w:type="fixed"/>
        <w:tblCellMar>
          <w:top w:w="0" w:type="dxa"/>
          <w:left w:w="0" w:type="dxa"/>
          <w:bottom w:w="0" w:type="dxa"/>
          <w:right w:w="0" w:type="dxa"/>
        </w:tblCellMar>
      </w:tblPr>
      <w:tblGrid>
        <w:gridCol w:w="140"/>
        <w:gridCol w:w="3080"/>
      </w:tblGrid>
      <w:tr>
        <w:trPr/>
        <w:tc>
          <w:tcPr>
            <w:tcW w:w="140" w:type="dxa"/>
            <w:tcBorders/>
            <w:vAlign w:val="center"/>
          </w:tcPr>
          <w:p>
            <w:pPr>
              <w:pStyle w:val="TableContents"/>
              <w:bidi w:val="0"/>
              <w:spacing w:before="0" w:after="0"/>
              <w:jc w:val="left"/>
              <w:rPr>
                <w:color w:val="000000"/>
              </w:rPr>
            </w:pPr>
            <w:r>
              <w:rPr>
                <w:color w:val="000000"/>
              </w:rPr>
              <w:t>•</w:t>
            </w:r>
          </w:p>
        </w:tc>
        <w:tc>
          <w:tcPr>
            <w:tcW w:w="30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Public company board experience </w:t>
            </w:r>
          </w:p>
        </w:tc>
      </w:tr>
    </w:tbl>
    <w:p>
      <w:pPr>
        <w:pStyle w:val="TextBody"/>
        <w:bidi w:val="0"/>
        <w:spacing w:before="240" w:after="283"/>
        <w:ind w:left="0" w:right="0" w:hanging="0"/>
        <w:jc w:val="left"/>
        <w:rPr>
          <w:rFonts w:ascii="Arial;Helvetica;sans-serif" w:hAnsi="Arial;Helvetica;sans-serif"/>
          <w:b/>
          <w:i/>
          <w:color w:val="000000"/>
          <w:sz w:val="24"/>
        </w:rPr>
      </w:pPr>
      <w:r>
        <w:rPr>
          <w:rFonts w:ascii="Arial;Helvetica;sans-serif" w:hAnsi="Arial;Helvetica;sans-serif"/>
          <w:b/>
          <w:i/>
          <w:color w:val="000000"/>
          <w:sz w:val="24"/>
        </w:rPr>
        <w:t xml:space="preserve">GLENN LURIE </w:t>
      </w:r>
    </w:p>
    <w:p>
      <w:pPr>
        <w:pStyle w:val="TextBody"/>
        <w:bidi w:val="0"/>
        <w:spacing w:before="14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Board Committees: Audit (Chair), Compensation </w:t>
      </w:r>
    </w:p>
    <w:p>
      <w:pPr>
        <w:pStyle w:val="TextBody"/>
        <w:bidi w:val="0"/>
        <w:spacing w:before="160" w:after="283"/>
        <w:ind w:left="0" w:right="0" w:hanging="0"/>
        <w:jc w:val="both"/>
        <w:rPr>
          <w:rFonts w:ascii="Arial;Helvetica;sans-serif" w:hAnsi="Arial;Helvetica;sans-serif"/>
          <w:b/>
          <w:color w:val="000000"/>
          <w:sz w:val="20"/>
        </w:rPr>
      </w:pPr>
      <w:r>
        <w:rPr>
          <w:rFonts w:ascii="Arial;Helvetica;sans-serif" w:hAnsi="Arial;Helvetica;sans-serif"/>
          <w:b/>
          <w:color w:val="000000"/>
          <w:sz w:val="20"/>
        </w:rPr>
        <w:t>Mr. Lurie</w:t>
      </w:r>
      <w:r>
        <w:rPr>
          <w:rFonts w:ascii="Arial;Helvetica;sans-serif" w:hAnsi="Arial;Helvetica;sans-serif"/>
          <w:b w:val="false"/>
          <w:color w:val="000000"/>
          <w:sz w:val="20"/>
        </w:rPr>
        <w:t xml:space="preserve">, age 60, has been a director since May 2018. Since August 2021, Mr. Lurie has served as General Partner at Stormbreaker Ventures, an early-stage fund focused on capital-efficient startups. Mr. Lurie was the President and Chief Executive Officer of Synchronoss Technologies, Inc. from 2017 to 2020. Prior to joining Synchronoss, Mr. Lurie was employed by AT&amp;T for 27+ years and was President and Chief Executive Officer of AT&amp;T Mobility and Consumer Operations when he retired in September of 2017. Mr. Lurie helped usher in the smartphone era by leading negotiations for AT&amp;T with Apple for the first iPhone and then for the first iPad. He built three groundbreaking businesses at AT&amp;T: IoT (Internet of Things) business – bringing wireless connectivity to tablets, cars, connected cities and consumer electronics; Digital Life – AT&amp;T’s home automation and security business; and the launch of Aio Wireless – now Cricket Wireless, the company’s industry-leading prepaid flanker brand. At AT&amp;T, Mr. Lurie served in a variety of leadership roles, including as President and Chief Executive Officer of Mobility and Consumer Operations from 2016 to 2017, President and Chief Executive Officer of AT&amp;T Mobility from 2014 to 2016, President of Emerging Enterprises and Partnerships Organization from 2011 to 2014 and President of Emerging Devices Organization (now IoT Organization) from 2008 to 2011. Mr. Lurie previously served as a director of Synchronoss, which files reports pursuant to the Exchange Act. Mr. Lurie also serves as a director of Teal Communications, a global eSIM and IoT connectivity platform provider; Blue Link Wireless, an AT&amp;T Authorized Dealer and service provider; and Pivotal Commware, Inc., which develops 5G network platforms, services and applications. </w:t>
      </w:r>
    </w:p>
    <w:p>
      <w:pPr>
        <w:pStyle w:val="TextBody"/>
        <w:bidi w:val="0"/>
        <w:spacing w:before="40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Specific Qualifications, Attributes, Skills and Experience: </w:t>
      </w:r>
    </w:p>
    <w:tbl>
      <w:tblPr>
        <w:tblW w:w="3310" w:type="dxa"/>
        <w:jc w:val="left"/>
        <w:tblInd w:w="0" w:type="dxa"/>
        <w:tblLayout w:type="fixed"/>
        <w:tblCellMar>
          <w:top w:w="0" w:type="dxa"/>
          <w:left w:w="0" w:type="dxa"/>
          <w:bottom w:w="0" w:type="dxa"/>
          <w:right w:w="0" w:type="dxa"/>
        </w:tblCellMar>
      </w:tblPr>
      <w:tblGrid>
        <w:gridCol w:w="140"/>
        <w:gridCol w:w="3170"/>
      </w:tblGrid>
      <w:tr>
        <w:trPr/>
        <w:tc>
          <w:tcPr>
            <w:tcW w:w="140" w:type="dxa"/>
            <w:tcBorders/>
            <w:vAlign w:val="center"/>
          </w:tcPr>
          <w:p>
            <w:pPr>
              <w:pStyle w:val="TableContents"/>
              <w:bidi w:val="0"/>
              <w:spacing w:before="0" w:after="0"/>
              <w:jc w:val="left"/>
              <w:rPr>
                <w:color w:val="000000"/>
              </w:rPr>
            </w:pPr>
            <w:r>
              <w:rPr>
                <w:color w:val="000000"/>
              </w:rPr>
              <w:t>•</w:t>
            </w:r>
          </w:p>
        </w:tc>
        <w:tc>
          <w:tcPr>
            <w:tcW w:w="317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Chief Executive Officer experience </w:t>
            </w:r>
          </w:p>
        </w:tc>
      </w:tr>
    </w:tbl>
    <w:tbl>
      <w:tblPr>
        <w:tblW w:w="6580" w:type="dxa"/>
        <w:jc w:val="left"/>
        <w:tblInd w:w="0" w:type="dxa"/>
        <w:tblLayout w:type="fixed"/>
        <w:tblCellMar>
          <w:top w:w="0" w:type="dxa"/>
          <w:left w:w="0" w:type="dxa"/>
          <w:bottom w:w="0" w:type="dxa"/>
          <w:right w:w="0" w:type="dxa"/>
        </w:tblCellMar>
      </w:tblPr>
      <w:tblGrid>
        <w:gridCol w:w="140"/>
        <w:gridCol w:w="6440"/>
      </w:tblGrid>
      <w:tr>
        <w:trPr/>
        <w:tc>
          <w:tcPr>
            <w:tcW w:w="140" w:type="dxa"/>
            <w:tcBorders/>
            <w:vAlign w:val="center"/>
          </w:tcPr>
          <w:p>
            <w:pPr>
              <w:pStyle w:val="TableContents"/>
              <w:bidi w:val="0"/>
              <w:spacing w:before="0" w:after="0"/>
              <w:jc w:val="left"/>
              <w:rPr>
                <w:color w:val="000000"/>
              </w:rPr>
            </w:pPr>
            <w:r>
              <w:rPr>
                <w:color w:val="000000"/>
              </w:rPr>
              <w:t>•</w:t>
            </w:r>
          </w:p>
        </w:tc>
        <w:tc>
          <w:tcPr>
            <w:tcW w:w="644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Technology, operations, strategy, and business development experience </w:t>
            </w:r>
          </w:p>
        </w:tc>
      </w:tr>
    </w:tbl>
    <w:tbl>
      <w:tblPr>
        <w:tblW w:w="2485" w:type="dxa"/>
        <w:jc w:val="left"/>
        <w:tblInd w:w="0" w:type="dxa"/>
        <w:tblLayout w:type="fixed"/>
        <w:tblCellMar>
          <w:top w:w="0" w:type="dxa"/>
          <w:left w:w="0" w:type="dxa"/>
          <w:bottom w:w="0" w:type="dxa"/>
          <w:right w:w="0" w:type="dxa"/>
        </w:tblCellMar>
      </w:tblPr>
      <w:tblGrid>
        <w:gridCol w:w="140"/>
        <w:gridCol w:w="2345"/>
      </w:tblGrid>
      <w:tr>
        <w:trPr/>
        <w:tc>
          <w:tcPr>
            <w:tcW w:w="140" w:type="dxa"/>
            <w:tcBorders/>
            <w:vAlign w:val="center"/>
          </w:tcPr>
          <w:p>
            <w:pPr>
              <w:pStyle w:val="TableContents"/>
              <w:bidi w:val="0"/>
              <w:spacing w:before="0" w:after="0"/>
              <w:jc w:val="left"/>
              <w:rPr>
                <w:color w:val="000000"/>
              </w:rPr>
            </w:pPr>
            <w:r>
              <w:rPr>
                <w:color w:val="000000"/>
              </w:rPr>
              <w:t>•</w:t>
            </w:r>
          </w:p>
        </w:tc>
        <w:tc>
          <w:tcPr>
            <w:tcW w:w="234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Cybersecurity experience </w:t>
            </w:r>
          </w:p>
        </w:tc>
      </w:tr>
    </w:tbl>
    <w:tbl>
      <w:tblPr>
        <w:tblW w:w="3220" w:type="dxa"/>
        <w:jc w:val="left"/>
        <w:tblInd w:w="0" w:type="dxa"/>
        <w:tblLayout w:type="fixed"/>
        <w:tblCellMar>
          <w:top w:w="0" w:type="dxa"/>
          <w:left w:w="0" w:type="dxa"/>
          <w:bottom w:w="0" w:type="dxa"/>
          <w:right w:w="0" w:type="dxa"/>
        </w:tblCellMar>
      </w:tblPr>
      <w:tblGrid>
        <w:gridCol w:w="140"/>
        <w:gridCol w:w="3080"/>
      </w:tblGrid>
      <w:tr>
        <w:trPr/>
        <w:tc>
          <w:tcPr>
            <w:tcW w:w="140" w:type="dxa"/>
            <w:tcBorders/>
            <w:vAlign w:val="center"/>
          </w:tcPr>
          <w:p>
            <w:pPr>
              <w:pStyle w:val="TableContents"/>
              <w:bidi w:val="0"/>
              <w:spacing w:before="0" w:after="0"/>
              <w:jc w:val="left"/>
              <w:rPr>
                <w:color w:val="000000"/>
              </w:rPr>
            </w:pPr>
            <w:r>
              <w:rPr>
                <w:color w:val="000000"/>
              </w:rPr>
              <w:t>•</w:t>
            </w:r>
          </w:p>
        </w:tc>
        <w:tc>
          <w:tcPr>
            <w:tcW w:w="30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Public company board experience </w:t>
            </w:r>
          </w:p>
        </w:tc>
      </w:tr>
    </w:tbl>
    <w:p>
      <w:pPr>
        <w:pStyle w:val="TextBody"/>
        <w:bidi w:val="0"/>
        <w:spacing w:before="240" w:after="283"/>
        <w:ind w:left="0" w:right="0" w:hanging="0"/>
        <w:jc w:val="left"/>
        <w:rPr>
          <w:rFonts w:ascii="Arial;Helvetica;sans-serif" w:hAnsi="Arial;Helvetica;sans-serif"/>
          <w:b/>
          <w:i/>
          <w:color w:val="000000"/>
          <w:sz w:val="24"/>
        </w:rPr>
      </w:pPr>
      <w:r>
        <w:rPr>
          <w:rFonts w:ascii="Arial;Helvetica;sans-serif" w:hAnsi="Arial;Helvetica;sans-serif"/>
          <w:b/>
          <w:i/>
          <w:color w:val="000000"/>
          <w:sz w:val="24"/>
        </w:rPr>
        <w:t xml:space="preserve">KARTHIK SARMA </w:t>
      </w:r>
    </w:p>
    <w:p>
      <w:pPr>
        <w:pStyle w:val="TextBody"/>
        <w:bidi w:val="0"/>
        <w:spacing w:before="14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Board Committees: Compensation (Chair), Corporate Governance </w:t>
      </w:r>
    </w:p>
    <w:p>
      <w:pPr>
        <w:pStyle w:val="TextBody"/>
        <w:bidi w:val="0"/>
        <w:spacing w:before="160" w:after="283"/>
        <w:ind w:left="0" w:right="0" w:hanging="0"/>
        <w:jc w:val="both"/>
        <w:rPr>
          <w:rFonts w:ascii="Arial;Helvetica;sans-serif" w:hAnsi="Arial;Helvetica;sans-serif"/>
          <w:b/>
          <w:color w:val="000000"/>
          <w:sz w:val="20"/>
        </w:rPr>
      </w:pPr>
      <w:r>
        <w:rPr>
          <w:rFonts w:ascii="Arial;Helvetica;sans-serif" w:hAnsi="Arial;Helvetica;sans-serif"/>
          <w:b/>
          <w:color w:val="000000"/>
          <w:sz w:val="20"/>
        </w:rPr>
        <w:t>Mr. Sarma</w:t>
      </w:r>
      <w:r>
        <w:rPr>
          <w:rFonts w:ascii="Arial;Helvetica;sans-serif" w:hAnsi="Arial;Helvetica;sans-serif"/>
          <w:b w:val="false"/>
          <w:color w:val="000000"/>
          <w:sz w:val="20"/>
        </w:rPr>
        <w:t xml:space="preserve">, age 51, has been a director since May 2020. Mr. Sarma is the Managing Partner at SRS, which he founded in 2006. Prior to founding SRS, Mr. Sarma was a Managing Director at Tiger Global Management, LLC, which he joined within a few months of its launch in 2001. Prior to joining Tiger Global, Mr. Sarma worked as a consultant at McKinsey &amp; Company in its New York office. Mr. Sarma received a Bachelor of Technology from the Indian Institute of Technology, Chennai and an M.S. from Princeton University. </w:t>
      </w:r>
    </w:p>
    <w:p>
      <w:pPr>
        <w:pStyle w:val="TextBody"/>
        <w:bidi w:val="0"/>
        <w:spacing w:before="40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Specific Qualifications, Attributes, Skills and Experience: </w:t>
      </w:r>
    </w:p>
    <w:tbl>
      <w:tblPr>
        <w:tblW w:w="3400" w:type="dxa"/>
        <w:jc w:val="left"/>
        <w:tblInd w:w="0" w:type="dxa"/>
        <w:tblLayout w:type="fixed"/>
        <w:tblCellMar>
          <w:top w:w="0" w:type="dxa"/>
          <w:left w:w="0" w:type="dxa"/>
          <w:bottom w:w="0" w:type="dxa"/>
          <w:right w:w="0" w:type="dxa"/>
        </w:tblCellMar>
      </w:tblPr>
      <w:tblGrid>
        <w:gridCol w:w="140"/>
        <w:gridCol w:w="3260"/>
      </w:tblGrid>
      <w:tr>
        <w:trPr/>
        <w:tc>
          <w:tcPr>
            <w:tcW w:w="140" w:type="dxa"/>
            <w:tcBorders/>
            <w:vAlign w:val="center"/>
          </w:tcPr>
          <w:p>
            <w:pPr>
              <w:pStyle w:val="TableContents"/>
              <w:bidi w:val="0"/>
              <w:spacing w:before="0" w:after="0"/>
              <w:jc w:val="left"/>
              <w:rPr>
                <w:color w:val="000000"/>
              </w:rPr>
            </w:pPr>
            <w:r>
              <w:rPr>
                <w:color w:val="000000"/>
              </w:rPr>
              <w:t>•</w:t>
            </w:r>
          </w:p>
        </w:tc>
        <w:tc>
          <w:tcPr>
            <w:tcW w:w="326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Experience in the technology sector </w:t>
            </w:r>
          </w:p>
        </w:tc>
      </w:tr>
    </w:tbl>
    <w:tbl>
      <w:tblPr>
        <w:tblW w:w="3310" w:type="dxa"/>
        <w:jc w:val="left"/>
        <w:tblInd w:w="0" w:type="dxa"/>
        <w:tblLayout w:type="fixed"/>
        <w:tblCellMar>
          <w:top w:w="0" w:type="dxa"/>
          <w:left w:w="0" w:type="dxa"/>
          <w:bottom w:w="0" w:type="dxa"/>
          <w:right w:w="0" w:type="dxa"/>
        </w:tblCellMar>
      </w:tblPr>
      <w:tblGrid>
        <w:gridCol w:w="140"/>
        <w:gridCol w:w="3170"/>
      </w:tblGrid>
      <w:tr>
        <w:trPr/>
        <w:tc>
          <w:tcPr>
            <w:tcW w:w="140" w:type="dxa"/>
            <w:tcBorders/>
            <w:vAlign w:val="center"/>
          </w:tcPr>
          <w:p>
            <w:pPr>
              <w:pStyle w:val="TableContents"/>
              <w:bidi w:val="0"/>
              <w:spacing w:before="0" w:after="0"/>
              <w:jc w:val="left"/>
              <w:rPr>
                <w:color w:val="000000"/>
              </w:rPr>
            </w:pPr>
            <w:r>
              <w:rPr>
                <w:color w:val="000000"/>
              </w:rPr>
              <w:t>•</w:t>
            </w:r>
          </w:p>
        </w:tc>
        <w:tc>
          <w:tcPr>
            <w:tcW w:w="317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Financial and investment expertise </w:t>
            </w:r>
          </w:p>
        </w:tc>
      </w:tr>
    </w:tbl>
    <w:tbl>
      <w:tblPr>
        <w:tblW w:w="4915" w:type="dxa"/>
        <w:jc w:val="left"/>
        <w:tblInd w:w="0" w:type="dxa"/>
        <w:tblLayout w:type="fixed"/>
        <w:tblCellMar>
          <w:top w:w="0" w:type="dxa"/>
          <w:left w:w="0" w:type="dxa"/>
          <w:bottom w:w="0" w:type="dxa"/>
          <w:right w:w="0" w:type="dxa"/>
        </w:tblCellMar>
      </w:tblPr>
      <w:tblGrid>
        <w:gridCol w:w="140"/>
        <w:gridCol w:w="4775"/>
      </w:tblGrid>
      <w:tr>
        <w:trPr/>
        <w:tc>
          <w:tcPr>
            <w:tcW w:w="140" w:type="dxa"/>
            <w:tcBorders/>
            <w:vAlign w:val="center"/>
          </w:tcPr>
          <w:p>
            <w:pPr>
              <w:pStyle w:val="TableContents"/>
              <w:bidi w:val="0"/>
              <w:spacing w:before="0" w:after="0"/>
              <w:jc w:val="left"/>
              <w:rPr>
                <w:color w:val="000000"/>
              </w:rPr>
            </w:pPr>
            <w:r>
              <w:rPr>
                <w:color w:val="000000"/>
              </w:rPr>
              <w:t>•</w:t>
            </w:r>
          </w:p>
        </w:tc>
        <w:tc>
          <w:tcPr>
            <w:tcW w:w="47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Experience providing strategic and operational advice </w:t>
            </w:r>
          </w:p>
        </w:tc>
      </w:tr>
    </w:tbl>
    <w:tbl>
      <w:tblPr>
        <w:tblW w:w="2800" w:type="dxa"/>
        <w:jc w:val="left"/>
        <w:tblInd w:w="0" w:type="dxa"/>
        <w:tblLayout w:type="fixed"/>
        <w:tblCellMar>
          <w:top w:w="0" w:type="dxa"/>
          <w:left w:w="0" w:type="dxa"/>
          <w:bottom w:w="0" w:type="dxa"/>
          <w:right w:w="0" w:type="dxa"/>
        </w:tblCellMar>
      </w:tblPr>
      <w:tblGrid>
        <w:gridCol w:w="140"/>
        <w:gridCol w:w="2660"/>
      </w:tblGrid>
      <w:tr>
        <w:trPr/>
        <w:tc>
          <w:tcPr>
            <w:tcW w:w="140" w:type="dxa"/>
            <w:tcBorders/>
            <w:vAlign w:val="center"/>
          </w:tcPr>
          <w:p>
            <w:pPr>
              <w:pStyle w:val="TableContents"/>
              <w:bidi w:val="0"/>
              <w:spacing w:before="0" w:after="0"/>
              <w:jc w:val="left"/>
              <w:rPr>
                <w:color w:val="000000"/>
              </w:rPr>
            </w:pPr>
            <w:r>
              <w:rPr>
                <w:color w:val="000000"/>
              </w:rPr>
              <w:t>•</w:t>
            </w:r>
          </w:p>
        </w:tc>
        <w:tc>
          <w:tcPr>
            <w:tcW w:w="266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Diverse personal background </w:t>
            </w:r>
          </w:p>
        </w:tc>
      </w:tr>
    </w:tbl>
    <w:p>
      <w:pPr>
        <w:pStyle w:val="TextBody"/>
        <w:bidi w:val="0"/>
        <w:spacing w:before="400" w:after="283"/>
        <w:ind w:left="0" w:right="0" w:hanging="0"/>
        <w:jc w:val="left"/>
        <w:rPr>
          <w:rFonts w:ascii="Arial;Helvetica;sans-serif" w:hAnsi="Arial;Helvetica;sans-serif"/>
          <w:b/>
          <w:color w:val="000000"/>
          <w:sz w:val="28"/>
        </w:rPr>
      </w:pPr>
      <w:bookmarkStart w:id="22" w:name="tDNP"/>
      <w:bookmarkEnd w:id="22"/>
      <w:r>
        <w:rPr>
          <w:rFonts w:ascii="Arial;Helvetica;sans-serif" w:hAnsi="Arial;Helvetica;sans-serif"/>
          <w:b/>
          <w:color w:val="000000"/>
          <w:sz w:val="28"/>
        </w:rPr>
        <w:t xml:space="preserve">Director Nomination Process </w:t>
      </w:r>
    </w:p>
    <w:p>
      <w:pPr>
        <w:pStyle w:val="TextBody"/>
        <w:bidi w:val="0"/>
        <w:spacing w:before="160" w:after="283"/>
        <w:ind w:left="0" w:right="0" w:hanging="0"/>
        <w:jc w:val="both"/>
        <w:rPr/>
      </w:pPr>
      <w:r>
        <w:rPr>
          <w:rFonts w:ascii="Arial;Helvetica;sans-serif" w:hAnsi="Arial;Helvetica;sans-serif"/>
          <w:color w:val="000000"/>
          <w:sz w:val="20"/>
        </w:rPr>
        <w:t xml:space="preserve">For additional information regarding the director nomination process, please see the section titled “Director Nomination Procedures” on page </w:t>
      </w:r>
      <w:hyperlink w:anchor="tDRNPR">
        <w:r>
          <w:rPr>
            <w:rStyle w:val="InternetLink"/>
            <w:rFonts w:ascii="Arial;Helvetica;sans-serif" w:hAnsi="Arial;Helvetica;sans-serif"/>
            <w:color w:val="000080"/>
            <w:sz w:val="20"/>
          </w:rPr>
          <w:t>15</w:t>
        </w:r>
      </w:hyperlink>
      <w:r>
        <w:rPr>
          <w:rFonts w:ascii="Arial;Helvetica;sans-serif" w:hAnsi="Arial;Helvetica;sans-serif"/>
          <w:color w:val="000000"/>
          <w:sz w:val="20"/>
        </w:rPr>
        <w:t xml:space="preserve"> of this Proxy Statement. </w:t>
      </w:r>
    </w:p>
    <w:p>
      <w:pPr>
        <w:pStyle w:val="TextBody"/>
        <w:bidi w:val="0"/>
        <w:spacing w:before="400" w:after="283"/>
        <w:jc w:val="center"/>
        <w:rPr>
          <w:rFonts w:ascii="Arial;Helvetica;sans-serif" w:hAnsi="Arial;Helvetica;sans-serif"/>
          <w:b/>
          <w:color w:val="000000"/>
          <w:sz w:val="24"/>
        </w:rPr>
      </w:pPr>
      <w:r>
        <w:rPr>
          <w:rFonts w:ascii="Arial;Helvetica;sans-serif" w:hAnsi="Arial;Helvetica;sans-serif"/>
          <w:b/>
          <w:color w:val="000000"/>
          <w:sz w:val="24"/>
        </w:rPr>
        <w:t xml:space="preserve">THE BOARD OF DIRECTORS RECOMMENDS A VOTE “FOR ALL” OF THE NOMINEES.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9</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3" w:name="ny20066167x1_def14a_105-prop1_pg4"/>
        <w:bookmarkEnd w:id="23"/>
        <w:r>
          <w:rPr>
            <w:rStyle w:val="InternetLink"/>
            <w:rFonts w:ascii="Times New Roman;Times;Serif" w:hAnsi="Times New Roman;Times;Serif"/>
            <w:b/>
            <w:caps w:val="false"/>
            <w:smallCaps w:val="false"/>
            <w:color w:val="000000"/>
            <w:sz w:val="16"/>
          </w:rPr>
          <w:t>TABLE OF CONTENTS</w:t>
        </w:r>
      </w:hyperlink>
    </w:p>
    <w:p>
      <w:pPr>
        <w:pStyle w:val="TextBody"/>
        <w:bidi w:val="0"/>
        <w:spacing w:before="270" w:after="283"/>
        <w:ind w:left="0" w:right="0" w:hanging="0"/>
        <w:jc w:val="left"/>
        <w:rPr>
          <w:rFonts w:ascii="Arial;Helvetica;sans-serif" w:hAnsi="Arial;Helvetica;sans-serif"/>
          <w:color w:val="000000"/>
          <w:sz w:val="40"/>
        </w:rPr>
      </w:pPr>
      <w:bookmarkStart w:id="24" w:name="tCGE"/>
      <w:bookmarkEnd w:id="24"/>
      <w:r>
        <w:rPr>
          <w:rFonts w:ascii="Arial;Helvetica;sans-serif" w:hAnsi="Arial;Helvetica;sans-serif"/>
          <w:color w:val="000000"/>
          <w:sz w:val="40"/>
        </w:rPr>
        <w:t xml:space="preserve">Corporate Governance </w:t>
      </w:r>
    </w:p>
    <w:p>
      <w:pPr>
        <w:pStyle w:val="TextBody"/>
        <w:bidi w:val="0"/>
        <w:spacing w:before="290" w:after="283"/>
        <w:ind w:left="0" w:right="0" w:hanging="0"/>
        <w:jc w:val="left"/>
        <w:rPr>
          <w:rFonts w:ascii="Arial;Helvetica;sans-serif" w:hAnsi="Arial;Helvetica;sans-serif"/>
          <w:b/>
          <w:color w:val="000000"/>
          <w:sz w:val="28"/>
        </w:rPr>
      </w:pPr>
      <w:bookmarkStart w:id="25" w:name="tFMB"/>
      <w:bookmarkEnd w:id="25"/>
      <w:r>
        <w:rPr>
          <w:rFonts w:ascii="Arial;Helvetica;sans-serif" w:hAnsi="Arial;Helvetica;sans-serif"/>
          <w:b/>
          <w:color w:val="000000"/>
          <w:sz w:val="28"/>
        </w:rPr>
        <w:t xml:space="preserve">Functions and Meetings of the Board of Directors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Company’s corporate governance guidelines, committee charters, codes of conduct and other documents setting forth the Company’s corporate governance practices can be accessed in the “Investors—Governance” section of the Company’s website at </w:t>
      </w:r>
      <w:r>
        <w:rPr>
          <w:rFonts w:ascii="Arial;Helvetica;sans-serif" w:hAnsi="Arial;Helvetica;sans-serif"/>
          <w:i/>
          <w:color w:val="000000"/>
          <w:sz w:val="20"/>
        </w:rPr>
        <w:t>www.avisbudgetgroup.com</w:t>
      </w:r>
      <w:r>
        <w:rPr>
          <w:rFonts w:ascii="Arial;Helvetica;sans-serif" w:hAnsi="Arial;Helvetica;sans-serif"/>
          <w:color w:val="000000"/>
          <w:sz w:val="20"/>
        </w:rPr>
        <w:t>.</w:t>
      </w:r>
    </w:p>
    <w:p>
      <w:pPr>
        <w:pStyle w:val="TextBody"/>
        <w:bidi w:val="0"/>
        <w:spacing w:before="250" w:after="283"/>
        <w:ind w:left="0" w:right="0" w:hanging="0"/>
        <w:jc w:val="left"/>
        <w:rPr>
          <w:rFonts w:ascii="Arial;Helvetica;sans-serif" w:hAnsi="Arial;Helvetica;sans-serif"/>
          <w:b/>
          <w:color w:val="000000"/>
          <w:sz w:val="24"/>
        </w:rPr>
      </w:pPr>
      <w:bookmarkStart w:id="26" w:name="tDID"/>
      <w:bookmarkEnd w:id="26"/>
      <w:r>
        <w:rPr>
          <w:rFonts w:ascii="Arial;Helvetica;sans-serif" w:hAnsi="Arial;Helvetica;sans-serif"/>
          <w:b/>
          <w:color w:val="000000"/>
          <w:sz w:val="24"/>
        </w:rPr>
        <w:t xml:space="preserve">Director Independence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To determine director independence, our Board of Directors reviews, among other things, commercial and charitable relationships of each director to evaluate such director’s independence in accordance with the listing standards of the Nasdaq Stock Market LLC (“Nasdaq”). In conducting its review, the Board of Directors considers a number of factors, including the director’s and his or her family members’ relationships with the Company and its subsidiaries, affiliates, executive officers and auditors and his or her relationships with foundations, universities and other non-profit organizations to which the Company has made a certain level of contributions during the past three years. </w:t>
      </w:r>
    </w:p>
    <w:p>
      <w:pPr>
        <w:pStyle w:val="TextBody"/>
        <w:bidi w:val="0"/>
        <w:spacing w:before="400" w:after="283"/>
        <w:jc w:val="center"/>
        <w:rPr>
          <w:rFonts w:ascii="Arial;Helvetica;sans-serif" w:hAnsi="Arial;Helvetica;sans-serif"/>
          <w:b/>
          <w:color w:val="000000"/>
          <w:sz w:val="20"/>
        </w:rPr>
      </w:pPr>
      <w:r>
        <w:rPr>
          <w:rFonts w:ascii="Arial;Helvetica;sans-serif" w:hAnsi="Arial;Helvetica;sans-serif"/>
          <w:b/>
          <w:color w:val="000000"/>
          <w:sz w:val="20"/>
        </w:rPr>
        <w:t xml:space="preserve">Independent Nominees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After evaluating the factors described above, the Board of Directors has affirmatively determined that each of the following director nominees is independent in accordance with Nasdaq rules. </w:t>
      </w:r>
    </w:p>
    <w:tbl>
      <w:tblPr>
        <w:tblW w:w="3450" w:type="dxa"/>
        <w:jc w:val="left"/>
        <w:tblInd w:w="0" w:type="dxa"/>
        <w:tblLayout w:type="fixed"/>
        <w:tblCellMar>
          <w:top w:w="0" w:type="dxa"/>
          <w:left w:w="0" w:type="dxa"/>
          <w:bottom w:w="0" w:type="dxa"/>
          <w:right w:w="0" w:type="dxa"/>
        </w:tblCellMar>
      </w:tblPr>
      <w:tblGrid>
        <w:gridCol w:w="185"/>
        <w:gridCol w:w="1355"/>
        <w:gridCol w:w="170"/>
        <w:gridCol w:w="170"/>
        <w:gridCol w:w="1355"/>
        <w:gridCol w:w="215"/>
      </w:tblGrid>
      <w:tr>
        <w:trPr/>
        <w:tc>
          <w:tcPr>
            <w:tcW w:w="185"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Lynn Krominga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Karthik Sarma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Glenn Lurie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Anu Hariharan</w:t>
            </w:r>
          </w:p>
        </w:tc>
        <w:tc>
          <w:tcPr>
            <w:tcW w:w="215"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Board has determined that Mr. Hees is not independent because he previously served as Executive Chairman of the Board until May 2024 and that Mr. Pahwa is not independent because of his current status as Executive Chairman of the Board and because his brother-in-law is a partner at Deloitte Haskins &amp; Sells LLP, which is affiliated with Deloitte &amp; Touche, LLP, our independent auditor. All of the directors currently serving on our Corporate Governance Committee, Compensation Committee, and Audit Committee are independent based upon Nasdaq corporate governance listing standards and applicable rules of the SEC. </w:t>
      </w:r>
    </w:p>
    <w:p>
      <w:pPr>
        <w:pStyle w:val="TextBody"/>
        <w:bidi w:val="0"/>
        <w:spacing w:before="240" w:after="283"/>
        <w:ind w:left="0" w:right="0" w:hanging="0"/>
        <w:jc w:val="left"/>
        <w:rPr>
          <w:rFonts w:ascii="Arial;Helvetica;sans-serif" w:hAnsi="Arial;Helvetica;sans-serif"/>
          <w:b/>
          <w:color w:val="000000"/>
          <w:sz w:val="24"/>
        </w:rPr>
      </w:pPr>
      <w:bookmarkStart w:id="27" w:name="tBLS"/>
      <w:bookmarkEnd w:id="27"/>
      <w:r>
        <w:rPr>
          <w:rFonts w:ascii="Arial;Helvetica;sans-serif" w:hAnsi="Arial;Helvetica;sans-serif"/>
          <w:b/>
          <w:color w:val="000000"/>
          <w:sz w:val="24"/>
        </w:rPr>
        <w:t xml:space="preserve">Board Leadership Structure </w:t>
      </w:r>
    </w:p>
    <w:p>
      <w:pPr>
        <w:pStyle w:val="TextBody"/>
        <w:bidi w:val="0"/>
        <w:spacing w:before="18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Our current Board leadership structure consists of: </w:t>
      </w:r>
    </w:p>
    <w:tbl>
      <w:tblPr>
        <w:tblW w:w="4720" w:type="dxa"/>
        <w:jc w:val="left"/>
        <w:tblInd w:w="0" w:type="dxa"/>
        <w:tblLayout w:type="fixed"/>
        <w:tblCellMar>
          <w:top w:w="0" w:type="dxa"/>
          <w:left w:w="0" w:type="dxa"/>
          <w:bottom w:w="0" w:type="dxa"/>
          <w:right w:w="0" w:type="dxa"/>
        </w:tblCellMar>
      </w:tblPr>
      <w:tblGrid>
        <w:gridCol w:w="140"/>
        <w:gridCol w:w="4580"/>
      </w:tblGrid>
      <w:tr>
        <w:trPr/>
        <w:tc>
          <w:tcPr>
            <w:tcW w:w="140" w:type="dxa"/>
            <w:tcBorders/>
            <w:vAlign w:val="center"/>
          </w:tcPr>
          <w:p>
            <w:pPr>
              <w:pStyle w:val="TableContents"/>
              <w:bidi w:val="0"/>
              <w:spacing w:before="0" w:after="0"/>
              <w:jc w:val="left"/>
              <w:rPr>
                <w:color w:val="000000"/>
              </w:rPr>
            </w:pPr>
            <w:r>
              <w:rPr>
                <w:color w:val="000000"/>
              </w:rPr>
              <w:t>•</w:t>
            </w:r>
          </w:p>
        </w:tc>
        <w:tc>
          <w:tcPr>
            <w:tcW w:w="45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Executive Chairman of the Board: Jagdeep Pahwa; </w:t>
            </w:r>
          </w:p>
        </w:tc>
      </w:tr>
    </w:tbl>
    <w:tbl>
      <w:tblPr>
        <w:tblW w:w="4420" w:type="dxa"/>
        <w:jc w:val="left"/>
        <w:tblInd w:w="0" w:type="dxa"/>
        <w:tblLayout w:type="fixed"/>
        <w:tblCellMar>
          <w:top w:w="0" w:type="dxa"/>
          <w:left w:w="0" w:type="dxa"/>
          <w:bottom w:w="0" w:type="dxa"/>
          <w:right w:w="0" w:type="dxa"/>
        </w:tblCellMar>
      </w:tblPr>
      <w:tblGrid>
        <w:gridCol w:w="140"/>
        <w:gridCol w:w="4280"/>
      </w:tblGrid>
      <w:tr>
        <w:trPr/>
        <w:tc>
          <w:tcPr>
            <w:tcW w:w="140" w:type="dxa"/>
            <w:tcBorders/>
            <w:vAlign w:val="center"/>
          </w:tcPr>
          <w:p>
            <w:pPr>
              <w:pStyle w:val="TableContents"/>
              <w:bidi w:val="0"/>
              <w:spacing w:before="0" w:after="0"/>
              <w:jc w:val="left"/>
              <w:rPr>
                <w:color w:val="000000"/>
              </w:rPr>
            </w:pPr>
            <w:r>
              <w:rPr>
                <w:color w:val="000000"/>
              </w:rPr>
              <w:t>•</w:t>
            </w:r>
          </w:p>
        </w:tc>
        <w:tc>
          <w:tcPr>
            <w:tcW w:w="42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Lead Independent Director: Lynn Krominga; and </w:t>
            </w:r>
          </w:p>
        </w:tc>
      </w:tr>
    </w:tbl>
    <w:tbl>
      <w:tblPr>
        <w:tblW w:w="7240" w:type="dxa"/>
        <w:jc w:val="left"/>
        <w:tblInd w:w="0" w:type="dxa"/>
        <w:tblLayout w:type="fixed"/>
        <w:tblCellMar>
          <w:top w:w="0" w:type="dxa"/>
          <w:left w:w="0" w:type="dxa"/>
          <w:bottom w:w="0" w:type="dxa"/>
          <w:right w:w="0" w:type="dxa"/>
        </w:tblCellMar>
      </w:tblPr>
      <w:tblGrid>
        <w:gridCol w:w="140"/>
        <w:gridCol w:w="7100"/>
      </w:tblGrid>
      <w:tr>
        <w:trPr/>
        <w:tc>
          <w:tcPr>
            <w:tcW w:w="140" w:type="dxa"/>
            <w:tcBorders/>
            <w:vAlign w:val="center"/>
          </w:tcPr>
          <w:p>
            <w:pPr>
              <w:pStyle w:val="TableContents"/>
              <w:bidi w:val="0"/>
              <w:spacing w:before="0" w:after="0"/>
              <w:jc w:val="left"/>
              <w:rPr>
                <w:color w:val="000000"/>
              </w:rPr>
            </w:pPr>
            <w:r>
              <w:rPr>
                <w:color w:val="000000"/>
              </w:rPr>
              <w:t>•</w:t>
            </w:r>
          </w:p>
        </w:tc>
        <w:tc>
          <w:tcPr>
            <w:tcW w:w="710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Fully independent Compensation, Corporate Governance and Audit Committees. </w:t>
            </w:r>
          </w:p>
        </w:tc>
      </w:tr>
    </w:tbl>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Board of Directors is responsible for establishing and maintaining the most effective leadership structure for the Company. The Board regularly reviews its leadership structure to determine the most appropriate arrangement. The Board, which is comprised of individuals who have extensive experience with board processes, has determined that the current leadership structure, as described above, best serves the Company and its shareholders at this time.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roles of Chief Executive Officer and Chairman were separated in 2015. Mr. Pahwa was named Chairman of the Board in May 2024 and Executive Chairman in March 2025. Our Chairman is typically responsible for (i) in consultation with the Chief Executive Officer and other directors, collaboratively establishing the annual Board calendar, setting agendas for meetings of the Board and providing input as requested on the meeting agendas for the Board’s committees, (ii) leading the discussion at our Board meetings, (iii) chairing the annual meetings of our shareholders, (iv) being available in appropriate circumstances to speak on behalf of the Board and to consult and communicate directly with shareholders, (v) providing guidance and oversight to our management as appropriate, (vi) serving as the Board’s liaison to management, (vii) with management, exercising oversight of the Company’s strategic planning initiatives, M&amp;A opportunities and capital structure allocation policies, and (viii) performing such other duties as may be delegated by the Board from time to time.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Under the Company’s By-laws, the Board may elect one or more Vice Chairmen to preside at Board and shareholder meetings, in the absence of the Chairman of the Board, and to perform such other duties as may be delegated by the Board.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10</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8" w:name="ny20066167x1_def14a_105-prop1_pg5"/>
        <w:bookmarkEnd w:id="2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To maintain flexibility in carrying out its responsibility with respect to leadership structure, the Board does not currently have a requirement that the roles of Chief Executive Officer and Chairman of the Board be separated, or if separated, that the Chairman be independent. If the Chairman of the Board is not an independent director, the Board may, but is not required to, designate a Lead Independent Director. The Board believes it is in the best interest of our Company to make these determinations based on the position and direction of our Company and the constitution of the Board and management team from time to time, and accordingly the Board regularly evaluates the appropriateness of this structure to the Company and its strategy.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February 2024, the independent members of the Board appointed Ms. Krominga to serve as Lead Independent Director. The Lead Independent Director’s authority includes: </w:t>
      </w:r>
    </w:p>
    <w:tbl>
      <w:tblPr>
        <w:tblW w:w="6505" w:type="dxa"/>
        <w:jc w:val="left"/>
        <w:tblInd w:w="0" w:type="dxa"/>
        <w:tblLayout w:type="fixed"/>
        <w:tblCellMar>
          <w:top w:w="0" w:type="dxa"/>
          <w:left w:w="0" w:type="dxa"/>
          <w:bottom w:w="0" w:type="dxa"/>
          <w:right w:w="0" w:type="dxa"/>
        </w:tblCellMar>
      </w:tblPr>
      <w:tblGrid>
        <w:gridCol w:w="140"/>
        <w:gridCol w:w="6365"/>
      </w:tblGrid>
      <w:tr>
        <w:trPr/>
        <w:tc>
          <w:tcPr>
            <w:tcW w:w="140" w:type="dxa"/>
            <w:tcBorders/>
            <w:vAlign w:val="center"/>
          </w:tcPr>
          <w:p>
            <w:pPr>
              <w:pStyle w:val="TableContents"/>
              <w:bidi w:val="0"/>
              <w:spacing w:before="0" w:after="0"/>
              <w:jc w:val="left"/>
              <w:rPr>
                <w:color w:val="000000"/>
              </w:rPr>
            </w:pPr>
            <w:r>
              <w:rPr>
                <w:color w:val="000000"/>
              </w:rPr>
              <w:t>•</w:t>
            </w:r>
          </w:p>
        </w:tc>
        <w:tc>
          <w:tcPr>
            <w:tcW w:w="63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Serving as liaison between the Chairman and the independent directors; </w:t>
            </w:r>
          </w:p>
        </w:tc>
      </w:tr>
    </w:tbl>
    <w:tbl>
      <w:tblPr>
        <w:tblW w:w="9910" w:type="dxa"/>
        <w:jc w:val="left"/>
        <w:tblInd w:w="0" w:type="dxa"/>
        <w:tblLayout w:type="fixed"/>
        <w:tblCellMar>
          <w:top w:w="0" w:type="dxa"/>
          <w:left w:w="0" w:type="dxa"/>
          <w:bottom w:w="0" w:type="dxa"/>
          <w:right w:w="0" w:type="dxa"/>
        </w:tblCellMar>
      </w:tblPr>
      <w:tblGrid>
        <w:gridCol w:w="140"/>
        <w:gridCol w:w="9770"/>
      </w:tblGrid>
      <w:tr>
        <w:trPr/>
        <w:tc>
          <w:tcPr>
            <w:tcW w:w="140" w:type="dxa"/>
            <w:tcBorders/>
            <w:vAlign w:val="center"/>
          </w:tcPr>
          <w:p>
            <w:pPr>
              <w:pStyle w:val="TableContents"/>
              <w:bidi w:val="0"/>
              <w:spacing w:before="0" w:after="0"/>
              <w:jc w:val="left"/>
              <w:rPr>
                <w:color w:val="000000"/>
              </w:rPr>
            </w:pPr>
            <w:r>
              <w:rPr>
                <w:color w:val="000000"/>
              </w:rPr>
              <w:t>•</w:t>
            </w:r>
          </w:p>
        </w:tc>
        <w:tc>
          <w:tcPr>
            <w:tcW w:w="977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Approving the type of information sent to the Board, and consulting with directors as to their information needs;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Approving meeting agendas and schedules for the Board to assure sufficient time for discussion of all agenda items;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Having the authority to call meetings of the independent directors, as needed in the Lead Independent Director’s discretion; and </w:t>
            </w:r>
          </w:p>
        </w:tc>
      </w:tr>
    </w:tbl>
    <w:tbl>
      <w:tblPr>
        <w:tblW w:w="9490" w:type="dxa"/>
        <w:jc w:val="left"/>
        <w:tblInd w:w="0" w:type="dxa"/>
        <w:tblLayout w:type="fixed"/>
        <w:tblCellMar>
          <w:top w:w="0" w:type="dxa"/>
          <w:left w:w="0" w:type="dxa"/>
          <w:bottom w:w="0" w:type="dxa"/>
          <w:right w:w="0" w:type="dxa"/>
        </w:tblCellMar>
      </w:tblPr>
      <w:tblGrid>
        <w:gridCol w:w="140"/>
        <w:gridCol w:w="9350"/>
      </w:tblGrid>
      <w:tr>
        <w:trPr/>
        <w:tc>
          <w:tcPr>
            <w:tcW w:w="140" w:type="dxa"/>
            <w:tcBorders/>
            <w:vAlign w:val="center"/>
          </w:tcPr>
          <w:p>
            <w:pPr>
              <w:pStyle w:val="TableContents"/>
              <w:bidi w:val="0"/>
              <w:spacing w:before="0" w:after="0"/>
              <w:jc w:val="left"/>
              <w:rPr>
                <w:color w:val="000000"/>
              </w:rPr>
            </w:pPr>
            <w:r>
              <w:rPr>
                <w:color w:val="000000"/>
              </w:rPr>
              <w:t>•</w:t>
            </w:r>
          </w:p>
        </w:tc>
        <w:tc>
          <w:tcPr>
            <w:tcW w:w="935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If requested by major shareholders, being available for consultation and direct engagement as appropriate. </w:t>
            </w:r>
          </w:p>
        </w:tc>
      </w:tr>
    </w:tbl>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Such delegation of well-defined responsibilities to a Lead Independent Director helps ensure that an appropriate independent leadership structure is in place. The Board believes the current structure separating the roles of Chief Executive Officer and Chairman, and having a Lead Independent Director, is currently the most appropriate way for the Company to effectively allocate authority, responsibility, and oversight between management and the independent members of the Board.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11</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9" w:name="ny20066167x1_def14a_105-prop1_pg6"/>
        <w:bookmarkEnd w:id="29"/>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000000"/>
          <w:sz w:val="24"/>
        </w:rPr>
      </w:pPr>
      <w:bookmarkStart w:id="30" w:name="tRMR"/>
      <w:bookmarkEnd w:id="30"/>
      <w:r>
        <w:rPr>
          <w:rFonts w:ascii="Arial;Helvetica;sans-serif" w:hAnsi="Arial;Helvetica;sans-serif"/>
          <w:b/>
          <w:color w:val="000000"/>
          <w:sz w:val="24"/>
        </w:rPr>
        <w:t xml:space="preserve">Risk Management and Risk Assessment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Board and its committees are actively involved in overseeing our risk management. The full Board routinely assesses our major risks and mitigation measures, in order to promote our shareholders’ and other stakeholders’ interests in our business continuity, long-term resilience, financial strength, and overall success. We believe that our Board composition provides us with robust and well-rounded experience to assist in effective oversight of management. In addition, the Board delegates to its committees responsibility for overseeing certain types of risk, as reflected in the chart below, and the committees in turn report regularly to the Board on activities in their respective areas of oversight. </w:t>
      </w:r>
    </w:p>
    <w:p>
      <w:pPr>
        <w:pStyle w:val="TextBody"/>
        <w:bidi w:val="0"/>
        <w:spacing w:before="345" w:after="283"/>
        <w:jc w:val="center"/>
        <w:rPr>
          <w:color w:val="000000"/>
        </w:rPr>
      </w:pPr>
      <w:r>
        <w:rPr>
          <w:color w:val="000000"/>
        </w:rPr>
        <w:drawing>
          <wp:inline distT="0" distB="0" distL="0" distR="0">
            <wp:extent cx="6457950" cy="54959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457950" cy="54959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senior management team has developed a comprehensive strategic planning and enterprise risk management process for identifying, assessing, and managing risk, which considers factors including severity, immediacy, likelihood and potential impact on us and our strategy. The risk management framework is reviewed at least annually, and management assesses against this framework throughout the year. As part of this process, management periodically leverages the expertise of external advisors to identify trends and emerging risks. Management reviews areas of significant risk and proposed mitigation activities, as well as key themes in existing and emerging risks, and alignment with the company’s disclosure controls and procedures, with the Board’s committees at regular intervals.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12</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1" w:name="ny20066167x1_def14a_105-prop1_pg7"/>
        <w:bookmarkEnd w:id="31"/>
        <w:r>
          <w:rPr>
            <w:rStyle w:val="InternetLink"/>
            <w:rFonts w:ascii="Times New Roman;Times;Serif" w:hAnsi="Times New Roman;Times;Serif"/>
            <w:b/>
            <w:caps w:val="false"/>
            <w:smallCaps w:val="false"/>
            <w:color w:val="000000"/>
            <w:sz w:val="16"/>
          </w:rPr>
          <w:t>TABLE OF CONTENTS</w:t>
        </w:r>
      </w:hyperlink>
    </w:p>
    <w:p>
      <w:pPr>
        <w:pStyle w:val="TextBody"/>
        <w:bidi w:val="0"/>
        <w:spacing w:before="145" w:after="283"/>
        <w:ind w:left="0" w:right="0" w:hanging="0"/>
        <w:jc w:val="left"/>
        <w:rPr>
          <w:rFonts w:ascii="Arial;Helvetica;sans-serif" w:hAnsi="Arial;Helvetica;sans-serif"/>
          <w:i/>
          <w:color w:val="000000"/>
          <w:sz w:val="22"/>
        </w:rPr>
      </w:pPr>
      <w:r>
        <w:rPr>
          <w:rFonts w:ascii="Arial;Helvetica;sans-serif" w:hAnsi="Arial;Helvetica;sans-serif"/>
          <w:i/>
          <w:color w:val="000000"/>
          <w:sz w:val="22"/>
        </w:rPr>
        <w:t>Executive Compensation Risk</w:t>
      </w:r>
      <w:r>
        <w:rPr>
          <w:rFonts w:ascii="Arial;Helvetica;sans-serif" w:hAnsi="Arial;Helvetica;sans-serif"/>
          <w:i/>
          <w:caps w:val="false"/>
          <w:smallCaps w:val="false"/>
          <w:color w:val="000000"/>
          <w:sz w:val="22"/>
        </w:rPr>
        <w:t xml:space="preserve">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Management annually reviews the Company’s compensation policies and practices for employees generally as they relate to risk management. As part of this process, management reviews the Company’s incentive compensation programs applicable to all employees with the Compensation Committee and the compensation consultant engaged by the Compensation Committee to determine whether such programs create incentives that might motivate inappropriate or excessive risk-taking. In the course of such review, mitigating features of the Company’s incentive compensation programs are considered, including: (1) the Company’s recoupment policies; (2) that virtually all of the Company’s annual incentive programs allow for “downward discretion,” which permits the Company to reduce incentive compensation payouts; and (3) that executive officers are subject to share ownership and retention guidelines. As a result of this process, the Company has determined that risks arising from the Company’s compensation policies and practices are not reasonably likely to have a material adverse effect on the Company. </w:t>
      </w:r>
    </w:p>
    <w:p>
      <w:pPr>
        <w:pStyle w:val="TextBody"/>
        <w:bidi w:val="0"/>
        <w:spacing w:before="240" w:after="283"/>
        <w:ind w:left="0" w:right="0" w:hanging="0"/>
        <w:jc w:val="left"/>
        <w:rPr>
          <w:rFonts w:ascii="Arial;Helvetica;sans-serif" w:hAnsi="Arial;Helvetica;sans-serif"/>
          <w:b/>
          <w:color w:val="000000"/>
          <w:sz w:val="24"/>
        </w:rPr>
      </w:pPr>
      <w:bookmarkStart w:id="32" w:name="tCWBD"/>
      <w:bookmarkEnd w:id="32"/>
      <w:r>
        <w:rPr>
          <w:rFonts w:ascii="Arial;Helvetica;sans-serif" w:hAnsi="Arial;Helvetica;sans-serif"/>
          <w:b/>
          <w:color w:val="000000"/>
          <w:sz w:val="24"/>
        </w:rPr>
        <w:t xml:space="preserve">Communicating with the Board of Directors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Shareholders and other interested parties may send communications directly to the Board of Directors by writing to the Board of Directors, c/o the Corporate Secretary, Avis Budget Group, Inc., 379 Interpace Parkway, Parsippany, N.J. 07054. In addition, all parties interested in communicating directly with the Chairman of the Board or with any other independent director may do so by writing to Avis Budget Group, Inc. at the same address, Attention: Chairman of the Board, c/o the Corporate Secretary, via e-mail at </w:t>
      </w:r>
      <w:r>
        <w:rPr>
          <w:rFonts w:ascii="Arial;Helvetica;sans-serif" w:hAnsi="Arial;Helvetica;sans-serif"/>
          <w:i/>
          <w:color w:val="000000"/>
          <w:sz w:val="20"/>
        </w:rPr>
        <w:t>chairman@avisbudget.com</w:t>
      </w:r>
      <w:r>
        <w:rPr>
          <w:rFonts w:ascii="Arial;Helvetica;sans-serif" w:hAnsi="Arial;Helvetica;sans-serif"/>
          <w:color w:val="000000"/>
          <w:sz w:val="20"/>
        </w:rPr>
        <w:t xml:space="preserve">, or by using the form available in the “Investors—Governance—Contact the Board” section of the Company’s website at </w:t>
      </w:r>
      <w:r>
        <w:rPr>
          <w:rFonts w:ascii="Arial;Helvetica;sans-serif" w:hAnsi="Arial;Helvetica;sans-serif"/>
          <w:i/>
          <w:color w:val="000000"/>
          <w:sz w:val="20"/>
        </w:rPr>
        <w:t>www.avisbudgetgroup.com</w:t>
      </w:r>
      <w:r>
        <w:rPr>
          <w:rFonts w:ascii="Arial;Helvetica;sans-serif" w:hAnsi="Arial;Helvetica;sans-serif"/>
          <w:color w:val="000000"/>
          <w:sz w:val="20"/>
        </w:rPr>
        <w:t xml:space="preserve">. The Chairman is responsible for reviewing and distributing all interested parties’ communications received to the intended recipients and/or to the full Board of Directors, as appropriate. </w:t>
      </w:r>
    </w:p>
    <w:p>
      <w:pPr>
        <w:pStyle w:val="TextBody"/>
        <w:bidi w:val="0"/>
        <w:spacing w:before="240" w:after="283"/>
        <w:ind w:left="0" w:right="0" w:hanging="0"/>
        <w:jc w:val="left"/>
        <w:rPr>
          <w:rFonts w:ascii="Arial;Helvetica;sans-serif" w:hAnsi="Arial;Helvetica;sans-serif"/>
          <w:b/>
          <w:color w:val="000000"/>
          <w:sz w:val="24"/>
        </w:rPr>
      </w:pPr>
      <w:bookmarkStart w:id="33" w:name="tCOD"/>
      <w:bookmarkEnd w:id="33"/>
      <w:r>
        <w:rPr>
          <w:rFonts w:ascii="Arial;Helvetica;sans-serif" w:hAnsi="Arial;Helvetica;sans-serif"/>
          <w:b/>
          <w:color w:val="000000"/>
          <w:sz w:val="24"/>
        </w:rPr>
        <w:t xml:space="preserve">Codes of Conduct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Board of Directors has adopted a code of conduct that applies to all officers and employees, including the Company’s principal executive officer, principal financial officer and principal accounting officer. The Board of Directors has also adopted a code of business conduct and ethics for directors. Both codes of conduct are available in the “Investors—Governance” section of the Company’s website at </w:t>
      </w:r>
      <w:r>
        <w:rPr>
          <w:rFonts w:ascii="Arial;Helvetica;sans-serif" w:hAnsi="Arial;Helvetica;sans-serif"/>
          <w:i/>
          <w:color w:val="000000"/>
          <w:sz w:val="20"/>
        </w:rPr>
        <w:t>www.avisbudgetgroup.com</w:t>
      </w:r>
      <w:r>
        <w:rPr>
          <w:rFonts w:ascii="Arial;Helvetica;sans-serif" w:hAnsi="Arial;Helvetica;sans-serif"/>
          <w:color w:val="000000"/>
          <w:sz w:val="20"/>
        </w:rPr>
        <w:t xml:space="preserve">. The purpose of these codes of conduct is to promote honest and ethical conduct, including the ethical handling of actual or apparent conflicts of interest between personal and professional relationships; to promote full, fair, accurate, timely and understandable disclosure in periodic reports required to be filed by the Company; and to promote compliance with all applicable rules and regulations that apply to the Company and its officers and directors. </w:t>
      </w:r>
    </w:p>
    <w:p>
      <w:pPr>
        <w:pStyle w:val="TextBody"/>
        <w:bidi w:val="0"/>
        <w:spacing w:before="240" w:after="283"/>
        <w:ind w:left="0" w:right="0" w:hanging="0"/>
        <w:jc w:val="left"/>
        <w:rPr>
          <w:rFonts w:ascii="Arial;Helvetica;sans-serif" w:hAnsi="Arial;Helvetica;sans-serif"/>
          <w:b/>
          <w:color w:val="000000"/>
          <w:sz w:val="24"/>
        </w:rPr>
      </w:pPr>
      <w:bookmarkStart w:id="34" w:name="tITP"/>
      <w:bookmarkEnd w:id="34"/>
      <w:r>
        <w:rPr>
          <w:rFonts w:ascii="Arial;Helvetica;sans-serif" w:hAnsi="Arial;Helvetica;sans-serif"/>
          <w:b/>
          <w:color w:val="000000"/>
          <w:sz w:val="24"/>
        </w:rPr>
        <w:t xml:space="preserve">Insider Trading Policy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Board of Directors has adopted an insider trading policy applicable to our directors, officers, employees, as well as certain other persons, and have implemented processes for the Company that we believe are reasonably designed to promote compliance with insider trading laws, rules and regulations, and the Nasdaq listing standards. Our policy prohibits our directors, officers, employees and certain other persons from trading in securities of Avis Budget and other companies while in possession of material, nonpublic information. Our policy also prohibits our directors, officers, employees and certain other persons from disclosing material, nonpublic information of Avis Budget, or another publicly traded company, to others who may trade on the basis of that information. Further, our policy also requires that directors, certain officers of the Company and other designated employees only transact in Avis Budget’s securities during an open window period, subject to limited exceptions. In addition, directors, certain officers and certain other employees of the Company are required to obtain approval in advance of transactions in Avis Budget’s securities. Our executive officers and directors must also comply with additional trading restrictions. The foregoing summary of our insider trading policies and procedures does not purport to be complete and is qualified by reference to our Policy, Procedures and Guidelines Governing Securities Trades by Company Personnel, a copy of which can be found as an exhibit to our Annual Report on Form 10-K for the fiscal year ended December 31, 2025. </w:t>
      </w:r>
    </w:p>
    <w:p>
      <w:pPr>
        <w:pStyle w:val="TextBody"/>
        <w:bidi w:val="0"/>
        <w:spacing w:before="240" w:after="283"/>
        <w:ind w:left="0" w:right="0" w:hanging="0"/>
        <w:jc w:val="left"/>
        <w:rPr>
          <w:rFonts w:ascii="Arial;Helvetica;sans-serif" w:hAnsi="Arial;Helvetica;sans-serif"/>
          <w:b/>
          <w:color w:val="000000"/>
          <w:sz w:val="28"/>
        </w:rPr>
      </w:pPr>
      <w:bookmarkStart w:id="35" w:name="tBDMS"/>
      <w:bookmarkEnd w:id="35"/>
      <w:r>
        <w:rPr>
          <w:rFonts w:ascii="Arial;Helvetica;sans-serif" w:hAnsi="Arial;Helvetica;sans-serif"/>
          <w:b/>
          <w:color w:val="000000"/>
          <w:sz w:val="28"/>
        </w:rPr>
        <w:t xml:space="preserve">Board of Directors Meetings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Board of Directors held seven meetings during 2025. In 2025, all directors attended at least 75% of the meetings of the Board of Directors and committees of the Board of Directors on which they served during such director’s period of service. We expect all directors to attend each regularly scheduled Board of Directors meeting. All directors are welcome to attend the Company’s annual meeting of shareholders, and while there is no formal policy regarding attendance at annual meetings, we encourage at least one representative of each of the Audit Committee, Compensation Committee and Corporate Governance Committee to be present at each annual meeting. The 2025 Annual Meeting of Shareholders was attended by two of our directors.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13</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6" w:name="ny20066167x1_def14a_105-prop1_pg8"/>
        <w:bookmarkEnd w:id="36"/>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left"/>
        <w:rPr>
          <w:rFonts w:ascii="Arial;Helvetica;sans-serif" w:hAnsi="Arial;Helvetica;sans-serif"/>
          <w:b/>
          <w:color w:val="000000"/>
          <w:sz w:val="28"/>
        </w:rPr>
      </w:pPr>
      <w:bookmarkStart w:id="37" w:name="tCBDS"/>
      <w:bookmarkEnd w:id="37"/>
      <w:r>
        <w:rPr>
          <w:rFonts w:ascii="Arial;Helvetica;sans-serif" w:hAnsi="Arial;Helvetica;sans-serif"/>
          <w:b/>
          <w:color w:val="000000"/>
          <w:sz w:val="28"/>
        </w:rPr>
        <w:t xml:space="preserve">Committees of the Board of Directors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standing committees of the Board include the Audit Committee, the Compensation Committee and the Corporate Governance Committee. </w:t>
      </w:r>
    </w:p>
    <w:tbl>
      <w:tblPr>
        <w:tblW w:w="7740" w:type="dxa"/>
        <w:jc w:val="left"/>
        <w:tblInd w:w="0" w:type="dxa"/>
        <w:tblLayout w:type="fixed"/>
        <w:tblCellMar>
          <w:top w:w="0" w:type="dxa"/>
          <w:left w:w="0" w:type="dxa"/>
          <w:bottom w:w="0" w:type="dxa"/>
          <w:right w:w="0" w:type="dxa"/>
        </w:tblCellMar>
      </w:tblPr>
      <w:tblGrid>
        <w:gridCol w:w="185"/>
        <w:gridCol w:w="3155"/>
        <w:gridCol w:w="170"/>
        <w:gridCol w:w="170"/>
        <w:gridCol w:w="545"/>
        <w:gridCol w:w="170"/>
        <w:gridCol w:w="170"/>
        <w:gridCol w:w="1400"/>
        <w:gridCol w:w="170"/>
        <w:gridCol w:w="170"/>
        <w:gridCol w:w="1220"/>
        <w:gridCol w:w="215"/>
      </w:tblGrid>
      <w:tr>
        <w:trPr/>
        <w:tc>
          <w:tcPr>
            <w:tcW w:w="185" w:type="dxa"/>
            <w:tcBorders/>
            <w:vAlign w:val="center"/>
          </w:tcPr>
          <w:p>
            <w:pPr>
              <w:pStyle w:val="TableContents"/>
              <w:bidi w:val="0"/>
              <w:spacing w:before="0" w:after="0"/>
              <w:jc w:val="left"/>
              <w:rPr/>
            </w:pPr>
            <w:r>
              <w:rPr/>
              <w:t> </w:t>
            </w:r>
          </w:p>
        </w:tc>
        <w:tc>
          <w:tcPr>
            <w:tcW w:w="31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155" w:type="dxa"/>
            <w:tcBorders>
              <w:bottom w:val="single" w:sz="8" w:space="0" w:color="000000"/>
            </w:tcBorders>
            <w:tcMar>
              <w:bottom w:w="28" w:type="dxa"/>
            </w:tcMar>
            <w:vAlign w:val="center"/>
          </w:tcPr>
          <w:p>
            <w:pPr>
              <w:pStyle w:val="TableContents"/>
              <w:bidi w:val="0"/>
              <w:spacing w:before="0" w:after="283"/>
              <w:ind w:left="30" w:right="0" w:hanging="0"/>
              <w:jc w:val="left"/>
              <w:rPr>
                <w:rFonts w:ascii="Arial;Helvetica;sans-serif" w:hAnsi="Arial;Helvetica;sans-serif"/>
                <w:b/>
                <w:color w:val="000000"/>
                <w:sz w:val="20"/>
              </w:rPr>
            </w:pPr>
            <w:r>
              <w:rPr>
                <w:rFonts w:ascii="Arial;Helvetica;sans-serif" w:hAnsi="Arial;Helvetica;sans-serif"/>
                <w:b/>
                <w:color w:val="000000"/>
                <w:sz w:val="20"/>
              </w:rPr>
              <w:t>Name</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Audit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400"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Compensation</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20"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Corporate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Governance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3155" w:type="dxa"/>
            <w:tcBorders>
              <w:bottom w:val="single" w:sz="8" w:space="0" w:color="000000"/>
            </w:tcBorders>
            <w:shd w:fill="CCCCCC" w:val="clear"/>
            <w:tcMar>
              <w:bottom w:w="28"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Jagdeep Pahwa</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545" w:type="dxa"/>
            <w:tcBorders>
              <w:bottom w:val="single" w:sz="8" w:space="0" w:color="000000"/>
            </w:tcBorders>
            <w:shd w:fill="CCCCCC" w:val="clear"/>
            <w:tcMar>
              <w:bottom w:w="28"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400" w:type="dxa"/>
            <w:tcBorders>
              <w:bottom w:val="single" w:sz="8" w:space="0" w:color="000000"/>
            </w:tcBorders>
            <w:shd w:fill="CCCCCC" w:val="clear"/>
            <w:tcMar>
              <w:bottom w:w="28"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220" w:type="dxa"/>
            <w:tcBorders>
              <w:bottom w:val="single" w:sz="8" w:space="0" w:color="000000"/>
            </w:tcBorders>
            <w:shd w:fill="CCCCCC" w:val="clear"/>
            <w:tcMar>
              <w:bottom w:w="28" w:type="dxa"/>
            </w:tcMar>
            <w:vAlign w:val="center"/>
          </w:tcPr>
          <w:p>
            <w:pPr>
              <w:pStyle w:val="TableContents"/>
              <w:bidi w:val="0"/>
              <w:spacing w:before="0" w:after="283"/>
              <w:jc w:val="center"/>
              <w:rPr>
                <w:color w:val="000000"/>
              </w:rPr>
            </w:pPr>
            <w:r>
              <w:rPr>
                <w:color w:val="000000"/>
              </w:rPr>
              <w:t> </w:t>
            </w:r>
          </w:p>
        </w:tc>
        <w:tc>
          <w:tcPr>
            <w:tcW w:w="21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155" w:type="dxa"/>
            <w:tcBorders>
              <w:bottom w:val="single" w:sz="8" w:space="0" w:color="000000"/>
            </w:tcBorders>
            <w:tcMar>
              <w:bottom w:w="28"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Anu Hariharan</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28"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400" w:type="dxa"/>
            <w:tcBorders>
              <w:bottom w:val="single" w:sz="8" w:space="0" w:color="000000"/>
            </w:tcBorders>
            <w:tcMar>
              <w:bottom w:w="28"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20" w:type="dxa"/>
            <w:tcBorders>
              <w:bottom w:val="single" w:sz="8" w:space="0" w:color="000000"/>
            </w:tcBorders>
            <w:tcMar>
              <w:bottom w:w="28" w:type="dxa"/>
            </w:tcMar>
            <w:vAlign w:val="center"/>
          </w:tcPr>
          <w:p>
            <w:pPr>
              <w:pStyle w:val="TableContents"/>
              <w:bidi w:val="0"/>
              <w:spacing w:before="0" w:after="0"/>
              <w:jc w:val="left"/>
              <w:rPr>
                <w:color w:val="000000"/>
              </w:rPr>
            </w:pPr>
            <w:r>
              <w:rPr>
                <w:color w:val="000000"/>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3155" w:type="dxa"/>
            <w:tcBorders>
              <w:bottom w:val="single" w:sz="8" w:space="0" w:color="000000"/>
            </w:tcBorders>
            <w:shd w:fill="CCCCCC" w:val="clear"/>
            <w:tcMar>
              <w:bottom w:w="28"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Bernardo Hees</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545" w:type="dxa"/>
            <w:tcBorders>
              <w:bottom w:val="single" w:sz="8" w:space="0" w:color="000000"/>
            </w:tcBorders>
            <w:shd w:fill="CCCCCC" w:val="clear"/>
            <w:tcMar>
              <w:bottom w:w="28"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400" w:type="dxa"/>
            <w:tcBorders>
              <w:bottom w:val="single" w:sz="8" w:space="0" w:color="000000"/>
            </w:tcBorders>
            <w:shd w:fill="CCCCCC" w:val="clear"/>
            <w:tcMar>
              <w:bottom w:w="28"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220" w:type="dxa"/>
            <w:tcBorders>
              <w:bottom w:val="single" w:sz="8" w:space="0" w:color="000000"/>
            </w:tcBorders>
            <w:shd w:fill="CCCCCC" w:val="clear"/>
            <w:tcMar>
              <w:bottom w:w="28" w:type="dxa"/>
            </w:tcMar>
            <w:vAlign w:val="center"/>
          </w:tcPr>
          <w:p>
            <w:pPr>
              <w:pStyle w:val="TableContents"/>
              <w:bidi w:val="0"/>
              <w:spacing w:before="0" w:after="283"/>
              <w:jc w:val="center"/>
              <w:rPr>
                <w:color w:val="000000"/>
              </w:rPr>
            </w:pPr>
            <w:r>
              <w:rPr>
                <w:color w:val="000000"/>
              </w:rPr>
              <w:t> </w:t>
            </w:r>
          </w:p>
        </w:tc>
        <w:tc>
          <w:tcPr>
            <w:tcW w:w="21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155" w:type="dxa"/>
            <w:tcBorders>
              <w:bottom w:val="single" w:sz="8" w:space="0" w:color="000000"/>
            </w:tcBorders>
            <w:tcMar>
              <w:bottom w:w="28"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Lynn Krominga</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28"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400" w:type="dxa"/>
            <w:tcBorders>
              <w:bottom w:val="single" w:sz="8" w:space="0" w:color="000000"/>
            </w:tcBorders>
            <w:tcMar>
              <w:bottom w:w="28"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20"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Chair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3155" w:type="dxa"/>
            <w:tcBorders>
              <w:bottom w:val="single" w:sz="8" w:space="0" w:color="000000"/>
            </w:tcBorders>
            <w:shd w:fill="CCCCCC" w:val="clear"/>
            <w:tcMar>
              <w:bottom w:w="28"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Glenn Lurie</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545" w:type="dxa"/>
            <w:tcBorders>
              <w:bottom w:val="single" w:sz="8" w:space="0" w:color="000000"/>
            </w:tcBorders>
            <w:shd w:fill="CCCCCC" w:val="clear"/>
            <w:tcMar>
              <w:bottom w:w="28" w:type="dxa"/>
            </w:tcM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Chair</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400" w:type="dxa"/>
            <w:tcBorders>
              <w:bottom w:val="single" w:sz="8" w:space="0" w:color="000000"/>
            </w:tcBorders>
            <w:shd w:fill="CCCCCC" w:val="clear"/>
            <w:tcMar>
              <w:bottom w:w="28"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220" w:type="dxa"/>
            <w:tcBorders>
              <w:bottom w:val="single" w:sz="8" w:space="0" w:color="000000"/>
            </w:tcBorders>
            <w:shd w:fill="CCCCCC" w:val="clear"/>
            <w:tcMar>
              <w:bottom w:w="28" w:type="dxa"/>
            </w:tcMar>
            <w:vAlign w:val="center"/>
          </w:tcPr>
          <w:p>
            <w:pPr>
              <w:pStyle w:val="TableContents"/>
              <w:bidi w:val="0"/>
              <w:spacing w:before="0" w:after="283"/>
              <w:jc w:val="center"/>
              <w:rPr>
                <w:color w:val="000000"/>
              </w:rPr>
            </w:pPr>
            <w:r>
              <w:rPr>
                <w:color w:val="000000"/>
              </w:rPr>
              <w:t> </w:t>
            </w:r>
          </w:p>
        </w:tc>
        <w:tc>
          <w:tcPr>
            <w:tcW w:w="21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155" w:type="dxa"/>
            <w:tcBorders>
              <w:bottom w:val="single" w:sz="8" w:space="0" w:color="000000"/>
            </w:tcBorders>
            <w:tcMar>
              <w:bottom w:w="28"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Karthik Sarma</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28"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400"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Chair</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20" w:type="dxa"/>
            <w:tcBorders>
              <w:bottom w:val="single" w:sz="8" w:space="0" w:color="000000"/>
            </w:tcBorders>
            <w:tcMar>
              <w:bottom w:w="28" w:type="dxa"/>
            </w:tcMar>
            <w:vAlign w:val="center"/>
          </w:tcPr>
          <w:p>
            <w:pPr>
              <w:pStyle w:val="TableContents"/>
              <w:bidi w:val="0"/>
              <w:spacing w:before="0" w:after="283"/>
              <w:jc w:val="center"/>
              <w:rPr>
                <w:color w:val="000000"/>
              </w:rPr>
            </w:pPr>
            <w:r>
              <w:rPr>
                <w:color w:val="000000"/>
              </w:rPr>
              <w:t>✔</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shd w:fill="CCCCCC" w:val="clear"/>
            <w:vAlign w:val="center"/>
          </w:tcPr>
          <w:p>
            <w:pPr>
              <w:pStyle w:val="TableContents"/>
              <w:bidi w:val="0"/>
              <w:spacing w:before="0" w:after="0"/>
              <w:jc w:val="left"/>
              <w:rPr/>
            </w:pPr>
            <w:r>
              <w:rPr/>
              <w:t> </w:t>
            </w:r>
          </w:p>
        </w:tc>
        <w:tc>
          <w:tcPr>
            <w:tcW w:w="3155" w:type="dxa"/>
            <w:tcBorders/>
            <w:shd w:fill="CCCCCC" w:val="clear"/>
            <w:vAlign w:val="center"/>
          </w:tcPr>
          <w:p>
            <w:pPr>
              <w:pStyle w:val="TableContents"/>
              <w:bidi w:val="0"/>
              <w:spacing w:before="0" w:after="283"/>
              <w:ind w:left="30" w:right="0" w:hanging="0"/>
              <w:jc w:val="left"/>
              <w:rPr>
                <w:rFonts w:ascii="Arial;Helvetica;sans-serif" w:hAnsi="Arial;Helvetica;sans-serif"/>
                <w:b/>
                <w:color w:val="000000"/>
                <w:sz w:val="20"/>
              </w:rPr>
            </w:pPr>
            <w:r>
              <w:rPr>
                <w:rFonts w:ascii="Arial;Helvetica;sans-serif" w:hAnsi="Arial;Helvetica;sans-serif"/>
                <w:b/>
                <w:color w:val="000000"/>
                <w:sz w:val="20"/>
              </w:rPr>
              <w:t>Committee Meetings Held in 2025</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545" w:type="dxa"/>
            <w:tcBorders/>
            <w:shd w:fill="CCCCCC" w:val="cle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400" w:type="dxa"/>
            <w:tcBorders/>
            <w:shd w:fill="CCCCCC" w:val="cle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5</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20" w:type="dxa"/>
            <w:tcBorders/>
            <w:shd w:fill="CCCCCC" w:val="cle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w:t>
            </w:r>
          </w:p>
        </w:tc>
        <w:tc>
          <w:tcPr>
            <w:tcW w:w="215" w:type="dxa"/>
            <w:tcBorders/>
            <w:shd w:fill="CCCCCC" w:val="clear"/>
            <w:vAlign w:val="center"/>
          </w:tcPr>
          <w:p>
            <w:pPr>
              <w:pStyle w:val="TableContents"/>
              <w:bidi w:val="0"/>
              <w:spacing w:before="0" w:after="0"/>
              <w:jc w:val="left"/>
              <w:rPr/>
            </w:pPr>
            <w:r>
              <w:rPr/>
              <w:t> </w:t>
            </w:r>
          </w:p>
        </w:tc>
      </w:tr>
    </w:tbl>
    <w:p>
      <w:pPr>
        <w:pStyle w:val="TextBody"/>
        <w:bidi w:val="0"/>
        <w:spacing w:before="24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charters of each of the Audit, Compensation and Corporate Governance Committees, respectively, can be found in the “Investors—Governance—Documents and Charters” section of the Company’s website at </w:t>
      </w:r>
      <w:r>
        <w:rPr>
          <w:rFonts w:ascii="Arial;Helvetica;sans-serif" w:hAnsi="Arial;Helvetica;sans-serif"/>
          <w:i/>
          <w:color w:val="000000"/>
          <w:sz w:val="20"/>
        </w:rPr>
        <w:t>https://ir.avisbudgetgroup.com/corporate-governance/documents-charters</w:t>
      </w:r>
      <w:r>
        <w:rPr>
          <w:rFonts w:ascii="Arial;Helvetica;sans-serif" w:hAnsi="Arial;Helvetica;sans-serif"/>
          <w:color w:val="000000"/>
          <w:sz w:val="20"/>
        </w:rPr>
        <w:t xml:space="preserve">. </w:t>
      </w:r>
    </w:p>
    <w:p>
      <w:pPr>
        <w:pStyle w:val="TextBody"/>
        <w:bidi w:val="0"/>
        <w:spacing w:before="250" w:after="283"/>
        <w:ind w:left="0" w:right="0" w:hanging="0"/>
        <w:jc w:val="left"/>
        <w:rPr>
          <w:rFonts w:ascii="Arial;Helvetica;sans-serif" w:hAnsi="Arial;Helvetica;sans-serif"/>
          <w:b/>
          <w:color w:val="000000"/>
          <w:sz w:val="24"/>
        </w:rPr>
      </w:pPr>
      <w:bookmarkStart w:id="38" w:name="tAUC"/>
      <w:bookmarkEnd w:id="38"/>
      <w:r>
        <w:rPr>
          <w:rFonts w:ascii="Arial;Helvetica;sans-serif" w:hAnsi="Arial;Helvetica;sans-serif"/>
          <w:b/>
          <w:color w:val="000000"/>
          <w:sz w:val="24"/>
        </w:rPr>
        <w:t xml:space="preserve">Audit Committee </w:t>
      </w:r>
    </w:p>
    <w:p>
      <w:pPr>
        <w:pStyle w:val="TextBody"/>
        <w:bidi w:val="0"/>
        <w:spacing w:before="18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Audit Committee assists in the Board’s oversight of: </w:t>
      </w:r>
    </w:p>
    <w:tbl>
      <w:tblPr>
        <w:tblW w:w="5920" w:type="dxa"/>
        <w:jc w:val="left"/>
        <w:tblInd w:w="0" w:type="dxa"/>
        <w:tblLayout w:type="fixed"/>
        <w:tblCellMar>
          <w:top w:w="0" w:type="dxa"/>
          <w:left w:w="0" w:type="dxa"/>
          <w:bottom w:w="0" w:type="dxa"/>
          <w:right w:w="0" w:type="dxa"/>
        </w:tblCellMar>
      </w:tblPr>
      <w:tblGrid>
        <w:gridCol w:w="140"/>
        <w:gridCol w:w="5780"/>
      </w:tblGrid>
      <w:tr>
        <w:trPr/>
        <w:tc>
          <w:tcPr>
            <w:tcW w:w="140" w:type="dxa"/>
            <w:tcBorders/>
            <w:vAlign w:val="center"/>
          </w:tcPr>
          <w:p>
            <w:pPr>
              <w:pStyle w:val="TableContents"/>
              <w:bidi w:val="0"/>
              <w:spacing w:before="0" w:after="0"/>
              <w:jc w:val="left"/>
              <w:rPr>
                <w:color w:val="000000"/>
              </w:rPr>
            </w:pPr>
            <w:r>
              <w:rPr>
                <w:color w:val="000000"/>
              </w:rPr>
              <w:t>•</w:t>
            </w:r>
          </w:p>
        </w:tc>
        <w:tc>
          <w:tcPr>
            <w:tcW w:w="57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integrity of the Company’s consolidated financial statements; </w:t>
            </w:r>
          </w:p>
        </w:tc>
      </w:tr>
    </w:tbl>
    <w:tbl>
      <w:tblPr>
        <w:tblW w:w="6385" w:type="dxa"/>
        <w:jc w:val="left"/>
        <w:tblInd w:w="0" w:type="dxa"/>
        <w:tblLayout w:type="fixed"/>
        <w:tblCellMar>
          <w:top w:w="0" w:type="dxa"/>
          <w:left w:w="0" w:type="dxa"/>
          <w:bottom w:w="0" w:type="dxa"/>
          <w:right w:w="0" w:type="dxa"/>
        </w:tblCellMar>
      </w:tblPr>
      <w:tblGrid>
        <w:gridCol w:w="140"/>
        <w:gridCol w:w="6245"/>
      </w:tblGrid>
      <w:tr>
        <w:trPr/>
        <w:tc>
          <w:tcPr>
            <w:tcW w:w="140" w:type="dxa"/>
            <w:tcBorders/>
            <w:vAlign w:val="center"/>
          </w:tcPr>
          <w:p>
            <w:pPr>
              <w:pStyle w:val="TableContents"/>
              <w:bidi w:val="0"/>
              <w:spacing w:before="0" w:after="0"/>
              <w:jc w:val="left"/>
              <w:rPr>
                <w:color w:val="000000"/>
              </w:rPr>
            </w:pPr>
            <w:r>
              <w:rPr>
                <w:color w:val="000000"/>
              </w:rPr>
              <w:t>•</w:t>
            </w:r>
          </w:p>
        </w:tc>
        <w:tc>
          <w:tcPr>
            <w:tcW w:w="624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Company’s independent auditors’ qualifications and independence; </w:t>
            </w:r>
          </w:p>
        </w:tc>
      </w:tr>
    </w:tbl>
    <w:tbl>
      <w:tblPr>
        <w:tblW w:w="8860" w:type="dxa"/>
        <w:jc w:val="left"/>
        <w:tblInd w:w="0" w:type="dxa"/>
        <w:tblLayout w:type="fixed"/>
        <w:tblCellMar>
          <w:top w:w="0" w:type="dxa"/>
          <w:left w:w="0" w:type="dxa"/>
          <w:bottom w:w="0" w:type="dxa"/>
          <w:right w:w="0" w:type="dxa"/>
        </w:tblCellMar>
      </w:tblPr>
      <w:tblGrid>
        <w:gridCol w:w="140"/>
        <w:gridCol w:w="8720"/>
      </w:tblGrid>
      <w:tr>
        <w:trPr/>
        <w:tc>
          <w:tcPr>
            <w:tcW w:w="140" w:type="dxa"/>
            <w:tcBorders/>
            <w:vAlign w:val="center"/>
          </w:tcPr>
          <w:p>
            <w:pPr>
              <w:pStyle w:val="TableContents"/>
              <w:bidi w:val="0"/>
              <w:spacing w:before="0" w:after="0"/>
              <w:jc w:val="left"/>
              <w:rPr>
                <w:color w:val="000000"/>
              </w:rPr>
            </w:pPr>
            <w:r>
              <w:rPr>
                <w:color w:val="000000"/>
              </w:rPr>
              <w:t>•</w:t>
            </w:r>
          </w:p>
        </w:tc>
        <w:tc>
          <w:tcPr>
            <w:tcW w:w="87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performance of the Company’s independent auditors and the Company’s internal audit function; </w:t>
            </w:r>
          </w:p>
        </w:tc>
      </w:tr>
    </w:tbl>
    <w:tbl>
      <w:tblPr>
        <w:tblW w:w="6040" w:type="dxa"/>
        <w:jc w:val="left"/>
        <w:tblInd w:w="0" w:type="dxa"/>
        <w:tblLayout w:type="fixed"/>
        <w:tblCellMar>
          <w:top w:w="0" w:type="dxa"/>
          <w:left w:w="0" w:type="dxa"/>
          <w:bottom w:w="0" w:type="dxa"/>
          <w:right w:w="0" w:type="dxa"/>
        </w:tblCellMar>
      </w:tblPr>
      <w:tblGrid>
        <w:gridCol w:w="140"/>
        <w:gridCol w:w="5900"/>
      </w:tblGrid>
      <w:tr>
        <w:trPr/>
        <w:tc>
          <w:tcPr>
            <w:tcW w:w="140" w:type="dxa"/>
            <w:tcBorders/>
            <w:vAlign w:val="center"/>
          </w:tcPr>
          <w:p>
            <w:pPr>
              <w:pStyle w:val="TableContents"/>
              <w:bidi w:val="0"/>
              <w:spacing w:before="0" w:after="0"/>
              <w:jc w:val="left"/>
              <w:rPr>
                <w:color w:val="000000"/>
              </w:rPr>
            </w:pPr>
            <w:r>
              <w:rPr>
                <w:color w:val="000000"/>
              </w:rPr>
              <w:t>•</w:t>
            </w:r>
          </w:p>
        </w:tc>
        <w:tc>
          <w:tcPr>
            <w:tcW w:w="590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Company’s compliance with legal and regulatory requirements; </w:t>
            </w:r>
          </w:p>
        </w:tc>
      </w:tr>
    </w:tbl>
    <w:tbl>
      <w:tblPr>
        <w:tblW w:w="9670" w:type="dxa"/>
        <w:jc w:val="left"/>
        <w:tblInd w:w="0" w:type="dxa"/>
        <w:tblLayout w:type="fixed"/>
        <w:tblCellMar>
          <w:top w:w="0" w:type="dxa"/>
          <w:left w:w="0" w:type="dxa"/>
          <w:bottom w:w="0" w:type="dxa"/>
          <w:right w:w="0" w:type="dxa"/>
        </w:tblCellMar>
      </w:tblPr>
      <w:tblGrid>
        <w:gridCol w:w="140"/>
        <w:gridCol w:w="9530"/>
      </w:tblGrid>
      <w:tr>
        <w:trPr/>
        <w:tc>
          <w:tcPr>
            <w:tcW w:w="140" w:type="dxa"/>
            <w:tcBorders/>
            <w:vAlign w:val="center"/>
          </w:tcPr>
          <w:p>
            <w:pPr>
              <w:pStyle w:val="TableContents"/>
              <w:bidi w:val="0"/>
              <w:spacing w:before="0" w:after="0"/>
              <w:jc w:val="left"/>
              <w:rPr>
                <w:color w:val="000000"/>
              </w:rPr>
            </w:pPr>
            <w:r>
              <w:rPr>
                <w:color w:val="000000"/>
              </w:rPr>
              <w:t>•</w:t>
            </w:r>
          </w:p>
        </w:tc>
        <w:tc>
          <w:tcPr>
            <w:tcW w:w="953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Company’s systems of disclosure controls and procedures, and internal controls over financial reporting;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the Company’s major financial risk exposures and the steps management has undertaken to control such risks; and </w:t>
            </w:r>
          </w:p>
        </w:tc>
      </w:tr>
    </w:tbl>
    <w:tbl>
      <w:tblPr>
        <w:tblW w:w="7165" w:type="dxa"/>
        <w:jc w:val="left"/>
        <w:tblInd w:w="0" w:type="dxa"/>
        <w:tblLayout w:type="fixed"/>
        <w:tblCellMar>
          <w:top w:w="0" w:type="dxa"/>
          <w:left w:w="0" w:type="dxa"/>
          <w:bottom w:w="0" w:type="dxa"/>
          <w:right w:w="0" w:type="dxa"/>
        </w:tblCellMar>
      </w:tblPr>
      <w:tblGrid>
        <w:gridCol w:w="140"/>
        <w:gridCol w:w="7025"/>
      </w:tblGrid>
      <w:tr>
        <w:trPr/>
        <w:tc>
          <w:tcPr>
            <w:tcW w:w="140" w:type="dxa"/>
            <w:tcBorders/>
            <w:vAlign w:val="center"/>
          </w:tcPr>
          <w:p>
            <w:pPr>
              <w:pStyle w:val="TableContents"/>
              <w:bidi w:val="0"/>
              <w:spacing w:before="0" w:after="0"/>
              <w:jc w:val="left"/>
              <w:rPr>
                <w:color w:val="000000"/>
              </w:rPr>
            </w:pPr>
            <w:r>
              <w:rPr>
                <w:color w:val="000000"/>
              </w:rPr>
              <w:t>•</w:t>
            </w:r>
          </w:p>
        </w:tc>
        <w:tc>
          <w:tcPr>
            <w:tcW w:w="70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Company’s risks associated with information technology and cybersecurity. </w:t>
            </w:r>
          </w:p>
        </w:tc>
      </w:tr>
    </w:tbl>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Board of Directors has determined that all members of the Audit Committee are independent directors within the meaning of applicable Nasdaq rules, and that each member of the Audit Committee has the ability to read and understand fundamental financial statements. The Board of Directors has determined that each of Mr. Lurie and Ms. Krominga qualifies as an “audit committee financial expert” as defined by the rules of the SEC and satisfies Nasdaq’s “financial sophistication” requirement. </w:t>
      </w:r>
    </w:p>
    <w:p>
      <w:pPr>
        <w:pStyle w:val="TextBody"/>
        <w:bidi w:val="0"/>
        <w:spacing w:before="240" w:after="283"/>
        <w:ind w:left="0" w:right="0" w:hanging="0"/>
        <w:jc w:val="left"/>
        <w:rPr>
          <w:rFonts w:ascii="Arial;Helvetica;sans-serif" w:hAnsi="Arial;Helvetica;sans-serif"/>
          <w:b/>
          <w:color w:val="000000"/>
          <w:sz w:val="24"/>
        </w:rPr>
      </w:pPr>
      <w:bookmarkStart w:id="39" w:name="tCCEE"/>
      <w:bookmarkEnd w:id="39"/>
      <w:r>
        <w:rPr>
          <w:rFonts w:ascii="Arial;Helvetica;sans-serif" w:hAnsi="Arial;Helvetica;sans-serif"/>
          <w:b/>
          <w:color w:val="000000"/>
          <w:sz w:val="24"/>
        </w:rPr>
        <w:t xml:space="preserve">Compensation Committee </w:t>
      </w:r>
    </w:p>
    <w:p>
      <w:pPr>
        <w:pStyle w:val="TextBody"/>
        <w:bidi w:val="0"/>
        <w:spacing w:before="18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Compensation Committee assists in the Board’s oversight of the Company’s compensation policies and programs by: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reviewing and approving corporate goals and objectives relevant to the compensation of the Chief Executive Officer and determining and approving the Chief Executive Officer’s compensation; </w:t>
            </w:r>
          </w:p>
        </w:tc>
      </w:tr>
    </w:tbl>
    <w:tbl>
      <w:tblPr>
        <w:tblW w:w="8800" w:type="dxa"/>
        <w:jc w:val="left"/>
        <w:tblInd w:w="0" w:type="dxa"/>
        <w:tblLayout w:type="fixed"/>
        <w:tblCellMar>
          <w:top w:w="0" w:type="dxa"/>
          <w:left w:w="0" w:type="dxa"/>
          <w:bottom w:w="0" w:type="dxa"/>
          <w:right w:w="0" w:type="dxa"/>
        </w:tblCellMar>
      </w:tblPr>
      <w:tblGrid>
        <w:gridCol w:w="140"/>
        <w:gridCol w:w="8660"/>
      </w:tblGrid>
      <w:tr>
        <w:trPr/>
        <w:tc>
          <w:tcPr>
            <w:tcW w:w="140" w:type="dxa"/>
            <w:tcBorders/>
            <w:vAlign w:val="center"/>
          </w:tcPr>
          <w:p>
            <w:pPr>
              <w:pStyle w:val="TableContents"/>
              <w:bidi w:val="0"/>
              <w:spacing w:before="0" w:after="0"/>
              <w:jc w:val="left"/>
              <w:rPr>
                <w:color w:val="000000"/>
              </w:rPr>
            </w:pPr>
            <w:r>
              <w:rPr>
                <w:color w:val="000000"/>
              </w:rPr>
              <w:t>•</w:t>
            </w:r>
          </w:p>
        </w:tc>
        <w:tc>
          <w:tcPr>
            <w:tcW w:w="866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reviewing and approving individual elements of total compensation for our other executive officers; </w:t>
            </w:r>
          </w:p>
        </w:tc>
      </w:tr>
    </w:tbl>
    <w:tbl>
      <w:tblPr>
        <w:tblW w:w="8515" w:type="dxa"/>
        <w:jc w:val="left"/>
        <w:tblInd w:w="0" w:type="dxa"/>
        <w:tblLayout w:type="fixed"/>
        <w:tblCellMar>
          <w:top w:w="0" w:type="dxa"/>
          <w:left w:w="0" w:type="dxa"/>
          <w:bottom w:w="0" w:type="dxa"/>
          <w:right w:w="0" w:type="dxa"/>
        </w:tblCellMar>
      </w:tblPr>
      <w:tblGrid>
        <w:gridCol w:w="140"/>
        <w:gridCol w:w="8375"/>
      </w:tblGrid>
      <w:tr>
        <w:trPr/>
        <w:tc>
          <w:tcPr>
            <w:tcW w:w="140" w:type="dxa"/>
            <w:tcBorders/>
            <w:vAlign w:val="center"/>
          </w:tcPr>
          <w:p>
            <w:pPr>
              <w:pStyle w:val="TableContents"/>
              <w:bidi w:val="0"/>
              <w:spacing w:before="0" w:after="0"/>
              <w:jc w:val="left"/>
              <w:rPr>
                <w:color w:val="000000"/>
              </w:rPr>
            </w:pPr>
            <w:r>
              <w:rPr>
                <w:color w:val="000000"/>
              </w:rPr>
              <w:t>•</w:t>
            </w:r>
          </w:p>
        </w:tc>
        <w:tc>
          <w:tcPr>
            <w:tcW w:w="83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reviewing and approving our annual and long-term incentive compensation programs and plans; </w:t>
            </w:r>
          </w:p>
        </w:tc>
      </w:tr>
    </w:tbl>
    <w:tbl>
      <w:tblPr>
        <w:tblW w:w="5935" w:type="dxa"/>
        <w:jc w:val="left"/>
        <w:tblInd w:w="0" w:type="dxa"/>
        <w:tblLayout w:type="fixed"/>
        <w:tblCellMar>
          <w:top w:w="0" w:type="dxa"/>
          <w:left w:w="0" w:type="dxa"/>
          <w:bottom w:w="0" w:type="dxa"/>
          <w:right w:w="0" w:type="dxa"/>
        </w:tblCellMar>
      </w:tblPr>
      <w:tblGrid>
        <w:gridCol w:w="140"/>
        <w:gridCol w:w="5795"/>
      </w:tblGrid>
      <w:tr>
        <w:trPr/>
        <w:tc>
          <w:tcPr>
            <w:tcW w:w="140" w:type="dxa"/>
            <w:tcBorders/>
            <w:vAlign w:val="center"/>
          </w:tcPr>
          <w:p>
            <w:pPr>
              <w:pStyle w:val="TableContents"/>
              <w:bidi w:val="0"/>
              <w:spacing w:before="0" w:after="0"/>
              <w:jc w:val="left"/>
              <w:rPr>
                <w:color w:val="000000"/>
              </w:rPr>
            </w:pPr>
            <w:r>
              <w:rPr>
                <w:color w:val="000000"/>
              </w:rPr>
              <w:t>•</w:t>
            </w:r>
          </w:p>
        </w:tc>
        <w:tc>
          <w:tcPr>
            <w:tcW w:w="57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reviewing and approving all stock option and other equity awards; </w:t>
            </w:r>
          </w:p>
        </w:tc>
      </w:tr>
    </w:tbl>
    <w:tbl>
      <w:tblPr>
        <w:tblW w:w="8935" w:type="dxa"/>
        <w:jc w:val="left"/>
        <w:tblInd w:w="0" w:type="dxa"/>
        <w:tblLayout w:type="fixed"/>
        <w:tblCellMar>
          <w:top w:w="0" w:type="dxa"/>
          <w:left w:w="0" w:type="dxa"/>
          <w:bottom w:w="0" w:type="dxa"/>
          <w:right w:w="0" w:type="dxa"/>
        </w:tblCellMar>
      </w:tblPr>
      <w:tblGrid>
        <w:gridCol w:w="140"/>
        <w:gridCol w:w="8795"/>
      </w:tblGrid>
      <w:tr>
        <w:trPr/>
        <w:tc>
          <w:tcPr>
            <w:tcW w:w="140" w:type="dxa"/>
            <w:tcBorders/>
            <w:vAlign w:val="center"/>
          </w:tcPr>
          <w:p>
            <w:pPr>
              <w:pStyle w:val="TableContents"/>
              <w:bidi w:val="0"/>
              <w:spacing w:before="0" w:after="0"/>
              <w:jc w:val="left"/>
              <w:rPr>
                <w:color w:val="000000"/>
              </w:rPr>
            </w:pPr>
            <w:r>
              <w:rPr>
                <w:color w:val="000000"/>
              </w:rPr>
              <w:t>•</w:t>
            </w:r>
          </w:p>
        </w:tc>
        <w:tc>
          <w:tcPr>
            <w:tcW w:w="87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assessing the results of the Company’s most recent advisory vote on executive compensation; and </w:t>
            </w:r>
          </w:p>
        </w:tc>
      </w:tr>
    </w:tbl>
    <w:tbl>
      <w:tblPr>
        <w:tblW w:w="9490" w:type="dxa"/>
        <w:jc w:val="left"/>
        <w:tblInd w:w="0" w:type="dxa"/>
        <w:tblLayout w:type="fixed"/>
        <w:tblCellMar>
          <w:top w:w="0" w:type="dxa"/>
          <w:left w:w="0" w:type="dxa"/>
          <w:bottom w:w="0" w:type="dxa"/>
          <w:right w:w="0" w:type="dxa"/>
        </w:tblCellMar>
      </w:tblPr>
      <w:tblGrid>
        <w:gridCol w:w="140"/>
        <w:gridCol w:w="9350"/>
      </w:tblGrid>
      <w:tr>
        <w:trPr/>
        <w:tc>
          <w:tcPr>
            <w:tcW w:w="140" w:type="dxa"/>
            <w:tcBorders/>
            <w:vAlign w:val="center"/>
          </w:tcPr>
          <w:p>
            <w:pPr>
              <w:pStyle w:val="TableContents"/>
              <w:bidi w:val="0"/>
              <w:spacing w:before="0" w:after="0"/>
              <w:jc w:val="left"/>
              <w:rPr>
                <w:color w:val="000000"/>
              </w:rPr>
            </w:pPr>
            <w:r>
              <w:rPr>
                <w:color w:val="000000"/>
              </w:rPr>
              <w:t>•</w:t>
            </w:r>
          </w:p>
        </w:tc>
        <w:tc>
          <w:tcPr>
            <w:tcW w:w="935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evaluating whether compensation arrangements for executive officers incentivize unnecessary risk-taking. </w:t>
            </w:r>
          </w:p>
        </w:tc>
      </w:tr>
    </w:tbl>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refer you to “Executive Compensation” below for additional information regarding the Compensation Committee’s processes and procedures.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Board of Directors has determined that each member of the Compensation Committee is an independent director in accordance with Nasdaq rules and a non-employee director for purposes of Section 16 of the Exchange Act.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14</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0" w:name="ny20066167x1_def14a_105-prop1_pg9"/>
        <w:bookmarkEnd w:id="40"/>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000000"/>
          <w:sz w:val="24"/>
        </w:rPr>
      </w:pPr>
      <w:bookmarkStart w:id="41" w:name="tCGC1"/>
      <w:bookmarkEnd w:id="41"/>
      <w:r>
        <w:rPr>
          <w:rFonts w:ascii="Arial;Helvetica;sans-serif" w:hAnsi="Arial;Helvetica;sans-serif"/>
          <w:b/>
          <w:color w:val="000000"/>
          <w:sz w:val="24"/>
        </w:rPr>
        <w:t xml:space="preserve">Corporate Governance Committee </w:t>
      </w:r>
    </w:p>
    <w:p>
      <w:pPr>
        <w:pStyle w:val="TextBody"/>
        <w:bidi w:val="0"/>
        <w:spacing w:before="14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General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responsibilities of the Corporate Governance Committee include identifying and recommending to the Board of Directors appropriate director nominee candidates and providing oversight with respect to corporate governance matters. The Board of Directors has determined that each of the current members of the Corporate Governance Committee qualifies as an independent director under applicable Nasdaq rules.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2026, the Corporate Governance Committee voted to waive the mandatory retirement age contained in our Corporate Governance Guidelines with respect to Ms. Krominga’s 2026 Board nomination. Ms. Krominga recused herself from the Corporate Governance Committee vote, and the determination was ratified by the Board. In reaching this determination, the Corporate Governance Committee considered Ms. Krominga’s extensive knowledge of, experience with, and deep understanding of, the Company’s business, and leadership as Lead Independent Director and Chair of the Corporate Governance Committee, and concluded that the Corporation would beneﬁt from her continued service as a member of the Board. The Corporate Governance Committee will re-evaluate this waiver of Ms. Krominga’s retirement on an annual basis. </w:t>
      </w:r>
    </w:p>
    <w:p>
      <w:pPr>
        <w:pStyle w:val="TextBody"/>
        <w:bidi w:val="0"/>
        <w:spacing w:before="400" w:after="283"/>
        <w:ind w:left="0" w:right="0" w:hanging="0"/>
        <w:jc w:val="left"/>
        <w:rPr>
          <w:rFonts w:ascii="Arial;Helvetica;sans-serif" w:hAnsi="Arial;Helvetica;sans-serif"/>
          <w:b/>
          <w:color w:val="000000"/>
          <w:sz w:val="22"/>
        </w:rPr>
      </w:pPr>
      <w:bookmarkStart w:id="42" w:name="tDRNPR"/>
      <w:bookmarkEnd w:id="42"/>
      <w:r>
        <w:rPr>
          <w:rFonts w:ascii="Arial;Helvetica;sans-serif" w:hAnsi="Arial;Helvetica;sans-serif"/>
          <w:b/>
          <w:color w:val="000000"/>
          <w:sz w:val="22"/>
        </w:rPr>
        <w:t xml:space="preserve">Director Nomination Procedures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Corporate Governance Committee considers the appropriate balance of experience, skills and characteristics required of members of the Board of Directors. Nominees for director positions are selected on the basis of their depth and breadth of experience, wisdom, integrity, ability to make independent analytical inquiries, understanding of the Company’s business environment, and willingness to devote adequate time to the duties associated with being a member of the Board of Directors.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Corporate Governance Committee will consider written proposals from shareholders for candidates to be nominees for director positions. In considering candidates submitted by shareholders, the Corporate Governance Committee will take into consideration the needs of the Board of Directors and the qualifications of the candidate. Any such proposal should be submitted to the Corporate Governance Committee, c/o the Corporate Secretary of the Company, at Avis Budget Group, Inc., 379 Interpace Parkway, Parsippany, N.J. 07054, and should include the following: (a) the name of the shareholder and evidence of such shareholder’s beneficial ownership of the shares of Common Stock, including the number of shares of Common Stock beneficially owned and the length of time of such beneficial ownership; and (b) the name of the candidate, such candidate’s resume or a listing of his or her qualifications to be a director of the Company and such candidate’s consent to be named and serve as a director, if selected by the Corporate Governance Committee, nominated by the Board of Directors and elected. The written proposal should be submitted in the time frame and consistent with the requirements described in the Company’s By-laws and under the caption “Shareholder Proposals for 2027 Annual Meeting” below.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Corporate Governance Committee’s process for identifying and evaluating candidates to be nominees to the Board of Directors is typically initiated by identifying a candidate who meets the criteria for selection as a nominee and has the specific qualities or skills being sought based on input from members of the Board of Directors and, if the Corporate Governance Committee deems appropriate, a third-party search firm which would help the Board to identify candidates. As part of the search process, the Corporate Governance Committee includes women and historically underrepresented candidates in the pool of candidates and instructs any search firm the Committee engages to do so (often called a “Rooney Rule”). These candidates are evaluated by the Corporate Governance Committee by reviewing such candidates’ biographical information and qualifications and checking the candidates’ references. The Corporate Governance Committee evaluates whether the candidate is qualified to serve as a director and whether the Corporate Governance Committee should recommend to the Board of Directors that the Board nominate the candidate or elect the candidate to fill a vacancy on the Board of Directors. Candidates recommended by the Corporate Governance Committee are presented to the Board of Directors for selection as nominees to be presented for the approval of the shareholders or for election to fill a vacancy.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general, the Corporate Governance Committee expects that a similar evaluation process would be used to evaluate director candidates recommended by shareholders.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15</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3" w:name="ny20066167x1_def14a_105-prop1_pg10"/>
        <w:bookmarkEnd w:id="43"/>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left"/>
        <w:rPr>
          <w:rFonts w:ascii="Arial;Helvetica;sans-serif" w:hAnsi="Arial;Helvetica;sans-serif"/>
          <w:b/>
          <w:color w:val="000000"/>
          <w:sz w:val="28"/>
        </w:rPr>
      </w:pPr>
      <w:bookmarkStart w:id="44" w:name="tSPG"/>
      <w:bookmarkEnd w:id="44"/>
      <w:r>
        <w:rPr>
          <w:rFonts w:ascii="Arial;Helvetica;sans-serif" w:hAnsi="Arial;Helvetica;sans-serif"/>
          <w:b/>
          <w:color w:val="000000"/>
          <w:sz w:val="28"/>
        </w:rPr>
        <w:t xml:space="preserve">Succession Planning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Board of Directors is responsible for the development, implementation and periodic review of a succession plan for the Chief Executive Officer and for overseeing the development, implementation and periodic review of a succession plan for senior executives. Our Board of Directors believes that effective succession planning and talent management and development play a critical role in safeguarding business capabilities, developing strong leadership quality and executive bench strength, and optimizing overall business development, operating performance, profitability and shareholder value.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Board of Directors views succession planning as an ongoing process and will continue its review of available talent, both internal and external, to ensure the uninterrupted strength of the entire management team. In order to ensure that qualified candidates are available for senior executive positions, the Board of Directors oversees the development of internal candidates and is responsible, if necessary, for the identification of suitable external successor candidates. The Board of Directors also maintains an “emergency” succession plan in the event of an unexpected disability or inability of any of our senior executives to perform his or her duties. </w:t>
      </w:r>
    </w:p>
    <w:p>
      <w:pPr>
        <w:pStyle w:val="TextBody"/>
        <w:bidi w:val="0"/>
        <w:spacing w:before="250" w:after="283"/>
        <w:ind w:left="0" w:right="0" w:hanging="0"/>
        <w:jc w:val="left"/>
        <w:rPr>
          <w:rFonts w:ascii="Arial;Helvetica;sans-serif" w:hAnsi="Arial;Helvetica;sans-serif"/>
          <w:b/>
          <w:color w:val="000000"/>
          <w:sz w:val="28"/>
        </w:rPr>
      </w:pPr>
      <w:bookmarkStart w:id="45" w:name="tRPT"/>
      <w:bookmarkEnd w:id="45"/>
      <w:r>
        <w:rPr>
          <w:rFonts w:ascii="Arial;Helvetica;sans-serif" w:hAnsi="Arial;Helvetica;sans-serif"/>
          <w:b/>
          <w:color w:val="000000"/>
          <w:sz w:val="28"/>
        </w:rPr>
        <w:t xml:space="preserve">Related Person Transactions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Company has adopted written procedures for the review, approval or ratification of transactions with related persons that apply to any transaction, arrangement or relationship in which: </w:t>
      </w:r>
    </w:p>
    <w:tbl>
      <w:tblPr>
        <w:tblW w:w="7405" w:type="dxa"/>
        <w:jc w:val="left"/>
        <w:tblInd w:w="0" w:type="dxa"/>
        <w:tblLayout w:type="fixed"/>
        <w:tblCellMar>
          <w:top w:w="0" w:type="dxa"/>
          <w:left w:w="0" w:type="dxa"/>
          <w:bottom w:w="0" w:type="dxa"/>
          <w:right w:w="0" w:type="dxa"/>
        </w:tblCellMar>
      </w:tblPr>
      <w:tblGrid>
        <w:gridCol w:w="140"/>
        <w:gridCol w:w="7265"/>
      </w:tblGrid>
      <w:tr>
        <w:trPr/>
        <w:tc>
          <w:tcPr>
            <w:tcW w:w="140" w:type="dxa"/>
            <w:tcBorders/>
            <w:vAlign w:val="center"/>
          </w:tcPr>
          <w:p>
            <w:pPr>
              <w:pStyle w:val="TableContents"/>
              <w:bidi w:val="0"/>
              <w:spacing w:before="0" w:after="0"/>
              <w:jc w:val="left"/>
              <w:rPr>
                <w:color w:val="000000"/>
              </w:rPr>
            </w:pPr>
            <w:r>
              <w:rPr>
                <w:color w:val="000000"/>
              </w:rPr>
              <w:t>•</w:t>
            </w:r>
          </w:p>
        </w:tc>
        <w:tc>
          <w:tcPr>
            <w:tcW w:w="72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Company (including any of its subsidiaries) was, is or will be a participant;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any related person (</w:t>
            </w:r>
            <w:r>
              <w:rPr>
                <w:rFonts w:ascii="Arial;Helvetica;sans-serif" w:hAnsi="Arial;Helvetica;sans-serif"/>
                <w:i/>
                <w:color w:val="000000"/>
                <w:sz w:val="20"/>
              </w:rPr>
              <w:t>i.e.</w:t>
            </w:r>
            <w:r>
              <w:rPr>
                <w:rFonts w:ascii="Arial;Helvetica;sans-serif" w:hAnsi="Arial;Helvetica;sans-serif"/>
                <w:color w:val="000000"/>
                <w:sz w:val="20"/>
              </w:rPr>
              <w:t xml:space="preserve">, a director, executive officer, director nominee, or any greater than 5% beneficial owner, or any immediate family member of the foregoing, or any entity in which any of the foregoing persons is employed, or is a partner, principal or in a similar position, or has any greater than 5% beneficial interest) had, has or will have a direct or indirect interest. </w:t>
            </w:r>
          </w:p>
        </w:tc>
      </w:tr>
    </w:tbl>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Under the Company’s related persons policy, transactions with related persons are reviewed in advance by the General Counsel, Chief Compliance Officer and Corporate Secretary of the Company, or in certain circumstances, as soon as possible thereafter. If it is determined by such officer that the transaction is a related person transaction and the amount involved exceeds $120,000: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The transaction will be submitted for review to the Audit Committee, or, under certain circumstances, to the Chairman of the Audit Committee. </w:t>
            </w:r>
          </w:p>
        </w:tc>
      </w:tr>
    </w:tbl>
    <w:tbl>
      <w:tblPr>
        <w:tblW w:w="9160" w:type="dxa"/>
        <w:jc w:val="left"/>
        <w:tblInd w:w="0" w:type="dxa"/>
        <w:tblLayout w:type="fixed"/>
        <w:tblCellMar>
          <w:top w:w="0" w:type="dxa"/>
          <w:left w:w="0" w:type="dxa"/>
          <w:bottom w:w="0" w:type="dxa"/>
          <w:right w:w="0" w:type="dxa"/>
        </w:tblCellMar>
      </w:tblPr>
      <w:tblGrid>
        <w:gridCol w:w="140"/>
        <w:gridCol w:w="9020"/>
      </w:tblGrid>
      <w:tr>
        <w:trPr/>
        <w:tc>
          <w:tcPr>
            <w:tcW w:w="140" w:type="dxa"/>
            <w:tcBorders/>
            <w:vAlign w:val="center"/>
          </w:tcPr>
          <w:p>
            <w:pPr>
              <w:pStyle w:val="TableContents"/>
              <w:bidi w:val="0"/>
              <w:spacing w:before="0" w:after="0"/>
              <w:jc w:val="left"/>
              <w:rPr>
                <w:color w:val="000000"/>
              </w:rPr>
            </w:pPr>
            <w:r>
              <w:rPr>
                <w:color w:val="000000"/>
              </w:rPr>
              <w:t>•</w:t>
            </w:r>
          </w:p>
        </w:tc>
        <w:tc>
          <w:tcPr>
            <w:tcW w:w="90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Audit Committee or its Chairman will then consider all relevant facts and circumstances available.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The Audit Committee or its Chairman will approve only those transactions, determined in good faith to be in, or not inconsistent with, the best interests of the Company and its shareholders. </w:t>
            </w:r>
          </w:p>
        </w:tc>
      </w:tr>
    </w:tbl>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Additionally, under certain circumstances, the General Counsel or Chairman of the Audit Committee may recommend that the independent members of the Board consider the advisability of a related person transaction. The Audit Committee reviews on an annual basis contributions by the Company in excess of $1,000, in the aggregate (other than contributions made pursuant to the Company’s matching contribution program for employees and directors), to a charitable organization at which a related person is actively involved with fund-raising or serves as a director, trustee or in a similar capacity.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SRS Mobility Ventures, LLC, an affiliate of our largest shareholder, SRS Investment Management, LLC, owns a majority of Avis Mobility Ventures LLC (“AMV”), of which we own a minority interest. We provide vehicles and related fleet services to AMV, as well as certain administrative services to support their operations. For the year ended December 31, 2025, we recognized $11 million of expense related to these services within other (income) expense, net, had receivables from AMV of $6 million and had a net investment in vehicle finance leases of $136 million.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16</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6" w:name="ny20066167x1_def14a_105-prop1_pg11"/>
        <w:bookmarkEnd w:id="46"/>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left"/>
        <w:rPr>
          <w:rFonts w:ascii="Arial;Helvetica;sans-serif" w:hAnsi="Arial;Helvetica;sans-serif"/>
          <w:b/>
          <w:color w:val="000000"/>
          <w:sz w:val="28"/>
        </w:rPr>
      </w:pPr>
      <w:bookmarkStart w:id="47" w:name="tSENT"/>
      <w:bookmarkEnd w:id="47"/>
      <w:r>
        <w:rPr>
          <w:rFonts w:ascii="Arial;Helvetica;sans-serif" w:hAnsi="Arial;Helvetica;sans-serif"/>
          <w:b/>
          <w:color w:val="000000"/>
          <w:sz w:val="28"/>
        </w:rPr>
        <w:t xml:space="preserve">Shareholder Engagement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regularly conduct engagement and outreach efforts in order to communicate with existing and prospective shareholders, lenders, research analysts, rating agencies, governance firms and others. In 2025, our key engagement activities included numerous group and one-on-one investor meetings, conference calls accessible to all shareholders following each of our quarterly earnings releases, presentations at various investor conferences, and our 2025 Annual Meeting of Shareholders. Members of management participated in these activities, each of which contained opportunities for shareholders and other constituents to provide feedback to management. We value the input and insights of our shareholders and are committed to continued engagement with investors. Key topics of focus in 2025 included corporate governance, our strategy and results as well as travel and industry trends. Our investor relations department is the key point of contact for shareholder interaction with the Company. Shareholders and other interested parties may access investor information about our Company through our website at </w:t>
      </w:r>
      <w:r>
        <w:rPr>
          <w:rFonts w:ascii="Arial;Helvetica;sans-serif" w:hAnsi="Arial;Helvetica;sans-serif"/>
          <w:i/>
          <w:color w:val="000000"/>
          <w:sz w:val="20"/>
        </w:rPr>
        <w:t>www.avisbudgetgroup.com</w:t>
      </w:r>
      <w:r>
        <w:rPr>
          <w:rFonts w:ascii="Arial;Helvetica;sans-serif" w:hAnsi="Arial;Helvetica;sans-serif"/>
          <w:color w:val="000000"/>
          <w:sz w:val="20"/>
        </w:rPr>
        <w:t xml:space="preserve">. The investor relations department coordinates institutional investor meetings with management, appearances at investor conferences and our quarterly earnings calls. We consider shareholder requests to meet with members of our Board of Directors on a case-by-case basis. </w:t>
      </w:r>
    </w:p>
    <w:p>
      <w:pPr>
        <w:pStyle w:val="TextBody"/>
        <w:bidi w:val="0"/>
        <w:spacing w:before="240" w:after="283"/>
        <w:ind w:left="0" w:right="0" w:hanging="0"/>
        <w:jc w:val="left"/>
        <w:rPr>
          <w:rFonts w:ascii="Arial;Helvetica;sans-serif" w:hAnsi="Arial;Helvetica;sans-serif"/>
          <w:color w:val="000000"/>
          <w:sz w:val="40"/>
        </w:rPr>
      </w:pPr>
      <w:bookmarkStart w:id="48" w:name="tSO"/>
      <w:bookmarkEnd w:id="48"/>
      <w:r>
        <w:rPr>
          <w:rFonts w:ascii="Arial;Helvetica;sans-serif" w:hAnsi="Arial;Helvetica;sans-serif"/>
          <w:color w:val="000000"/>
          <w:sz w:val="40"/>
        </w:rPr>
        <w:t xml:space="preserve">Stock Ownership </w:t>
      </w:r>
    </w:p>
    <w:p>
      <w:pPr>
        <w:pStyle w:val="TextBody"/>
        <w:bidi w:val="0"/>
        <w:spacing w:before="280" w:after="283"/>
        <w:ind w:left="0" w:right="0" w:hanging="0"/>
        <w:jc w:val="left"/>
        <w:rPr>
          <w:rFonts w:ascii="Arial;Helvetica;sans-serif" w:hAnsi="Arial;Helvetica;sans-serif"/>
          <w:b/>
          <w:color w:val="000000"/>
          <w:sz w:val="28"/>
        </w:rPr>
      </w:pPr>
      <w:bookmarkStart w:id="49" w:name="tECPI"/>
      <w:bookmarkEnd w:id="49"/>
      <w:r>
        <w:rPr>
          <w:rFonts w:ascii="Arial;Helvetica;sans-serif" w:hAnsi="Arial;Helvetica;sans-serif"/>
          <w:b/>
          <w:color w:val="000000"/>
          <w:sz w:val="28"/>
        </w:rPr>
        <w:t xml:space="preserve">Equity Compensation Plan Information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following table provides information about shares of our Common Stock that may be issued upon the exercise of options and restricted stock units under all of our existing equity compensation plans as of December 31, 2025. </w:t>
      </w:r>
    </w:p>
    <w:tbl>
      <w:tblPr>
        <w:tblW w:w="10205" w:type="dxa"/>
        <w:jc w:val="left"/>
        <w:tblInd w:w="0" w:type="dxa"/>
        <w:tblLayout w:type="fixed"/>
        <w:tblCellMar>
          <w:top w:w="0" w:type="dxa"/>
          <w:left w:w="0" w:type="dxa"/>
          <w:bottom w:w="0" w:type="dxa"/>
          <w:right w:w="0" w:type="dxa"/>
        </w:tblCellMar>
      </w:tblPr>
      <w:tblGrid>
        <w:gridCol w:w="185"/>
        <w:gridCol w:w="3289"/>
        <w:gridCol w:w="170"/>
        <w:gridCol w:w="170"/>
        <w:gridCol w:w="1935"/>
        <w:gridCol w:w="170"/>
        <w:gridCol w:w="170"/>
        <w:gridCol w:w="1756"/>
        <w:gridCol w:w="170"/>
        <w:gridCol w:w="170"/>
        <w:gridCol w:w="1803"/>
        <w:gridCol w:w="217"/>
      </w:tblGrid>
      <w:tr>
        <w:trPr/>
        <w:tc>
          <w:tcPr>
            <w:tcW w:w="185" w:type="dxa"/>
            <w:tcBorders/>
            <w:vAlign w:val="center"/>
          </w:tcPr>
          <w:p>
            <w:pPr>
              <w:pStyle w:val="TableContents"/>
              <w:bidi w:val="0"/>
              <w:spacing w:before="0" w:after="0"/>
              <w:jc w:val="left"/>
              <w:rPr/>
            </w:pPr>
            <w:r>
              <w:rPr/>
              <w:t> </w:t>
            </w:r>
          </w:p>
        </w:tc>
        <w:tc>
          <w:tcPr>
            <w:tcW w:w="328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5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03"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289" w:type="dxa"/>
            <w:tcBorders>
              <w:bottom w:val="single" w:sz="8" w:space="0" w:color="000000"/>
            </w:tcBorders>
            <w:tcMar>
              <w:bottom w:w="43" w:type="dxa"/>
            </w:tcM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Plan Category</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935"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Number of Securities to be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Issued Upon Exercise of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Outstanding Options,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Warrants, Rights and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Restricted Stock Units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56"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Weighted-Average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Exercise Price of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Outstanding Options,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Warrants and Rights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(Excludes Restricted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Stock Units)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803"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Number of Securities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Remaining Available for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Future Issuance Under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Equity Compensation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Plans (Excluding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Securities Reflected in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First Column)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(b) </w:t>
            </w:r>
          </w:p>
        </w:tc>
        <w:tc>
          <w:tcPr>
            <w:tcW w:w="21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3289" w:type="dxa"/>
            <w:tcBorders>
              <w:bottom w:val="single" w:sz="8" w:space="0" w:color="000000"/>
            </w:tcBorders>
            <w:shd w:fill="CCCCCC" w:val="clear"/>
            <w:tcMar>
              <w:bottom w:w="38"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 xml:space="preserve">Equity compensation plans approved by </w:t>
            </w:r>
          </w:p>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security holders</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935" w:type="dxa"/>
            <w:tcBorders>
              <w:bottom w:val="single" w:sz="8" w:space="0" w:color="000000"/>
            </w:tcBorders>
            <w:shd w:fill="CCCCCC" w:val="clear"/>
            <w:tcMar>
              <w:bottom w:w="38" w:type="dxa"/>
            </w:tcMar>
            <w:vAlign w:val="center"/>
          </w:tcPr>
          <w:p>
            <w:pPr>
              <w:pStyle w:val="TableContents"/>
              <w:bidi w:val="0"/>
              <w:spacing w:before="0" w:after="283"/>
              <w:ind w:left="573" w:right="0" w:hanging="0"/>
              <w:jc w:val="left"/>
              <w:rPr>
                <w:rFonts w:ascii="Arial;Helvetica;sans-serif" w:hAnsi="Arial;Helvetica;sans-serif"/>
                <w:color w:val="000000"/>
                <w:sz w:val="20"/>
              </w:rPr>
            </w:pPr>
            <w:r>
              <w:rPr>
                <w:rFonts w:ascii="Arial;Helvetica;sans-serif" w:hAnsi="Arial;Helvetica;sans-serif"/>
                <w:color w:val="000000"/>
                <w:sz w:val="20"/>
              </w:rPr>
              <w:t>1,055,947</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56" w:type="dxa"/>
            <w:tcBorders>
              <w:bottom w:val="single" w:sz="8" w:space="0" w:color="000000"/>
            </w:tcBorders>
            <w:shd w:fill="CCCCCC" w:val="clear"/>
            <w:tcMar>
              <w:bottom w:w="38" w:type="dxa"/>
            </w:tcMar>
            <w:vAlign w:val="center"/>
          </w:tcPr>
          <w:p>
            <w:pPr>
              <w:pStyle w:val="TableContents"/>
              <w:bidi w:val="0"/>
              <w:spacing w:before="0" w:after="283"/>
              <w:ind w:left="662" w:right="0" w:hanging="0"/>
              <w:jc w:val="left"/>
              <w:rPr>
                <w:rFonts w:ascii="Arial;Helvetica;sans-serif" w:hAnsi="Arial;Helvetica;sans-serif"/>
                <w:color w:val="000000"/>
                <w:sz w:val="20"/>
              </w:rPr>
            </w:pPr>
            <w:r>
              <w:rPr>
                <w:rFonts w:ascii="Arial;Helvetica;sans-serif" w:hAnsi="Arial;Helvetica;sans-serif"/>
                <w:color w:val="000000"/>
                <w:sz w:val="20"/>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803" w:type="dxa"/>
            <w:tcBorders>
              <w:bottom w:val="single" w:sz="8" w:space="0" w:color="000000"/>
            </w:tcBorders>
            <w:shd w:fill="CCCCCC" w:val="clear"/>
            <w:tcMar>
              <w:bottom w:w="38" w:type="dxa"/>
            </w:tcMar>
            <w:vAlign w:val="center"/>
          </w:tcPr>
          <w:p>
            <w:pPr>
              <w:pStyle w:val="TableContents"/>
              <w:bidi w:val="0"/>
              <w:spacing w:before="0" w:after="283"/>
              <w:ind w:left="461" w:right="0" w:hanging="0"/>
              <w:jc w:val="left"/>
              <w:rPr>
                <w:rFonts w:ascii="Arial;Helvetica;sans-serif" w:hAnsi="Arial;Helvetica;sans-serif"/>
                <w:color w:val="000000"/>
                <w:sz w:val="20"/>
              </w:rPr>
            </w:pPr>
            <w:r>
              <w:rPr>
                <w:rFonts w:ascii="Arial;Helvetica;sans-serif" w:hAnsi="Arial;Helvetica;sans-serif"/>
                <w:color w:val="000000"/>
                <w:sz w:val="20"/>
              </w:rPr>
              <w:t xml:space="preserve">2,880,481 </w:t>
            </w:r>
          </w:p>
        </w:tc>
        <w:tc>
          <w:tcPr>
            <w:tcW w:w="217"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289" w:type="dxa"/>
            <w:tcBorders>
              <w:bottom w:val="single" w:sz="8" w:space="0" w:color="000000"/>
            </w:tcBorders>
            <w:tcMar>
              <w:bottom w:w="38"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 xml:space="preserve">Equity compensation plans not approved by </w:t>
            </w:r>
          </w:p>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security holders</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935" w:type="dxa"/>
            <w:tcBorders>
              <w:bottom w:val="single" w:sz="8" w:space="0" w:color="000000"/>
            </w:tcBorders>
            <w:tcMar>
              <w:bottom w:w="38" w:type="dxa"/>
            </w:tcMar>
            <w:vAlign w:val="center"/>
          </w:tcPr>
          <w:p>
            <w:pPr>
              <w:pStyle w:val="TableContents"/>
              <w:bidi w:val="0"/>
              <w:spacing w:before="0" w:after="283"/>
              <w:ind w:left="573"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56" w:type="dxa"/>
            <w:tcBorders>
              <w:bottom w:val="single" w:sz="8" w:space="0" w:color="000000"/>
            </w:tcBorders>
            <w:tcMar>
              <w:bottom w:w="38" w:type="dxa"/>
            </w:tcMar>
            <w:vAlign w:val="center"/>
          </w:tcPr>
          <w:p>
            <w:pPr>
              <w:pStyle w:val="TableContents"/>
              <w:bidi w:val="0"/>
              <w:spacing w:before="0" w:after="283"/>
              <w:ind w:left="662" w:right="0" w:hanging="0"/>
              <w:jc w:val="left"/>
              <w:rPr>
                <w:rFonts w:ascii="Arial;Helvetica;sans-serif" w:hAnsi="Arial;Helvetica;sans-serif"/>
                <w:color w:val="000000"/>
                <w:sz w:val="20"/>
              </w:rPr>
            </w:pPr>
            <w:r>
              <w:rPr>
                <w:rFonts w:ascii="Arial;Helvetica;sans-serif" w:hAnsi="Arial;Helvetica;sans-serif"/>
                <w:color w:val="000000"/>
                <w:sz w:val="2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803" w:type="dxa"/>
            <w:tcBorders>
              <w:bottom w:val="single" w:sz="8" w:space="0" w:color="000000"/>
            </w:tcBorders>
            <w:tcMar>
              <w:bottom w:w="38" w:type="dxa"/>
            </w:tcMar>
            <w:vAlign w:val="center"/>
          </w:tcPr>
          <w:p>
            <w:pPr>
              <w:pStyle w:val="TableContents"/>
              <w:bidi w:val="0"/>
              <w:spacing w:before="0" w:after="283"/>
              <w:ind w:left="461" w:right="0" w:hanging="0"/>
              <w:jc w:val="left"/>
              <w:rPr>
                <w:color w:val="000000"/>
              </w:rPr>
            </w:pPr>
            <w:r>
              <w:rPr>
                <w:color w:val="000000"/>
              </w:rPr>
              <w:t xml:space="preserve">— </w:t>
            </w:r>
          </w:p>
        </w:tc>
        <w:tc>
          <w:tcPr>
            <w:tcW w:w="21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shd w:fill="CCCCCC" w:val="clear"/>
            <w:vAlign w:val="center"/>
          </w:tcPr>
          <w:p>
            <w:pPr>
              <w:pStyle w:val="TableContents"/>
              <w:bidi w:val="0"/>
              <w:spacing w:before="0" w:after="0"/>
              <w:jc w:val="left"/>
              <w:rPr/>
            </w:pPr>
            <w:r>
              <w:rPr/>
              <w:t> </w:t>
            </w:r>
          </w:p>
        </w:tc>
        <w:tc>
          <w:tcPr>
            <w:tcW w:w="3289" w:type="dxa"/>
            <w:tcBorders/>
            <w:shd w:fill="CCCCCC" w:val="cle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Total</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935" w:type="dxa"/>
            <w:tcBorders/>
            <w:shd w:fill="CCCCCC" w:val="clear"/>
            <w:vAlign w:val="center"/>
          </w:tcPr>
          <w:p>
            <w:pPr>
              <w:pStyle w:val="TableContents"/>
              <w:bidi w:val="0"/>
              <w:spacing w:before="0" w:after="283"/>
              <w:ind w:left="573" w:right="0" w:hanging="0"/>
              <w:jc w:val="left"/>
              <w:rPr>
                <w:rFonts w:ascii="Arial;Helvetica;sans-serif" w:hAnsi="Arial;Helvetica;sans-serif"/>
                <w:color w:val="000000"/>
                <w:sz w:val="20"/>
              </w:rPr>
            </w:pPr>
            <w:r>
              <w:rPr>
                <w:rFonts w:ascii="Arial;Helvetica;sans-serif" w:hAnsi="Arial;Helvetica;sans-serif"/>
                <w:color w:val="000000"/>
                <w:sz w:val="20"/>
              </w:rPr>
              <w:t>1,055,947</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56" w:type="dxa"/>
            <w:tcBorders/>
            <w:shd w:fill="CCCCCC" w:val="clear"/>
            <w:vAlign w:val="center"/>
          </w:tcPr>
          <w:p>
            <w:pPr>
              <w:pStyle w:val="TableContents"/>
              <w:bidi w:val="0"/>
              <w:spacing w:before="0" w:after="283"/>
              <w:ind w:left="662" w:right="0" w:hanging="0"/>
              <w:jc w:val="left"/>
              <w:rPr>
                <w:rFonts w:ascii="Arial;Helvetica;sans-serif" w:hAnsi="Arial;Helvetica;sans-serif"/>
                <w:color w:val="000000"/>
                <w:sz w:val="20"/>
              </w:rPr>
            </w:pPr>
            <w:r>
              <w:rPr>
                <w:rFonts w:ascii="Arial;Helvetica;sans-serif" w:hAnsi="Arial;Helvetica;sans-serif"/>
                <w:color w:val="000000"/>
                <w:sz w:val="2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803" w:type="dxa"/>
            <w:tcBorders/>
            <w:shd w:fill="CCCCCC" w:val="clear"/>
            <w:vAlign w:val="center"/>
          </w:tcPr>
          <w:p>
            <w:pPr>
              <w:pStyle w:val="TableContents"/>
              <w:bidi w:val="0"/>
              <w:spacing w:before="0" w:after="283"/>
              <w:ind w:left="461" w:right="0" w:hanging="0"/>
              <w:jc w:val="left"/>
              <w:rPr>
                <w:rFonts w:ascii="Arial;Helvetica;sans-serif" w:hAnsi="Arial;Helvetica;sans-serif"/>
                <w:color w:val="000000"/>
                <w:sz w:val="20"/>
              </w:rPr>
            </w:pPr>
            <w:r>
              <w:rPr>
                <w:rFonts w:ascii="Arial;Helvetica;sans-serif" w:hAnsi="Arial;Helvetica;sans-serif"/>
                <w:color w:val="000000"/>
                <w:sz w:val="20"/>
              </w:rPr>
              <w:t>2,880,481</w:t>
            </w:r>
          </w:p>
        </w:tc>
        <w:tc>
          <w:tcPr>
            <w:tcW w:w="217" w:type="dxa"/>
            <w:tcBorders/>
            <w:shd w:fill="CCCCCC" w:val="clear"/>
            <w:vAlign w:val="center"/>
          </w:tcPr>
          <w:p>
            <w:pPr>
              <w:pStyle w:val="TableContents"/>
              <w:bidi w:val="0"/>
              <w:spacing w:before="0" w:after="0"/>
              <w:jc w:val="left"/>
              <w:rPr/>
            </w:pPr>
            <w:r>
              <w:rPr/>
              <w:t> </w:t>
            </w:r>
          </w:p>
        </w:tc>
      </w:tr>
      <w:tr>
        <w:trPr/>
        <w:tc>
          <w:tcPr>
            <w:tcW w:w="185" w:type="dxa"/>
            <w:tcBorders/>
            <w:shd w:fill="CCCCCC" w:val="clear"/>
            <w:vAlign w:val="center"/>
          </w:tcPr>
          <w:p>
            <w:pPr>
              <w:pStyle w:val="TableContents"/>
              <w:bidi w:val="0"/>
              <w:spacing w:before="0" w:after="0"/>
              <w:jc w:val="left"/>
              <w:rPr/>
            </w:pPr>
            <w:r>
              <w:rPr/>
              <w:t> </w:t>
            </w:r>
          </w:p>
        </w:tc>
        <w:tc>
          <w:tcPr>
            <w:tcW w:w="3289"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935"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56"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803" w:type="dxa"/>
            <w:tcBorders/>
            <w:shd w:fill="CCCCCC" w:val="clear"/>
            <w:vAlign w:val="center"/>
          </w:tcPr>
          <w:p>
            <w:pPr>
              <w:pStyle w:val="TableContents"/>
              <w:bidi w:val="0"/>
              <w:spacing w:before="0" w:after="0"/>
              <w:jc w:val="left"/>
              <w:rPr/>
            </w:pPr>
            <w:r>
              <w:rPr/>
              <w:t> </w:t>
            </w:r>
          </w:p>
        </w:tc>
        <w:tc>
          <w:tcPr>
            <w:tcW w:w="217" w:type="dxa"/>
            <w:tcBorders/>
            <w:shd w:fill="CCCCCC" w:val="clear"/>
            <w:vAlign w:val="center"/>
          </w:tcPr>
          <w:p>
            <w:pPr>
              <w:pStyle w:val="TableContents"/>
              <w:bidi w:val="0"/>
              <w:spacing w:before="0" w:after="0"/>
              <w:jc w:val="left"/>
              <w:rPr/>
            </w:pPr>
            <w:r>
              <w:rPr/>
              <w:t> </w:t>
            </w:r>
          </w:p>
        </w:tc>
      </w:tr>
    </w:tbl>
    <w:tbl>
      <w:tblPr>
        <w:tblW w:w="9760" w:type="dxa"/>
        <w:jc w:val="left"/>
        <w:tblInd w:w="0" w:type="dxa"/>
        <w:tblLayout w:type="fixed"/>
        <w:tblCellMar>
          <w:top w:w="0" w:type="dxa"/>
          <w:left w:w="0" w:type="dxa"/>
          <w:bottom w:w="0" w:type="dxa"/>
          <w:right w:w="0" w:type="dxa"/>
        </w:tblCellMar>
      </w:tblPr>
      <w:tblGrid>
        <w:gridCol w:w="260"/>
        <w:gridCol w:w="9500"/>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(a)</w:t>
            </w:r>
          </w:p>
        </w:tc>
        <w:tc>
          <w:tcPr>
            <w:tcW w:w="950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Includes awards granted under the Amended and Restated Equity and Incentive Plan, which plan was approved by shareholders. </w:t>
            </w:r>
          </w:p>
        </w:tc>
      </w:tr>
    </w:tbl>
    <w:tbl>
      <w:tblPr>
        <w:tblW w:w="8590" w:type="dxa"/>
        <w:jc w:val="left"/>
        <w:tblInd w:w="0" w:type="dxa"/>
        <w:tblLayout w:type="fixed"/>
        <w:tblCellMar>
          <w:top w:w="0" w:type="dxa"/>
          <w:left w:w="0" w:type="dxa"/>
          <w:bottom w:w="0" w:type="dxa"/>
          <w:right w:w="0" w:type="dxa"/>
        </w:tblCellMar>
      </w:tblPr>
      <w:tblGrid>
        <w:gridCol w:w="260"/>
        <w:gridCol w:w="8330"/>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(b)</w:t>
            </w:r>
          </w:p>
        </w:tc>
        <w:tc>
          <w:tcPr>
            <w:tcW w:w="833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Represents 2,880,481 shares available for issuance under the Amended and Restated Equity and Incentive Plan.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17</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0" w:name="ny20066167x1_def14a_105-prop1_pg12"/>
        <w:bookmarkEnd w:id="50"/>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left"/>
        <w:rPr>
          <w:rFonts w:ascii="Arial;Helvetica;sans-serif" w:hAnsi="Arial;Helvetica;sans-serif"/>
          <w:b/>
          <w:color w:val="000000"/>
          <w:sz w:val="28"/>
        </w:rPr>
      </w:pPr>
      <w:bookmarkStart w:id="51" w:name="tSOCB"/>
      <w:bookmarkEnd w:id="51"/>
      <w:r>
        <w:rPr>
          <w:rFonts w:ascii="Arial;Helvetica;sans-serif" w:hAnsi="Arial;Helvetica;sans-serif"/>
          <w:b/>
          <w:color w:val="000000"/>
          <w:sz w:val="28"/>
        </w:rPr>
        <w:t xml:space="preserve">Security Ownership of Certain Beneficial Owners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following table sets forth information regarding beneficial ownership of shares of Common Stock as of March 25, 2026, by (i) each person who is known by us to beneficially own more than 5% of the outstanding shares of Common Stock, (ii) each of the Company’s directors and each of its named executive officers, and (iii) all of the Company’s directors, nominees and current executive officers, as a group. Unless stated otherwise, the address for each person is 379 Interpace Parkway, Parsippany, NJ 07054. </w:t>
      </w:r>
    </w:p>
    <w:tbl>
      <w:tblPr>
        <w:tblW w:w="10205" w:type="dxa"/>
        <w:jc w:val="left"/>
        <w:tblInd w:w="0" w:type="dxa"/>
        <w:tblLayout w:type="fixed"/>
        <w:tblCellMar>
          <w:top w:w="0" w:type="dxa"/>
          <w:left w:w="0" w:type="dxa"/>
          <w:bottom w:w="0" w:type="dxa"/>
          <w:right w:w="0" w:type="dxa"/>
        </w:tblCellMar>
      </w:tblPr>
      <w:tblGrid>
        <w:gridCol w:w="185"/>
        <w:gridCol w:w="3787"/>
        <w:gridCol w:w="170"/>
        <w:gridCol w:w="170"/>
        <w:gridCol w:w="1711"/>
        <w:gridCol w:w="170"/>
        <w:gridCol w:w="170"/>
        <w:gridCol w:w="1179"/>
        <w:gridCol w:w="170"/>
        <w:gridCol w:w="170"/>
        <w:gridCol w:w="2106"/>
        <w:gridCol w:w="217"/>
      </w:tblGrid>
      <w:tr>
        <w:trPr/>
        <w:tc>
          <w:tcPr>
            <w:tcW w:w="185" w:type="dxa"/>
            <w:tcBorders/>
            <w:vAlign w:val="center"/>
          </w:tcPr>
          <w:p>
            <w:pPr>
              <w:pStyle w:val="TableContents"/>
              <w:bidi w:val="0"/>
              <w:spacing w:before="0" w:after="0"/>
              <w:jc w:val="left"/>
              <w:rPr/>
            </w:pPr>
            <w:r>
              <w:rPr/>
              <w:t> </w:t>
            </w:r>
          </w:p>
        </w:tc>
        <w:tc>
          <w:tcPr>
            <w:tcW w:w="378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06"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787" w:type="dxa"/>
            <w:tcBorders>
              <w:bottom w:val="single" w:sz="8" w:space="0" w:color="000000"/>
            </w:tcBorders>
            <w:tcMar>
              <w:bottom w:w="43" w:type="dxa"/>
            </w:tcM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Name of Beneficial Owner</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11"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Total Amount of Shares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Beneficially Owned</w:t>
            </w:r>
            <w:r>
              <w:rPr>
                <w:rFonts w:ascii="Arial;Helvetica;sans-serif" w:hAnsi="Arial;Helvetica;sans-serif"/>
                <w:b/>
                <w:color w:val="000000"/>
                <w:position w:val="5"/>
                <w:sz w:val="13"/>
                <w:sz w:val="16"/>
              </w:rPr>
              <w:t>(1)</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79"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Percent of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Common Stock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Owned</w:t>
            </w:r>
            <w:r>
              <w:rPr>
                <w:rFonts w:ascii="Arial;Helvetica;sans-serif" w:hAnsi="Arial;Helvetica;sans-serif"/>
                <w:b/>
                <w:color w:val="000000"/>
                <w:position w:val="5"/>
                <w:sz w:val="13"/>
                <w:sz w:val="16"/>
              </w:rPr>
              <w:t>(2)</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106"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Of the Total Number of Shares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Beneficially Owned, Shares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Which May Be Acquired Within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60 Days</w:t>
            </w:r>
            <w:r>
              <w:rPr>
                <w:rFonts w:ascii="Arial;Helvetica;sans-serif" w:hAnsi="Arial;Helvetica;sans-serif"/>
                <w:b/>
                <w:color w:val="000000"/>
                <w:position w:val="5"/>
                <w:sz w:val="13"/>
                <w:sz w:val="16"/>
              </w:rPr>
              <w:t>(3)</w:t>
            </w:r>
            <w:r>
              <w:rPr>
                <w:rFonts w:ascii="Arial;Helvetica;sans-serif" w:hAnsi="Arial;Helvetica;sans-serif"/>
                <w:b/>
                <w:color w:val="000000"/>
                <w:sz w:val="16"/>
              </w:rPr>
              <w:t xml:space="preserve"> </w:t>
            </w:r>
          </w:p>
        </w:tc>
        <w:tc>
          <w:tcPr>
            <w:tcW w:w="21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3787" w:type="dxa"/>
            <w:tcBorders>
              <w:bottom w:val="single" w:sz="8" w:space="0" w:color="000000"/>
            </w:tcBorders>
            <w:shd w:fill="CCCCCC" w:val="clear"/>
            <w:tcMar>
              <w:bottom w:w="38" w:type="dxa"/>
            </w:tcM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Principal Shareholders:**</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11" w:type="dxa"/>
            <w:tcBorders>
              <w:bottom w:val="single" w:sz="8" w:space="0" w:color="000000"/>
            </w:tcBorders>
            <w:shd w:fill="CCCCCC" w:val="clear"/>
            <w:tcMar>
              <w:bottom w:w="38" w:type="dxa"/>
            </w:tcMar>
            <w:vAlign w:val="center"/>
          </w:tcPr>
          <w:p>
            <w:pPr>
              <w:pStyle w:val="TableContents"/>
              <w:bidi w:val="0"/>
              <w:spacing w:before="0" w:after="283"/>
              <w:ind w:left="493" w:right="0" w:hanging="0"/>
              <w:jc w:val="left"/>
              <w:rPr>
                <w:color w:val="000000"/>
              </w:rPr>
            </w:pPr>
            <w:r>
              <w:rPr>
                <w:color w:val="000000"/>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179" w:type="dxa"/>
            <w:tcBorders>
              <w:bottom w:val="single" w:sz="8" w:space="0" w:color="000000"/>
            </w:tcBorders>
            <w:shd w:fill="CCCCCC" w:val="clear"/>
            <w:tcMar>
              <w:bottom w:w="38" w:type="dxa"/>
            </w:tcMar>
            <w:vAlign w:val="center"/>
          </w:tcPr>
          <w:p>
            <w:pPr>
              <w:pStyle w:val="TableContents"/>
              <w:bidi w:val="0"/>
              <w:spacing w:before="0" w:after="283"/>
              <w:ind w:left="386" w:right="0" w:hanging="0"/>
              <w:jc w:val="left"/>
              <w:rPr>
                <w:color w:val="000000"/>
              </w:rPr>
            </w:pPr>
            <w:r>
              <w:rPr>
                <w:color w:val="000000"/>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2106" w:type="dxa"/>
            <w:tcBorders>
              <w:bottom w:val="single" w:sz="8" w:space="0" w:color="000000"/>
            </w:tcBorders>
            <w:shd w:fill="CCCCCC" w:val="clear"/>
            <w:tcMar>
              <w:bottom w:w="38" w:type="dxa"/>
            </w:tcMar>
            <w:vAlign w:val="center"/>
          </w:tcPr>
          <w:p>
            <w:pPr>
              <w:pStyle w:val="TableContents"/>
              <w:bidi w:val="0"/>
              <w:spacing w:before="0" w:after="283"/>
              <w:ind w:left="885" w:right="0" w:hanging="0"/>
              <w:jc w:val="left"/>
              <w:rPr>
                <w:color w:val="000000"/>
              </w:rPr>
            </w:pPr>
            <w:r>
              <w:rPr>
                <w:color w:val="000000"/>
              </w:rPr>
              <w:t> </w:t>
            </w:r>
          </w:p>
        </w:tc>
        <w:tc>
          <w:tcPr>
            <w:tcW w:w="217"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787" w:type="dxa"/>
            <w:tcBorders>
              <w:bottom w:val="single" w:sz="8" w:space="0" w:color="000000"/>
            </w:tcBorders>
            <w:tcMar>
              <w:bottom w:w="3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SRS Investment Management, LLC</w:t>
            </w:r>
            <w:r>
              <w:rPr>
                <w:rFonts w:ascii="Arial;Helvetica;sans-serif" w:hAnsi="Arial;Helvetica;sans-serif"/>
                <w:color w:val="000000"/>
                <w:position w:val="5"/>
                <w:sz w:val="13"/>
                <w:sz w:val="16"/>
              </w:rPr>
              <w:t>(4)(5)</w:t>
            </w:r>
            <w:r>
              <w:rPr>
                <w:rFonts w:ascii="Arial;Helvetica;sans-serif" w:hAnsi="Arial;Helvetica;sans-serif"/>
                <w:color w:val="000000"/>
                <w:sz w:val="16"/>
              </w:rPr>
              <w:t xml:space="preserve"> </w:t>
            </w:r>
          </w:p>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One Bryant Park, 39</w:t>
            </w:r>
            <w:r>
              <w:rPr>
                <w:rFonts w:ascii="Arial;Helvetica;sans-serif" w:hAnsi="Arial;Helvetica;sans-serif"/>
                <w:color w:val="000000"/>
                <w:position w:val="5"/>
                <w:sz w:val="13"/>
                <w:sz w:val="16"/>
              </w:rPr>
              <w:t>th</w:t>
            </w:r>
            <w:r>
              <w:rPr>
                <w:rFonts w:ascii="Arial;Helvetica;sans-serif" w:hAnsi="Arial;Helvetica;sans-serif"/>
                <w:color w:val="000000"/>
                <w:sz w:val="16"/>
              </w:rPr>
              <w:t xml:space="preserve"> Floor </w:t>
            </w:r>
          </w:p>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New York, NY 10036</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11" w:type="dxa"/>
            <w:tcBorders>
              <w:bottom w:val="single" w:sz="8" w:space="0" w:color="000000"/>
            </w:tcBorders>
            <w:tcMar>
              <w:bottom w:w="38" w:type="dxa"/>
            </w:tcMar>
            <w:vAlign w:val="center"/>
          </w:tcPr>
          <w:p>
            <w:pPr>
              <w:pStyle w:val="TableContents"/>
              <w:bidi w:val="0"/>
              <w:spacing w:before="0" w:after="283"/>
              <w:ind w:left="493" w:right="0" w:hanging="0"/>
              <w:jc w:val="left"/>
              <w:rPr>
                <w:rFonts w:ascii="Arial;Helvetica;sans-serif" w:hAnsi="Arial;Helvetica;sans-serif"/>
                <w:color w:val="000000"/>
                <w:sz w:val="16"/>
              </w:rPr>
            </w:pPr>
            <w:r>
              <w:rPr>
                <w:rFonts w:ascii="Arial;Helvetica;sans-serif" w:hAnsi="Arial;Helvetica;sans-serif"/>
                <w:color w:val="000000"/>
                <w:sz w:val="16"/>
              </w:rPr>
              <w:t>17,430,882</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79" w:type="dxa"/>
            <w:tcBorders>
              <w:bottom w:val="single" w:sz="8" w:space="0" w:color="000000"/>
            </w:tcBorders>
            <w:tcMar>
              <w:bottom w:w="38" w:type="dxa"/>
            </w:tcMar>
            <w:vAlign w:val="center"/>
          </w:tcPr>
          <w:p>
            <w:pPr>
              <w:pStyle w:val="TableContents"/>
              <w:bidi w:val="0"/>
              <w:spacing w:before="0" w:after="283"/>
              <w:ind w:left="386" w:right="0" w:hanging="0"/>
              <w:jc w:val="left"/>
              <w:rPr>
                <w:rFonts w:ascii="Arial;Helvetica;sans-serif" w:hAnsi="Arial;Helvetica;sans-serif"/>
                <w:color w:val="000000"/>
                <w:sz w:val="16"/>
              </w:rPr>
            </w:pPr>
            <w:r>
              <w:rPr>
                <w:rFonts w:ascii="Arial;Helvetica;sans-serif" w:hAnsi="Arial;Helvetica;sans-serif"/>
                <w:color w:val="000000"/>
                <w:sz w:val="16"/>
              </w:rPr>
              <w:t>49.34%</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106" w:type="dxa"/>
            <w:tcBorders>
              <w:bottom w:val="single" w:sz="8" w:space="0" w:color="000000"/>
            </w:tcBorders>
            <w:tcMar>
              <w:bottom w:w="38" w:type="dxa"/>
            </w:tcMar>
            <w:vAlign w:val="center"/>
          </w:tcPr>
          <w:p>
            <w:pPr>
              <w:pStyle w:val="TableContents"/>
              <w:bidi w:val="0"/>
              <w:spacing w:before="0" w:after="283"/>
              <w:ind w:left="885" w:right="0" w:hanging="0"/>
              <w:jc w:val="left"/>
              <w:rPr>
                <w:color w:val="000000"/>
              </w:rPr>
            </w:pPr>
            <w:r>
              <w:rPr>
                <w:color w:val="000000"/>
              </w:rPr>
              <w:t xml:space="preserve">— </w:t>
            </w:r>
          </w:p>
        </w:tc>
        <w:tc>
          <w:tcPr>
            <w:tcW w:w="21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3787" w:type="dxa"/>
            <w:tcBorders>
              <w:bottom w:val="single" w:sz="8" w:space="0" w:color="000000"/>
            </w:tcBorders>
            <w:shd w:fill="CCCCCC" w:val="clear"/>
            <w:tcMar>
              <w:bottom w:w="3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Pentwater Capital Management LP</w:t>
            </w:r>
            <w:r>
              <w:rPr>
                <w:rFonts w:ascii="Arial;Helvetica;sans-serif" w:hAnsi="Arial;Helvetica;sans-serif"/>
                <w:color w:val="000000"/>
                <w:position w:val="5"/>
                <w:sz w:val="13"/>
                <w:sz w:val="16"/>
              </w:rPr>
              <w:t>(6)(7)</w:t>
            </w:r>
            <w:r>
              <w:rPr>
                <w:rFonts w:ascii="Arial;Helvetica;sans-serif" w:hAnsi="Arial;Helvetica;sans-serif"/>
                <w:color w:val="000000"/>
                <w:sz w:val="16"/>
              </w:rPr>
              <w:t xml:space="preserve"> </w:t>
            </w:r>
          </w:p>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 xml:space="preserve">1001 10th Avenue South, </w:t>
            </w:r>
          </w:p>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Suite 216 Naples, FL 34102</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11" w:type="dxa"/>
            <w:tcBorders>
              <w:bottom w:val="single" w:sz="8" w:space="0" w:color="000000"/>
            </w:tcBorders>
            <w:shd w:fill="CCCCCC" w:val="clear"/>
            <w:tcMar>
              <w:bottom w:w="38" w:type="dxa"/>
            </w:tcMar>
            <w:vAlign w:val="center"/>
          </w:tcPr>
          <w:p>
            <w:pPr>
              <w:pStyle w:val="TableContents"/>
              <w:bidi w:val="0"/>
              <w:spacing w:before="0" w:after="283"/>
              <w:ind w:left="493" w:right="0" w:hanging="0"/>
              <w:jc w:val="left"/>
              <w:rPr>
                <w:color w:val="000000"/>
              </w:rPr>
            </w:pPr>
            <w:r>
              <w:rPr>
                <w:color w:val="000000"/>
              </w:rPr>
              <w:t>​</w:t>
            </w:r>
            <w:r>
              <w:rPr>
                <w:rFonts w:ascii="Arial;Helvetica;sans-serif" w:hAnsi="Arial;Helvetica;sans-serif"/>
                <w:color w:val="000000"/>
                <w:sz w:val="16"/>
              </w:rPr>
              <w:t>7,824,100</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179" w:type="dxa"/>
            <w:tcBorders>
              <w:bottom w:val="single" w:sz="8" w:space="0" w:color="000000"/>
            </w:tcBorders>
            <w:shd w:fill="CCCCCC" w:val="clear"/>
            <w:tcMar>
              <w:bottom w:w="38" w:type="dxa"/>
            </w:tcMar>
            <w:vAlign w:val="center"/>
          </w:tcPr>
          <w:p>
            <w:pPr>
              <w:pStyle w:val="TableContents"/>
              <w:bidi w:val="0"/>
              <w:spacing w:before="0" w:after="283"/>
              <w:ind w:left="386" w:right="0" w:hanging="0"/>
              <w:jc w:val="left"/>
              <w:rPr>
                <w:color w:val="000000"/>
              </w:rPr>
            </w:pPr>
            <w:r>
              <w:rPr>
                <w:color w:val="000000"/>
              </w:rPr>
              <w:t>​</w:t>
            </w:r>
            <w:r>
              <w:rPr>
                <w:rFonts w:ascii="Arial;Helvetica;sans-serif" w:hAnsi="Arial;Helvetica;sans-serif"/>
                <w:color w:val="000000"/>
                <w:sz w:val="16"/>
              </w:rPr>
              <w:t>22.15%</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2106" w:type="dxa"/>
            <w:tcBorders>
              <w:bottom w:val="single" w:sz="8" w:space="0" w:color="000000"/>
            </w:tcBorders>
            <w:shd w:fill="CCCCCC" w:val="clear"/>
            <w:tcMar>
              <w:bottom w:w="38" w:type="dxa"/>
            </w:tcMar>
            <w:vAlign w:val="center"/>
          </w:tcPr>
          <w:p>
            <w:pPr>
              <w:pStyle w:val="TableContents"/>
              <w:bidi w:val="0"/>
              <w:spacing w:before="0" w:after="283"/>
              <w:ind w:left="885" w:right="0" w:hanging="0"/>
              <w:jc w:val="left"/>
              <w:rPr>
                <w:color w:val="000000"/>
              </w:rPr>
            </w:pPr>
            <w:r>
              <w:rPr>
                <w:color w:val="000000"/>
              </w:rPr>
              <w:t>​</w:t>
            </w:r>
            <w:r>
              <w:rPr>
                <w:rFonts w:ascii="Arial;Helvetica;sans-serif" w:hAnsi="Arial;Helvetica;sans-serif"/>
                <w:color w:val="000000"/>
                <w:sz w:val="16"/>
              </w:rPr>
              <w:t xml:space="preserve">775,800 </w:t>
            </w:r>
          </w:p>
        </w:tc>
        <w:tc>
          <w:tcPr>
            <w:tcW w:w="217"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787" w:type="dxa"/>
            <w:tcBorders>
              <w:bottom w:val="single" w:sz="8" w:space="0" w:color="000000"/>
            </w:tcBorders>
            <w:tcMar>
              <w:bottom w:w="3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Morgan Stanley</w:t>
            </w:r>
            <w:r>
              <w:rPr>
                <w:rFonts w:ascii="Arial;Helvetica;sans-serif" w:hAnsi="Arial;Helvetica;sans-serif"/>
                <w:color w:val="000000"/>
                <w:position w:val="5"/>
                <w:sz w:val="13"/>
                <w:sz w:val="16"/>
              </w:rPr>
              <w:t>(8)</w:t>
            </w:r>
            <w:r>
              <w:rPr>
                <w:rFonts w:ascii="Arial;Helvetica;sans-serif" w:hAnsi="Arial;Helvetica;sans-serif"/>
                <w:color w:val="000000"/>
                <w:sz w:val="16"/>
              </w:rPr>
              <w:t xml:space="preserve"> </w:t>
            </w:r>
          </w:p>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 xml:space="preserve">1585 Broadway </w:t>
            </w:r>
          </w:p>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New York, NY 10036</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11" w:type="dxa"/>
            <w:tcBorders>
              <w:bottom w:val="single" w:sz="8" w:space="0" w:color="000000"/>
            </w:tcBorders>
            <w:tcMar>
              <w:bottom w:w="38" w:type="dxa"/>
            </w:tcMar>
            <w:vAlign w:val="center"/>
          </w:tcPr>
          <w:p>
            <w:pPr>
              <w:pStyle w:val="TableContents"/>
              <w:bidi w:val="0"/>
              <w:spacing w:before="0" w:after="283"/>
              <w:ind w:left="493" w:right="0" w:hanging="0"/>
              <w:jc w:val="left"/>
              <w:rPr>
                <w:rFonts w:ascii="Arial;Helvetica;sans-serif" w:hAnsi="Arial;Helvetica;sans-serif"/>
                <w:color w:val="000000"/>
                <w:sz w:val="16"/>
              </w:rPr>
            </w:pPr>
            <w:r>
              <w:rPr>
                <w:rFonts w:ascii="Arial;Helvetica;sans-serif" w:hAnsi="Arial;Helvetica;sans-serif"/>
                <w:color w:val="000000"/>
                <w:sz w:val="16"/>
              </w:rPr>
              <w:t>1,971,874</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79" w:type="dxa"/>
            <w:tcBorders>
              <w:bottom w:val="single" w:sz="8" w:space="0" w:color="000000"/>
            </w:tcBorders>
            <w:tcMar>
              <w:bottom w:w="38" w:type="dxa"/>
            </w:tcMar>
            <w:vAlign w:val="center"/>
          </w:tcPr>
          <w:p>
            <w:pPr>
              <w:pStyle w:val="TableContents"/>
              <w:bidi w:val="0"/>
              <w:spacing w:before="0" w:after="283"/>
              <w:ind w:left="386" w:right="0" w:hanging="0"/>
              <w:jc w:val="left"/>
              <w:rPr>
                <w:rFonts w:ascii="Arial;Helvetica;sans-serif" w:hAnsi="Arial;Helvetica;sans-serif"/>
                <w:color w:val="000000"/>
                <w:sz w:val="16"/>
              </w:rPr>
            </w:pPr>
            <w:r>
              <w:rPr>
                <w:rFonts w:ascii="Arial;Helvetica;sans-serif" w:hAnsi="Arial;Helvetica;sans-serif"/>
                <w:color w:val="000000"/>
                <w:sz w:val="16"/>
              </w:rPr>
              <w:t>5.58%</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106" w:type="dxa"/>
            <w:tcBorders>
              <w:bottom w:val="single" w:sz="8" w:space="0" w:color="000000"/>
            </w:tcBorders>
            <w:tcMar>
              <w:bottom w:w="38" w:type="dxa"/>
            </w:tcMar>
            <w:vAlign w:val="center"/>
          </w:tcPr>
          <w:p>
            <w:pPr>
              <w:pStyle w:val="TableContents"/>
              <w:bidi w:val="0"/>
              <w:spacing w:before="0" w:after="283"/>
              <w:ind w:left="885" w:right="0" w:hanging="0"/>
              <w:jc w:val="left"/>
              <w:rPr>
                <w:color w:val="000000"/>
              </w:rPr>
            </w:pPr>
            <w:r>
              <w:rPr>
                <w:color w:val="000000"/>
              </w:rPr>
              <w:t xml:space="preserve">— </w:t>
            </w:r>
          </w:p>
        </w:tc>
        <w:tc>
          <w:tcPr>
            <w:tcW w:w="21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3787" w:type="dxa"/>
            <w:tcBorders>
              <w:bottom w:val="single" w:sz="8" w:space="0" w:color="000000"/>
            </w:tcBorders>
            <w:shd w:fill="CCCCCC" w:val="clear"/>
            <w:tcMar>
              <w:bottom w:w="3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Jane Street Group, LLC</w:t>
            </w:r>
            <w:r>
              <w:rPr>
                <w:rFonts w:ascii="Arial;Helvetica;sans-serif" w:hAnsi="Arial;Helvetica;sans-serif"/>
                <w:color w:val="000000"/>
                <w:position w:val="5"/>
                <w:sz w:val="13"/>
                <w:sz w:val="16"/>
              </w:rPr>
              <w:t>(9)</w:t>
            </w:r>
            <w:r>
              <w:rPr>
                <w:rFonts w:ascii="Arial;Helvetica;sans-serif" w:hAnsi="Arial;Helvetica;sans-serif"/>
                <w:color w:val="000000"/>
                <w:sz w:val="16"/>
              </w:rPr>
              <w:t xml:space="preserve"> </w:t>
            </w:r>
          </w:p>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 xml:space="preserve">250 Vesey Street, 6th Floor </w:t>
            </w:r>
          </w:p>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New York, NY 10281</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11" w:type="dxa"/>
            <w:tcBorders>
              <w:bottom w:val="single" w:sz="8" w:space="0" w:color="000000"/>
            </w:tcBorders>
            <w:shd w:fill="CCCCCC" w:val="clear"/>
            <w:tcMar>
              <w:bottom w:w="38" w:type="dxa"/>
            </w:tcMar>
            <w:vAlign w:val="center"/>
          </w:tcPr>
          <w:p>
            <w:pPr>
              <w:pStyle w:val="TableContents"/>
              <w:bidi w:val="0"/>
              <w:spacing w:before="0" w:after="283"/>
              <w:ind w:left="493" w:right="0" w:hanging="0"/>
              <w:jc w:val="left"/>
              <w:rPr>
                <w:rFonts w:ascii="Arial;Helvetica;sans-serif" w:hAnsi="Arial;Helvetica;sans-serif"/>
                <w:color w:val="000000"/>
                <w:sz w:val="16"/>
              </w:rPr>
            </w:pPr>
            <w:r>
              <w:rPr>
                <w:rFonts w:ascii="Arial;Helvetica;sans-serif" w:hAnsi="Arial;Helvetica;sans-serif"/>
                <w:color w:val="000000"/>
                <w:sz w:val="16"/>
              </w:rPr>
              <w:t>1,910,016</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179" w:type="dxa"/>
            <w:tcBorders>
              <w:bottom w:val="single" w:sz="8" w:space="0" w:color="000000"/>
            </w:tcBorders>
            <w:shd w:fill="CCCCCC" w:val="clear"/>
            <w:tcMar>
              <w:bottom w:w="38" w:type="dxa"/>
            </w:tcMar>
            <w:vAlign w:val="center"/>
          </w:tcPr>
          <w:p>
            <w:pPr>
              <w:pStyle w:val="TableContents"/>
              <w:bidi w:val="0"/>
              <w:spacing w:before="0" w:after="283"/>
              <w:ind w:left="386" w:right="0" w:hanging="0"/>
              <w:jc w:val="left"/>
              <w:rPr>
                <w:rFonts w:ascii="Arial;Helvetica;sans-serif" w:hAnsi="Arial;Helvetica;sans-serif"/>
                <w:color w:val="000000"/>
                <w:sz w:val="16"/>
              </w:rPr>
            </w:pPr>
            <w:r>
              <w:rPr>
                <w:rFonts w:ascii="Arial;Helvetica;sans-serif" w:hAnsi="Arial;Helvetica;sans-serif"/>
                <w:color w:val="000000"/>
                <w:sz w:val="16"/>
              </w:rPr>
              <w:t>5.41%</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2106" w:type="dxa"/>
            <w:tcBorders>
              <w:bottom w:val="single" w:sz="8" w:space="0" w:color="000000"/>
            </w:tcBorders>
            <w:shd w:fill="CCCCCC" w:val="clear"/>
            <w:tcMar>
              <w:bottom w:w="38" w:type="dxa"/>
            </w:tcMar>
            <w:vAlign w:val="center"/>
          </w:tcPr>
          <w:p>
            <w:pPr>
              <w:pStyle w:val="TableContents"/>
              <w:bidi w:val="0"/>
              <w:spacing w:before="0" w:after="283"/>
              <w:ind w:left="885" w:right="0" w:hanging="0"/>
              <w:jc w:val="left"/>
              <w:rPr>
                <w:color w:val="000000"/>
              </w:rPr>
            </w:pPr>
            <w:r>
              <w:rPr>
                <w:color w:val="000000"/>
              </w:rPr>
              <w:t xml:space="preserve">— </w:t>
            </w:r>
          </w:p>
        </w:tc>
        <w:tc>
          <w:tcPr>
            <w:tcW w:w="217"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803" w:type="dxa"/>
            <w:gridSpan w:val="10"/>
            <w:tcBorders>
              <w:bottom w:val="single" w:sz="8" w:space="0" w:color="000000"/>
            </w:tcBorders>
            <w:tcMar>
              <w:bottom w:w="38" w:type="dxa"/>
            </w:tcM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Directors, Nominees and Named Executive Officers</w:t>
            </w:r>
          </w:p>
        </w:tc>
        <w:tc>
          <w:tcPr>
            <w:tcW w:w="21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3787" w:type="dxa"/>
            <w:tcBorders>
              <w:bottom w:val="single" w:sz="8" w:space="0" w:color="000000"/>
            </w:tcBorders>
            <w:shd w:fill="CCCCCC" w:val="clear"/>
            <w:tcMar>
              <w:bottom w:w="3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Bernardo Hees</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11" w:type="dxa"/>
            <w:tcBorders>
              <w:bottom w:val="single" w:sz="8" w:space="0" w:color="000000"/>
            </w:tcBorders>
            <w:shd w:fill="CCCCCC" w:val="clear"/>
            <w:tcMar>
              <w:bottom w:w="38" w:type="dxa"/>
            </w:tcMar>
            <w:vAlign w:val="center"/>
          </w:tcPr>
          <w:p>
            <w:pPr>
              <w:pStyle w:val="TableContents"/>
              <w:bidi w:val="0"/>
              <w:spacing w:before="0" w:after="283"/>
              <w:ind w:left="493" w:right="0" w:hanging="0"/>
              <w:jc w:val="left"/>
              <w:rPr>
                <w:color w:val="000000"/>
              </w:rPr>
            </w:pPr>
            <w:r>
              <w:rPr>
                <w:color w:val="000000"/>
              </w:rPr>
              <w:t>​</w:t>
            </w:r>
            <w:r>
              <w:rPr>
                <w:rFonts w:ascii="Arial;Helvetica;sans-serif" w:hAnsi="Arial;Helvetica;sans-serif"/>
                <w:color w:val="000000"/>
                <w:sz w:val="16"/>
              </w:rPr>
              <w:t>121,256</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179" w:type="dxa"/>
            <w:tcBorders>
              <w:bottom w:val="single" w:sz="8" w:space="0" w:color="000000"/>
            </w:tcBorders>
            <w:shd w:fill="CCCCCC" w:val="clear"/>
            <w:tcMar>
              <w:bottom w:w="38" w:type="dxa"/>
            </w:tcMar>
            <w:vAlign w:val="center"/>
          </w:tcPr>
          <w:p>
            <w:pPr>
              <w:pStyle w:val="TableContents"/>
              <w:bidi w:val="0"/>
              <w:spacing w:before="0" w:after="283"/>
              <w:ind w:left="386"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2106" w:type="dxa"/>
            <w:tcBorders>
              <w:bottom w:val="single" w:sz="8" w:space="0" w:color="000000"/>
            </w:tcBorders>
            <w:shd w:fill="CCCCCC" w:val="clear"/>
            <w:tcMar>
              <w:bottom w:w="38" w:type="dxa"/>
            </w:tcMar>
            <w:vAlign w:val="center"/>
          </w:tcPr>
          <w:p>
            <w:pPr>
              <w:pStyle w:val="TableContents"/>
              <w:bidi w:val="0"/>
              <w:spacing w:before="0" w:after="283"/>
              <w:ind w:left="885" w:right="0" w:hanging="0"/>
              <w:jc w:val="left"/>
              <w:rPr>
                <w:color w:val="000000"/>
              </w:rPr>
            </w:pPr>
            <w:r>
              <w:rPr>
                <w:color w:val="000000"/>
              </w:rPr>
              <w:t>​</w:t>
            </w:r>
            <w:r>
              <w:rPr>
                <w:rFonts w:ascii="Arial;Helvetica;sans-serif" w:hAnsi="Arial;Helvetica;sans-serif"/>
                <w:color w:val="000000"/>
                <w:sz w:val="16"/>
              </w:rPr>
              <w:t>4,735</w:t>
            </w:r>
            <w:r>
              <w:rPr>
                <w:rFonts w:ascii="Arial;Helvetica;sans-serif" w:hAnsi="Arial;Helvetica;sans-serif"/>
                <w:color w:val="000000"/>
                <w:sz w:val="16"/>
              </w:rPr>
              <w:t xml:space="preserve"> </w:t>
            </w:r>
          </w:p>
        </w:tc>
        <w:tc>
          <w:tcPr>
            <w:tcW w:w="217"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787" w:type="dxa"/>
            <w:tcBorders>
              <w:bottom w:val="single" w:sz="8" w:space="0" w:color="000000"/>
            </w:tcBorders>
            <w:tcMar>
              <w:bottom w:w="3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Anu Hariharan</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11" w:type="dxa"/>
            <w:tcBorders>
              <w:bottom w:val="single" w:sz="8" w:space="0" w:color="000000"/>
            </w:tcBorders>
            <w:tcMar>
              <w:bottom w:w="38" w:type="dxa"/>
            </w:tcMar>
            <w:vAlign w:val="center"/>
          </w:tcPr>
          <w:p>
            <w:pPr>
              <w:pStyle w:val="TableContents"/>
              <w:bidi w:val="0"/>
              <w:spacing w:before="0" w:after="283"/>
              <w:ind w:left="493" w:right="0" w:hanging="0"/>
              <w:jc w:val="left"/>
              <w:rPr>
                <w:color w:val="000000"/>
              </w:rPr>
            </w:pPr>
            <w:r>
              <w:rPr>
                <w:color w:val="000000"/>
              </w:rPr>
              <w:t>​</w:t>
            </w:r>
            <w:r>
              <w:rPr>
                <w:rFonts w:ascii="Arial;Helvetica;sans-serif" w:hAnsi="Arial;Helvetica;sans-serif"/>
                <w:color w:val="000000"/>
                <w:sz w:val="16"/>
              </w:rPr>
              <w:t>4,531</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79" w:type="dxa"/>
            <w:tcBorders>
              <w:bottom w:val="single" w:sz="8" w:space="0" w:color="000000"/>
            </w:tcBorders>
            <w:tcMar>
              <w:bottom w:w="38" w:type="dxa"/>
            </w:tcMar>
            <w:vAlign w:val="center"/>
          </w:tcPr>
          <w:p>
            <w:pPr>
              <w:pStyle w:val="TableContents"/>
              <w:bidi w:val="0"/>
              <w:spacing w:before="0" w:after="283"/>
              <w:ind w:left="386"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106" w:type="dxa"/>
            <w:tcBorders>
              <w:bottom w:val="single" w:sz="8" w:space="0" w:color="000000"/>
            </w:tcBorders>
            <w:tcMar>
              <w:bottom w:w="38" w:type="dxa"/>
            </w:tcMar>
            <w:vAlign w:val="center"/>
          </w:tcPr>
          <w:p>
            <w:pPr>
              <w:pStyle w:val="TableContents"/>
              <w:bidi w:val="0"/>
              <w:spacing w:before="0" w:after="283"/>
              <w:ind w:left="885" w:right="0" w:hanging="0"/>
              <w:jc w:val="left"/>
              <w:rPr>
                <w:color w:val="000000"/>
              </w:rPr>
            </w:pPr>
            <w:r>
              <w:rPr>
                <w:color w:val="000000"/>
              </w:rPr>
              <w:t>​</w:t>
            </w:r>
            <w:r>
              <w:rPr>
                <w:rFonts w:ascii="Arial;Helvetica;sans-serif" w:hAnsi="Arial;Helvetica;sans-serif"/>
                <w:color w:val="000000"/>
                <w:sz w:val="16"/>
              </w:rPr>
              <w:t>4,531</w:t>
            </w:r>
            <w:r>
              <w:rPr>
                <w:rFonts w:ascii="Arial;Helvetica;sans-serif" w:hAnsi="Arial;Helvetica;sans-serif"/>
                <w:color w:val="000000"/>
                <w:sz w:val="16"/>
              </w:rPr>
              <w:t xml:space="preserve"> </w:t>
            </w:r>
          </w:p>
        </w:tc>
        <w:tc>
          <w:tcPr>
            <w:tcW w:w="21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3787" w:type="dxa"/>
            <w:tcBorders>
              <w:bottom w:val="single" w:sz="8" w:space="0" w:color="000000"/>
            </w:tcBorders>
            <w:shd w:fill="CCCCCC" w:val="clear"/>
            <w:tcMar>
              <w:bottom w:w="3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Lynn Krominga</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11" w:type="dxa"/>
            <w:tcBorders>
              <w:bottom w:val="single" w:sz="8" w:space="0" w:color="000000"/>
            </w:tcBorders>
            <w:shd w:fill="CCCCCC" w:val="clear"/>
            <w:tcMar>
              <w:bottom w:w="38" w:type="dxa"/>
            </w:tcMar>
            <w:vAlign w:val="center"/>
          </w:tcPr>
          <w:p>
            <w:pPr>
              <w:pStyle w:val="TableContents"/>
              <w:bidi w:val="0"/>
              <w:spacing w:before="0" w:after="283"/>
              <w:ind w:left="493" w:right="0" w:hanging="0"/>
              <w:jc w:val="left"/>
              <w:rPr>
                <w:color w:val="000000"/>
              </w:rPr>
            </w:pPr>
            <w:r>
              <w:rPr>
                <w:color w:val="000000"/>
              </w:rPr>
              <w:t>​</w:t>
            </w:r>
            <w:r>
              <w:rPr>
                <w:rFonts w:ascii="Arial;Helvetica;sans-serif" w:hAnsi="Arial;Helvetica;sans-serif"/>
                <w:color w:val="000000"/>
                <w:sz w:val="16"/>
              </w:rPr>
              <w:t>17,521</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179" w:type="dxa"/>
            <w:tcBorders>
              <w:bottom w:val="single" w:sz="8" w:space="0" w:color="000000"/>
            </w:tcBorders>
            <w:shd w:fill="CCCCCC" w:val="clear"/>
            <w:tcMar>
              <w:bottom w:w="38" w:type="dxa"/>
            </w:tcMar>
            <w:vAlign w:val="center"/>
          </w:tcPr>
          <w:p>
            <w:pPr>
              <w:pStyle w:val="TableContents"/>
              <w:bidi w:val="0"/>
              <w:spacing w:before="0" w:after="283"/>
              <w:ind w:left="386"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2106" w:type="dxa"/>
            <w:tcBorders>
              <w:bottom w:val="single" w:sz="8" w:space="0" w:color="000000"/>
            </w:tcBorders>
            <w:shd w:fill="CCCCCC" w:val="clear"/>
            <w:tcMar>
              <w:bottom w:w="38" w:type="dxa"/>
            </w:tcMar>
            <w:vAlign w:val="center"/>
          </w:tcPr>
          <w:p>
            <w:pPr>
              <w:pStyle w:val="TableContents"/>
              <w:bidi w:val="0"/>
              <w:spacing w:before="0" w:after="283"/>
              <w:ind w:left="885" w:right="0" w:hanging="0"/>
              <w:jc w:val="left"/>
              <w:rPr>
                <w:color w:val="000000"/>
              </w:rPr>
            </w:pPr>
            <w:r>
              <w:rPr>
                <w:color w:val="000000"/>
              </w:rPr>
              <w:t>​</w:t>
            </w:r>
            <w:r>
              <w:rPr>
                <w:rFonts w:ascii="Arial;Helvetica;sans-serif" w:hAnsi="Arial;Helvetica;sans-serif"/>
                <w:color w:val="000000"/>
                <w:sz w:val="16"/>
              </w:rPr>
              <w:t>17,521</w:t>
            </w:r>
            <w:r>
              <w:rPr>
                <w:rFonts w:ascii="Arial;Helvetica;sans-serif" w:hAnsi="Arial;Helvetica;sans-serif"/>
                <w:color w:val="000000"/>
                <w:sz w:val="16"/>
              </w:rPr>
              <w:t xml:space="preserve"> </w:t>
            </w:r>
          </w:p>
        </w:tc>
        <w:tc>
          <w:tcPr>
            <w:tcW w:w="217"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787" w:type="dxa"/>
            <w:tcBorders>
              <w:bottom w:val="single" w:sz="8" w:space="0" w:color="000000"/>
            </w:tcBorders>
            <w:tcMar>
              <w:bottom w:w="3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Glenn Lurie</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11" w:type="dxa"/>
            <w:tcBorders>
              <w:bottom w:val="single" w:sz="8" w:space="0" w:color="000000"/>
            </w:tcBorders>
            <w:tcMar>
              <w:bottom w:w="38" w:type="dxa"/>
            </w:tcMar>
            <w:vAlign w:val="center"/>
          </w:tcPr>
          <w:p>
            <w:pPr>
              <w:pStyle w:val="TableContents"/>
              <w:bidi w:val="0"/>
              <w:spacing w:before="0" w:after="283"/>
              <w:ind w:left="493" w:right="0" w:hanging="0"/>
              <w:jc w:val="left"/>
              <w:rPr>
                <w:color w:val="000000"/>
              </w:rPr>
            </w:pPr>
            <w:r>
              <w:rPr>
                <w:color w:val="000000"/>
              </w:rPr>
              <w:t>​</w:t>
            </w:r>
            <w:r>
              <w:rPr>
                <w:rFonts w:ascii="Arial;Helvetica;sans-serif" w:hAnsi="Arial;Helvetica;sans-serif"/>
                <w:color w:val="000000"/>
                <w:sz w:val="16"/>
              </w:rPr>
              <w:t>16,667</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79" w:type="dxa"/>
            <w:tcBorders>
              <w:bottom w:val="single" w:sz="8" w:space="0" w:color="000000"/>
            </w:tcBorders>
            <w:tcMar>
              <w:bottom w:w="38" w:type="dxa"/>
            </w:tcMar>
            <w:vAlign w:val="center"/>
          </w:tcPr>
          <w:p>
            <w:pPr>
              <w:pStyle w:val="TableContents"/>
              <w:bidi w:val="0"/>
              <w:spacing w:before="0" w:after="283"/>
              <w:ind w:left="386"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106" w:type="dxa"/>
            <w:tcBorders>
              <w:bottom w:val="single" w:sz="8" w:space="0" w:color="000000"/>
            </w:tcBorders>
            <w:tcMar>
              <w:bottom w:w="38" w:type="dxa"/>
            </w:tcMar>
            <w:vAlign w:val="center"/>
          </w:tcPr>
          <w:p>
            <w:pPr>
              <w:pStyle w:val="TableContents"/>
              <w:bidi w:val="0"/>
              <w:spacing w:before="0" w:after="283"/>
              <w:ind w:left="885" w:right="0" w:hanging="0"/>
              <w:jc w:val="left"/>
              <w:rPr>
                <w:color w:val="000000"/>
              </w:rPr>
            </w:pPr>
            <w:r>
              <w:rPr>
                <w:color w:val="000000"/>
              </w:rPr>
              <w:t>​</w:t>
            </w:r>
            <w:r>
              <w:rPr>
                <w:rFonts w:ascii="Arial;Helvetica;sans-serif" w:hAnsi="Arial;Helvetica;sans-serif"/>
                <w:color w:val="000000"/>
                <w:sz w:val="16"/>
              </w:rPr>
              <w:t>16,667</w:t>
            </w:r>
            <w:r>
              <w:rPr>
                <w:rFonts w:ascii="Arial;Helvetica;sans-serif" w:hAnsi="Arial;Helvetica;sans-serif"/>
                <w:color w:val="000000"/>
                <w:sz w:val="16"/>
              </w:rPr>
              <w:t xml:space="preserve"> </w:t>
            </w:r>
          </w:p>
        </w:tc>
        <w:tc>
          <w:tcPr>
            <w:tcW w:w="21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3787" w:type="dxa"/>
            <w:tcBorders>
              <w:bottom w:val="single" w:sz="8" w:space="0" w:color="000000"/>
            </w:tcBorders>
            <w:shd w:fill="CCCCCC" w:val="clear"/>
            <w:tcMar>
              <w:bottom w:w="3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Jagdeep Pahwa</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11" w:type="dxa"/>
            <w:tcBorders>
              <w:bottom w:val="single" w:sz="8" w:space="0" w:color="000000"/>
            </w:tcBorders>
            <w:shd w:fill="CCCCCC" w:val="clear"/>
            <w:tcMar>
              <w:bottom w:w="38" w:type="dxa"/>
            </w:tcMar>
            <w:vAlign w:val="center"/>
          </w:tcPr>
          <w:p>
            <w:pPr>
              <w:pStyle w:val="TableContents"/>
              <w:bidi w:val="0"/>
              <w:spacing w:before="0" w:after="283"/>
              <w:ind w:left="493" w:right="0" w:hanging="0"/>
              <w:jc w:val="left"/>
              <w:rPr>
                <w:color w:val="000000"/>
              </w:rPr>
            </w:pPr>
            <w:r>
              <w:rPr>
                <w:color w:val="000000"/>
              </w:rPr>
              <w:t>​</w:t>
            </w:r>
            <w:r>
              <w:rPr>
                <w:rFonts w:ascii="Arial;Helvetica;sans-serif" w:hAnsi="Arial;Helvetica;sans-serif"/>
                <w:color w:val="000000"/>
                <w:sz w:val="16"/>
              </w:rPr>
              <w:t>8,918</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179" w:type="dxa"/>
            <w:tcBorders>
              <w:bottom w:val="single" w:sz="8" w:space="0" w:color="000000"/>
            </w:tcBorders>
            <w:shd w:fill="CCCCCC" w:val="clear"/>
            <w:tcMar>
              <w:bottom w:w="38" w:type="dxa"/>
            </w:tcMar>
            <w:vAlign w:val="center"/>
          </w:tcPr>
          <w:p>
            <w:pPr>
              <w:pStyle w:val="TableContents"/>
              <w:bidi w:val="0"/>
              <w:spacing w:before="0" w:after="283"/>
              <w:ind w:left="386"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2106" w:type="dxa"/>
            <w:tcBorders>
              <w:bottom w:val="single" w:sz="8" w:space="0" w:color="000000"/>
            </w:tcBorders>
            <w:shd w:fill="CCCCCC" w:val="clear"/>
            <w:tcMar>
              <w:bottom w:w="38" w:type="dxa"/>
            </w:tcMar>
            <w:vAlign w:val="center"/>
          </w:tcPr>
          <w:p>
            <w:pPr>
              <w:pStyle w:val="TableContents"/>
              <w:bidi w:val="0"/>
              <w:spacing w:before="0" w:after="283"/>
              <w:ind w:left="885" w:right="0" w:hanging="0"/>
              <w:jc w:val="left"/>
              <w:rPr>
                <w:color w:val="000000"/>
              </w:rPr>
            </w:pPr>
            <w:r>
              <w:rPr>
                <w:color w:val="000000"/>
              </w:rPr>
              <w:t>​</w:t>
            </w:r>
            <w:r>
              <w:rPr>
                <w:color w:val="000000"/>
              </w:rPr>
              <w:t>—</w:t>
            </w:r>
            <w:r>
              <w:rPr>
                <w:color w:val="000000"/>
              </w:rPr>
              <w:t xml:space="preserve"> </w:t>
            </w:r>
          </w:p>
        </w:tc>
        <w:tc>
          <w:tcPr>
            <w:tcW w:w="217"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787" w:type="dxa"/>
            <w:tcBorders>
              <w:bottom w:val="single" w:sz="8" w:space="0" w:color="000000"/>
            </w:tcBorders>
            <w:tcMar>
              <w:bottom w:w="3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Karthik Sarma</w:t>
            </w:r>
            <w:r>
              <w:rPr>
                <w:rFonts w:ascii="Arial;Helvetica;sans-serif" w:hAnsi="Arial;Helvetica;sans-serif"/>
                <w:color w:val="000000"/>
                <w:position w:val="5"/>
                <w:sz w:val="13"/>
                <w:sz w:val="16"/>
              </w:rPr>
              <w:t>(10)</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11" w:type="dxa"/>
            <w:tcBorders>
              <w:bottom w:val="single" w:sz="8" w:space="0" w:color="000000"/>
            </w:tcBorders>
            <w:tcMar>
              <w:bottom w:w="38" w:type="dxa"/>
            </w:tcMar>
            <w:vAlign w:val="center"/>
          </w:tcPr>
          <w:p>
            <w:pPr>
              <w:pStyle w:val="TableContents"/>
              <w:bidi w:val="0"/>
              <w:spacing w:before="0" w:after="283"/>
              <w:ind w:left="493" w:right="0" w:hanging="0"/>
              <w:jc w:val="left"/>
              <w:rPr>
                <w:rFonts w:ascii="Arial;Helvetica;sans-serif" w:hAnsi="Arial;Helvetica;sans-serif"/>
                <w:color w:val="000000"/>
                <w:sz w:val="16"/>
              </w:rPr>
            </w:pPr>
            <w:r>
              <w:rPr>
                <w:rFonts w:ascii="Arial;Helvetica;sans-serif" w:hAnsi="Arial;Helvetica;sans-serif"/>
                <w:color w:val="000000"/>
                <w:sz w:val="16"/>
              </w:rPr>
              <w:t>17,430,882</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79" w:type="dxa"/>
            <w:tcBorders>
              <w:bottom w:val="single" w:sz="8" w:space="0" w:color="000000"/>
            </w:tcBorders>
            <w:tcMar>
              <w:bottom w:w="38" w:type="dxa"/>
            </w:tcMar>
            <w:vAlign w:val="center"/>
          </w:tcPr>
          <w:p>
            <w:pPr>
              <w:pStyle w:val="TableContents"/>
              <w:bidi w:val="0"/>
              <w:spacing w:before="0" w:after="283"/>
              <w:ind w:left="386" w:right="0" w:hanging="0"/>
              <w:jc w:val="left"/>
              <w:rPr>
                <w:color w:val="000000"/>
              </w:rPr>
            </w:pPr>
            <w:r>
              <w:rPr>
                <w:color w:val="000000"/>
              </w:rPr>
              <w:t>​</w:t>
            </w:r>
            <w:r>
              <w:rPr>
                <w:rFonts w:ascii="Arial;Helvetica;sans-serif" w:hAnsi="Arial;Helvetica;sans-serif"/>
                <w:color w:val="000000"/>
                <w:sz w:val="16"/>
              </w:rPr>
              <w:t>49.34%</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106" w:type="dxa"/>
            <w:tcBorders>
              <w:bottom w:val="single" w:sz="8" w:space="0" w:color="000000"/>
            </w:tcBorders>
            <w:tcMar>
              <w:bottom w:w="38" w:type="dxa"/>
            </w:tcMar>
            <w:vAlign w:val="center"/>
          </w:tcPr>
          <w:p>
            <w:pPr>
              <w:pStyle w:val="TableContents"/>
              <w:bidi w:val="0"/>
              <w:spacing w:before="0" w:after="283"/>
              <w:ind w:left="885" w:right="0" w:hanging="0"/>
              <w:jc w:val="left"/>
              <w:rPr>
                <w:color w:val="000000"/>
              </w:rPr>
            </w:pPr>
            <w:r>
              <w:rPr>
                <w:color w:val="000000"/>
              </w:rPr>
              <w:t xml:space="preserve">— </w:t>
            </w:r>
          </w:p>
        </w:tc>
        <w:tc>
          <w:tcPr>
            <w:tcW w:w="21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3787" w:type="dxa"/>
            <w:tcBorders>
              <w:bottom w:val="single" w:sz="8" w:space="0" w:color="000000"/>
            </w:tcBorders>
            <w:shd w:fill="CCCCCC" w:val="clear"/>
            <w:tcMar>
              <w:bottom w:w="3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Brian J. Choi</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11" w:type="dxa"/>
            <w:tcBorders>
              <w:bottom w:val="single" w:sz="8" w:space="0" w:color="000000"/>
            </w:tcBorders>
            <w:shd w:fill="CCCCCC" w:val="clear"/>
            <w:tcMar>
              <w:bottom w:w="38" w:type="dxa"/>
            </w:tcMar>
            <w:vAlign w:val="center"/>
          </w:tcPr>
          <w:p>
            <w:pPr>
              <w:pStyle w:val="TableContents"/>
              <w:bidi w:val="0"/>
              <w:spacing w:before="0" w:after="283"/>
              <w:ind w:left="493" w:right="0" w:hanging="0"/>
              <w:jc w:val="left"/>
              <w:rPr>
                <w:color w:val="000000"/>
              </w:rPr>
            </w:pPr>
            <w:r>
              <w:rPr>
                <w:color w:val="000000"/>
              </w:rPr>
              <w:t>​</w:t>
            </w:r>
            <w:r>
              <w:rPr>
                <w:rFonts w:ascii="Arial;Helvetica;sans-serif" w:hAnsi="Arial;Helvetica;sans-serif"/>
                <w:color w:val="000000"/>
                <w:sz w:val="16"/>
              </w:rPr>
              <w:t>119,637</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179" w:type="dxa"/>
            <w:tcBorders>
              <w:bottom w:val="single" w:sz="8" w:space="0" w:color="000000"/>
            </w:tcBorders>
            <w:shd w:fill="CCCCCC" w:val="clear"/>
            <w:tcMar>
              <w:bottom w:w="38" w:type="dxa"/>
            </w:tcMar>
            <w:vAlign w:val="center"/>
          </w:tcPr>
          <w:p>
            <w:pPr>
              <w:pStyle w:val="TableContents"/>
              <w:bidi w:val="0"/>
              <w:spacing w:before="0" w:after="283"/>
              <w:ind w:left="386"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2106" w:type="dxa"/>
            <w:tcBorders>
              <w:bottom w:val="single" w:sz="8" w:space="0" w:color="000000"/>
            </w:tcBorders>
            <w:shd w:fill="CCCCCC" w:val="clear"/>
            <w:tcMar>
              <w:bottom w:w="38" w:type="dxa"/>
            </w:tcMar>
            <w:vAlign w:val="center"/>
          </w:tcPr>
          <w:p>
            <w:pPr>
              <w:pStyle w:val="TableContents"/>
              <w:bidi w:val="0"/>
              <w:spacing w:before="0" w:after="283"/>
              <w:ind w:left="885" w:right="0" w:hanging="0"/>
              <w:jc w:val="left"/>
              <w:rPr>
                <w:color w:val="000000"/>
              </w:rPr>
            </w:pPr>
            <w:r>
              <w:rPr>
                <w:color w:val="000000"/>
              </w:rPr>
              <w:t>—</w:t>
            </w:r>
            <w:r>
              <w:rPr>
                <w:color w:val="000000"/>
              </w:rPr>
              <w:t xml:space="preserve"> </w:t>
            </w:r>
          </w:p>
        </w:tc>
        <w:tc>
          <w:tcPr>
            <w:tcW w:w="217"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787" w:type="dxa"/>
            <w:tcBorders>
              <w:bottom w:val="single" w:sz="8" w:space="0" w:color="000000"/>
            </w:tcBorders>
            <w:tcMar>
              <w:bottom w:w="3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Daniel Cunha</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11" w:type="dxa"/>
            <w:tcBorders>
              <w:bottom w:val="single" w:sz="8" w:space="0" w:color="000000"/>
            </w:tcBorders>
            <w:tcMar>
              <w:bottom w:w="38" w:type="dxa"/>
            </w:tcMar>
            <w:vAlign w:val="center"/>
          </w:tcPr>
          <w:p>
            <w:pPr>
              <w:pStyle w:val="TableContents"/>
              <w:bidi w:val="0"/>
              <w:spacing w:before="0" w:after="283"/>
              <w:ind w:left="493"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79" w:type="dxa"/>
            <w:tcBorders>
              <w:bottom w:val="single" w:sz="8" w:space="0" w:color="000000"/>
            </w:tcBorders>
            <w:tcMar>
              <w:bottom w:w="38" w:type="dxa"/>
            </w:tcMar>
            <w:vAlign w:val="center"/>
          </w:tcPr>
          <w:p>
            <w:pPr>
              <w:pStyle w:val="TableContents"/>
              <w:bidi w:val="0"/>
              <w:spacing w:before="0" w:after="283"/>
              <w:ind w:left="386"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106" w:type="dxa"/>
            <w:tcBorders>
              <w:bottom w:val="single" w:sz="8" w:space="0" w:color="000000"/>
            </w:tcBorders>
            <w:tcMar>
              <w:bottom w:w="38" w:type="dxa"/>
            </w:tcMar>
            <w:vAlign w:val="center"/>
          </w:tcPr>
          <w:p>
            <w:pPr>
              <w:pStyle w:val="TableContents"/>
              <w:bidi w:val="0"/>
              <w:spacing w:before="0" w:after="283"/>
              <w:ind w:left="885" w:right="0" w:hanging="0"/>
              <w:jc w:val="left"/>
              <w:rPr>
                <w:color w:val="000000"/>
              </w:rPr>
            </w:pPr>
            <w:r>
              <w:rPr>
                <w:color w:val="000000"/>
              </w:rPr>
              <w:t xml:space="preserve">— </w:t>
            </w:r>
          </w:p>
        </w:tc>
        <w:tc>
          <w:tcPr>
            <w:tcW w:w="21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3787" w:type="dxa"/>
            <w:tcBorders>
              <w:bottom w:val="single" w:sz="8" w:space="0" w:color="000000"/>
            </w:tcBorders>
            <w:shd w:fill="CCCCCC" w:val="clear"/>
            <w:tcMar>
              <w:bottom w:w="3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Ravi Simhambhatla</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11" w:type="dxa"/>
            <w:tcBorders>
              <w:bottom w:val="single" w:sz="8" w:space="0" w:color="000000"/>
            </w:tcBorders>
            <w:shd w:fill="CCCCCC" w:val="clear"/>
            <w:tcMar>
              <w:bottom w:w="38" w:type="dxa"/>
            </w:tcMar>
            <w:vAlign w:val="center"/>
          </w:tcPr>
          <w:p>
            <w:pPr>
              <w:pStyle w:val="TableContents"/>
              <w:bidi w:val="0"/>
              <w:spacing w:before="0" w:after="283"/>
              <w:ind w:left="493" w:right="0" w:hanging="0"/>
              <w:jc w:val="left"/>
              <w:rPr>
                <w:color w:val="000000"/>
              </w:rPr>
            </w:pPr>
            <w:r>
              <w:rPr>
                <w:color w:val="000000"/>
              </w:rPr>
              <w:t>​</w:t>
            </w:r>
            <w:r>
              <w:rPr>
                <w:rFonts w:ascii="Arial;Helvetica;sans-serif" w:hAnsi="Arial;Helvetica;sans-serif"/>
                <w:color w:val="000000"/>
                <w:sz w:val="16"/>
              </w:rPr>
              <w:t>17,345</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179" w:type="dxa"/>
            <w:tcBorders>
              <w:bottom w:val="single" w:sz="8" w:space="0" w:color="000000"/>
            </w:tcBorders>
            <w:shd w:fill="CCCCCC" w:val="clear"/>
            <w:tcMar>
              <w:bottom w:w="38" w:type="dxa"/>
            </w:tcMar>
            <w:vAlign w:val="center"/>
          </w:tcPr>
          <w:p>
            <w:pPr>
              <w:pStyle w:val="TableContents"/>
              <w:bidi w:val="0"/>
              <w:spacing w:before="0" w:after="283"/>
              <w:ind w:left="386"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2106" w:type="dxa"/>
            <w:tcBorders>
              <w:bottom w:val="single" w:sz="8" w:space="0" w:color="000000"/>
            </w:tcBorders>
            <w:shd w:fill="CCCCCC" w:val="clear"/>
            <w:tcMar>
              <w:bottom w:w="38" w:type="dxa"/>
            </w:tcMar>
            <w:vAlign w:val="center"/>
          </w:tcPr>
          <w:p>
            <w:pPr>
              <w:pStyle w:val="TableContents"/>
              <w:bidi w:val="0"/>
              <w:spacing w:before="0" w:after="283"/>
              <w:ind w:left="885" w:right="0" w:hanging="0"/>
              <w:jc w:val="left"/>
              <w:rPr>
                <w:color w:val="000000"/>
              </w:rPr>
            </w:pPr>
            <w:r>
              <w:rPr>
                <w:color w:val="000000"/>
              </w:rPr>
              <w:t>—</w:t>
            </w:r>
            <w:r>
              <w:rPr>
                <w:color w:val="000000"/>
              </w:rPr>
              <w:t xml:space="preserve"> </w:t>
            </w:r>
          </w:p>
        </w:tc>
        <w:tc>
          <w:tcPr>
            <w:tcW w:w="217"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787" w:type="dxa"/>
            <w:tcBorders>
              <w:bottom w:val="single" w:sz="8" w:space="0" w:color="000000"/>
            </w:tcBorders>
            <w:tcMar>
              <w:bottom w:w="3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Edward P. Linnen</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11" w:type="dxa"/>
            <w:tcBorders>
              <w:bottom w:val="single" w:sz="8" w:space="0" w:color="000000"/>
            </w:tcBorders>
            <w:tcMar>
              <w:bottom w:w="38" w:type="dxa"/>
            </w:tcMar>
            <w:vAlign w:val="center"/>
          </w:tcPr>
          <w:p>
            <w:pPr>
              <w:pStyle w:val="TableContents"/>
              <w:bidi w:val="0"/>
              <w:spacing w:before="0" w:after="283"/>
              <w:ind w:left="493" w:right="0" w:hanging="0"/>
              <w:jc w:val="left"/>
              <w:rPr>
                <w:rFonts w:ascii="Arial;Helvetica;sans-serif" w:hAnsi="Arial;Helvetica;sans-serif"/>
                <w:color w:val="000000"/>
                <w:sz w:val="16"/>
              </w:rPr>
            </w:pPr>
            <w:r>
              <w:rPr>
                <w:rFonts w:ascii="Arial;Helvetica;sans-serif" w:hAnsi="Arial;Helvetica;sans-serif"/>
                <w:color w:val="000000"/>
                <w:sz w:val="16"/>
              </w:rPr>
              <w:t>50,911</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79" w:type="dxa"/>
            <w:tcBorders>
              <w:bottom w:val="single" w:sz="8" w:space="0" w:color="000000"/>
            </w:tcBorders>
            <w:tcMar>
              <w:bottom w:w="38" w:type="dxa"/>
            </w:tcMar>
            <w:vAlign w:val="center"/>
          </w:tcPr>
          <w:p>
            <w:pPr>
              <w:pStyle w:val="TableContents"/>
              <w:bidi w:val="0"/>
              <w:spacing w:before="0" w:after="283"/>
              <w:ind w:left="386"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106" w:type="dxa"/>
            <w:tcBorders>
              <w:bottom w:val="single" w:sz="8" w:space="0" w:color="000000"/>
            </w:tcBorders>
            <w:tcMar>
              <w:bottom w:w="38" w:type="dxa"/>
            </w:tcMar>
            <w:vAlign w:val="center"/>
          </w:tcPr>
          <w:p>
            <w:pPr>
              <w:pStyle w:val="TableContents"/>
              <w:bidi w:val="0"/>
              <w:spacing w:before="0" w:after="283"/>
              <w:ind w:left="885" w:right="0" w:hanging="0"/>
              <w:jc w:val="left"/>
              <w:rPr>
                <w:color w:val="000000"/>
              </w:rPr>
            </w:pPr>
            <w:r>
              <w:rPr>
                <w:color w:val="000000"/>
              </w:rPr>
              <w:t>​</w:t>
            </w:r>
            <w:r>
              <w:rPr>
                <w:color w:val="000000"/>
              </w:rPr>
              <w:t>—</w:t>
            </w:r>
            <w:r>
              <w:rPr>
                <w:color w:val="000000"/>
              </w:rPr>
              <w:t xml:space="preserve"> </w:t>
            </w:r>
          </w:p>
        </w:tc>
        <w:tc>
          <w:tcPr>
            <w:tcW w:w="21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3787" w:type="dxa"/>
            <w:tcBorders>
              <w:bottom w:val="single" w:sz="8" w:space="0" w:color="000000"/>
            </w:tcBorders>
            <w:shd w:fill="CCCCCC" w:val="clear"/>
            <w:tcMar>
              <w:bottom w:w="3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Joseph A. Ferraro</w:t>
            </w:r>
            <w:r>
              <w:rPr>
                <w:rFonts w:ascii="Arial;Helvetica;sans-serif" w:hAnsi="Arial;Helvetica;sans-serif"/>
                <w:color w:val="000000"/>
                <w:position w:val="5"/>
                <w:sz w:val="13"/>
                <w:sz w:val="16"/>
              </w:rPr>
              <w:t>(11)</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11" w:type="dxa"/>
            <w:tcBorders>
              <w:bottom w:val="single" w:sz="8" w:space="0" w:color="000000"/>
            </w:tcBorders>
            <w:shd w:fill="CCCCCC" w:val="clear"/>
            <w:tcMar>
              <w:bottom w:w="38" w:type="dxa"/>
            </w:tcMar>
            <w:vAlign w:val="center"/>
          </w:tcPr>
          <w:p>
            <w:pPr>
              <w:pStyle w:val="TableContents"/>
              <w:bidi w:val="0"/>
              <w:spacing w:before="0" w:after="283"/>
              <w:ind w:left="493" w:right="0" w:hanging="0"/>
              <w:jc w:val="left"/>
              <w:rPr>
                <w:rFonts w:ascii="Arial;Helvetica;sans-serif" w:hAnsi="Arial;Helvetica;sans-serif"/>
                <w:color w:val="000000"/>
                <w:sz w:val="16"/>
              </w:rPr>
            </w:pPr>
            <w:r>
              <w:rPr>
                <w:rFonts w:ascii="Arial;Helvetica;sans-serif" w:hAnsi="Arial;Helvetica;sans-serif"/>
                <w:color w:val="000000"/>
                <w:sz w:val="16"/>
              </w:rPr>
              <w:t>132,465</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179" w:type="dxa"/>
            <w:tcBorders>
              <w:bottom w:val="single" w:sz="8" w:space="0" w:color="000000"/>
            </w:tcBorders>
            <w:shd w:fill="CCCCCC" w:val="clear"/>
            <w:tcMar>
              <w:bottom w:w="38" w:type="dxa"/>
            </w:tcMar>
            <w:vAlign w:val="center"/>
          </w:tcPr>
          <w:p>
            <w:pPr>
              <w:pStyle w:val="TableContents"/>
              <w:bidi w:val="0"/>
              <w:spacing w:before="0" w:after="283"/>
              <w:ind w:left="386"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2106" w:type="dxa"/>
            <w:tcBorders>
              <w:bottom w:val="single" w:sz="8" w:space="0" w:color="000000"/>
            </w:tcBorders>
            <w:shd w:fill="CCCCCC" w:val="clear"/>
            <w:tcMar>
              <w:bottom w:w="38" w:type="dxa"/>
            </w:tcMar>
            <w:vAlign w:val="center"/>
          </w:tcPr>
          <w:p>
            <w:pPr>
              <w:pStyle w:val="TableContents"/>
              <w:bidi w:val="0"/>
              <w:spacing w:before="0" w:after="283"/>
              <w:ind w:left="885" w:right="0" w:hanging="0"/>
              <w:jc w:val="left"/>
              <w:rPr>
                <w:color w:val="000000"/>
              </w:rPr>
            </w:pPr>
            <w:r>
              <w:rPr>
                <w:color w:val="000000"/>
              </w:rPr>
              <w:t xml:space="preserve">— </w:t>
            </w:r>
          </w:p>
        </w:tc>
        <w:tc>
          <w:tcPr>
            <w:tcW w:w="217"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787" w:type="dxa"/>
            <w:tcBorders>
              <w:bottom w:val="single" w:sz="8" w:space="0" w:color="000000"/>
            </w:tcBorders>
            <w:tcMar>
              <w:bottom w:w="3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Izilda “Izzy” P. Martins</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11" w:type="dxa"/>
            <w:tcBorders>
              <w:bottom w:val="single" w:sz="8" w:space="0" w:color="000000"/>
            </w:tcBorders>
            <w:tcMar>
              <w:bottom w:w="38" w:type="dxa"/>
            </w:tcMar>
            <w:vAlign w:val="center"/>
          </w:tcPr>
          <w:p>
            <w:pPr>
              <w:pStyle w:val="TableContents"/>
              <w:bidi w:val="0"/>
              <w:spacing w:before="0" w:after="283"/>
              <w:ind w:left="493" w:right="0" w:hanging="0"/>
              <w:jc w:val="left"/>
              <w:rPr>
                <w:rFonts w:ascii="Arial;Helvetica;sans-serif" w:hAnsi="Arial;Helvetica;sans-serif"/>
                <w:color w:val="000000"/>
                <w:sz w:val="16"/>
              </w:rPr>
            </w:pPr>
            <w:r>
              <w:rPr>
                <w:rFonts w:ascii="Arial;Helvetica;sans-serif" w:hAnsi="Arial;Helvetica;sans-serif"/>
                <w:color w:val="000000"/>
                <w:sz w:val="16"/>
              </w:rPr>
              <w:t>20,877</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79" w:type="dxa"/>
            <w:tcBorders>
              <w:bottom w:val="single" w:sz="8" w:space="0" w:color="000000"/>
            </w:tcBorders>
            <w:tcMar>
              <w:bottom w:w="38" w:type="dxa"/>
            </w:tcMar>
            <w:vAlign w:val="center"/>
          </w:tcPr>
          <w:p>
            <w:pPr>
              <w:pStyle w:val="TableContents"/>
              <w:bidi w:val="0"/>
              <w:spacing w:before="0" w:after="283"/>
              <w:ind w:left="386" w:right="0" w:hanging="0"/>
              <w:jc w:val="left"/>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106" w:type="dxa"/>
            <w:tcBorders>
              <w:bottom w:val="single" w:sz="8" w:space="0" w:color="000000"/>
            </w:tcBorders>
            <w:tcMar>
              <w:bottom w:w="38" w:type="dxa"/>
            </w:tcMar>
            <w:vAlign w:val="center"/>
          </w:tcPr>
          <w:p>
            <w:pPr>
              <w:pStyle w:val="TableContents"/>
              <w:bidi w:val="0"/>
              <w:spacing w:before="0" w:after="283"/>
              <w:ind w:left="885" w:right="0" w:hanging="0"/>
              <w:jc w:val="left"/>
              <w:rPr>
                <w:color w:val="000000"/>
              </w:rPr>
            </w:pPr>
            <w:r>
              <w:rPr>
                <w:color w:val="000000"/>
              </w:rPr>
              <w:t xml:space="preserve">— </w:t>
            </w:r>
          </w:p>
        </w:tc>
        <w:tc>
          <w:tcPr>
            <w:tcW w:w="21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shd w:fill="CCCCCC" w:val="clear"/>
            <w:vAlign w:val="center"/>
          </w:tcPr>
          <w:p>
            <w:pPr>
              <w:pStyle w:val="TableContents"/>
              <w:bidi w:val="0"/>
              <w:spacing w:before="0" w:after="0"/>
              <w:jc w:val="left"/>
              <w:rPr/>
            </w:pPr>
            <w:r>
              <w:rPr/>
              <w:t> </w:t>
            </w:r>
          </w:p>
        </w:tc>
        <w:tc>
          <w:tcPr>
            <w:tcW w:w="3787" w:type="dxa"/>
            <w:tcBorders/>
            <w:shd w:fill="CCCCCC" w:val="clear"/>
            <w:vAlign w:val="center"/>
          </w:tcPr>
          <w:p>
            <w:pPr>
              <w:pStyle w:val="TableContents"/>
              <w:bidi w:val="0"/>
              <w:spacing w:before="0" w:after="283"/>
              <w:ind w:left="230" w:right="0" w:hanging="200"/>
              <w:jc w:val="left"/>
              <w:rPr>
                <w:rFonts w:ascii="Arial;Helvetica;sans-serif" w:hAnsi="Arial;Helvetica;sans-serif"/>
                <w:b/>
                <w:color w:val="000000"/>
                <w:sz w:val="16"/>
              </w:rPr>
            </w:pPr>
            <w:r>
              <w:rPr>
                <w:rFonts w:ascii="Arial;Helvetica;sans-serif" w:hAnsi="Arial;Helvetica;sans-serif"/>
                <w:b/>
                <w:color w:val="000000"/>
                <w:sz w:val="16"/>
              </w:rPr>
              <w:t>All Directors and Executive Officers as a group (12 persons)</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11" w:type="dxa"/>
            <w:tcBorders/>
            <w:shd w:fill="CCCCCC" w:val="clear"/>
            <w:vAlign w:val="center"/>
          </w:tcPr>
          <w:p>
            <w:pPr>
              <w:pStyle w:val="TableContents"/>
              <w:bidi w:val="0"/>
              <w:spacing w:before="0" w:after="283"/>
              <w:ind w:left="493" w:right="0" w:hanging="0"/>
              <w:jc w:val="left"/>
              <w:rPr>
                <w:color w:val="000000"/>
              </w:rPr>
            </w:pPr>
            <w:r>
              <w:rPr>
                <w:color w:val="000000"/>
              </w:rPr>
              <w:t>​</w:t>
            </w:r>
            <w:r>
              <w:rPr>
                <w:rFonts w:ascii="Arial;Helvetica;sans-serif" w:hAnsi="Arial;Helvetica;sans-serif"/>
                <w:b/>
                <w:color w:val="000000"/>
                <w:sz w:val="16"/>
              </w:rPr>
              <w:t>17,832,785</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179" w:type="dxa"/>
            <w:tcBorders/>
            <w:shd w:fill="CCCCCC" w:val="clear"/>
            <w:vAlign w:val="center"/>
          </w:tcPr>
          <w:p>
            <w:pPr>
              <w:pStyle w:val="TableContents"/>
              <w:bidi w:val="0"/>
              <w:spacing w:before="0" w:after="283"/>
              <w:ind w:left="386" w:right="0" w:hanging="0"/>
              <w:jc w:val="left"/>
              <w:rPr>
                <w:color w:val="000000"/>
              </w:rPr>
            </w:pPr>
            <w:r>
              <w:rPr>
                <w:color w:val="000000"/>
              </w:rPr>
              <w:t>​</w:t>
            </w:r>
            <w:r>
              <w:rPr>
                <w:rFonts w:ascii="Arial;Helvetica;sans-serif" w:hAnsi="Arial;Helvetica;sans-serif"/>
                <w:b/>
                <w:color w:val="000000"/>
                <w:sz w:val="16"/>
              </w:rPr>
              <w:t>50.48%</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2106" w:type="dxa"/>
            <w:tcBorders/>
            <w:shd w:fill="CCCCCC" w:val="clear"/>
            <w:vAlign w:val="center"/>
          </w:tcPr>
          <w:p>
            <w:pPr>
              <w:pStyle w:val="TableContents"/>
              <w:bidi w:val="0"/>
              <w:spacing w:before="0" w:after="283"/>
              <w:ind w:left="885" w:right="0" w:hanging="0"/>
              <w:jc w:val="left"/>
              <w:rPr>
                <w:color w:val="000000"/>
              </w:rPr>
            </w:pPr>
            <w:r>
              <w:rPr>
                <w:color w:val="000000"/>
              </w:rPr>
              <w:t>​</w:t>
            </w:r>
            <w:r>
              <w:rPr>
                <w:rFonts w:ascii="Arial;Helvetica;sans-serif" w:hAnsi="Arial;Helvetica;sans-serif"/>
                <w:b/>
                <w:color w:val="000000"/>
                <w:sz w:val="16"/>
              </w:rPr>
              <w:t>43,454</w:t>
            </w:r>
            <w:r>
              <w:rPr>
                <w:rFonts w:ascii="Arial;Helvetica;sans-serif" w:hAnsi="Arial;Helvetica;sans-serif"/>
                <w:b/>
                <w:color w:val="000000"/>
                <w:position w:val="5"/>
                <w:sz w:val="13"/>
                <w:sz w:val="16"/>
              </w:rPr>
              <w:t>(12)</w:t>
            </w:r>
          </w:p>
        </w:tc>
        <w:tc>
          <w:tcPr>
            <w:tcW w:w="217" w:type="dxa"/>
            <w:tcBorders/>
            <w:shd w:fill="CCCCCC" w:val="clear"/>
            <w:vAlign w:val="center"/>
          </w:tcPr>
          <w:p>
            <w:pPr>
              <w:pStyle w:val="TableContents"/>
              <w:bidi w:val="0"/>
              <w:spacing w:before="0" w:after="0"/>
              <w:jc w:val="left"/>
              <w:rPr/>
            </w:pPr>
            <w:r>
              <w:rPr/>
              <w:t> </w:t>
            </w:r>
          </w:p>
        </w:tc>
      </w:tr>
      <w:tr>
        <w:trPr/>
        <w:tc>
          <w:tcPr>
            <w:tcW w:w="185" w:type="dxa"/>
            <w:tcBorders/>
            <w:shd w:fill="CCCCCC" w:val="clear"/>
            <w:vAlign w:val="center"/>
          </w:tcPr>
          <w:p>
            <w:pPr>
              <w:pStyle w:val="TableContents"/>
              <w:bidi w:val="0"/>
              <w:spacing w:before="0" w:after="0"/>
              <w:jc w:val="left"/>
              <w:rPr/>
            </w:pPr>
            <w:r>
              <w:rPr/>
              <w:t> </w:t>
            </w:r>
          </w:p>
        </w:tc>
        <w:tc>
          <w:tcPr>
            <w:tcW w:w="3787"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11"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179"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2106" w:type="dxa"/>
            <w:tcBorders/>
            <w:shd w:fill="CCCCCC" w:val="clear"/>
            <w:vAlign w:val="center"/>
          </w:tcPr>
          <w:p>
            <w:pPr>
              <w:pStyle w:val="TableContents"/>
              <w:bidi w:val="0"/>
              <w:spacing w:before="0" w:after="0"/>
              <w:jc w:val="left"/>
              <w:rPr/>
            </w:pPr>
            <w:r>
              <w:rPr/>
              <w:t> </w:t>
            </w:r>
          </w:p>
        </w:tc>
        <w:tc>
          <w:tcPr>
            <w:tcW w:w="217" w:type="dxa"/>
            <w:tcBorders/>
            <w:shd w:fill="CCCCCC" w:val="clear"/>
            <w:vAlign w:val="center"/>
          </w:tcPr>
          <w:p>
            <w:pPr>
              <w:pStyle w:val="TableContents"/>
              <w:bidi w:val="0"/>
              <w:spacing w:before="0" w:after="0"/>
              <w:jc w:val="left"/>
              <w:rPr/>
            </w:pPr>
            <w:r>
              <w:rPr/>
              <w:t> </w:t>
            </w:r>
          </w:p>
        </w:tc>
      </w:tr>
    </w:tbl>
    <w:tbl>
      <w:tblPr>
        <w:tblW w:w="4900" w:type="dxa"/>
        <w:jc w:val="left"/>
        <w:tblInd w:w="0" w:type="dxa"/>
        <w:tblLayout w:type="fixed"/>
        <w:tblCellMar>
          <w:top w:w="0" w:type="dxa"/>
          <w:left w:w="0" w:type="dxa"/>
          <w:bottom w:w="0" w:type="dxa"/>
          <w:right w:w="0" w:type="dxa"/>
        </w:tblCellMar>
      </w:tblPr>
      <w:tblGrid>
        <w:gridCol w:w="110"/>
        <w:gridCol w:w="4790"/>
      </w:tblGrid>
      <w:tr>
        <w:trPr/>
        <w:tc>
          <w:tcPr>
            <w:tcW w:w="11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w:t>
            </w:r>
          </w:p>
        </w:tc>
        <w:tc>
          <w:tcPr>
            <w:tcW w:w="479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Amount represents less than 1% of outstanding Common Stock. </w:t>
            </w:r>
          </w:p>
        </w:tc>
      </w:tr>
    </w:tbl>
    <w:tbl>
      <w:tblPr>
        <w:tblW w:w="10205" w:type="dxa"/>
        <w:jc w:val="left"/>
        <w:tblInd w:w="0" w:type="dxa"/>
        <w:tblLayout w:type="fixed"/>
        <w:tblCellMar>
          <w:top w:w="0" w:type="dxa"/>
          <w:left w:w="0" w:type="dxa"/>
          <w:bottom w:w="0" w:type="dxa"/>
          <w:right w:w="0" w:type="dxa"/>
        </w:tblCellMar>
      </w:tblPr>
      <w:tblGrid>
        <w:gridCol w:w="152"/>
        <w:gridCol w:w="10053"/>
      </w:tblGrid>
      <w:tr>
        <w:trPr/>
        <w:tc>
          <w:tcPr>
            <w:tcW w:w="152"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w:t>
            </w:r>
          </w:p>
        </w:tc>
        <w:tc>
          <w:tcPr>
            <w:tcW w:w="10053"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Information is based upon the assumption that there was no change in the beneficial ownership of such shares of Common Stock from the publicly filed information through March 25, 2026. </w:t>
            </w:r>
          </w:p>
        </w:tc>
      </w:tr>
    </w:tbl>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9984"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Shares beneficially owned include (i) direct and indirect ownership of shares, (ii) restricted stock units held by executive officers that may vest within 60 days of March 25, 2026, (iii) restricted stock units held by directors that may be settled within 60 days of March 25, 2026 and (iv) shares issuable upon the exercise of call options within 60 days of March 25, 2026. </w:t>
            </w:r>
          </w:p>
        </w:tc>
      </w:tr>
    </w:tbl>
    <w:tbl>
      <w:tblPr>
        <w:tblW w:w="6175" w:type="dxa"/>
        <w:jc w:val="left"/>
        <w:tblInd w:w="0" w:type="dxa"/>
        <w:tblLayout w:type="fixed"/>
        <w:tblCellMar>
          <w:top w:w="0" w:type="dxa"/>
          <w:left w:w="0" w:type="dxa"/>
          <w:bottom w:w="0" w:type="dxa"/>
          <w:right w:w="0" w:type="dxa"/>
        </w:tblCellMar>
      </w:tblPr>
      <w:tblGrid>
        <w:gridCol w:w="260"/>
        <w:gridCol w:w="5915"/>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591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Based on 35,324,685 shares of Common Stock outstanding on March 25, 2026. </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9986"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In the case of directors and executive officers, includes (i) restricted stock units held by executive officers that may vest within 60 days of March 25, 2026 and (ii) restricted stock units held by directors that may be settled within 60 days of March 25, 2026. In the case of Pentwater (as defined below), includes 775,800 shares issuable upon exercise of call options within 60 days of March 25, 2026.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(4)</w:t>
            </w:r>
          </w:p>
        </w:tc>
        <w:tc>
          <w:tcPr>
            <w:tcW w:w="9999"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Reflects beneficial ownership of 17,430,882 shares of Common Stock by SRS and Karthik R. Sarma, as derived solely from information reported on Schedule 13D/A under the Exchange Act, as filed with the SEC on August 25, 2023. Such Schedule 13D/A indicates that SRS and Mr. Sarma share voting and dispositive power over the shares of Common Stock. SRS serves as investment manager to certain investment funds (the “SRS Funds”) and has investment discretion with respect to the shares of Common Stock held by the SRS Funds. SRS Investment Management, LP (“SRS IM”) is the managing member of SRS. SRS Investment Management GP, LLC (“SRS IM GP”) is the general partner of SRS IM. Mr. Sarma is the managing member and principal of SRS IM GP. In such capacities, Mr. Sarma and SRS may be deemed to have voting and dispositive power with respect to the shares of Common Stock held for the SRS Funds. Under the terms of the Cooperation Agreement, SRS has committed, with respect to shares of Common Stock SRS holds in excess of 45% of the Company’s outstanding Common Stock, to exercise its voting rights in the same proportion in which other shares of Common Stock are voted.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18</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2" w:name="ny20066167x1_def14a_105-prop1_pg13"/>
        <w:bookmarkEnd w:id="5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(5)</w:t>
            </w:r>
          </w:p>
        </w:tc>
        <w:tc>
          <w:tcPr>
            <w:tcW w:w="9995"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In addition to the 17,430,882 shares of Common Stock, SRS and Mr. Sarma have economic exposure to, and may be deemed to beneficially own, an additional notional 2,862,283 shares of Common Stock pursuant to cash-settled equity swaps, bringing their total economic exposure to 20,293,165 shares or 57.45% of the shares of Common Stock outstanding on March 25, 2026. This is derived solely from information reported on the Schedule 13D/A under the Exchange Act, as filed with the SEC on August 25, 2023. Such Schedule 13D/A indicates that SRS and Mr. Sarma do not have voting power or dispositive power with respect to the shares referenced in such swaps, and disclaim beneficial ownership of the shares underlying such swaps.</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(6)</w:t>
            </w:r>
          </w:p>
        </w:tc>
        <w:tc>
          <w:tcPr>
            <w:tcW w:w="9991"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Reflects beneficial ownership of 7,824,100 shares of Common Stock by Pentwater Capital Management LP (“Pentwater”) and Matthew Halbower, the sole shareholder of MCH PWCM Holdings Inc., the general partner of Pentwater, 7,048,300 of which are held directly by Pentwater and Mr. Halbower and 775,800 of which are issuable upon exercise of call options beneficially owned by Pentwater and Mr. Halbower. This is derived solely from information reported in Schedule 13G and Section 16 filings made by Pentwater and Mr. Halbower.</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(7)</w:t>
            </w:r>
          </w:p>
        </w:tc>
        <w:tc>
          <w:tcPr>
            <w:tcW w:w="9995"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In addition to the 7,824,100 shares of Common Stock, Pentwater and Mr. Halbower have economic exposure to, and may be deemed to beneficially own, an additional notional 10,177,500 shares of Common Stock pursuant to cash-settled total return swaps, bringing their total economic exposure to 18,001,600 shares or 50.96% of the shares of Common Stock outstanding on March 25, 2026. This is derived solely from information reported in Schedule 13G and Section 16 filings made by Pentwater and Mr. Halbower. Such filings indicate that Pentwater and Mr. Halbower do not have voting power or dispositive power with respect to the shares referenced in such swaps, and disclaim beneficial ownership of the shares underlying such swaps.</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(8)</w:t>
            </w:r>
          </w:p>
        </w:tc>
        <w:tc>
          <w:tcPr>
            <w:tcW w:w="9987"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Reflects beneficial ownership of 1,971,874 shares of Common Stock by Morgan Stanley as derived solely from information in a Schedule 13G under the Exchange Act, filed with the SEC on February 11, 2026. Such Schedule 13G indicates that Morgan Stanley has shared voting power over 1,923,073 shares of Common Stock and shared dispositive power over 1,971,874 shares of Common Stock.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(9)</w:t>
            </w:r>
          </w:p>
        </w:tc>
        <w:tc>
          <w:tcPr>
            <w:tcW w:w="9998"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Reflects beneficial ownership of 1,910,016 shares of Common Stock by Jane Street Group, LLC, Jane Street Capital, LLC, Jane Street Options, LLC and Jane Street Global Trading, LLC, as derived solely from information in a Schedule 13G/A under the Exchange Act, filed with the SEC on February 12, 2026. Such Schedule 13G/A indicates that (i) Jane Street Group, LLC has shared voting power over 1,910,016 shares of Common Stock and shared dispositive power over 1,910,016 shares of Common Stock, (ii) Jane Street Capital, LLC has shared voting power over 207 shares of Common Stock and shared dispositive power over 207 shares of Common Stock, (iii) Jane Street Options, LLC has shared voting power over 1,909,700 shares of Common Stock and shared dispositive power over 1,909,700 shares of Common Stock, and (iv) Jane Street Global Trading, LLC has shared voting power over 109 shares of Common Stock and shared dispositive power over 109 shares of Common Stock. </w:t>
            </w:r>
          </w:p>
        </w:tc>
      </w:tr>
    </w:tbl>
    <w:tbl>
      <w:tblPr>
        <w:tblW w:w="10205" w:type="dxa"/>
        <w:jc w:val="left"/>
        <w:tblInd w:w="0" w:type="dxa"/>
        <w:tblLayout w:type="fixed"/>
        <w:tblCellMar>
          <w:top w:w="0" w:type="dxa"/>
          <w:left w:w="0" w:type="dxa"/>
          <w:bottom w:w="0" w:type="dxa"/>
          <w:right w:w="0" w:type="dxa"/>
        </w:tblCellMar>
      </w:tblPr>
      <w:tblGrid>
        <w:gridCol w:w="315"/>
        <w:gridCol w:w="9890"/>
      </w:tblGrid>
      <w:tr>
        <w:trPr/>
        <w:tc>
          <w:tcPr>
            <w:tcW w:w="31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(10)</w:t>
            </w:r>
          </w:p>
        </w:tc>
        <w:tc>
          <w:tcPr>
            <w:tcW w:w="9890"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Reflects shared beneficial ownership of 17,430,882 shares of Common Stock by SRS and Mr. Sarma, as described above in footnote (4). All of these shares are included in the 17,832,785 shares of Common Stock deemed to be beneficially owned by all directors, nominees and executive officers as a group. </w:t>
            </w:r>
          </w:p>
        </w:tc>
      </w:tr>
    </w:tbl>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(11)</w:t>
            </w:r>
          </w:p>
        </w:tc>
        <w:tc>
          <w:tcPr>
            <w:tcW w:w="9886"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Beneficial ownership information presented for Mr. Ferraro is based upon Mr. Ferraro’s last Form 4 filed with the SEC on March 17, 2025 as updated to reflect subsequent vesting of restricted stock units pursuant to the terms of Mr. Ferraro’s Separation Agreement. </w:t>
            </w:r>
          </w:p>
        </w:tc>
      </w:tr>
    </w:tbl>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(12)</w:t>
            </w:r>
          </w:p>
        </w:tc>
        <w:tc>
          <w:tcPr>
            <w:tcW w:w="9886"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Represents 43,454 restricted stock units held by non-employee directors that may be settled or scheduled to vest within 60 days of March 25, 2026 and 0 restricted stock units held by executive officers that are scheduled to vest within 60 days of March 25, 2026.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19</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3" w:name="ny20066167x1_def14a_106-executive_pg1"/>
        <w:bookmarkEnd w:id="53"/>
        <w:r>
          <w:rPr>
            <w:rStyle w:val="InternetLink"/>
            <w:rFonts w:ascii="Times New Roman;Times;Serif" w:hAnsi="Times New Roman;Times;Serif"/>
            <w:b/>
            <w:caps w:val="false"/>
            <w:smallCaps w:val="false"/>
            <w:color w:val="000000"/>
            <w:sz w:val="16"/>
          </w:rPr>
          <w:t>TABLE OF CONTENTS</w:t>
        </w:r>
      </w:hyperlink>
    </w:p>
    <w:p>
      <w:pPr>
        <w:pStyle w:val="TextBody"/>
        <w:bidi w:val="0"/>
        <w:spacing w:before="270" w:after="283"/>
        <w:ind w:left="0" w:right="0" w:hanging="0"/>
        <w:jc w:val="left"/>
        <w:rPr>
          <w:rFonts w:ascii="Arial;Helvetica;sans-serif" w:hAnsi="Arial;Helvetica;sans-serif"/>
          <w:color w:val="000000"/>
          <w:sz w:val="40"/>
        </w:rPr>
      </w:pPr>
      <w:bookmarkStart w:id="54" w:name="tEXO"/>
      <w:bookmarkEnd w:id="54"/>
      <w:r>
        <w:rPr>
          <w:rFonts w:ascii="Arial;Helvetica;sans-serif" w:hAnsi="Arial;Helvetica;sans-serif"/>
          <w:color w:val="000000"/>
          <w:sz w:val="40"/>
        </w:rPr>
        <w:t xml:space="preserve">Executive Officers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Executive officers of the Company are set forth below. Each executive officer is appointed to hold office at the discretion of the Board of Directors and may be removed at any time by the Board of Directors with or without cause. </w:t>
      </w:r>
    </w:p>
    <w:tbl>
      <w:tblPr>
        <w:tblW w:w="10205" w:type="dxa"/>
        <w:jc w:val="left"/>
        <w:tblInd w:w="0" w:type="dxa"/>
        <w:tblLayout w:type="fixed"/>
        <w:tblCellMar>
          <w:top w:w="0" w:type="dxa"/>
          <w:left w:w="0" w:type="dxa"/>
          <w:bottom w:w="0" w:type="dxa"/>
          <w:right w:w="0" w:type="dxa"/>
        </w:tblCellMar>
      </w:tblPr>
      <w:tblGrid>
        <w:gridCol w:w="185"/>
        <w:gridCol w:w="1766"/>
        <w:gridCol w:w="170"/>
        <w:gridCol w:w="170"/>
        <w:gridCol w:w="7698"/>
        <w:gridCol w:w="216"/>
      </w:tblGrid>
      <w:tr>
        <w:trPr/>
        <w:tc>
          <w:tcPr>
            <w:tcW w:w="185" w:type="dxa"/>
            <w:tcBorders/>
            <w:vAlign w:val="center"/>
          </w:tcPr>
          <w:p>
            <w:pPr>
              <w:pStyle w:val="TableContents"/>
              <w:bidi w:val="0"/>
              <w:spacing w:before="0" w:after="0"/>
              <w:jc w:val="left"/>
              <w:rPr/>
            </w:pPr>
            <w:r>
              <w:rPr/>
              <w:t> </w:t>
            </w:r>
          </w:p>
        </w:tc>
        <w:tc>
          <w:tcPr>
            <w:tcW w:w="176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98"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766" w:type="dxa"/>
            <w:tcBorders>
              <w:bottom w:val="single" w:sz="8" w:space="0" w:color="000000"/>
            </w:tcBorders>
            <w:tcMar>
              <w:bottom w:w="43" w:type="dxa"/>
            </w:tcM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Name</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698" w:type="dxa"/>
            <w:tcBorders>
              <w:bottom w:val="single" w:sz="8" w:space="0" w:color="000000"/>
            </w:tcBorders>
            <w:tcMar>
              <w:bottom w:w="43" w:type="dxa"/>
            </w:tcM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Offices or Positions To be Held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66" w:type="dxa"/>
            <w:tcBorders>
              <w:bottom w:val="single" w:sz="8" w:space="0" w:color="000000"/>
            </w:tcBorders>
            <w:shd w:fill="CCCCCC" w:val="clear"/>
            <w:tcMar>
              <w:bottom w:w="33"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Jagdeep Pahwa</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7698" w:type="dxa"/>
            <w:tcBorders>
              <w:bottom w:val="single" w:sz="8" w:space="0" w:color="000000"/>
            </w:tcBorders>
            <w:shd w:fill="CCCCCC" w:val="clear"/>
            <w:tcMar>
              <w:bottom w:w="33"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Executive Chairman of the Board </w:t>
            </w:r>
          </w:p>
        </w:tc>
        <w:tc>
          <w:tcPr>
            <w:tcW w:w="216"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766" w:type="dxa"/>
            <w:tcBorders>
              <w:bottom w:val="single" w:sz="8" w:space="0" w:color="000000"/>
            </w:tcBorders>
            <w:tcMar>
              <w:bottom w:w="33"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Brian J. Choi</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698" w:type="dxa"/>
            <w:tcBorders>
              <w:bottom w:val="single" w:sz="8" w:space="0" w:color="000000"/>
            </w:tcBorders>
            <w:tcMar>
              <w:bottom w:w="33"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Chief Executive Officer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66" w:type="dxa"/>
            <w:tcBorders>
              <w:bottom w:val="single" w:sz="8" w:space="0" w:color="000000"/>
            </w:tcBorders>
            <w:shd w:fill="CCCCCC" w:val="clear"/>
            <w:tcMar>
              <w:bottom w:w="33"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Daniel Cunha</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7698" w:type="dxa"/>
            <w:tcBorders>
              <w:bottom w:val="single" w:sz="8" w:space="0" w:color="000000"/>
            </w:tcBorders>
            <w:shd w:fill="CCCCCC" w:val="clear"/>
            <w:tcMar>
              <w:bottom w:w="33"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Executive Vice President and Chief Financial Officer </w:t>
            </w:r>
          </w:p>
        </w:tc>
        <w:tc>
          <w:tcPr>
            <w:tcW w:w="216"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766" w:type="dxa"/>
            <w:tcBorders>
              <w:bottom w:val="single" w:sz="8" w:space="0" w:color="000000"/>
            </w:tcBorders>
            <w:tcMar>
              <w:bottom w:w="33"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Edward P. Linnen</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698" w:type="dxa"/>
            <w:tcBorders>
              <w:bottom w:val="single" w:sz="8" w:space="0" w:color="000000"/>
            </w:tcBorders>
            <w:tcMar>
              <w:bottom w:w="33"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Executive Vice President, Chief Human Resources Officer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66" w:type="dxa"/>
            <w:tcBorders>
              <w:bottom w:val="single" w:sz="8" w:space="0" w:color="000000"/>
            </w:tcBorders>
            <w:shd w:fill="CCCCCC" w:val="clear"/>
            <w:tcMar>
              <w:bottom w:w="33"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Ravi Simhambhatla</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7698" w:type="dxa"/>
            <w:tcBorders>
              <w:bottom w:val="single" w:sz="8" w:space="0" w:color="000000"/>
            </w:tcBorders>
            <w:shd w:fill="CCCCCC" w:val="clear"/>
            <w:tcMar>
              <w:bottom w:w="33"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Executive Vice President, Chief Digital and Innovation Officer </w:t>
            </w:r>
          </w:p>
        </w:tc>
        <w:tc>
          <w:tcPr>
            <w:tcW w:w="216"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766" w:type="dxa"/>
            <w:tcBorders>
              <w:bottom w:val="single" w:sz="8" w:space="0" w:color="000000"/>
            </w:tcBorders>
            <w:tcMar>
              <w:bottom w:w="33"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Jean M. Sera</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698" w:type="dxa"/>
            <w:tcBorders>
              <w:bottom w:val="single" w:sz="8" w:space="0" w:color="000000"/>
            </w:tcBorders>
            <w:tcMar>
              <w:bottom w:w="33"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Senior Vice President, General Counsel, Chief Compliance Officer and Corporate Secretary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66" w:type="dxa"/>
            <w:tcBorders>
              <w:bottom w:val="single" w:sz="8" w:space="0" w:color="000000"/>
            </w:tcBorders>
            <w:shd w:fill="CCCCCC" w:val="clear"/>
            <w:tcMar>
              <w:bottom w:w="28"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Cathleen DeGenova</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7698" w:type="dxa"/>
            <w:tcBorders>
              <w:bottom w:val="single" w:sz="8" w:space="0" w:color="000000"/>
            </w:tcBorders>
            <w:shd w:fill="CCCCCC" w:val="clear"/>
            <w:tcMar>
              <w:bottom w:w="28"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Senior Vice President and Chief Accounting Officer</w:t>
            </w:r>
          </w:p>
        </w:tc>
        <w:tc>
          <w:tcPr>
            <w:tcW w:w="216"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bl>
    <w:p>
      <w:pPr>
        <w:pStyle w:val="TextBody"/>
        <w:bidi w:val="0"/>
        <w:spacing w:before="24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Biographical information for our Executive Chairman is set forth above under “Board of Directors — Biographical Information for Nominees.” Biographical information for all other present executive officers is set forth below. </w:t>
      </w:r>
    </w:p>
    <w:tbl>
      <w:tblPr>
        <w:tblW w:w="10205" w:type="dxa"/>
        <w:jc w:val="left"/>
        <w:tblInd w:w="0" w:type="dxa"/>
        <w:tblLayout w:type="fixed"/>
        <w:tblCellMar>
          <w:top w:w="0" w:type="dxa"/>
          <w:left w:w="0" w:type="dxa"/>
          <w:bottom w:w="0" w:type="dxa"/>
          <w:right w:w="0" w:type="dxa"/>
        </w:tblCellMar>
      </w:tblPr>
      <w:tblGrid>
        <w:gridCol w:w="185"/>
        <w:gridCol w:w="1339"/>
        <w:gridCol w:w="170"/>
        <w:gridCol w:w="170"/>
        <w:gridCol w:w="8125"/>
        <w:gridCol w:w="216"/>
      </w:tblGrid>
      <w:tr>
        <w:trPr/>
        <w:tc>
          <w:tcPr>
            <w:tcW w:w="185" w:type="dxa"/>
            <w:tcBorders/>
            <w:vAlign w:val="center"/>
          </w:tcPr>
          <w:p>
            <w:pPr>
              <w:pStyle w:val="TableContents"/>
              <w:bidi w:val="0"/>
              <w:spacing w:before="0" w:after="0"/>
              <w:jc w:val="left"/>
              <w:rPr/>
            </w:pPr>
            <w:r>
              <w:rPr/>
              <w:t> </w:t>
            </w:r>
          </w:p>
        </w:tc>
        <w:tc>
          <w:tcPr>
            <w:tcW w:w="133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25"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339" w:type="dxa"/>
            <w:tcBorders>
              <w:bottom w:val="single" w:sz="8" w:space="0" w:color="000000"/>
            </w:tcBorders>
            <w:tcMar>
              <w:bottom w:w="53" w:type="dxa"/>
            </w:tcM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Name</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125" w:type="dxa"/>
            <w:tcBorders>
              <w:bottom w:val="single" w:sz="8" w:space="0" w:color="000000"/>
            </w:tcBorders>
            <w:tcMar>
              <w:bottom w:w="53" w:type="dxa"/>
            </w:tcM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Biographical Information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339" w:type="dxa"/>
            <w:tcBorders>
              <w:bottom w:val="single" w:sz="8" w:space="0" w:color="000000"/>
            </w:tcBorders>
            <w:shd w:fill="CCCCCC" w:val="clear"/>
            <w:tcMar>
              <w:bottom w:w="43"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Brian J. Choi</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8125" w:type="dxa"/>
            <w:tcBorders>
              <w:bottom w:val="single" w:sz="8" w:space="0" w:color="000000"/>
            </w:tcBorders>
            <w:shd w:fill="CCCCCC" w:val="clear"/>
            <w:tcMar>
              <w:bottom w:w="43" w:type="dxa"/>
            </w:tcMar>
            <w:vAlign w:val="center"/>
          </w:tcPr>
          <w:p>
            <w:pPr>
              <w:pStyle w:val="TableContents"/>
              <w:bidi w:val="0"/>
              <w:spacing w:before="0" w:after="283"/>
              <w:ind w:left="0" w:right="0" w:hanging="0"/>
              <w:jc w:val="both"/>
              <w:rPr>
                <w:rFonts w:ascii="Arial;Helvetica;sans-serif" w:hAnsi="Arial;Helvetica;sans-serif"/>
                <w:b/>
                <w:color w:val="000000"/>
                <w:sz w:val="20"/>
              </w:rPr>
            </w:pPr>
            <w:r>
              <w:rPr>
                <w:rFonts w:ascii="Arial;Helvetica;sans-serif" w:hAnsi="Arial;Helvetica;sans-serif"/>
                <w:b/>
                <w:color w:val="000000"/>
                <w:sz w:val="20"/>
              </w:rPr>
              <w:t>Mr. Choi</w:t>
            </w:r>
            <w:r>
              <w:rPr>
                <w:rFonts w:ascii="Arial;Helvetica;sans-serif" w:hAnsi="Arial;Helvetica;sans-serif"/>
                <w:b w:val="false"/>
                <w:color w:val="000000"/>
                <w:sz w:val="20"/>
              </w:rPr>
              <w:t xml:space="preserve">, age 43, has served as Chief Executive Officer since July 2025. Mr. Choi served as our Executive Vice President and Chief Transformation Officer from January 2024 to July 2025. Before that, Mr. Choi served as our Executive Vice President and Chief Financial Officer from August 2020 to December 2023. Mr. Choi served on the Board of Directors of the Company from January 2016 through August 2020. Prior to joining the Company, Mr. Choi was a partner at SRS and served in various roles at SRS since October 2008. Before joining SRS, Mr. Choi worked at Metalmark Capital from 2007 to 2008, and he also served as an analyst in the Leveraged Finance Group at Lehman Brothers from 2005 to 2007. </w:t>
            </w:r>
          </w:p>
        </w:tc>
        <w:tc>
          <w:tcPr>
            <w:tcW w:w="216"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339" w:type="dxa"/>
            <w:tcBorders>
              <w:bottom w:val="single" w:sz="8" w:space="0" w:color="000000"/>
            </w:tcBorders>
            <w:tcMar>
              <w:bottom w:w="43"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Daniel Cunha</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125" w:type="dxa"/>
            <w:tcBorders>
              <w:bottom w:val="single" w:sz="8" w:space="0" w:color="000000"/>
            </w:tcBorders>
            <w:tcMar>
              <w:bottom w:w="43" w:type="dxa"/>
            </w:tcMar>
            <w:vAlign w:val="center"/>
          </w:tcPr>
          <w:p>
            <w:pPr>
              <w:pStyle w:val="TableContents"/>
              <w:bidi w:val="0"/>
              <w:spacing w:before="0" w:after="283"/>
              <w:ind w:left="0" w:right="0" w:hanging="0"/>
              <w:jc w:val="both"/>
              <w:rPr>
                <w:rFonts w:ascii="Arial;Helvetica;sans-serif" w:hAnsi="Arial;Helvetica;sans-serif"/>
                <w:b/>
                <w:color w:val="000000"/>
                <w:sz w:val="20"/>
              </w:rPr>
            </w:pPr>
            <w:r>
              <w:rPr>
                <w:rFonts w:ascii="Arial;Helvetica;sans-serif" w:hAnsi="Arial;Helvetica;sans-serif"/>
                <w:b/>
                <w:color w:val="000000"/>
                <w:sz w:val="20"/>
              </w:rPr>
              <w:t>Mr. Cunha</w:t>
            </w:r>
            <w:r>
              <w:rPr>
                <w:rFonts w:ascii="Arial;Helvetica;sans-serif" w:hAnsi="Arial;Helvetica;sans-serif"/>
                <w:b w:val="false"/>
                <w:color w:val="000000"/>
                <w:sz w:val="20"/>
              </w:rPr>
              <w:t xml:space="preserve">, age 42, joined Avis Budget Group as Executive Vice President and Chief Financial Officer in July 2025. Prior to joining the Company, Mr. Cunha served as Chief Financial Officer at Orion Services Group, a commercial field services company, from February 2024 to June 2025. From November 2019 to February 2023, Mr. Cunha served as CFO at Ocean Spray and, before that, Mr. Cunha served as CFO at Heinz North America. Mr. Cunha began his career at McKinsey &amp; Company and later worked in private equity at GP Investments.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339" w:type="dxa"/>
            <w:tcBorders>
              <w:bottom w:val="single" w:sz="8" w:space="0" w:color="000000"/>
            </w:tcBorders>
            <w:shd w:fill="CCCCCC" w:val="clear"/>
            <w:tcMar>
              <w:bottom w:w="43"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Edward P. Linnen</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8125" w:type="dxa"/>
            <w:tcBorders>
              <w:bottom w:val="single" w:sz="8" w:space="0" w:color="000000"/>
            </w:tcBorders>
            <w:shd w:fill="CCCCCC" w:val="clear"/>
            <w:tcMar>
              <w:bottom w:w="43" w:type="dxa"/>
            </w:tcMar>
            <w:vAlign w:val="center"/>
          </w:tcPr>
          <w:p>
            <w:pPr>
              <w:pStyle w:val="TableContents"/>
              <w:bidi w:val="0"/>
              <w:spacing w:before="0" w:after="283"/>
              <w:ind w:left="0" w:right="0" w:hanging="0"/>
              <w:jc w:val="both"/>
              <w:rPr>
                <w:rFonts w:ascii="Arial;Helvetica;sans-serif" w:hAnsi="Arial;Helvetica;sans-serif"/>
                <w:b/>
                <w:color w:val="000000"/>
                <w:sz w:val="20"/>
              </w:rPr>
            </w:pPr>
            <w:r>
              <w:rPr>
                <w:rFonts w:ascii="Arial;Helvetica;sans-serif" w:hAnsi="Arial;Helvetica;sans-serif"/>
                <w:b/>
                <w:color w:val="000000"/>
                <w:sz w:val="20"/>
              </w:rPr>
              <w:t>Mr. Linnen</w:t>
            </w:r>
            <w:r>
              <w:rPr>
                <w:rFonts w:ascii="Arial;Helvetica;sans-serif" w:hAnsi="Arial;Helvetica;sans-serif"/>
                <w:b w:val="false"/>
                <w:color w:val="000000"/>
                <w:sz w:val="20"/>
              </w:rPr>
              <w:t xml:space="preserve">, age 56, has been Executive Vice President, Chief Human Resources Officer since January 2015. Previously, Mr. Linnen held the title of Senior Vice President, Chief Human Resources Officer from February 2013 until January 2015, and Senior Vice President, Human Resources for North America from October 2011 to February 2013. Mr. Linnen joined the Company in 2001, and served in several positions in the Company’s human resources function, including as Vice President, Labor Relations &amp; International Human Resources, Vice President, Domestic Human Resources, and Field Human Resources Director. Prior to joining the Company, Mr. Linnen served in various positions within human resources at Kraft Foods Inc. and Nabisco, Inc. </w:t>
            </w:r>
          </w:p>
        </w:tc>
        <w:tc>
          <w:tcPr>
            <w:tcW w:w="216"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339" w:type="dxa"/>
            <w:tcBorders>
              <w:bottom w:val="single" w:sz="8" w:space="0" w:color="000000"/>
            </w:tcBorders>
            <w:tcMar>
              <w:bottom w:w="28"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Ravi Simhambhatla</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125" w:type="dxa"/>
            <w:tcBorders>
              <w:bottom w:val="single" w:sz="8" w:space="0" w:color="000000"/>
            </w:tcBorders>
            <w:tcMar>
              <w:bottom w:w="28" w:type="dxa"/>
            </w:tcMar>
            <w:vAlign w:val="center"/>
          </w:tcPr>
          <w:p>
            <w:pPr>
              <w:pStyle w:val="TableContents"/>
              <w:bidi w:val="0"/>
              <w:spacing w:before="0" w:after="283"/>
              <w:ind w:left="0" w:right="0" w:hanging="0"/>
              <w:jc w:val="both"/>
              <w:rPr>
                <w:rFonts w:ascii="Arial;Helvetica;sans-serif" w:hAnsi="Arial;Helvetica;sans-serif"/>
                <w:b/>
                <w:color w:val="000000"/>
                <w:sz w:val="20"/>
              </w:rPr>
            </w:pPr>
            <w:r>
              <w:rPr>
                <w:rFonts w:ascii="Arial;Helvetica;sans-serif" w:hAnsi="Arial;Helvetica;sans-serif"/>
                <w:b/>
                <w:color w:val="000000"/>
                <w:sz w:val="20"/>
              </w:rPr>
              <w:t>Mr. Simhambhatla</w:t>
            </w:r>
            <w:r>
              <w:rPr>
                <w:rFonts w:ascii="Arial;Helvetica;sans-serif" w:hAnsi="Arial;Helvetica;sans-serif"/>
                <w:b w:val="false"/>
                <w:color w:val="000000"/>
                <w:sz w:val="20"/>
              </w:rPr>
              <w:t xml:space="preserve">, age 58, was appointed Executive Vice President, Chief Digital and Innovation Officer, in July 2022. Prior to joining Avis Budget Group, Mr. Simhambhatla was Managing Director Cloud Customer Experience &amp; Transformation Officer at Google Cloud since April 2020. Previously, Mr. Simhambhatla worked at United Airlines from July 2015 to March 2020, where he served as Vice President &amp; Chief Technology Officer from June 2019 and previously as Vice President, Commercial Technology. Prior to joining United Airlines, Mr. Simhambhatla also served in various technical leadership roles, including at Aer Lingus, Tesla Motors and Virgin America.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20</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5" w:name="ny20066167x1_def14a_106-executive_pg2"/>
        <w:bookmarkEnd w:id="5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5"/>
        <w:gridCol w:w="1055"/>
        <w:gridCol w:w="170"/>
        <w:gridCol w:w="170"/>
        <w:gridCol w:w="8409"/>
        <w:gridCol w:w="216"/>
      </w:tblGrid>
      <w:tr>
        <w:trPr/>
        <w:tc>
          <w:tcPr>
            <w:tcW w:w="185" w:type="dxa"/>
            <w:tcBorders/>
            <w:shd w:fill="CCCCCC" w:val="clear"/>
            <w:vAlign w:val="center"/>
          </w:tcPr>
          <w:p>
            <w:pPr>
              <w:pStyle w:val="TableContents"/>
              <w:bidi w:val="0"/>
              <w:spacing w:before="0" w:after="0"/>
              <w:jc w:val="left"/>
              <w:rPr/>
            </w:pPr>
            <w:r>
              <w:rPr/>
              <w:t> </w:t>
            </w:r>
          </w:p>
        </w:tc>
        <w:tc>
          <w:tcPr>
            <w:tcW w:w="1055"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409" w:type="dxa"/>
            <w:tcBorders/>
            <w:shd w:fill="CCCCCC" w:val="clear"/>
            <w:vAlign w:val="center"/>
          </w:tcPr>
          <w:p>
            <w:pPr>
              <w:pStyle w:val="TableContents"/>
              <w:bidi w:val="0"/>
              <w:spacing w:before="0" w:after="0"/>
              <w:jc w:val="left"/>
              <w:rPr/>
            </w:pPr>
            <w:r>
              <w:rPr/>
              <w:t> </w:t>
            </w:r>
          </w:p>
        </w:tc>
        <w:tc>
          <w:tcPr>
            <w:tcW w:w="216" w:type="dxa"/>
            <w:tcBorders/>
            <w:shd w:fill="CCCCCC" w:val="clear"/>
            <w:vAlign w:val="center"/>
          </w:tcPr>
          <w:p>
            <w:pPr>
              <w:pStyle w:val="TableContents"/>
              <w:bidi w:val="0"/>
              <w:spacing w:before="0" w:after="0"/>
              <w:jc w:val="left"/>
              <w:rPr/>
            </w:pPr>
            <w:r>
              <w:rPr/>
              <w:t> </w:t>
            </w:r>
          </w:p>
        </w:tc>
      </w:tr>
      <w:tr>
        <w:trPr/>
        <w:tc>
          <w:tcPr>
            <w:tcW w:w="18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055" w:type="dxa"/>
            <w:tcBorders>
              <w:bottom w:val="single" w:sz="8" w:space="0" w:color="000000"/>
            </w:tcBorders>
            <w:shd w:fill="CCCCCC" w:val="clear"/>
            <w:tcMar>
              <w:bottom w:w="43"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Jean M. Sera</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8409" w:type="dxa"/>
            <w:tcBorders>
              <w:bottom w:val="single" w:sz="8" w:space="0" w:color="000000"/>
            </w:tcBorders>
            <w:shd w:fill="CCCCCC" w:val="clear"/>
            <w:tcMar>
              <w:bottom w:w="43" w:type="dxa"/>
            </w:tcMar>
            <w:vAlign w:val="center"/>
          </w:tcPr>
          <w:p>
            <w:pPr>
              <w:pStyle w:val="TableContents"/>
              <w:bidi w:val="0"/>
              <w:spacing w:before="0" w:after="283"/>
              <w:ind w:left="0" w:right="0" w:hanging="0"/>
              <w:jc w:val="both"/>
              <w:rPr>
                <w:rFonts w:ascii="Arial;Helvetica;sans-serif" w:hAnsi="Arial;Helvetica;sans-serif"/>
                <w:b/>
                <w:color w:val="000000"/>
                <w:sz w:val="20"/>
              </w:rPr>
            </w:pPr>
            <w:r>
              <w:rPr>
                <w:rFonts w:ascii="Arial;Helvetica;sans-serif" w:hAnsi="Arial;Helvetica;sans-serif"/>
                <w:b/>
                <w:color w:val="000000"/>
                <w:sz w:val="20"/>
              </w:rPr>
              <w:t>Ms. Sera</w:t>
            </w:r>
            <w:r>
              <w:rPr>
                <w:rFonts w:ascii="Arial;Helvetica;sans-serif" w:hAnsi="Arial;Helvetica;sans-serif"/>
                <w:b w:val="false"/>
                <w:color w:val="000000"/>
                <w:sz w:val="20"/>
              </w:rPr>
              <w:t xml:space="preserve">, age 56, has been Senior Vice President, General Counsel, Chief Compliance Officer and Corporate Secretary since March 2020. Ms. Sera held the title of Senior Vice President, Corporate Secretary and Global Programs from August 2016 to March 2020, and the title of Senior Vice President and Corporate Secretary from August 2006 to August 2016. Ms. Sera was a member of the Legal Department of Cendant Corporation (as the Company was formerly known) from January 2002 to August 2006, where she held roles of increasing responsibility, including Vice President and Group Vice President. Prior to joining the Company, Ms. Sera was an associate with the law firm of Shearman &amp; Sterling LLP (now known as A&amp;O Shearman). </w:t>
            </w:r>
          </w:p>
        </w:tc>
        <w:tc>
          <w:tcPr>
            <w:tcW w:w="216"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055" w:type="dxa"/>
            <w:tcBorders>
              <w:bottom w:val="single" w:sz="8" w:space="0" w:color="000000"/>
            </w:tcBorders>
            <w:tcMar>
              <w:bottom w:w="28"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Cathleen DeGenova</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409" w:type="dxa"/>
            <w:tcBorders>
              <w:bottom w:val="single" w:sz="8" w:space="0" w:color="000000"/>
            </w:tcBorders>
            <w:tcMar>
              <w:bottom w:w="28" w:type="dxa"/>
            </w:tcMar>
            <w:vAlign w:val="center"/>
          </w:tcPr>
          <w:p>
            <w:pPr>
              <w:pStyle w:val="TableContents"/>
              <w:bidi w:val="0"/>
              <w:spacing w:before="0" w:after="283"/>
              <w:ind w:left="0" w:right="0" w:hanging="0"/>
              <w:jc w:val="both"/>
              <w:rPr>
                <w:rFonts w:ascii="Arial;Helvetica;sans-serif" w:hAnsi="Arial;Helvetica;sans-serif"/>
                <w:b/>
                <w:color w:val="000000"/>
                <w:sz w:val="20"/>
              </w:rPr>
            </w:pPr>
            <w:r>
              <w:rPr>
                <w:rFonts w:ascii="Arial;Helvetica;sans-serif" w:hAnsi="Arial;Helvetica;sans-serif"/>
                <w:b/>
                <w:color w:val="000000"/>
                <w:sz w:val="20"/>
              </w:rPr>
              <w:t>Ms. DeGenova</w:t>
            </w:r>
            <w:r>
              <w:rPr>
                <w:rFonts w:ascii="Arial;Helvetica;sans-serif" w:hAnsi="Arial;Helvetica;sans-serif"/>
                <w:b w:val="false"/>
                <w:color w:val="000000"/>
                <w:sz w:val="20"/>
              </w:rPr>
              <w:t>, age 64, has been Senior Vice President and Chief Accounting Officer since August 2024. Ms. DeGenova held the title of Vice President and Chief Accounting Officer from August 2019 to August 2024 and Vice President of the Company overseeing External Reporting and Technical Accounting from April 2018 to August 2019. Ms. DeGenova previously held the title of Director of External Reporting &amp; Technical Accounting from June 2013, when she joined the Company. Prior to joining the Company, Ms. DeGenova held similar roles at Zipcar, Inc., which the Company acquired in 2013, Charles River Labs and Millipore, and was an accountant with Ernst &amp; Young. Ms. DeGenova is a Certified Public Accountant.</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21</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6" w:name="ny20066167x1_def14a_106-executive_pg3"/>
        <w:bookmarkEnd w:id="56"/>
        <w:r>
          <w:rPr>
            <w:rStyle w:val="InternetLink"/>
            <w:rFonts w:ascii="Times New Roman;Times;Serif" w:hAnsi="Times New Roman;Times;Serif"/>
            <w:b/>
            <w:caps w:val="false"/>
            <w:smallCaps w:val="false"/>
            <w:color w:val="000000"/>
            <w:sz w:val="16"/>
          </w:rPr>
          <w:t>TABLE OF CONTENTS</w:t>
        </w:r>
      </w:hyperlink>
    </w:p>
    <w:p>
      <w:pPr>
        <w:pStyle w:val="TextBody"/>
        <w:bidi w:val="0"/>
        <w:spacing w:before="270" w:after="283"/>
        <w:ind w:left="0" w:right="0" w:hanging="0"/>
        <w:jc w:val="left"/>
        <w:rPr>
          <w:rFonts w:ascii="Arial;Helvetica;sans-serif" w:hAnsi="Arial;Helvetica;sans-serif"/>
          <w:color w:val="000000"/>
          <w:sz w:val="40"/>
        </w:rPr>
      </w:pPr>
      <w:bookmarkStart w:id="57" w:name="tEXCP"/>
      <w:bookmarkEnd w:id="57"/>
      <w:r>
        <w:rPr>
          <w:rFonts w:ascii="Arial;Helvetica;sans-serif" w:hAnsi="Arial;Helvetica;sans-serif"/>
          <w:color w:val="000000"/>
          <w:sz w:val="40"/>
        </w:rPr>
        <w:t xml:space="preserve">Executive Compensation </w:t>
      </w:r>
    </w:p>
    <w:p>
      <w:pPr>
        <w:pStyle w:val="TextBody"/>
        <w:bidi w:val="0"/>
        <w:spacing w:before="290" w:after="283"/>
        <w:ind w:left="0" w:right="0" w:hanging="0"/>
        <w:jc w:val="left"/>
        <w:rPr>
          <w:rFonts w:ascii="Arial;Helvetica;sans-serif" w:hAnsi="Arial;Helvetica;sans-serif"/>
          <w:b/>
          <w:color w:val="000000"/>
          <w:sz w:val="28"/>
        </w:rPr>
      </w:pPr>
      <w:bookmarkStart w:id="58" w:name="tCDA"/>
      <w:bookmarkEnd w:id="58"/>
      <w:r>
        <w:rPr>
          <w:rFonts w:ascii="Arial;Helvetica;sans-serif" w:hAnsi="Arial;Helvetica;sans-serif"/>
          <w:b/>
          <w:color w:val="000000"/>
          <w:sz w:val="28"/>
        </w:rPr>
        <w:t xml:space="preserve">Compensation Discussion and Analysis </w:t>
      </w:r>
    </w:p>
    <w:p>
      <w:pPr>
        <w:pStyle w:val="TextBody"/>
        <w:bidi w:val="0"/>
        <w:spacing w:before="160" w:after="283"/>
        <w:ind w:left="0" w:right="0" w:hanging="0"/>
        <w:jc w:val="both"/>
        <w:rPr>
          <w:rFonts w:ascii="Arial;Helvetica;sans-serif" w:hAnsi="Arial;Helvetica;sans-serif"/>
          <w:i/>
          <w:color w:val="000000"/>
          <w:sz w:val="20"/>
        </w:rPr>
      </w:pPr>
      <w:r>
        <w:rPr>
          <w:rFonts w:ascii="Arial;Helvetica;sans-serif" w:hAnsi="Arial;Helvetica;sans-serif"/>
          <w:i/>
          <w:color w:val="000000"/>
          <w:sz w:val="20"/>
        </w:rPr>
        <w:t>We refer you to our 2025 Annual Report for additional information regarding our financial information discussed below, including the long-lived asset impairment and other related charges referred to below, further information for which can be found in Note 2—Summary of Significant Accounting Policies—Impairment of Long-lived Assets to our Consolidated Financial Statements included in our 2025 Annual Report. When we refer to “the Committee” in this “Executive Compensation” section, we are referring to the Compensation Committee.</w:t>
      </w:r>
      <w:r>
        <w:rPr>
          <w:rFonts w:ascii="Arial;Helvetica;sans-serif" w:hAnsi="Arial;Helvetica;sans-serif"/>
          <w:i/>
          <w:caps w:val="false"/>
          <w:smallCaps w:val="false"/>
          <w:color w:val="000000"/>
          <w:sz w:val="20"/>
        </w:rPr>
        <w:t xml:space="preserve"> </w:t>
      </w:r>
    </w:p>
    <w:p>
      <w:pPr>
        <w:pStyle w:val="TextBody"/>
        <w:bidi w:val="0"/>
        <w:spacing w:before="25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Executive Summary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Committee uses our executive compensation programs to motivate and retain our executive talent and align their interests with shareholders. Our performance has a direct impact on payouts of compensation. For example, as described below, our 2025 Annual Incentive Plan paid below target for our NEOs based on performance during 2025 against the plan’s goals. We also successfully completed transitions of our CEO and CFO roles during 2025, as discussed below. </w:t>
      </w:r>
    </w:p>
    <w:p>
      <w:pPr>
        <w:pStyle w:val="TextBody"/>
        <w:bidi w:val="0"/>
        <w:spacing w:before="41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Company Performance </w:t>
      </w:r>
    </w:p>
    <w:p>
      <w:pPr>
        <w:pStyle w:val="TextBody"/>
        <w:bidi w:val="0"/>
        <w:spacing w:before="160" w:after="283"/>
        <w:ind w:left="0" w:right="0" w:hanging="0"/>
        <w:jc w:val="both"/>
        <w:rPr/>
      </w:pPr>
      <w:r>
        <w:rPr>
          <w:rFonts w:ascii="Arial;Helvetica;sans-serif" w:hAnsi="Arial;Helvetica;sans-serif"/>
          <w:color w:val="000000"/>
          <w:sz w:val="20"/>
        </w:rPr>
        <w:t xml:space="preserve">We saw sustained demand for vehicle rentals in 2025, which resulted in revenue of approximately $11.7 billion. For 2025, net loss was $995 million and Adjusted EBITDA (as defined below; also see the reconciliation on page </w:t>
      </w:r>
      <w:hyperlink w:anchor="tAIPRAP">
        <w:r>
          <w:rPr>
            <w:rStyle w:val="InternetLink"/>
            <w:rFonts w:ascii="Arial;Helvetica;sans-serif" w:hAnsi="Arial;Helvetica;sans-serif"/>
            <w:color w:val="000080"/>
            <w:sz w:val="20"/>
          </w:rPr>
          <w:t>26</w:t>
        </w:r>
      </w:hyperlink>
      <w:r>
        <w:rPr>
          <w:rFonts w:ascii="Arial;Helvetica;sans-serif" w:hAnsi="Arial;Helvetica;sans-serif"/>
          <w:color w:val="000000"/>
          <w:sz w:val="20"/>
        </w:rPr>
        <w:t xml:space="preserve">) was $748 million. During the fourth quarter of 2025, we reviewed our fleet strategy specific to certain EV rental car vehicles and as a result, we shortened the useful life associated with such vehicles. Our net loss reflects $518 million in long-lived asset impairment and other related charges, which was recorded to reduce the carrying value of certain United States EV rental car vehicles to their fair value in connection with this change. </w:t>
      </w:r>
    </w:p>
    <w:p>
      <w:pPr>
        <w:pStyle w:val="TextBody"/>
        <w:bidi w:val="0"/>
        <w:spacing w:before="21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Our closing stock price at the end of 2025 was $128.32 resulting in TSR of 59% for the year and five-year TSR of 271%. </w:t>
      </w:r>
    </w:p>
    <w:p>
      <w:pPr>
        <w:pStyle w:val="TextBody"/>
        <w:bidi w:val="0"/>
        <w:spacing w:before="41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Strategy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For 2026, we expect our strategy to remain centered on driving sustainable growth by strengthening operational efficiency, expanding the use of analytics, elevating the customer experience, and accelerating innovation through disciplined investment in technology. We believe this strategy will reinforce our competitive position, support long-term profitability, and deliver value to our stakeholders.</w:t>
      </w:r>
    </w:p>
    <w:p>
      <w:pPr>
        <w:pStyle w:val="TextBody"/>
        <w:bidi w:val="0"/>
        <w:spacing w:before="41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Compensation Practices </w:t>
      </w:r>
    </w:p>
    <w:p>
      <w:pPr>
        <w:pStyle w:val="TextBody"/>
        <w:bidi w:val="0"/>
        <w:spacing w:before="19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We believe that our compensation programs reflect sound practices, such as: </w:t>
      </w:r>
    </w:p>
    <w:tbl>
      <w:tblPr>
        <w:tblW w:w="7585" w:type="dxa"/>
        <w:jc w:val="left"/>
        <w:tblInd w:w="0" w:type="dxa"/>
        <w:tblLayout w:type="fixed"/>
        <w:tblCellMar>
          <w:top w:w="0" w:type="dxa"/>
          <w:left w:w="0" w:type="dxa"/>
          <w:bottom w:w="0" w:type="dxa"/>
          <w:right w:w="0" w:type="dxa"/>
        </w:tblCellMar>
      </w:tblPr>
      <w:tblGrid>
        <w:gridCol w:w="140"/>
        <w:gridCol w:w="7445"/>
      </w:tblGrid>
      <w:tr>
        <w:trPr/>
        <w:tc>
          <w:tcPr>
            <w:tcW w:w="140" w:type="dxa"/>
            <w:tcBorders/>
            <w:vAlign w:val="center"/>
          </w:tcPr>
          <w:p>
            <w:pPr>
              <w:pStyle w:val="TableContents"/>
              <w:bidi w:val="0"/>
              <w:spacing w:before="0" w:after="0"/>
              <w:jc w:val="left"/>
              <w:rPr>
                <w:color w:val="000000"/>
              </w:rPr>
            </w:pPr>
            <w:r>
              <w:rPr>
                <w:color w:val="000000"/>
              </w:rPr>
              <w:t>•</w:t>
            </w:r>
          </w:p>
        </w:tc>
        <w:tc>
          <w:tcPr>
            <w:tcW w:w="744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executive stock ownership guidelines with significant share ownership requirements; </w:t>
            </w:r>
          </w:p>
        </w:tc>
      </w:tr>
    </w:tbl>
    <w:tbl>
      <w:tblPr>
        <w:tblW w:w="5710" w:type="dxa"/>
        <w:jc w:val="left"/>
        <w:tblInd w:w="0" w:type="dxa"/>
        <w:tblLayout w:type="fixed"/>
        <w:tblCellMar>
          <w:top w:w="0" w:type="dxa"/>
          <w:left w:w="0" w:type="dxa"/>
          <w:bottom w:w="0" w:type="dxa"/>
          <w:right w:w="0" w:type="dxa"/>
        </w:tblCellMar>
      </w:tblPr>
      <w:tblGrid>
        <w:gridCol w:w="140"/>
        <w:gridCol w:w="5570"/>
      </w:tblGrid>
      <w:tr>
        <w:trPr/>
        <w:tc>
          <w:tcPr>
            <w:tcW w:w="140" w:type="dxa"/>
            <w:tcBorders/>
            <w:vAlign w:val="center"/>
          </w:tcPr>
          <w:p>
            <w:pPr>
              <w:pStyle w:val="TableContents"/>
              <w:bidi w:val="0"/>
              <w:spacing w:before="0" w:after="0"/>
              <w:jc w:val="left"/>
              <w:rPr>
                <w:color w:val="000000"/>
              </w:rPr>
            </w:pPr>
            <w:r>
              <w:rPr>
                <w:color w:val="000000"/>
              </w:rPr>
              <w:t>•</w:t>
            </w:r>
          </w:p>
        </w:tc>
        <w:tc>
          <w:tcPr>
            <w:tcW w:w="557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an executive compensation recoupment (or “clawback”) policy; </w:t>
            </w:r>
          </w:p>
        </w:tc>
      </w:tr>
    </w:tbl>
    <w:tbl>
      <w:tblPr>
        <w:tblW w:w="9235" w:type="dxa"/>
        <w:jc w:val="left"/>
        <w:tblInd w:w="0" w:type="dxa"/>
        <w:tblLayout w:type="fixed"/>
        <w:tblCellMar>
          <w:top w:w="0" w:type="dxa"/>
          <w:left w:w="0" w:type="dxa"/>
          <w:bottom w:w="0" w:type="dxa"/>
          <w:right w:w="0" w:type="dxa"/>
        </w:tblCellMar>
      </w:tblPr>
      <w:tblGrid>
        <w:gridCol w:w="140"/>
        <w:gridCol w:w="9095"/>
      </w:tblGrid>
      <w:tr>
        <w:trPr/>
        <w:tc>
          <w:tcPr>
            <w:tcW w:w="140" w:type="dxa"/>
            <w:tcBorders/>
            <w:vAlign w:val="center"/>
          </w:tcPr>
          <w:p>
            <w:pPr>
              <w:pStyle w:val="TableContents"/>
              <w:bidi w:val="0"/>
              <w:spacing w:before="0" w:after="0"/>
              <w:jc w:val="left"/>
              <w:rPr>
                <w:color w:val="000000"/>
              </w:rPr>
            </w:pPr>
            <w:r>
              <w:rPr>
                <w:color w:val="000000"/>
              </w:rPr>
              <w:t>•</w:t>
            </w:r>
          </w:p>
        </w:tc>
        <w:tc>
          <w:tcPr>
            <w:tcW w:w="9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 policy prohibiting executives from entering into speculative (or hedging) transactions in our securities; </w:t>
            </w:r>
          </w:p>
        </w:tc>
      </w:tr>
    </w:tbl>
    <w:tbl>
      <w:tblPr>
        <w:tblW w:w="6580" w:type="dxa"/>
        <w:jc w:val="left"/>
        <w:tblInd w:w="0" w:type="dxa"/>
        <w:tblLayout w:type="fixed"/>
        <w:tblCellMar>
          <w:top w:w="0" w:type="dxa"/>
          <w:left w:w="0" w:type="dxa"/>
          <w:bottom w:w="0" w:type="dxa"/>
          <w:right w:w="0" w:type="dxa"/>
        </w:tblCellMar>
      </w:tblPr>
      <w:tblGrid>
        <w:gridCol w:w="140"/>
        <w:gridCol w:w="6440"/>
      </w:tblGrid>
      <w:tr>
        <w:trPr/>
        <w:tc>
          <w:tcPr>
            <w:tcW w:w="140" w:type="dxa"/>
            <w:tcBorders/>
            <w:vAlign w:val="center"/>
          </w:tcPr>
          <w:p>
            <w:pPr>
              <w:pStyle w:val="TableContents"/>
              <w:bidi w:val="0"/>
              <w:spacing w:before="0" w:after="0"/>
              <w:jc w:val="left"/>
              <w:rPr>
                <w:color w:val="000000"/>
              </w:rPr>
            </w:pPr>
            <w:r>
              <w:rPr>
                <w:color w:val="000000"/>
              </w:rPr>
              <w:t>•</w:t>
            </w:r>
          </w:p>
        </w:tc>
        <w:tc>
          <w:tcPr>
            <w:tcW w:w="644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no excise tax gross-up or single-trigger change-in-control provisions;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no tax gross-ups on executive perquisites except for relocation-related expenses and expatriate benefits per the Company’s standard practices.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22</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9" w:name="ny20066167x1_def14a_106-executive_pg4"/>
        <w:bookmarkEnd w:id="59"/>
        <w:r>
          <w:rPr>
            <w:rStyle w:val="InternetLink"/>
            <w:rFonts w:ascii="Times New Roman;Times;Serif" w:hAnsi="Times New Roman;Times;Serif"/>
            <w:b/>
            <w:caps w:val="false"/>
            <w:smallCaps w:val="false"/>
            <w:color w:val="000000"/>
            <w:sz w:val="16"/>
          </w:rPr>
          <w:t>TABLE OF CONTENTS</w:t>
        </w:r>
      </w:hyperlink>
    </w:p>
    <w:p>
      <w:pPr>
        <w:pStyle w:val="TextBody"/>
        <w:bidi w:val="0"/>
        <w:spacing w:before="145"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2025 Compensation for our Named Executive Officers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Compensation reported in the Summary Compensation Table for our NEOs for 2025 generally was higher compared to 2024, primarily due to payouts under the annual cash incentive program, at below-target amounts, aligned with the Company’s financial performance, together with the grant of additional performance-based equity awards as described below. </w:t>
      </w:r>
    </w:p>
    <w:p>
      <w:pPr>
        <w:pStyle w:val="TextBody"/>
        <w:bidi w:val="0"/>
        <w:spacing w:before="21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A summary of 2025 compensation highlights is set forth below. </w:t>
      </w:r>
    </w:p>
    <w:tbl>
      <w:tblPr>
        <w:tblW w:w="10205" w:type="dxa"/>
        <w:jc w:val="left"/>
        <w:tblInd w:w="0" w:type="dxa"/>
        <w:tblLayout w:type="fixed"/>
        <w:tblCellMar>
          <w:top w:w="0" w:type="dxa"/>
          <w:left w:w="0" w:type="dxa"/>
          <w:bottom w:w="0" w:type="dxa"/>
          <w:right w:w="0" w:type="dxa"/>
        </w:tblCellMar>
      </w:tblPr>
      <w:tblGrid>
        <w:gridCol w:w="185"/>
        <w:gridCol w:w="1633"/>
        <w:gridCol w:w="170"/>
        <w:gridCol w:w="170"/>
        <w:gridCol w:w="7831"/>
        <w:gridCol w:w="216"/>
      </w:tblGrid>
      <w:tr>
        <w:trPr/>
        <w:tc>
          <w:tcPr>
            <w:tcW w:w="185" w:type="dxa"/>
            <w:tcBorders/>
            <w:shd w:fill="CCCCCC" w:val="clear"/>
            <w:vAlign w:val="center"/>
          </w:tcPr>
          <w:p>
            <w:pPr>
              <w:pStyle w:val="TableContents"/>
              <w:bidi w:val="0"/>
              <w:spacing w:before="0" w:after="0"/>
              <w:jc w:val="left"/>
              <w:rPr/>
            </w:pPr>
            <w:r>
              <w:rPr/>
              <w:t> </w:t>
            </w:r>
          </w:p>
        </w:tc>
        <w:tc>
          <w:tcPr>
            <w:tcW w:w="1633"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831" w:type="dxa"/>
            <w:tcBorders/>
            <w:shd w:fill="CCCCCC" w:val="clear"/>
            <w:vAlign w:val="center"/>
          </w:tcPr>
          <w:p>
            <w:pPr>
              <w:pStyle w:val="TableContents"/>
              <w:bidi w:val="0"/>
              <w:spacing w:before="0" w:after="0"/>
              <w:jc w:val="left"/>
              <w:rPr/>
            </w:pPr>
            <w:r>
              <w:rPr/>
              <w:t> </w:t>
            </w:r>
          </w:p>
        </w:tc>
        <w:tc>
          <w:tcPr>
            <w:tcW w:w="216" w:type="dxa"/>
            <w:tcBorders/>
            <w:shd w:fill="CCCCCC" w:val="clear"/>
            <w:vAlign w:val="center"/>
          </w:tcPr>
          <w:p>
            <w:pPr>
              <w:pStyle w:val="TableContents"/>
              <w:bidi w:val="0"/>
              <w:spacing w:before="0" w:after="0"/>
              <w:jc w:val="left"/>
              <w:rPr/>
            </w:pPr>
            <w:r>
              <w:rPr/>
              <w:t> </w:t>
            </w:r>
          </w:p>
        </w:tc>
      </w:tr>
      <w:tr>
        <w:trPr/>
        <w:tc>
          <w:tcPr>
            <w:tcW w:w="18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633" w:type="dxa"/>
            <w:tcBorders>
              <w:bottom w:val="single" w:sz="8" w:space="0" w:color="000000"/>
            </w:tcBorders>
            <w:shd w:fill="CCCCCC" w:val="clear"/>
            <w:tcMar>
              <w:bottom w:w="33" w:type="dxa"/>
            </w:tcMar>
            <w:vAlign w:val="center"/>
          </w:tcPr>
          <w:p>
            <w:pPr>
              <w:pStyle w:val="TableContents"/>
              <w:bidi w:val="0"/>
              <w:spacing w:before="0" w:after="283"/>
              <w:ind w:left="30" w:right="0" w:hanging="0"/>
              <w:jc w:val="left"/>
              <w:rPr>
                <w:rFonts w:ascii="Arial;Helvetica;sans-serif" w:hAnsi="Arial;Helvetica;sans-serif"/>
                <w:b/>
                <w:smallCaps/>
                <w:color w:val="000000"/>
                <w:sz w:val="20"/>
              </w:rPr>
            </w:pPr>
            <w:r>
              <w:rPr>
                <w:rFonts w:ascii="Arial;Helvetica;sans-serif" w:hAnsi="Arial;Helvetica;sans-serif"/>
                <w:b/>
                <w:smallCaps/>
                <w:color w:val="000000"/>
                <w:sz w:val="20"/>
              </w:rPr>
              <w:t>General</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7831" w:type="dxa"/>
            <w:tcBorders>
              <w:bottom w:val="single" w:sz="8" w:space="0" w:color="000000"/>
            </w:tcBorders>
            <w:shd w:fill="CCCCCC" w:val="clear"/>
            <w:tcMar>
              <w:bottom w:w="33" w:type="dxa"/>
            </w:tcMar>
            <w:vAlign w:val="center"/>
          </w:tcPr>
          <w:p>
            <w:pPr>
              <w:pStyle w:val="TableContents"/>
              <w:bidi w:val="0"/>
              <w:spacing w:before="0" w:after="283"/>
              <w:ind w:left="0" w:right="0" w:hanging="0"/>
              <w:jc w:val="both"/>
              <w:rPr>
                <w:color w:val="000000"/>
              </w:rPr>
            </w:pPr>
            <w:r>
              <w:rPr>
                <w:color w:val="000000"/>
              </w:rPr>
              <w:t>• </w:t>
            </w:r>
          </w:p>
          <w:p>
            <w:pPr>
              <w:pStyle w:val="TableContents"/>
              <w:bidi w:val="0"/>
              <w:spacing w:before="0" w:after="283"/>
              <w:jc w:val="both"/>
              <w:rPr>
                <w:rFonts w:ascii="Arial;Helvetica;sans-serif" w:hAnsi="Arial;Helvetica;sans-serif"/>
                <w:color w:val="000000"/>
                <w:sz w:val="20"/>
              </w:rPr>
            </w:pPr>
            <w:r>
              <w:rPr>
                <w:rFonts w:ascii="Arial;Helvetica;sans-serif" w:hAnsi="Arial;Helvetica;sans-serif"/>
                <w:color w:val="000000"/>
                <w:sz w:val="20"/>
              </w:rPr>
              <w:t xml:space="preserve">Generally we did not increase NEO salaries in 2025, except as related to the CEO transition. </w:t>
            </w:r>
          </w:p>
        </w:tc>
        <w:tc>
          <w:tcPr>
            <w:tcW w:w="216"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633" w:type="dxa"/>
            <w:tcBorders>
              <w:bottom w:val="single" w:sz="8" w:space="0" w:color="000000"/>
            </w:tcBorders>
            <w:tcMar>
              <w:bottom w:w="33" w:type="dxa"/>
            </w:tcMar>
            <w:vAlign w:val="center"/>
          </w:tcPr>
          <w:p>
            <w:pPr>
              <w:pStyle w:val="TableContents"/>
              <w:bidi w:val="0"/>
              <w:spacing w:before="0" w:after="283"/>
              <w:ind w:left="30" w:right="0" w:hanging="0"/>
              <w:jc w:val="left"/>
              <w:rPr>
                <w:rFonts w:ascii="Arial;Helvetica;sans-serif" w:hAnsi="Arial;Helvetica;sans-serif"/>
                <w:b/>
                <w:smallCaps/>
                <w:color w:val="000000"/>
                <w:sz w:val="20"/>
              </w:rPr>
            </w:pPr>
            <w:r>
              <w:rPr>
                <w:rFonts w:ascii="Arial;Helvetica;sans-serif" w:hAnsi="Arial;Helvetica;sans-serif"/>
                <w:b/>
                <w:smallCaps/>
                <w:color w:val="000000"/>
                <w:sz w:val="20"/>
              </w:rPr>
              <w:t>Annual Incentive Program</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831" w:type="dxa"/>
            <w:tcBorders>
              <w:bottom w:val="single" w:sz="8" w:space="0" w:color="000000"/>
            </w:tcBorders>
            <w:tcMar>
              <w:bottom w:w="33" w:type="dxa"/>
            </w:tcMar>
            <w:vAlign w:val="center"/>
          </w:tcPr>
          <w:p>
            <w:pPr>
              <w:pStyle w:val="TableContents"/>
              <w:bidi w:val="0"/>
              <w:spacing w:before="0" w:after="283"/>
              <w:ind w:left="0" w:right="0" w:hanging="0"/>
              <w:jc w:val="both"/>
              <w:rPr>
                <w:color w:val="000000"/>
              </w:rPr>
            </w:pPr>
            <w:r>
              <w:rPr>
                <w:color w:val="000000"/>
              </w:rPr>
              <w:t>• </w:t>
            </w:r>
          </w:p>
          <w:p>
            <w:pPr>
              <w:pStyle w:val="TableContents"/>
              <w:bidi w:val="0"/>
              <w:spacing w:before="0" w:after="283"/>
              <w:jc w:val="both"/>
              <w:rPr>
                <w:rFonts w:ascii="Arial;Helvetica;sans-serif" w:hAnsi="Arial;Helvetica;sans-serif"/>
                <w:color w:val="000000"/>
                <w:sz w:val="20"/>
              </w:rPr>
            </w:pPr>
            <w:r>
              <w:rPr>
                <w:rFonts w:ascii="Arial;Helvetica;sans-serif" w:hAnsi="Arial;Helvetica;sans-serif"/>
                <w:color w:val="000000"/>
                <w:sz w:val="20"/>
              </w:rPr>
              <w:t>As a result of Company financial performance, actual payouts for 2025, as a percentage of target payout opportunity, were below target for our NEOs based on actual Company performance.</w:t>
            </w:r>
          </w:p>
          <w:p>
            <w:pPr>
              <w:pStyle w:val="TableContents"/>
              <w:bidi w:val="0"/>
              <w:spacing w:before="120" w:after="283"/>
              <w:ind w:left="0" w:right="0" w:hanging="0"/>
              <w:jc w:val="both"/>
              <w:rPr>
                <w:color w:val="000000"/>
              </w:rPr>
            </w:pPr>
            <w:r>
              <w:rPr>
                <w:color w:val="000000"/>
              </w:rPr>
              <w:t>• </w:t>
            </w:r>
          </w:p>
          <w:p>
            <w:pPr>
              <w:pStyle w:val="TableContents"/>
              <w:bidi w:val="0"/>
              <w:spacing w:before="120" w:after="283"/>
              <w:jc w:val="both"/>
              <w:rPr>
                <w:rFonts w:ascii="Arial;Helvetica;sans-serif" w:hAnsi="Arial;Helvetica;sans-serif"/>
                <w:color w:val="000000"/>
                <w:sz w:val="20"/>
              </w:rPr>
            </w:pPr>
            <w:r>
              <w:rPr>
                <w:rFonts w:ascii="Arial;Helvetica;sans-serif" w:hAnsi="Arial;Helvetica;sans-serif"/>
                <w:color w:val="000000"/>
                <w:sz w:val="20"/>
              </w:rPr>
              <w:t xml:space="preserve">The 2025 program design was consistent with the 2024 design, and included both Adjusted EBITDA goals and an individual component comprised primarily of quantitative financial and operational metrics with measurable targets utilizing a “scorecard” approach. No payouts would be made under the individual component unless threshold Adjusted EBITDA goals were attained.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633" w:type="dxa"/>
            <w:tcBorders>
              <w:bottom w:val="single" w:sz="8" w:space="0" w:color="000000"/>
            </w:tcBorders>
            <w:shd w:fill="CCCCCC" w:val="clear"/>
            <w:tcMar>
              <w:bottom w:w="28" w:type="dxa"/>
            </w:tcMar>
            <w:vAlign w:val="center"/>
          </w:tcPr>
          <w:p>
            <w:pPr>
              <w:pStyle w:val="TableContents"/>
              <w:bidi w:val="0"/>
              <w:spacing w:before="0" w:after="283"/>
              <w:ind w:left="30" w:right="0" w:hanging="0"/>
              <w:jc w:val="left"/>
              <w:rPr>
                <w:rFonts w:ascii="Arial;Helvetica;sans-serif" w:hAnsi="Arial;Helvetica;sans-serif"/>
                <w:b/>
                <w:smallCaps/>
                <w:color w:val="000000"/>
                <w:sz w:val="20"/>
              </w:rPr>
            </w:pPr>
            <w:r>
              <w:rPr>
                <w:rFonts w:ascii="Arial;Helvetica;sans-serif" w:hAnsi="Arial;Helvetica;sans-serif"/>
                <w:b/>
                <w:smallCaps/>
                <w:color w:val="000000"/>
                <w:sz w:val="20"/>
              </w:rPr>
              <w:t>Long-Term Incentive Program (“LTIP”)</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7831" w:type="dxa"/>
            <w:tcBorders>
              <w:bottom w:val="single" w:sz="8" w:space="0" w:color="000000"/>
            </w:tcBorders>
            <w:shd w:fill="CCCCCC" w:val="clear"/>
            <w:tcMar>
              <w:bottom w:w="28" w:type="dxa"/>
            </w:tcMar>
            <w:vAlign w:val="center"/>
          </w:tcPr>
          <w:p>
            <w:pPr>
              <w:pStyle w:val="TableContents"/>
              <w:bidi w:val="0"/>
              <w:spacing w:before="0" w:after="283"/>
              <w:ind w:left="0" w:right="0" w:hanging="0"/>
              <w:jc w:val="both"/>
              <w:rPr>
                <w:color w:val="000000"/>
              </w:rPr>
            </w:pPr>
            <w:r>
              <w:rPr>
                <w:color w:val="000000"/>
              </w:rPr>
              <w:t>• </w:t>
            </w:r>
          </w:p>
          <w:p>
            <w:pPr>
              <w:pStyle w:val="TableContents"/>
              <w:bidi w:val="0"/>
              <w:spacing w:before="0" w:after="283"/>
              <w:jc w:val="both"/>
              <w:rPr>
                <w:rFonts w:ascii="Arial;Helvetica;sans-serif" w:hAnsi="Arial;Helvetica;sans-serif"/>
                <w:color w:val="000000"/>
                <w:sz w:val="20"/>
              </w:rPr>
            </w:pPr>
            <w:r>
              <w:rPr>
                <w:rFonts w:ascii="Arial;Helvetica;sans-serif" w:hAnsi="Arial;Helvetica;sans-serif"/>
                <w:color w:val="000000"/>
                <w:sz w:val="20"/>
              </w:rPr>
              <w:t>Our Performance-Based Stock Units (“PSUs”) granted in 2023, subject to performance goals through December 31, 2025, did not meet the threshold Adjusted EBITDA goals previously disclosed and so no amounts were earned under these PSUs.</w:t>
            </w:r>
          </w:p>
          <w:p>
            <w:pPr>
              <w:pStyle w:val="TableContents"/>
              <w:bidi w:val="0"/>
              <w:spacing w:before="120" w:after="283"/>
              <w:ind w:left="0" w:right="0" w:hanging="0"/>
              <w:jc w:val="both"/>
              <w:rPr>
                <w:color w:val="000000"/>
              </w:rPr>
            </w:pPr>
            <w:r>
              <w:rPr>
                <w:color w:val="000000"/>
              </w:rPr>
              <w:t>• </w:t>
            </w:r>
          </w:p>
          <w:p>
            <w:pPr>
              <w:pStyle w:val="TableContents"/>
              <w:bidi w:val="0"/>
              <w:spacing w:before="120" w:after="283"/>
              <w:jc w:val="both"/>
              <w:rPr>
                <w:rFonts w:ascii="Arial;Helvetica;sans-serif" w:hAnsi="Arial;Helvetica;sans-serif"/>
                <w:color w:val="000000"/>
                <w:sz w:val="20"/>
              </w:rPr>
            </w:pPr>
            <w:r>
              <w:rPr>
                <w:rFonts w:ascii="Arial;Helvetica;sans-serif" w:hAnsi="Arial;Helvetica;sans-serif"/>
                <w:color w:val="000000"/>
                <w:sz w:val="20"/>
              </w:rPr>
              <w:t>The 2025 LTIP included three-year cumulative Adjusted EBITDA goals, consistent with the 2024 LTIP. We also granted other LTIP awards described below.</w:t>
            </w:r>
          </w:p>
        </w:tc>
        <w:tc>
          <w:tcPr>
            <w:tcW w:w="216"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Our Named Executive Officers </w:t>
      </w:r>
    </w:p>
    <w:p>
      <w:pPr>
        <w:pStyle w:val="TextBody"/>
        <w:bidi w:val="0"/>
        <w:spacing w:before="19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This discussion addresses executive compensation in 2025 for our NEOs. Our current executive officers who are NEOs are: </w:t>
      </w:r>
    </w:p>
    <w:tbl>
      <w:tblPr>
        <w:tblW w:w="7015" w:type="dxa"/>
        <w:jc w:val="left"/>
        <w:tblInd w:w="0" w:type="dxa"/>
        <w:tblLayout w:type="fixed"/>
        <w:tblCellMar>
          <w:top w:w="0" w:type="dxa"/>
          <w:left w:w="0" w:type="dxa"/>
          <w:bottom w:w="0" w:type="dxa"/>
          <w:right w:w="0" w:type="dxa"/>
        </w:tblCellMar>
      </w:tblPr>
      <w:tblGrid>
        <w:gridCol w:w="140"/>
        <w:gridCol w:w="6875"/>
      </w:tblGrid>
      <w:tr>
        <w:trPr/>
        <w:tc>
          <w:tcPr>
            <w:tcW w:w="140" w:type="dxa"/>
            <w:tcBorders/>
            <w:vAlign w:val="center"/>
          </w:tcPr>
          <w:p>
            <w:pPr>
              <w:pStyle w:val="TableContents"/>
              <w:bidi w:val="0"/>
              <w:spacing w:before="0" w:after="0"/>
              <w:jc w:val="left"/>
              <w:rPr>
                <w:color w:val="000000"/>
              </w:rPr>
            </w:pPr>
            <w:r>
              <w:rPr>
                <w:color w:val="000000"/>
              </w:rPr>
              <w:t>•</w:t>
            </w:r>
          </w:p>
        </w:tc>
        <w:tc>
          <w:tcPr>
            <w:tcW w:w="68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color w:val="000000"/>
                <w:sz w:val="20"/>
              </w:rPr>
              <w:t xml:space="preserve">Brian J. Choi </w:t>
            </w:r>
            <w:r>
              <w:rPr>
                <w:rFonts w:ascii="Arial;Helvetica;sans-serif" w:hAnsi="Arial;Helvetica;sans-serif"/>
                <w:color w:val="000000"/>
                <w:sz w:val="20"/>
              </w:rPr>
              <w:t xml:space="preserve">– our Chief Executive Officer (our “CEO”), starting July 1, 2025 </w:t>
            </w:r>
          </w:p>
        </w:tc>
      </w:tr>
    </w:tbl>
    <w:tbl>
      <w:tblPr>
        <w:tblW w:w="6610" w:type="dxa"/>
        <w:jc w:val="left"/>
        <w:tblInd w:w="0" w:type="dxa"/>
        <w:tblLayout w:type="fixed"/>
        <w:tblCellMar>
          <w:top w:w="0" w:type="dxa"/>
          <w:left w:w="0" w:type="dxa"/>
          <w:bottom w:w="0" w:type="dxa"/>
          <w:right w:w="0" w:type="dxa"/>
        </w:tblCellMar>
      </w:tblPr>
      <w:tblGrid>
        <w:gridCol w:w="140"/>
        <w:gridCol w:w="6470"/>
      </w:tblGrid>
      <w:tr>
        <w:trPr/>
        <w:tc>
          <w:tcPr>
            <w:tcW w:w="140" w:type="dxa"/>
            <w:tcBorders/>
            <w:vAlign w:val="center"/>
          </w:tcPr>
          <w:p>
            <w:pPr>
              <w:pStyle w:val="TableContents"/>
              <w:bidi w:val="0"/>
              <w:spacing w:before="0" w:after="0"/>
              <w:jc w:val="left"/>
              <w:rPr>
                <w:color w:val="000000"/>
              </w:rPr>
            </w:pPr>
            <w:r>
              <w:rPr>
                <w:color w:val="000000"/>
              </w:rPr>
              <w:t>•</w:t>
            </w:r>
          </w:p>
        </w:tc>
        <w:tc>
          <w:tcPr>
            <w:tcW w:w="647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color w:val="000000"/>
                <w:sz w:val="20"/>
              </w:rPr>
              <w:t xml:space="preserve">Daniel Cunha </w:t>
            </w:r>
            <w:r>
              <w:rPr>
                <w:rFonts w:ascii="Arial;Helvetica;sans-serif" w:hAnsi="Arial;Helvetica;sans-serif"/>
                <w:color w:val="000000"/>
                <w:sz w:val="20"/>
              </w:rPr>
              <w:t xml:space="preserve">– our Chief Financial Officer (“CFO”), starting July 1, 2025 </w:t>
            </w:r>
          </w:p>
        </w:tc>
      </w:tr>
    </w:tbl>
    <w:tbl>
      <w:tblPr>
        <w:tblW w:w="6115" w:type="dxa"/>
        <w:jc w:val="left"/>
        <w:tblInd w:w="0" w:type="dxa"/>
        <w:tblLayout w:type="fixed"/>
        <w:tblCellMar>
          <w:top w:w="0" w:type="dxa"/>
          <w:left w:w="0" w:type="dxa"/>
          <w:bottom w:w="0" w:type="dxa"/>
          <w:right w:w="0" w:type="dxa"/>
        </w:tblCellMar>
      </w:tblPr>
      <w:tblGrid>
        <w:gridCol w:w="140"/>
        <w:gridCol w:w="5975"/>
      </w:tblGrid>
      <w:tr>
        <w:trPr/>
        <w:tc>
          <w:tcPr>
            <w:tcW w:w="140" w:type="dxa"/>
            <w:tcBorders/>
            <w:vAlign w:val="center"/>
          </w:tcPr>
          <w:p>
            <w:pPr>
              <w:pStyle w:val="TableContents"/>
              <w:bidi w:val="0"/>
              <w:spacing w:before="0" w:after="0"/>
              <w:jc w:val="left"/>
              <w:rPr>
                <w:color w:val="000000"/>
              </w:rPr>
            </w:pPr>
            <w:r>
              <w:rPr>
                <w:color w:val="000000"/>
              </w:rPr>
              <w:t>•</w:t>
            </w:r>
          </w:p>
        </w:tc>
        <w:tc>
          <w:tcPr>
            <w:tcW w:w="59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color w:val="000000"/>
                <w:sz w:val="20"/>
              </w:rPr>
              <w:t>Jagdeep Pahwa</w:t>
            </w:r>
            <w:r>
              <w:rPr>
                <w:rFonts w:ascii="Arial;Helvetica;sans-serif" w:hAnsi="Arial;Helvetica;sans-serif"/>
                <w:color w:val="000000"/>
                <w:sz w:val="20"/>
              </w:rPr>
              <w:t xml:space="preserve"> – our Executive Chairman, starting March 1, 2025 </w:t>
            </w:r>
          </w:p>
        </w:tc>
      </w:tr>
    </w:tbl>
    <w:tbl>
      <w:tblPr>
        <w:tblW w:w="6790" w:type="dxa"/>
        <w:jc w:val="left"/>
        <w:tblInd w:w="0" w:type="dxa"/>
        <w:tblLayout w:type="fixed"/>
        <w:tblCellMar>
          <w:top w:w="0" w:type="dxa"/>
          <w:left w:w="0" w:type="dxa"/>
          <w:bottom w:w="0" w:type="dxa"/>
          <w:right w:w="0" w:type="dxa"/>
        </w:tblCellMar>
      </w:tblPr>
      <w:tblGrid>
        <w:gridCol w:w="140"/>
        <w:gridCol w:w="6650"/>
      </w:tblGrid>
      <w:tr>
        <w:trPr/>
        <w:tc>
          <w:tcPr>
            <w:tcW w:w="140" w:type="dxa"/>
            <w:tcBorders/>
            <w:vAlign w:val="center"/>
          </w:tcPr>
          <w:p>
            <w:pPr>
              <w:pStyle w:val="TableContents"/>
              <w:bidi w:val="0"/>
              <w:spacing w:before="0" w:after="0"/>
              <w:jc w:val="left"/>
              <w:rPr>
                <w:color w:val="000000"/>
              </w:rPr>
            </w:pPr>
            <w:r>
              <w:rPr>
                <w:color w:val="000000"/>
              </w:rPr>
              <w:t>•</w:t>
            </w:r>
          </w:p>
        </w:tc>
        <w:tc>
          <w:tcPr>
            <w:tcW w:w="665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color w:val="000000"/>
                <w:sz w:val="20"/>
              </w:rPr>
              <w:t>Ravi Simhambhatla</w:t>
            </w:r>
            <w:r>
              <w:rPr>
                <w:rFonts w:ascii="Arial;Helvetica;sans-serif" w:hAnsi="Arial;Helvetica;sans-serif"/>
                <w:color w:val="000000"/>
                <w:sz w:val="20"/>
              </w:rPr>
              <w:t xml:space="preserve"> – our Chief Digital and Innovation Officer (our “CDIO”) </w:t>
            </w:r>
          </w:p>
        </w:tc>
      </w:tr>
    </w:tbl>
    <w:tbl>
      <w:tblPr>
        <w:tblW w:w="6115" w:type="dxa"/>
        <w:jc w:val="left"/>
        <w:tblInd w:w="0" w:type="dxa"/>
        <w:tblLayout w:type="fixed"/>
        <w:tblCellMar>
          <w:top w:w="0" w:type="dxa"/>
          <w:left w:w="0" w:type="dxa"/>
          <w:bottom w:w="0" w:type="dxa"/>
          <w:right w:w="0" w:type="dxa"/>
        </w:tblCellMar>
      </w:tblPr>
      <w:tblGrid>
        <w:gridCol w:w="140"/>
        <w:gridCol w:w="5975"/>
      </w:tblGrid>
      <w:tr>
        <w:trPr/>
        <w:tc>
          <w:tcPr>
            <w:tcW w:w="140" w:type="dxa"/>
            <w:tcBorders/>
            <w:vAlign w:val="center"/>
          </w:tcPr>
          <w:p>
            <w:pPr>
              <w:pStyle w:val="TableContents"/>
              <w:bidi w:val="0"/>
              <w:spacing w:before="0" w:after="0"/>
              <w:jc w:val="left"/>
              <w:rPr>
                <w:color w:val="000000"/>
              </w:rPr>
            </w:pPr>
            <w:r>
              <w:rPr>
                <w:color w:val="000000"/>
              </w:rPr>
              <w:t>•</w:t>
            </w:r>
          </w:p>
        </w:tc>
        <w:tc>
          <w:tcPr>
            <w:tcW w:w="59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color w:val="000000"/>
                <w:sz w:val="20"/>
              </w:rPr>
              <w:t>Edward P. Linnen</w:t>
            </w:r>
            <w:r>
              <w:rPr>
                <w:rFonts w:ascii="Arial;Helvetica;sans-serif" w:hAnsi="Arial;Helvetica;sans-serif"/>
                <w:color w:val="000000"/>
                <w:sz w:val="20"/>
              </w:rPr>
              <w:t xml:space="preserve"> – our Chief Human Resources Officer (“CHRO”) </w:t>
            </w:r>
          </w:p>
        </w:tc>
      </w:tr>
    </w:tbl>
    <w:p>
      <w:pPr>
        <w:pStyle w:val="TextBody"/>
        <w:bidi w:val="0"/>
        <w:spacing w:before="21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In addition, our NEOs include two former executive officers: </w:t>
      </w:r>
    </w:p>
    <w:tbl>
      <w:tblPr>
        <w:tblW w:w="4795" w:type="dxa"/>
        <w:jc w:val="left"/>
        <w:tblInd w:w="0" w:type="dxa"/>
        <w:tblLayout w:type="fixed"/>
        <w:tblCellMar>
          <w:top w:w="0" w:type="dxa"/>
          <w:left w:w="0" w:type="dxa"/>
          <w:bottom w:w="0" w:type="dxa"/>
          <w:right w:w="0" w:type="dxa"/>
        </w:tblCellMar>
      </w:tblPr>
      <w:tblGrid>
        <w:gridCol w:w="140"/>
        <w:gridCol w:w="4655"/>
      </w:tblGrid>
      <w:tr>
        <w:trPr/>
        <w:tc>
          <w:tcPr>
            <w:tcW w:w="140" w:type="dxa"/>
            <w:tcBorders/>
            <w:vAlign w:val="center"/>
          </w:tcPr>
          <w:p>
            <w:pPr>
              <w:pStyle w:val="TableContents"/>
              <w:bidi w:val="0"/>
              <w:spacing w:before="0" w:after="0"/>
              <w:jc w:val="left"/>
              <w:rPr>
                <w:color w:val="000000"/>
              </w:rPr>
            </w:pPr>
            <w:r>
              <w:rPr>
                <w:color w:val="000000"/>
              </w:rPr>
              <w:t>•</w:t>
            </w:r>
          </w:p>
        </w:tc>
        <w:tc>
          <w:tcPr>
            <w:tcW w:w="465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color w:val="000000"/>
                <w:sz w:val="20"/>
              </w:rPr>
              <w:t>Joseph A. Ferraro</w:t>
            </w:r>
            <w:r>
              <w:rPr>
                <w:rFonts w:ascii="Arial;Helvetica;sans-serif" w:hAnsi="Arial;Helvetica;sans-serif"/>
                <w:color w:val="000000"/>
                <w:sz w:val="20"/>
              </w:rPr>
              <w:t xml:space="preserve"> – our former President and CEO </w:t>
            </w:r>
          </w:p>
        </w:tc>
      </w:tr>
    </w:tbl>
    <w:tbl>
      <w:tblPr>
        <w:tblW w:w="4015" w:type="dxa"/>
        <w:jc w:val="left"/>
        <w:tblInd w:w="0" w:type="dxa"/>
        <w:tblLayout w:type="fixed"/>
        <w:tblCellMar>
          <w:top w:w="0" w:type="dxa"/>
          <w:left w:w="0" w:type="dxa"/>
          <w:bottom w:w="0" w:type="dxa"/>
          <w:right w:w="0" w:type="dxa"/>
        </w:tblCellMar>
      </w:tblPr>
      <w:tblGrid>
        <w:gridCol w:w="140"/>
        <w:gridCol w:w="3875"/>
      </w:tblGrid>
      <w:tr>
        <w:trPr/>
        <w:tc>
          <w:tcPr>
            <w:tcW w:w="140" w:type="dxa"/>
            <w:tcBorders/>
            <w:vAlign w:val="center"/>
          </w:tcPr>
          <w:p>
            <w:pPr>
              <w:pStyle w:val="TableContents"/>
              <w:bidi w:val="0"/>
              <w:spacing w:before="0" w:after="0"/>
              <w:jc w:val="left"/>
              <w:rPr>
                <w:color w:val="000000"/>
              </w:rPr>
            </w:pPr>
            <w:r>
              <w:rPr>
                <w:color w:val="000000"/>
              </w:rPr>
              <w:t>•</w:t>
            </w:r>
          </w:p>
        </w:tc>
        <w:tc>
          <w:tcPr>
            <w:tcW w:w="38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color w:val="000000"/>
                <w:sz w:val="20"/>
              </w:rPr>
              <w:t>Izilda “Izzy” P. Martins</w:t>
            </w:r>
            <w:r>
              <w:rPr>
                <w:rFonts w:ascii="Arial;Helvetica;sans-serif" w:hAnsi="Arial;Helvetica;sans-serif"/>
                <w:color w:val="000000"/>
                <w:sz w:val="20"/>
              </w:rPr>
              <w:t xml:space="preserve"> – our former CFO </w:t>
            </w:r>
          </w:p>
        </w:tc>
      </w:tr>
    </w:tbl>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February 2025, the Company announced that Mr. Ferraro would transition away from his role as CEO (but remain as an advisor for a period of time) and that Mr. Choi (our former Chief Transformation Officer) would assume the role of CEO, which occurred on July 1, 2025. In March 2025, Mr. Pahwa assumed the role of Executive Chairman. In June 2025, the Company announced that Izzy Martins would step down from her role as Chief Financial Officer and that Mr. Cunha would assume the role of CFO, which occurred on July 1, 2025.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Compensation for our NEOs is typically comprised of the following components, each of which is designed to provide competitive compensation to attract and retain a highly qualified executive team: </w:t>
      </w:r>
    </w:p>
    <w:tbl>
      <w:tblPr>
        <w:tblW w:w="10205" w:type="dxa"/>
        <w:jc w:val="left"/>
        <w:tblInd w:w="0" w:type="dxa"/>
        <w:tblLayout w:type="fixed"/>
        <w:tblCellMar>
          <w:top w:w="0" w:type="dxa"/>
          <w:left w:w="0" w:type="dxa"/>
          <w:bottom w:w="0" w:type="dxa"/>
          <w:right w:w="0" w:type="dxa"/>
        </w:tblCellMar>
      </w:tblPr>
      <w:tblGrid>
        <w:gridCol w:w="185"/>
        <w:gridCol w:w="1341"/>
        <w:gridCol w:w="170"/>
        <w:gridCol w:w="170"/>
        <w:gridCol w:w="8123"/>
        <w:gridCol w:w="216"/>
      </w:tblGrid>
      <w:tr>
        <w:trPr/>
        <w:tc>
          <w:tcPr>
            <w:tcW w:w="185" w:type="dxa"/>
            <w:tcBorders/>
            <w:vAlign w:val="center"/>
          </w:tcPr>
          <w:p>
            <w:pPr>
              <w:pStyle w:val="TableContents"/>
              <w:bidi w:val="0"/>
              <w:spacing w:before="0" w:after="0"/>
              <w:jc w:val="left"/>
              <w:rPr/>
            </w:pPr>
            <w:r>
              <w:rPr/>
              <w:t> </w:t>
            </w:r>
          </w:p>
        </w:tc>
        <w:tc>
          <w:tcPr>
            <w:tcW w:w="134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23"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341" w:type="dxa"/>
            <w:tcBorders>
              <w:bottom w:val="single" w:sz="8" w:space="0" w:color="000000"/>
            </w:tcBorders>
            <w:tcMar>
              <w:bottom w:w="43" w:type="dxa"/>
            </w:tcM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Component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123" w:type="dxa"/>
            <w:tcBorders>
              <w:bottom w:val="single" w:sz="8" w:space="0" w:color="000000"/>
            </w:tcBorders>
            <w:tcMar>
              <w:bottom w:w="43" w:type="dxa"/>
            </w:tcM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Function and Objective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341" w:type="dxa"/>
            <w:tcBorders>
              <w:bottom w:val="single" w:sz="8" w:space="0" w:color="000000"/>
            </w:tcBorders>
            <w:shd w:fill="CCCCCC" w:val="clear"/>
            <w:tcMar>
              <w:bottom w:w="33" w:type="dxa"/>
            </w:tcMar>
            <w:vAlign w:val="center"/>
          </w:tcPr>
          <w:p>
            <w:pPr>
              <w:pStyle w:val="TableContents"/>
              <w:bidi w:val="0"/>
              <w:spacing w:before="0" w:after="283"/>
              <w:ind w:left="30" w:right="0" w:hanging="0"/>
              <w:jc w:val="left"/>
              <w:rPr>
                <w:rFonts w:ascii="Arial;Helvetica;sans-serif" w:hAnsi="Arial;Helvetica;sans-serif"/>
                <w:b/>
                <w:color w:val="000000"/>
                <w:sz w:val="20"/>
              </w:rPr>
            </w:pPr>
            <w:r>
              <w:rPr>
                <w:rFonts w:ascii="Arial;Helvetica;sans-serif" w:hAnsi="Arial;Helvetica;sans-serif"/>
                <w:b/>
                <w:color w:val="000000"/>
                <w:sz w:val="20"/>
              </w:rPr>
              <w:t>Base Salary</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8123" w:type="dxa"/>
            <w:tcBorders>
              <w:bottom w:val="single" w:sz="8" w:space="0" w:color="000000"/>
            </w:tcBorders>
            <w:shd w:fill="CCCCCC" w:val="clear"/>
            <w:tcMar>
              <w:bottom w:w="33" w:type="dxa"/>
            </w:tcMar>
            <w:vAlign w:val="center"/>
          </w:tcPr>
          <w:p>
            <w:pPr>
              <w:pStyle w:val="TableContents"/>
              <w:bidi w:val="0"/>
              <w:spacing w:before="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Paid in cash, provides a fixed form of annual compensation for the performance of primary responsibilities consistent with each executive’s experience and role. </w:t>
            </w:r>
          </w:p>
        </w:tc>
        <w:tc>
          <w:tcPr>
            <w:tcW w:w="216"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341" w:type="dxa"/>
            <w:tcBorders>
              <w:bottom w:val="single" w:sz="8" w:space="0" w:color="000000"/>
            </w:tcBorders>
            <w:tcMar>
              <w:bottom w:w="28" w:type="dxa"/>
            </w:tcMar>
            <w:vAlign w:val="center"/>
          </w:tcPr>
          <w:p>
            <w:pPr>
              <w:pStyle w:val="TableContents"/>
              <w:bidi w:val="0"/>
              <w:spacing w:before="0" w:after="283"/>
              <w:ind w:left="30" w:right="0" w:hanging="0"/>
              <w:jc w:val="left"/>
              <w:rPr>
                <w:rFonts w:ascii="Arial;Helvetica;sans-serif" w:hAnsi="Arial;Helvetica;sans-serif"/>
                <w:b/>
                <w:color w:val="000000"/>
                <w:sz w:val="20"/>
              </w:rPr>
            </w:pPr>
            <w:r>
              <w:rPr>
                <w:rFonts w:ascii="Arial;Helvetica;sans-serif" w:hAnsi="Arial;Helvetica;sans-serif"/>
                <w:b/>
                <w:color w:val="000000"/>
                <w:sz w:val="20"/>
              </w:rPr>
              <w:t>Annual Incentive Awards</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123" w:type="dxa"/>
            <w:tcBorders>
              <w:bottom w:val="single" w:sz="8" w:space="0" w:color="000000"/>
            </w:tcBorders>
            <w:tcMar>
              <w:bottom w:w="28" w:type="dxa"/>
            </w:tcMar>
            <w:vAlign w:val="center"/>
          </w:tcPr>
          <w:p>
            <w:pPr>
              <w:pStyle w:val="TableContents"/>
              <w:bidi w:val="0"/>
              <w:spacing w:before="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Comprised of annual cash incentive opportunities that are performance-based, compensate executives subject to achieving specific annual financial goals and individual goals, which are based primarily on quantitative financial and operational metrics with measurable targets utilizing a “scorecard” approach.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23</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0" w:name="ny20066167x1_def14a_106-executive_pg5"/>
        <w:bookmarkEnd w:id="6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5"/>
        <w:gridCol w:w="1627"/>
        <w:gridCol w:w="170"/>
        <w:gridCol w:w="170"/>
        <w:gridCol w:w="7837"/>
        <w:gridCol w:w="216"/>
      </w:tblGrid>
      <w:tr>
        <w:trPr/>
        <w:tc>
          <w:tcPr>
            <w:tcW w:w="185" w:type="dxa"/>
            <w:tcBorders/>
            <w:vAlign w:val="center"/>
          </w:tcPr>
          <w:p>
            <w:pPr>
              <w:pStyle w:val="TableContents"/>
              <w:bidi w:val="0"/>
              <w:spacing w:before="0" w:after="0"/>
              <w:jc w:val="left"/>
              <w:rPr/>
            </w:pPr>
            <w:r>
              <w:rPr/>
              <w:t> </w:t>
            </w:r>
          </w:p>
        </w:tc>
        <w:tc>
          <w:tcPr>
            <w:tcW w:w="162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37"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627" w:type="dxa"/>
            <w:tcBorders>
              <w:bottom w:val="single" w:sz="8" w:space="0" w:color="000000"/>
            </w:tcBorders>
            <w:tcMar>
              <w:bottom w:w="43" w:type="dxa"/>
            </w:tcM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Component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837" w:type="dxa"/>
            <w:tcBorders>
              <w:bottom w:val="single" w:sz="8" w:space="0" w:color="000000"/>
            </w:tcBorders>
            <w:tcMar>
              <w:bottom w:w="43" w:type="dxa"/>
            </w:tcM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Function and Objective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627" w:type="dxa"/>
            <w:tcBorders>
              <w:bottom w:val="single" w:sz="8" w:space="0" w:color="000000"/>
            </w:tcBorders>
            <w:shd w:fill="CCCCCC" w:val="clear"/>
            <w:tcMar>
              <w:bottom w:w="33" w:type="dxa"/>
            </w:tcMar>
            <w:vAlign w:val="center"/>
          </w:tcPr>
          <w:p>
            <w:pPr>
              <w:pStyle w:val="TableContents"/>
              <w:bidi w:val="0"/>
              <w:spacing w:before="0" w:after="283"/>
              <w:ind w:left="30" w:right="0" w:hanging="0"/>
              <w:jc w:val="left"/>
              <w:rPr>
                <w:rFonts w:ascii="Arial;Helvetica;sans-serif" w:hAnsi="Arial;Helvetica;sans-serif"/>
                <w:b/>
                <w:color w:val="000000"/>
                <w:sz w:val="20"/>
              </w:rPr>
            </w:pPr>
            <w:r>
              <w:rPr>
                <w:rFonts w:ascii="Arial;Helvetica;sans-serif" w:hAnsi="Arial;Helvetica;sans-serif"/>
                <w:b/>
                <w:color w:val="000000"/>
                <w:sz w:val="20"/>
              </w:rPr>
              <w:t>Long-Term Incentive Awards</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7837" w:type="dxa"/>
            <w:tcBorders>
              <w:bottom w:val="single" w:sz="8" w:space="0" w:color="000000"/>
            </w:tcBorders>
            <w:shd w:fill="CCCCCC" w:val="clear"/>
            <w:tcMar>
              <w:bottom w:w="33" w:type="dxa"/>
            </w:tcMar>
            <w:vAlign w:val="center"/>
          </w:tcPr>
          <w:p>
            <w:pPr>
              <w:pStyle w:val="TableContents"/>
              <w:bidi w:val="0"/>
              <w:spacing w:before="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Designed to align a significant component of executive compensation with shareholder interests, provide an incentive for executives to stay with the Company and achieve appropriately challenging long-range performance goals, and allow executives to share in the value created for the Company’s shareholders. </w:t>
            </w:r>
          </w:p>
        </w:tc>
        <w:tc>
          <w:tcPr>
            <w:tcW w:w="216"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627" w:type="dxa"/>
            <w:tcBorders>
              <w:bottom w:val="single" w:sz="8" w:space="0" w:color="000000"/>
            </w:tcBorders>
            <w:tcMar>
              <w:bottom w:w="28" w:type="dxa"/>
            </w:tcMar>
            <w:vAlign w:val="center"/>
          </w:tcPr>
          <w:p>
            <w:pPr>
              <w:pStyle w:val="TableContents"/>
              <w:bidi w:val="0"/>
              <w:spacing w:before="0" w:after="283"/>
              <w:ind w:left="30" w:right="0" w:hanging="0"/>
              <w:jc w:val="left"/>
              <w:rPr>
                <w:rFonts w:ascii="Arial;Helvetica;sans-serif" w:hAnsi="Arial;Helvetica;sans-serif"/>
                <w:b/>
                <w:color w:val="000000"/>
                <w:sz w:val="20"/>
              </w:rPr>
            </w:pPr>
            <w:r>
              <w:rPr>
                <w:rFonts w:ascii="Arial;Helvetica;sans-serif" w:hAnsi="Arial;Helvetica;sans-serif"/>
                <w:b/>
                <w:color w:val="000000"/>
                <w:sz w:val="20"/>
              </w:rPr>
              <w:t>Other Compensation</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837" w:type="dxa"/>
            <w:tcBorders>
              <w:bottom w:val="single" w:sz="8" w:space="0" w:color="000000"/>
            </w:tcBorders>
            <w:tcMar>
              <w:bottom w:w="28" w:type="dxa"/>
            </w:tcMar>
            <w:vAlign w:val="center"/>
          </w:tcPr>
          <w:p>
            <w:pPr>
              <w:pStyle w:val="TableContents"/>
              <w:bidi w:val="0"/>
              <w:spacing w:before="0" w:after="283"/>
              <w:ind w:left="0" w:right="0" w:hanging="0"/>
              <w:jc w:val="both"/>
              <w:rPr>
                <w:rFonts w:ascii="Arial;Helvetica;sans-serif" w:hAnsi="Arial;Helvetica;sans-serif"/>
                <w:color w:val="000000"/>
                <w:sz w:val="20"/>
              </w:rPr>
            </w:pPr>
            <w:r>
              <w:rPr>
                <w:rFonts w:ascii="Arial;Helvetica;sans-serif" w:hAnsi="Arial;Helvetica;sans-serif"/>
                <w:color w:val="000000"/>
                <w:sz w:val="20"/>
              </w:rPr>
              <w:t>We provide health, life insurance, disability and retirement benefits as part of our broad-based employee benefits program. Retirement benefits for our NEOs (other than our former CEO, who is also eligible for our frozen pension plan) are limited to (i) deferrals under the executive deferred compensation plan, which the Company matches up to a maximum of 6% of base salary and annual incentive, and/or (ii) participation in our 401(k) plan.</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both"/>
              <w:rPr>
                <w:rFonts w:ascii="Arial;Helvetica;sans-serif" w:hAnsi="Arial;Helvetica;sans-serif"/>
                <w:color w:val="000000"/>
                <w:sz w:val="20"/>
              </w:rPr>
            </w:pPr>
            <w:r>
              <w:rPr>
                <w:rFonts w:ascii="Arial;Helvetica;sans-serif" w:hAnsi="Arial;Helvetica;sans-serif"/>
                <w:color w:val="000000"/>
                <w:sz w:val="20"/>
              </w:rPr>
              <w:t>Other executive benefits and perquisites for some NEOs include auto use and financial planning services. Our CEO is also permitted limited personal use of Company-leased aircraft services.</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385"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Analysis of 2025 Pay Decisions </w:t>
      </w:r>
    </w:p>
    <w:p>
      <w:pPr>
        <w:pStyle w:val="TextBody"/>
        <w:bidi w:val="0"/>
        <w:spacing w:before="38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Compensation Philosophy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2025, “pay-for-performance” continued to be a fundamental tenet of our compensation philosophy, which includes rewarding attainment of appropriately challenging financial and individual performance goals and aligning our executives’ objectives with our shareholders’ interests, while ensuring that the Company’s executive compensation programs are designed to attract and retain a high-caliber leadership team. </w:t>
      </w:r>
    </w:p>
    <w:p>
      <w:pPr>
        <w:pStyle w:val="TextBody"/>
        <w:bidi w:val="0"/>
        <w:spacing w:before="40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Base Salaries for our Named Executive Officers </w:t>
      </w:r>
    </w:p>
    <w:p>
      <w:pPr>
        <w:pStyle w:val="TextBody"/>
        <w:bidi w:val="0"/>
        <w:spacing w:before="18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Salaries for NEOs are typically approved early in each year based on factors such as: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reasonable comparability with the Peer Group and Survey Data (as described under “Consideration of Peer Groups and Survey Data”); </w:t>
            </w:r>
          </w:p>
        </w:tc>
      </w:tr>
    </w:tbl>
    <w:tbl>
      <w:tblPr>
        <w:tblW w:w="3925" w:type="dxa"/>
        <w:jc w:val="left"/>
        <w:tblInd w:w="0" w:type="dxa"/>
        <w:tblLayout w:type="fixed"/>
        <w:tblCellMar>
          <w:top w:w="0" w:type="dxa"/>
          <w:left w:w="0" w:type="dxa"/>
          <w:bottom w:w="0" w:type="dxa"/>
          <w:right w:w="0" w:type="dxa"/>
        </w:tblCellMar>
      </w:tblPr>
      <w:tblGrid>
        <w:gridCol w:w="140"/>
        <w:gridCol w:w="3785"/>
      </w:tblGrid>
      <w:tr>
        <w:trPr/>
        <w:tc>
          <w:tcPr>
            <w:tcW w:w="140" w:type="dxa"/>
            <w:tcBorders/>
            <w:vAlign w:val="center"/>
          </w:tcPr>
          <w:p>
            <w:pPr>
              <w:pStyle w:val="TableContents"/>
              <w:bidi w:val="0"/>
              <w:spacing w:before="0" w:after="0"/>
              <w:jc w:val="left"/>
              <w:rPr>
                <w:color w:val="000000"/>
              </w:rPr>
            </w:pPr>
            <w:r>
              <w:rPr>
                <w:color w:val="000000"/>
              </w:rPr>
              <w:t>•</w:t>
            </w:r>
          </w:p>
        </w:tc>
        <w:tc>
          <w:tcPr>
            <w:tcW w:w="37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individual and Company performance; and </w:t>
            </w:r>
          </w:p>
        </w:tc>
      </w:tr>
    </w:tbl>
    <w:tbl>
      <w:tblPr>
        <w:tblW w:w="7705" w:type="dxa"/>
        <w:jc w:val="left"/>
        <w:tblInd w:w="0" w:type="dxa"/>
        <w:tblLayout w:type="fixed"/>
        <w:tblCellMar>
          <w:top w:w="0" w:type="dxa"/>
          <w:left w:w="0" w:type="dxa"/>
          <w:bottom w:w="0" w:type="dxa"/>
          <w:right w:w="0" w:type="dxa"/>
        </w:tblCellMar>
      </w:tblPr>
      <w:tblGrid>
        <w:gridCol w:w="140"/>
        <w:gridCol w:w="7565"/>
      </w:tblGrid>
      <w:tr>
        <w:trPr/>
        <w:tc>
          <w:tcPr>
            <w:tcW w:w="140" w:type="dxa"/>
            <w:tcBorders/>
            <w:vAlign w:val="center"/>
          </w:tcPr>
          <w:p>
            <w:pPr>
              <w:pStyle w:val="TableContents"/>
              <w:bidi w:val="0"/>
              <w:spacing w:before="0" w:after="0"/>
              <w:jc w:val="left"/>
              <w:rPr>
                <w:color w:val="000000"/>
              </w:rPr>
            </w:pPr>
            <w:r>
              <w:rPr>
                <w:color w:val="000000"/>
              </w:rPr>
              <w:t>•</w:t>
            </w:r>
          </w:p>
        </w:tc>
        <w:tc>
          <w:tcPr>
            <w:tcW w:w="75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each NEO’s responsibilities, capabilities and skills, leadership and drive to add value. </w:t>
            </w:r>
          </w:p>
        </w:tc>
      </w:tr>
    </w:tbl>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For 2025, generally the Committee did not materially increase salaries for the NEOs during its annual salary review process. However, in connection with his appointment as CEO, the Committee approved a new salary for Mr. Choi starting in July 2025 in the amount of $1,000,000, generally considering the factors above. The Committee also approved Mr. Cunha’s salary of $650,000 upon his new hire appointment as CFO. Mr. Pahwa did not receive a base salary initially, but as set forth in the Summary Compensation Table, received a small base salary upon his relocation to the UK. </w:t>
      </w:r>
    </w:p>
    <w:p>
      <w:pPr>
        <w:pStyle w:val="TextBody"/>
        <w:bidi w:val="0"/>
        <w:spacing w:before="40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Annual Incentive Awards </w:t>
      </w:r>
    </w:p>
    <w:p>
      <w:pPr>
        <w:pStyle w:val="TextBody"/>
        <w:bidi w:val="0"/>
        <w:spacing w:before="180" w:after="283"/>
        <w:ind w:left="0" w:right="0" w:hanging="0"/>
        <w:jc w:val="left"/>
        <w:rPr>
          <w:rFonts w:ascii="Arial;Helvetica;sans-serif" w:hAnsi="Arial;Helvetica;sans-serif"/>
          <w:i/>
          <w:color w:val="000000"/>
          <w:sz w:val="20"/>
        </w:rPr>
      </w:pPr>
      <w:r>
        <w:rPr>
          <w:rFonts w:ascii="Arial;Helvetica;sans-serif" w:hAnsi="Arial;Helvetica;sans-serif"/>
          <w:i/>
          <w:color w:val="000000"/>
          <w:sz w:val="20"/>
        </w:rPr>
        <w:t>2025 AIP</w:t>
      </w:r>
      <w:r>
        <w:rPr>
          <w:rFonts w:ascii="Arial;Helvetica;sans-serif" w:hAnsi="Arial;Helvetica;sans-serif"/>
          <w:i/>
          <w:caps w:val="false"/>
          <w:smallCaps w:val="false"/>
          <w:color w:val="000000"/>
          <w:sz w:val="20"/>
        </w:rPr>
        <w:t xml:space="preserve">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For 2025, the Committee approved an annual incentive program (the “2025 AIP”) in which all of our NEOs (other than our Executive Chairman) participated. The program design was generally consistent with the prior year program design. Mr. Choi’s target payout opportunity as a percentage of base salary was increased from 125% to 150% upon his appointment as CEO. The targets remained unchanged at 125% for our CFO, 120% for our CDIO and 100% for our CHRO, in each case subject to a maximum payout opportunity of 150% of target.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24</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1" w:name="ny20066167x1_def14a_106-executive_pg6"/>
        <w:bookmarkEnd w:id="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i/>
          <w:color w:val="000000"/>
          <w:sz w:val="20"/>
        </w:rPr>
      </w:pPr>
      <w:r>
        <w:rPr>
          <w:rFonts w:ascii="Arial;Helvetica;sans-serif" w:hAnsi="Arial;Helvetica;sans-serif"/>
          <w:i/>
          <w:color w:val="000000"/>
          <w:sz w:val="20"/>
        </w:rPr>
        <w:t>2025 AIP Performance Metrics and Goals – Adjusted EBITDA Component</w:t>
      </w:r>
      <w:r>
        <w:rPr>
          <w:rFonts w:ascii="Arial;Helvetica;sans-serif" w:hAnsi="Arial;Helvetica;sans-serif"/>
          <w:i/>
          <w:caps w:val="false"/>
          <w:smallCaps w:val="false"/>
          <w:color w:val="000000"/>
          <w:sz w:val="20"/>
        </w:rPr>
        <w:t xml:space="preserve"> </w:t>
      </w:r>
    </w:p>
    <w:p>
      <w:pPr>
        <w:pStyle w:val="TextBody"/>
        <w:bidi w:val="0"/>
        <w:spacing w:before="190" w:after="283"/>
        <w:ind w:left="0" w:right="0" w:hanging="0"/>
        <w:jc w:val="left"/>
        <w:rPr>
          <w:rFonts w:ascii="Arial;Helvetica;sans-serif" w:hAnsi="Arial;Helvetica;sans-serif"/>
          <w:color w:val="000000"/>
          <w:sz w:val="20"/>
        </w:rPr>
      </w:pPr>
      <w:r>
        <w:rPr>
          <w:rFonts w:ascii="Arial;Helvetica;sans-serif" w:hAnsi="Arial;Helvetica;sans-serif"/>
          <w:color w:val="000000"/>
          <w:sz w:val="20"/>
        </w:rPr>
        <w:t>Consistent with prior years, the 2025 AIP included Adjusted EBITDA</w:t>
      </w:r>
      <w:r>
        <w:rPr>
          <w:rFonts w:ascii="Arial;Helvetica;sans-serif" w:hAnsi="Arial;Helvetica;sans-serif"/>
          <w:color w:val="000000"/>
          <w:position w:val="7"/>
          <w:sz w:val="16"/>
          <w:sz w:val="20"/>
        </w:rPr>
        <w:t>(1)</w:t>
      </w:r>
      <w:r>
        <w:rPr>
          <w:rFonts w:ascii="Arial;Helvetica;sans-serif" w:hAnsi="Arial;Helvetica;sans-serif"/>
          <w:color w:val="000000"/>
          <w:sz w:val="20"/>
        </w:rPr>
        <w:t xml:space="preserve"> as a performance metric with a weighting of 50%: </w:t>
      </w:r>
    </w:p>
    <w:tbl>
      <w:tblPr>
        <w:tblW w:w="7960" w:type="dxa"/>
        <w:jc w:val="left"/>
        <w:tblInd w:w="0" w:type="dxa"/>
        <w:tblLayout w:type="fixed"/>
        <w:tblCellMar>
          <w:top w:w="0" w:type="dxa"/>
          <w:left w:w="0" w:type="dxa"/>
          <w:bottom w:w="0" w:type="dxa"/>
          <w:right w:w="0" w:type="dxa"/>
        </w:tblCellMar>
      </w:tblPr>
      <w:tblGrid>
        <w:gridCol w:w="140"/>
        <w:gridCol w:w="7820"/>
      </w:tblGrid>
      <w:tr>
        <w:trPr/>
        <w:tc>
          <w:tcPr>
            <w:tcW w:w="140" w:type="dxa"/>
            <w:tcBorders/>
            <w:vAlign w:val="center"/>
          </w:tcPr>
          <w:p>
            <w:pPr>
              <w:pStyle w:val="TableContents"/>
              <w:bidi w:val="0"/>
              <w:spacing w:before="0" w:after="0"/>
              <w:jc w:val="left"/>
              <w:rPr>
                <w:color w:val="000000"/>
              </w:rPr>
            </w:pPr>
            <w:r>
              <w:rPr>
                <w:color w:val="000000"/>
              </w:rPr>
              <w:t>•</w:t>
            </w:r>
          </w:p>
        </w:tc>
        <w:tc>
          <w:tcPr>
            <w:tcW w:w="78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in recognition of its wide acceptance and understanding as a metric within the Company;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because Adjusted EBITDA is a key measure of operational and financial performance, driven by our annual business plan;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given the fact that Adjusted EBITDA has been strongly correlated to the Company’s long-term stock price performance. </w:t>
            </w:r>
          </w:p>
        </w:tc>
      </w:tr>
    </w:tbl>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Adjusted EBITDA goals included in the 2025 AIP (the “AIP Adjusted EBITDA Goals”) as shown below were based on the Company’s 2025 business plan approved by the Board (the “Business Plan”) in the first quarter of 2025. When establishing the Adjusted EBITDA goals for the 2025 AIP in early 2025, the Committee pre-approved that Adjusted EBITDA (generally defined as below) was to include an additional adjustment to account for volatility in market pricing dynamics. The global Adjusted EBITDA target goal was lower than the goals for 2024, but represented a significant increase over 2024 results. </w:t>
      </w:r>
    </w:p>
    <w:tbl>
      <w:tblPr>
        <w:tblW w:w="6495" w:type="dxa"/>
        <w:jc w:val="left"/>
        <w:tblInd w:w="0" w:type="dxa"/>
        <w:tblLayout w:type="fixed"/>
        <w:tblCellMar>
          <w:top w:w="0" w:type="dxa"/>
          <w:left w:w="0" w:type="dxa"/>
          <w:bottom w:w="0" w:type="dxa"/>
          <w:right w:w="0" w:type="dxa"/>
        </w:tblCellMar>
      </w:tblPr>
      <w:tblGrid>
        <w:gridCol w:w="185"/>
        <w:gridCol w:w="1550"/>
        <w:gridCol w:w="170"/>
        <w:gridCol w:w="170"/>
        <w:gridCol w:w="1745"/>
        <w:gridCol w:w="170"/>
        <w:gridCol w:w="170"/>
        <w:gridCol w:w="2120"/>
        <w:gridCol w:w="215"/>
      </w:tblGrid>
      <w:tr>
        <w:trPr/>
        <w:tc>
          <w:tcPr>
            <w:tcW w:w="185"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2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550" w:type="dxa"/>
            <w:tcBorders>
              <w:bottom w:val="single" w:sz="8" w:space="0" w:color="000000"/>
            </w:tcBorders>
            <w:tcMar>
              <w:bottom w:w="43" w:type="dxa"/>
            </w:tcM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Achievement Level</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45"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 xml:space="preserve">Payout Opportunity </w:t>
            </w:r>
          </w:p>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 of Target)*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120"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 xml:space="preserve">Adjusted EBITDA Goals </w:t>
            </w:r>
          </w:p>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 xml:space="preserve">(Dollars in millions)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550" w:type="dxa"/>
            <w:tcBorders>
              <w:bottom w:val="single" w:sz="8" w:space="0" w:color="000000"/>
            </w:tcBorders>
            <w:tcMar>
              <w:bottom w:w="38" w:type="dxa"/>
            </w:tcMar>
            <w:vAlign w:val="center"/>
          </w:tcPr>
          <w:p>
            <w:pPr>
              <w:pStyle w:val="TableContents"/>
              <w:bidi w:val="0"/>
              <w:spacing w:before="0" w:after="283"/>
              <w:ind w:left="30" w:right="0" w:hanging="0"/>
              <w:jc w:val="left"/>
              <w:rPr>
                <w:rFonts w:ascii="Arial;Helvetica;sans-serif" w:hAnsi="Arial;Helvetica;sans-serif"/>
                <w:b/>
                <w:color w:val="000000"/>
                <w:sz w:val="18"/>
              </w:rPr>
            </w:pPr>
            <w:r>
              <w:rPr>
                <w:rFonts w:ascii="Arial;Helvetica;sans-serif" w:hAnsi="Arial;Helvetica;sans-serif"/>
                <w:b/>
                <w:color w:val="000000"/>
                <w:sz w:val="18"/>
              </w:rPr>
              <w:t>Maximum</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45" w:type="dxa"/>
            <w:tcBorders>
              <w:bottom w:val="single" w:sz="8" w:space="0" w:color="000000"/>
            </w:tcBorders>
            <w:tcMar>
              <w:bottom w:w="38" w:type="dxa"/>
            </w:tcMar>
            <w:vAlign w:val="center"/>
          </w:tcPr>
          <w:p>
            <w:pPr>
              <w:pStyle w:val="TableContents"/>
              <w:bidi w:val="0"/>
              <w:spacing w:before="0" w:after="283"/>
              <w:jc w:val="right"/>
              <w:rPr>
                <w:rFonts w:ascii="Arial;Helvetica;sans-serif" w:hAnsi="Arial;Helvetica;sans-serif"/>
                <w:b/>
                <w:color w:val="000000"/>
                <w:sz w:val="18"/>
              </w:rPr>
            </w:pPr>
            <w:r>
              <w:rPr>
                <w:rFonts w:ascii="Arial;Helvetica;sans-serif" w:hAnsi="Arial;Helvetica;sans-serif"/>
                <w:b/>
                <w:color w:val="000000"/>
                <w:sz w:val="18"/>
              </w:rPr>
              <w:t>150%</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120" w:type="dxa"/>
            <w:tcBorders>
              <w:bottom w:val="single" w:sz="8" w:space="0" w:color="000000"/>
            </w:tcBorders>
            <w:tcMar>
              <w:bottom w:w="38" w:type="dxa"/>
            </w:tcMar>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 xml:space="preserve">$1,320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550" w:type="dxa"/>
            <w:tcBorders>
              <w:bottom w:val="single" w:sz="8" w:space="0" w:color="000000"/>
            </w:tcBorders>
            <w:shd w:fill="CCCCCC" w:val="clear"/>
            <w:tcMar>
              <w:bottom w:w="38" w:type="dxa"/>
            </w:tcM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Target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45" w:type="dxa"/>
            <w:tcBorders>
              <w:bottom w:val="single" w:sz="8" w:space="0" w:color="000000"/>
            </w:tcBorders>
            <w:shd w:fill="CCCCCC" w:val="clear"/>
            <w:tcMar>
              <w:bottom w:w="38" w:type="dxa"/>
            </w:tcMar>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100%</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2120" w:type="dxa"/>
            <w:tcBorders>
              <w:bottom w:val="single" w:sz="8" w:space="0" w:color="000000"/>
            </w:tcBorders>
            <w:shd w:fill="CCCCCC" w:val="clear"/>
            <w:tcMar>
              <w:bottom w:w="38" w:type="dxa"/>
            </w:tcMar>
            <w:vAlign w:val="center"/>
          </w:tcPr>
          <w:p>
            <w:pPr>
              <w:pStyle w:val="TableContents"/>
              <w:bidi w:val="0"/>
              <w:spacing w:before="0" w:after="283"/>
              <w:ind w:left="741" w:right="0" w:hanging="0"/>
              <w:jc w:val="left"/>
              <w:rPr>
                <w:rFonts w:ascii="Arial;Helvetica;sans-serif" w:hAnsi="Arial;Helvetica;sans-serif"/>
                <w:color w:val="000000"/>
                <w:sz w:val="18"/>
              </w:rPr>
            </w:pPr>
            <w:r>
              <w:rPr>
                <w:rFonts w:ascii="Arial;Helvetica;sans-serif" w:hAnsi="Arial;Helvetica;sans-serif"/>
                <w:color w:val="000000"/>
                <w:sz w:val="18"/>
              </w:rPr>
              <w:t xml:space="preserve">$1,100 </w:t>
            </w:r>
          </w:p>
        </w:tc>
        <w:tc>
          <w:tcPr>
            <w:tcW w:w="21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Threshold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20" w:type="dxa"/>
            <w:tcBorders/>
            <w:vAlign w:val="center"/>
          </w:tcPr>
          <w:p>
            <w:pPr>
              <w:pStyle w:val="TableContents"/>
              <w:bidi w:val="0"/>
              <w:spacing w:before="0" w:after="283"/>
              <w:ind w:left="741" w:right="0" w:hanging="0"/>
              <w:jc w:val="left"/>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t>880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2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6730" w:type="dxa"/>
        <w:jc w:val="left"/>
        <w:tblInd w:w="0" w:type="dxa"/>
        <w:tblLayout w:type="fixed"/>
        <w:tblCellMar>
          <w:top w:w="0" w:type="dxa"/>
          <w:left w:w="0" w:type="dxa"/>
          <w:bottom w:w="0" w:type="dxa"/>
          <w:right w:w="0" w:type="dxa"/>
        </w:tblCellMar>
      </w:tblPr>
      <w:tblGrid>
        <w:gridCol w:w="110"/>
        <w:gridCol w:w="6620"/>
      </w:tblGrid>
      <w:tr>
        <w:trPr/>
        <w:tc>
          <w:tcPr>
            <w:tcW w:w="11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w:t>
            </w:r>
          </w:p>
        </w:tc>
        <w:tc>
          <w:tcPr>
            <w:tcW w:w="662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Straight-line interpolation used to determine payout between specified achievement levels. </w:t>
            </w:r>
          </w:p>
        </w:tc>
      </w:tr>
    </w:tbl>
    <w:p>
      <w:pPr>
        <w:pStyle w:val="TextBody"/>
        <w:bidi w:val="0"/>
        <w:spacing w:before="200" w:after="283"/>
        <w:ind w:left="0" w:right="0" w:hanging="0"/>
        <w:jc w:val="left"/>
        <w:rPr>
          <w:rFonts w:ascii="Arial;Helvetica;sans-serif" w:hAnsi="Arial;Helvetica;sans-serif"/>
          <w:i/>
          <w:color w:val="000000"/>
          <w:sz w:val="20"/>
        </w:rPr>
      </w:pPr>
      <w:r>
        <w:rPr>
          <w:rFonts w:ascii="Arial;Helvetica;sans-serif" w:hAnsi="Arial;Helvetica;sans-serif"/>
          <w:i/>
          <w:color w:val="000000"/>
          <w:sz w:val="20"/>
        </w:rPr>
        <w:t>2025 AIP Performance Metrics and Goals – Individual Scorecard Component</w:t>
      </w:r>
      <w:r>
        <w:rPr>
          <w:rFonts w:ascii="Arial;Helvetica;sans-serif" w:hAnsi="Arial;Helvetica;sans-serif"/>
          <w:i/>
          <w:caps w:val="false"/>
          <w:smallCaps w:val="false"/>
          <w:color w:val="000000"/>
          <w:sz w:val="20"/>
        </w:rPr>
        <w:t xml:space="preserve">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Consistent with the prior year, to enhance the pay-for-performance nature of the 2025 AIP, an individual performance component, with a 50% weighting, was included to incorporate a broad set of goals which the Committee believed were important to our overall success and to each individual executive officer’s contributions to our business. The component is comprised of primarily quantitative financial and operational metrics, with measurable targets based on attainment of specific Business Plan goals and measured utilizing a “scorecard” approach. The achievement level of the individual scorecard goals is capped at 100% of target payout.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Scorecard achievement is then multiplied by 0% to 150% based on achievement of Adjusted EBITDA goals (from Below-Threshold to Maximum) to further align individual performance with overall company performance. Accordingly, for an NEO to be eligible for any payout under the scorecard component, threshold Adjusted EBITDA goals must be met. The threshold Adjusted EBITDA goals for this component were lower than the AIP Adjusted EBITDA Goals (e.g., a threshold of $660 million for this component) to reflect the fact that they were being used to supplement other important performance goals for this component. The formula for determining the payout under the Individual Scorecard Component is: </w:t>
      </w:r>
    </w:p>
    <w:tbl>
      <w:tblPr>
        <w:tblW w:w="6720" w:type="dxa"/>
        <w:jc w:val="left"/>
        <w:tblInd w:w="0" w:type="dxa"/>
        <w:tblLayout w:type="fixed"/>
        <w:tblCellMar>
          <w:top w:w="0" w:type="dxa"/>
          <w:left w:w="0" w:type="dxa"/>
          <w:bottom w:w="0" w:type="dxa"/>
          <w:right w:w="0" w:type="dxa"/>
        </w:tblCellMar>
      </w:tblPr>
      <w:tblGrid>
        <w:gridCol w:w="185"/>
        <w:gridCol w:w="3020"/>
        <w:gridCol w:w="170"/>
        <w:gridCol w:w="170"/>
        <w:gridCol w:w="185"/>
        <w:gridCol w:w="170"/>
        <w:gridCol w:w="170"/>
        <w:gridCol w:w="2435"/>
        <w:gridCol w:w="215"/>
      </w:tblGrid>
      <w:tr>
        <w:trPr/>
        <w:tc>
          <w:tcPr>
            <w:tcW w:w="185"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3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283"/>
              <w:jc w:val="center"/>
              <w:rPr>
                <w:rFonts w:ascii="Arial;Helvetica;sans-serif" w:hAnsi="Arial;Helvetica;sans-serif"/>
                <w:i/>
                <w:color w:val="000000"/>
                <w:sz w:val="20"/>
              </w:rPr>
            </w:pPr>
            <w:r>
              <w:rPr>
                <w:rFonts w:ascii="Arial;Helvetica;sans-serif" w:hAnsi="Arial;Helvetica;sans-serif"/>
                <w:i/>
                <w:color w:val="000000"/>
                <w:sz w:val="20"/>
              </w:rPr>
              <w:t>Individual Scorecard Achievement</w:t>
            </w:r>
          </w:p>
          <w:p>
            <w:pPr>
              <w:pStyle w:val="TableContents"/>
              <w:bidi w:val="0"/>
              <w:spacing w:before="0" w:after="283"/>
              <w:jc w:val="center"/>
              <w:rPr>
                <w:rFonts w:ascii="Arial;Helvetica;sans-serif" w:hAnsi="Arial;Helvetica;sans-serif"/>
                <w:i/>
                <w:color w:val="000000"/>
                <w:sz w:val="20"/>
              </w:rPr>
            </w:pPr>
            <w:r>
              <w:rPr>
                <w:rFonts w:ascii="Arial;Helvetica;sans-serif" w:hAnsi="Arial;Helvetica;sans-serif"/>
                <w:i/>
                <w:color w:val="000000"/>
                <w:sz w:val="20"/>
              </w:rPr>
              <w:t>(0% - 100%)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283"/>
              <w:jc w:val="center"/>
              <w:rPr>
                <w:rFonts w:ascii="Arial;Helvetica;sans-serif" w:hAnsi="Arial;Helvetica;sans-serif"/>
                <w:i/>
                <w:color w:val="000000"/>
                <w:sz w:val="20"/>
              </w:rPr>
            </w:pPr>
            <w:r>
              <w:rPr>
                <w:rFonts w:ascii="Arial;Helvetica;sans-serif" w:hAnsi="Arial;Helvetica;sans-serif"/>
                <w:i/>
                <w:color w:val="000000"/>
                <w:sz w:val="20"/>
              </w:rPr>
              <w:t>X</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35" w:type="dxa"/>
            <w:tcBorders/>
            <w:vAlign w:val="center"/>
          </w:tcPr>
          <w:p>
            <w:pPr>
              <w:pStyle w:val="TableContents"/>
              <w:bidi w:val="0"/>
              <w:spacing w:before="0" w:after="283"/>
              <w:jc w:val="center"/>
              <w:rPr>
                <w:rFonts w:ascii="Arial;Helvetica;sans-serif" w:hAnsi="Arial;Helvetica;sans-serif"/>
                <w:i/>
                <w:color w:val="000000"/>
                <w:sz w:val="20"/>
              </w:rPr>
            </w:pPr>
            <w:r>
              <w:rPr>
                <w:rFonts w:ascii="Arial;Helvetica;sans-serif" w:hAnsi="Arial;Helvetica;sans-serif"/>
                <w:i/>
                <w:color w:val="000000"/>
                <w:sz w:val="20"/>
              </w:rPr>
              <w:t>Adjusted EBITDA Multiplier</w:t>
            </w:r>
          </w:p>
          <w:p>
            <w:pPr>
              <w:pStyle w:val="TableContents"/>
              <w:bidi w:val="0"/>
              <w:spacing w:before="0" w:after="283"/>
              <w:jc w:val="center"/>
              <w:rPr>
                <w:rFonts w:ascii="Arial;Helvetica;sans-serif" w:hAnsi="Arial;Helvetica;sans-serif"/>
                <w:i/>
                <w:color w:val="000000"/>
                <w:sz w:val="20"/>
              </w:rPr>
            </w:pPr>
            <w:r>
              <w:rPr>
                <w:rFonts w:ascii="Arial;Helvetica;sans-serif" w:hAnsi="Arial;Helvetica;sans-serif"/>
                <w:i/>
                <w:color w:val="000000"/>
                <w:sz w:val="20"/>
              </w:rPr>
              <w:t>(0%-150%)</w:t>
            </w:r>
          </w:p>
        </w:tc>
        <w:tc>
          <w:tcPr>
            <w:tcW w:w="215"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For example, if an NEO had achieved a score of 100% of target on his or her individual scorecard but Adjusted EBITDA was below the threshold achievement level, then the NEO would not have received any payout under the 2025 AIP, including under the individual scorecard component.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Committee established individual performance metrics and goals for each NEO’s scorecard based on key objectives in support of the Business Plan and the Company’s overall strategy. Individual performance metrics for our CEO included, among others, revenue and cost metrics, with 100% being quantitative. The substantial majority of scorecard metrics and goals for our NEOs were quantitative with a limited percentage being qualitative but still based on achievement of specific objectives. </w:t>
      </w:r>
    </w:p>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(1)</w:t>
            </w:r>
          </w:p>
        </w:tc>
        <w:tc>
          <w:tcPr>
            <w:tcW w:w="10045"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We define Adjusted EBITDA as income (loss) from continuing operations before non-vehicle related depreciation and amortization; long-lived asset impairment and other related charges; other fleet charges; restructuring and other related charges; early extinguishment of debt costs; non-vehicle related interest; transaction-related costs, net; legal matters, net, which primarily includes amounts recorded in excess of $5 million, related to unprecedented self-insurance reserves for allocated loss adjustment expense, class action lawsuits and personal injury matters; non-operational charges related to shareholder activist activity, which includes third party advisory, legal and other professional fees; COVID-19 charges, net; cloud computing costs; other (income) expense, net; severe weather-related damages in excess of $5 million, net of insurance proceeds; and income taxes. This non-GAAP measure is a performance metric in our incentive programs.</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25</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2" w:name="ny20066167x1_def14a_106-executive_pg7"/>
        <w:bookmarkEnd w:id="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Set forth below is an illustrative example of a scorecard; however it does not represent the actual scorecard of any of our NEOs. </w:t>
      </w:r>
    </w:p>
    <w:p>
      <w:pPr>
        <w:pStyle w:val="TextBody"/>
        <w:bidi w:val="0"/>
        <w:spacing w:before="25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Illustrative Scorecard Example </w:t>
      </w:r>
    </w:p>
    <w:tbl>
      <w:tblPr>
        <w:tblW w:w="10205" w:type="dxa"/>
        <w:jc w:val="left"/>
        <w:tblInd w:w="0" w:type="dxa"/>
        <w:tblLayout w:type="fixed"/>
        <w:tblCellMar>
          <w:top w:w="0" w:type="dxa"/>
          <w:left w:w="0" w:type="dxa"/>
          <w:bottom w:w="0" w:type="dxa"/>
          <w:right w:w="0" w:type="dxa"/>
        </w:tblCellMar>
      </w:tblPr>
      <w:tblGrid>
        <w:gridCol w:w="185"/>
        <w:gridCol w:w="728"/>
        <w:gridCol w:w="204"/>
        <w:gridCol w:w="204"/>
        <w:gridCol w:w="1490"/>
        <w:gridCol w:w="204"/>
        <w:gridCol w:w="204"/>
        <w:gridCol w:w="1992"/>
        <w:gridCol w:w="204"/>
        <w:gridCol w:w="204"/>
        <w:gridCol w:w="2464"/>
        <w:gridCol w:w="204"/>
        <w:gridCol w:w="204"/>
        <w:gridCol w:w="1490"/>
        <w:gridCol w:w="224"/>
      </w:tblGrid>
      <w:tr>
        <w:trPr/>
        <w:tc>
          <w:tcPr>
            <w:tcW w:w="185" w:type="dxa"/>
            <w:tcBorders/>
            <w:shd w:fill="CCCCCC" w:val="clear"/>
            <w:vAlign w:val="center"/>
          </w:tcPr>
          <w:p>
            <w:pPr>
              <w:pStyle w:val="TableContents"/>
              <w:bidi w:val="0"/>
              <w:spacing w:before="0" w:after="0"/>
              <w:jc w:val="left"/>
              <w:rPr/>
            </w:pPr>
            <w:r>
              <w:rPr/>
              <w:t> </w:t>
            </w:r>
          </w:p>
        </w:tc>
        <w:tc>
          <w:tcPr>
            <w:tcW w:w="728" w:type="dxa"/>
            <w:tcBorders/>
            <w:shd w:fill="CCCCCC" w:val="clear"/>
            <w:vAlign w:val="center"/>
          </w:tcPr>
          <w:p>
            <w:pPr>
              <w:pStyle w:val="TableContents"/>
              <w:bidi w:val="0"/>
              <w:spacing w:before="0" w:after="0"/>
              <w:jc w:val="left"/>
              <w:rPr/>
            </w:pPr>
            <w:r>
              <w:rPr/>
              <w:t> </w:t>
            </w:r>
          </w:p>
        </w:tc>
        <w:tc>
          <w:tcPr>
            <w:tcW w:w="204" w:type="dxa"/>
            <w:tcBorders>
              <w:right w:val="single" w:sz="8" w:space="0" w:color="000000"/>
            </w:tcBorders>
            <w:shd w:fill="CCCCCC" w:val="clear"/>
            <w:tcMar>
              <w:right w:w="28" w:type="dxa"/>
            </w:tcMar>
            <w:vAlign w:val="center"/>
          </w:tcPr>
          <w:p>
            <w:pPr>
              <w:pStyle w:val="TableContents"/>
              <w:bidi w:val="0"/>
              <w:spacing w:before="0" w:after="0"/>
              <w:jc w:val="left"/>
              <w:rPr/>
            </w:pPr>
            <w:r>
              <w:rPr/>
              <w:t> </w:t>
            </w:r>
          </w:p>
        </w:tc>
        <w:tc>
          <w:tcPr>
            <w:tcW w:w="204" w:type="dxa"/>
            <w:tcBorders/>
            <w:shd w:fill="CCCCCC" w:val="clear"/>
            <w:vAlign w:val="center"/>
          </w:tcPr>
          <w:p>
            <w:pPr>
              <w:pStyle w:val="TableContents"/>
              <w:bidi w:val="0"/>
              <w:spacing w:before="0" w:after="0"/>
              <w:jc w:val="left"/>
              <w:rPr/>
            </w:pPr>
            <w:r>
              <w:rPr/>
              <w:t> </w:t>
            </w:r>
          </w:p>
        </w:tc>
        <w:tc>
          <w:tcPr>
            <w:tcW w:w="1490" w:type="dxa"/>
            <w:tcBorders/>
            <w:shd w:fill="CCCCCC" w:val="clear"/>
            <w:vAlign w:val="center"/>
          </w:tcPr>
          <w:p>
            <w:pPr>
              <w:pStyle w:val="TableContents"/>
              <w:bidi w:val="0"/>
              <w:spacing w:before="0" w:after="0"/>
              <w:jc w:val="left"/>
              <w:rPr/>
            </w:pPr>
            <w:r>
              <w:rPr/>
              <w:t> </w:t>
            </w:r>
          </w:p>
        </w:tc>
        <w:tc>
          <w:tcPr>
            <w:tcW w:w="204" w:type="dxa"/>
            <w:tcBorders>
              <w:right w:val="single" w:sz="8" w:space="0" w:color="000000"/>
            </w:tcBorders>
            <w:shd w:fill="CCCCCC" w:val="clear"/>
            <w:tcMar>
              <w:right w:w="28" w:type="dxa"/>
            </w:tcMar>
            <w:vAlign w:val="center"/>
          </w:tcPr>
          <w:p>
            <w:pPr>
              <w:pStyle w:val="TableContents"/>
              <w:bidi w:val="0"/>
              <w:spacing w:before="0" w:after="0"/>
              <w:jc w:val="left"/>
              <w:rPr/>
            </w:pPr>
            <w:r>
              <w:rPr/>
              <w:t> </w:t>
            </w:r>
          </w:p>
        </w:tc>
        <w:tc>
          <w:tcPr>
            <w:tcW w:w="204" w:type="dxa"/>
            <w:tcBorders/>
            <w:shd w:fill="CCCCCC" w:val="clear"/>
            <w:vAlign w:val="center"/>
          </w:tcPr>
          <w:p>
            <w:pPr>
              <w:pStyle w:val="TableContents"/>
              <w:bidi w:val="0"/>
              <w:spacing w:before="0" w:after="0"/>
              <w:jc w:val="left"/>
              <w:rPr/>
            </w:pPr>
            <w:r>
              <w:rPr/>
              <w:t> </w:t>
            </w:r>
          </w:p>
        </w:tc>
        <w:tc>
          <w:tcPr>
            <w:tcW w:w="1992" w:type="dxa"/>
            <w:tcBorders/>
            <w:shd w:fill="CCCCCC" w:val="clear"/>
            <w:vAlign w:val="center"/>
          </w:tcPr>
          <w:p>
            <w:pPr>
              <w:pStyle w:val="TableContents"/>
              <w:bidi w:val="0"/>
              <w:spacing w:before="0" w:after="0"/>
              <w:jc w:val="left"/>
              <w:rPr/>
            </w:pPr>
            <w:r>
              <w:rPr/>
              <w:t> </w:t>
            </w:r>
          </w:p>
        </w:tc>
        <w:tc>
          <w:tcPr>
            <w:tcW w:w="204" w:type="dxa"/>
            <w:tcBorders>
              <w:right w:val="single" w:sz="8" w:space="0" w:color="000000"/>
            </w:tcBorders>
            <w:shd w:fill="CCCCCC" w:val="clear"/>
            <w:tcMar>
              <w:right w:w="28" w:type="dxa"/>
            </w:tcMar>
            <w:vAlign w:val="center"/>
          </w:tcPr>
          <w:p>
            <w:pPr>
              <w:pStyle w:val="TableContents"/>
              <w:bidi w:val="0"/>
              <w:spacing w:before="0" w:after="0"/>
              <w:jc w:val="left"/>
              <w:rPr/>
            </w:pPr>
            <w:r>
              <w:rPr/>
              <w:t> </w:t>
            </w:r>
          </w:p>
        </w:tc>
        <w:tc>
          <w:tcPr>
            <w:tcW w:w="204" w:type="dxa"/>
            <w:tcBorders/>
            <w:shd w:fill="CCCCCC" w:val="clear"/>
            <w:vAlign w:val="center"/>
          </w:tcPr>
          <w:p>
            <w:pPr>
              <w:pStyle w:val="TableContents"/>
              <w:bidi w:val="0"/>
              <w:spacing w:before="0" w:after="0"/>
              <w:jc w:val="left"/>
              <w:rPr/>
            </w:pPr>
            <w:r>
              <w:rPr/>
              <w:t> </w:t>
            </w:r>
          </w:p>
        </w:tc>
        <w:tc>
          <w:tcPr>
            <w:tcW w:w="2464" w:type="dxa"/>
            <w:tcBorders/>
            <w:shd w:fill="CCCCCC" w:val="clear"/>
            <w:vAlign w:val="center"/>
          </w:tcPr>
          <w:p>
            <w:pPr>
              <w:pStyle w:val="TableContents"/>
              <w:bidi w:val="0"/>
              <w:spacing w:before="0" w:after="0"/>
              <w:jc w:val="left"/>
              <w:rPr/>
            </w:pPr>
            <w:r>
              <w:rPr/>
              <w:t> </w:t>
            </w:r>
          </w:p>
        </w:tc>
        <w:tc>
          <w:tcPr>
            <w:tcW w:w="204" w:type="dxa"/>
            <w:tcBorders>
              <w:right w:val="single" w:sz="8" w:space="0" w:color="000000"/>
            </w:tcBorders>
            <w:shd w:fill="CCCCCC" w:val="clear"/>
            <w:tcMar>
              <w:right w:w="28" w:type="dxa"/>
            </w:tcMar>
            <w:vAlign w:val="center"/>
          </w:tcPr>
          <w:p>
            <w:pPr>
              <w:pStyle w:val="TableContents"/>
              <w:bidi w:val="0"/>
              <w:spacing w:before="0" w:after="0"/>
              <w:jc w:val="left"/>
              <w:rPr/>
            </w:pPr>
            <w:r>
              <w:rPr/>
              <w:t> </w:t>
            </w:r>
          </w:p>
        </w:tc>
        <w:tc>
          <w:tcPr>
            <w:tcW w:w="204" w:type="dxa"/>
            <w:tcBorders/>
            <w:shd w:fill="CCCCCC" w:val="clear"/>
            <w:vAlign w:val="center"/>
          </w:tcPr>
          <w:p>
            <w:pPr>
              <w:pStyle w:val="TableContents"/>
              <w:bidi w:val="0"/>
              <w:spacing w:before="0" w:after="0"/>
              <w:jc w:val="left"/>
              <w:rPr/>
            </w:pPr>
            <w:r>
              <w:rPr/>
              <w:t> </w:t>
            </w:r>
          </w:p>
        </w:tc>
        <w:tc>
          <w:tcPr>
            <w:tcW w:w="1490" w:type="dxa"/>
            <w:tcBorders/>
            <w:shd w:fill="CCCCCC" w:val="clear"/>
            <w:vAlign w:val="center"/>
          </w:tcPr>
          <w:p>
            <w:pPr>
              <w:pStyle w:val="TableContents"/>
              <w:bidi w:val="0"/>
              <w:spacing w:before="0" w:after="0"/>
              <w:jc w:val="left"/>
              <w:rPr/>
            </w:pPr>
            <w:r>
              <w:rPr/>
              <w:t> </w:t>
            </w:r>
          </w:p>
        </w:tc>
        <w:tc>
          <w:tcPr>
            <w:tcW w:w="224" w:type="dxa"/>
            <w:tcBorders/>
            <w:shd w:fill="CCCCCC" w:val="clear"/>
            <w:vAlign w:val="center"/>
          </w:tcPr>
          <w:p>
            <w:pPr>
              <w:pStyle w:val="TableContents"/>
              <w:bidi w:val="0"/>
              <w:spacing w:before="0" w:after="0"/>
              <w:jc w:val="left"/>
              <w:rPr/>
            </w:pPr>
            <w:r>
              <w:rPr/>
              <w:t> </w:t>
            </w:r>
          </w:p>
        </w:tc>
      </w:tr>
      <w:tr>
        <w:trPr/>
        <w:tc>
          <w:tcPr>
            <w:tcW w:w="18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728" w:type="dxa"/>
            <w:tcBorders>
              <w:bottom w:val="single" w:sz="8" w:space="0" w:color="000000"/>
            </w:tcBorders>
            <w:shd w:fill="CCCCCC" w:val="clear"/>
            <w:tcMar>
              <w:bottom w:w="28" w:type="dxa"/>
            </w:tcM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Weight</w:t>
            </w:r>
          </w:p>
        </w:tc>
        <w:tc>
          <w:tcPr>
            <w:tcW w:w="204" w:type="dxa"/>
            <w:tcBorders>
              <w:bottom w:val="single" w:sz="8" w:space="0" w:color="000000"/>
              <w:right w:val="single" w:sz="8" w:space="0" w:color="000000"/>
            </w:tcBorders>
            <w:shd w:fill="CCCCCC" w:val="clear"/>
            <w:tcMar>
              <w:bottom w:w="28" w:type="dxa"/>
              <w:right w:w="28" w:type="dxa"/>
            </w:tcMar>
            <w:vAlign w:val="center"/>
          </w:tcPr>
          <w:p>
            <w:pPr>
              <w:pStyle w:val="TableContents"/>
              <w:bidi w:val="0"/>
              <w:spacing w:before="0" w:after="0"/>
              <w:jc w:val="left"/>
              <w:rPr/>
            </w:pPr>
            <w:r>
              <w:rPr/>
              <w:t> </w:t>
            </w:r>
          </w:p>
        </w:tc>
        <w:tc>
          <w:tcPr>
            <w:tcW w:w="204"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490" w:type="dxa"/>
            <w:tcBorders>
              <w:bottom w:val="single" w:sz="8" w:space="0" w:color="000000"/>
            </w:tcBorders>
            <w:shd w:fill="CCCCCC" w:val="clear"/>
            <w:tcMar>
              <w:bottom w:w="2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Metric</w:t>
            </w:r>
          </w:p>
        </w:tc>
        <w:tc>
          <w:tcPr>
            <w:tcW w:w="204" w:type="dxa"/>
            <w:tcBorders>
              <w:bottom w:val="single" w:sz="8" w:space="0" w:color="000000"/>
              <w:right w:val="single" w:sz="8" w:space="0" w:color="000000"/>
            </w:tcBorders>
            <w:shd w:fill="CCCCCC" w:val="clear"/>
            <w:tcMar>
              <w:bottom w:w="28" w:type="dxa"/>
              <w:right w:w="28" w:type="dxa"/>
            </w:tcMar>
            <w:vAlign w:val="center"/>
          </w:tcPr>
          <w:p>
            <w:pPr>
              <w:pStyle w:val="TableContents"/>
              <w:bidi w:val="0"/>
              <w:spacing w:before="0" w:after="0"/>
              <w:jc w:val="left"/>
              <w:rPr/>
            </w:pPr>
            <w:r>
              <w:rPr/>
              <w:t> </w:t>
            </w:r>
          </w:p>
        </w:tc>
        <w:tc>
          <w:tcPr>
            <w:tcW w:w="204"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992" w:type="dxa"/>
            <w:tcBorders>
              <w:bottom w:val="single" w:sz="8" w:space="0" w:color="000000"/>
            </w:tcBorders>
            <w:shd w:fill="CCCCCC" w:val="clear"/>
            <w:tcMar>
              <w:bottom w:w="2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Key Performance Indicator(s)</w:t>
            </w:r>
          </w:p>
        </w:tc>
        <w:tc>
          <w:tcPr>
            <w:tcW w:w="204" w:type="dxa"/>
            <w:tcBorders>
              <w:bottom w:val="single" w:sz="8" w:space="0" w:color="000000"/>
              <w:right w:val="single" w:sz="8" w:space="0" w:color="000000"/>
            </w:tcBorders>
            <w:shd w:fill="CCCCCC" w:val="clear"/>
            <w:tcMar>
              <w:bottom w:w="28" w:type="dxa"/>
              <w:right w:w="28" w:type="dxa"/>
            </w:tcMar>
            <w:vAlign w:val="center"/>
          </w:tcPr>
          <w:p>
            <w:pPr>
              <w:pStyle w:val="TableContents"/>
              <w:bidi w:val="0"/>
              <w:spacing w:before="0" w:after="0"/>
              <w:jc w:val="left"/>
              <w:rPr/>
            </w:pPr>
            <w:r>
              <w:rPr/>
              <w:t> </w:t>
            </w:r>
          </w:p>
        </w:tc>
        <w:tc>
          <w:tcPr>
            <w:tcW w:w="204"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2464" w:type="dxa"/>
            <w:tcBorders>
              <w:bottom w:val="single" w:sz="8" w:space="0" w:color="000000"/>
            </w:tcBorders>
            <w:shd w:fill="CCCCCC" w:val="clear"/>
            <w:tcMar>
              <w:bottom w:w="2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Goal</w:t>
            </w:r>
          </w:p>
        </w:tc>
        <w:tc>
          <w:tcPr>
            <w:tcW w:w="204" w:type="dxa"/>
            <w:tcBorders>
              <w:bottom w:val="single" w:sz="8" w:space="0" w:color="000000"/>
              <w:right w:val="single" w:sz="8" w:space="0" w:color="000000"/>
            </w:tcBorders>
            <w:shd w:fill="CCCCCC" w:val="clear"/>
            <w:tcMar>
              <w:bottom w:w="28" w:type="dxa"/>
              <w:right w:w="28" w:type="dxa"/>
            </w:tcMar>
            <w:vAlign w:val="center"/>
          </w:tcPr>
          <w:p>
            <w:pPr>
              <w:pStyle w:val="TableContents"/>
              <w:bidi w:val="0"/>
              <w:spacing w:before="0" w:after="0"/>
              <w:jc w:val="left"/>
              <w:rPr/>
            </w:pPr>
            <w:r>
              <w:rPr/>
              <w:t> </w:t>
            </w:r>
          </w:p>
        </w:tc>
        <w:tc>
          <w:tcPr>
            <w:tcW w:w="204"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490" w:type="dxa"/>
            <w:tcBorders>
              <w:bottom w:val="single" w:sz="8" w:space="0" w:color="000000"/>
            </w:tcBorders>
            <w:shd w:fill="CCCCCC" w:val="clear"/>
            <w:tcMar>
              <w:bottom w:w="2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Type of Measure </w:t>
            </w:r>
          </w:p>
        </w:tc>
        <w:tc>
          <w:tcPr>
            <w:tcW w:w="224"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728" w:type="dxa"/>
            <w:vMerge w:val="restart"/>
            <w:tcBorders>
              <w:bottom w:val="single" w:sz="8" w:space="0" w:color="000000"/>
            </w:tcBorders>
            <w:tcMar>
              <w:bottom w:w="28"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~90%</w:t>
            </w:r>
          </w:p>
        </w:tc>
        <w:tc>
          <w:tcPr>
            <w:tcW w:w="204" w:type="dxa"/>
            <w:vMerge w:val="restart"/>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204"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490" w:type="dxa"/>
            <w:tcBorders>
              <w:bottom w:val="single" w:sz="8" w:space="0" w:color="000000"/>
            </w:tcBorders>
            <w:shd w:fill="F2F2F2" w:val="clear"/>
            <w:tcMar>
              <w:bottom w:w="28"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Revenue</w:t>
            </w:r>
          </w:p>
        </w:tc>
        <w:tc>
          <w:tcPr>
            <w:tcW w:w="204"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204"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992" w:type="dxa"/>
            <w:tcBorders>
              <w:bottom w:val="single" w:sz="8" w:space="0" w:color="000000"/>
            </w:tcBorders>
            <w:shd w:fill="F2F2F2" w:val="clear"/>
            <w:tcMar>
              <w:bottom w:w="28"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Total Revenue</w:t>
            </w:r>
          </w:p>
        </w:tc>
        <w:tc>
          <w:tcPr>
            <w:tcW w:w="204"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204"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2464" w:type="dxa"/>
            <w:vMerge w:val="restart"/>
            <w:tcBorders>
              <w:bottom w:val="single" w:sz="8"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Based on Business Plan</w:t>
            </w:r>
          </w:p>
        </w:tc>
        <w:tc>
          <w:tcPr>
            <w:tcW w:w="204" w:type="dxa"/>
            <w:vMerge w:val="restart"/>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204"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1490" w:type="dxa"/>
            <w:vMerge w:val="restart"/>
            <w:tcBorders>
              <w:bottom w:val="single" w:sz="8"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Quantitative </w:t>
            </w:r>
          </w:p>
        </w:tc>
        <w:tc>
          <w:tcPr>
            <w:tcW w:w="224" w:type="dxa"/>
            <w:vMerge w:val="restart"/>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000000"/>
            </w:tcBorders>
            <w:tcMar>
              <w:bottom w:w="28" w:type="dxa"/>
            </w:tcMar>
            <w:vAlign w:val="center"/>
          </w:tcPr>
          <w:p>
            <w:pPr>
              <w:pStyle w:val="Normal"/>
              <w:bidi w:val="0"/>
              <w:jc w:val="left"/>
              <w:rPr/>
            </w:pPr>
            <w:r>
              <w:rPr/>
            </w:r>
          </w:p>
        </w:tc>
        <w:tc>
          <w:tcPr>
            <w:tcW w:w="728" w:type="dxa"/>
            <w:vMerge w:val="continue"/>
            <w:tcBorders>
              <w:bottom w:val="single" w:sz="8" w:space="0" w:color="000000"/>
            </w:tcBorders>
            <w:tcMar>
              <w:bottom w:w="28" w:type="dxa"/>
            </w:tcMar>
            <w:vAlign w:val="center"/>
          </w:tcPr>
          <w:p>
            <w:pPr>
              <w:pStyle w:val="Normal"/>
              <w:bidi w:val="0"/>
              <w:jc w:val="left"/>
              <w:rPr/>
            </w:pPr>
            <w:r>
              <w:rPr/>
            </w:r>
          </w:p>
        </w:tc>
        <w:tc>
          <w:tcPr>
            <w:tcW w:w="204" w:type="dxa"/>
            <w:vMerge w:val="continue"/>
            <w:tcBorders>
              <w:bottom w:val="single" w:sz="8" w:space="0" w:color="000000"/>
              <w:right w:val="single" w:sz="8" w:space="0" w:color="000000"/>
            </w:tcBorders>
            <w:tcMar>
              <w:bottom w:w="28" w:type="dxa"/>
              <w:right w:w="28" w:type="dxa"/>
            </w:tcMar>
            <w:vAlign w:val="center"/>
          </w:tcPr>
          <w:p>
            <w:pPr>
              <w:pStyle w:val="Normal"/>
              <w:bidi w:val="0"/>
              <w:jc w:val="left"/>
              <w:rPr/>
            </w:pPr>
            <w:r>
              <w:rPr/>
            </w:r>
          </w:p>
        </w:tc>
        <w:tc>
          <w:tcPr>
            <w:tcW w:w="204" w:type="dxa"/>
            <w:tcBorders>
              <w:bottom w:val="single" w:sz="8" w:space="0" w:color="000000"/>
            </w:tcBorders>
            <w:tcMar>
              <w:bottom w:w="28" w:type="dxa"/>
            </w:tcMar>
            <w:vAlign w:val="center"/>
          </w:tcPr>
          <w:p>
            <w:pPr>
              <w:pStyle w:val="TableContents"/>
              <w:bidi w:val="0"/>
              <w:spacing w:before="0" w:after="0"/>
              <w:jc w:val="left"/>
              <w:rPr/>
            </w:pPr>
            <w:r>
              <w:rPr/>
              <w:t> </w:t>
            </w:r>
          </w:p>
        </w:tc>
        <w:tc>
          <w:tcPr>
            <w:tcW w:w="1490" w:type="dxa"/>
            <w:tcBorders>
              <w:bottom w:val="single" w:sz="8"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Cost Control</w:t>
            </w:r>
          </w:p>
        </w:tc>
        <w:tc>
          <w:tcPr>
            <w:tcW w:w="204"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204" w:type="dxa"/>
            <w:tcBorders>
              <w:bottom w:val="single" w:sz="8" w:space="0" w:color="000000"/>
            </w:tcBorders>
            <w:tcMar>
              <w:bottom w:w="28" w:type="dxa"/>
            </w:tcMar>
            <w:vAlign w:val="center"/>
          </w:tcPr>
          <w:p>
            <w:pPr>
              <w:pStyle w:val="TableContents"/>
              <w:bidi w:val="0"/>
              <w:spacing w:before="0" w:after="0"/>
              <w:jc w:val="left"/>
              <w:rPr/>
            </w:pPr>
            <w:r>
              <w:rPr/>
              <w:t> </w:t>
            </w:r>
          </w:p>
        </w:tc>
        <w:tc>
          <w:tcPr>
            <w:tcW w:w="1992" w:type="dxa"/>
            <w:tcBorders>
              <w:bottom w:val="single" w:sz="8"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Variable Costs Utilization </w:t>
            </w:r>
          </w:p>
        </w:tc>
        <w:tc>
          <w:tcPr>
            <w:tcW w:w="204"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204" w:type="dxa"/>
            <w:vMerge w:val="continue"/>
            <w:tcBorders>
              <w:bottom w:val="single" w:sz="8" w:space="0" w:color="000000"/>
            </w:tcBorders>
            <w:tcMar>
              <w:bottom w:w="28" w:type="dxa"/>
            </w:tcMar>
            <w:vAlign w:val="center"/>
          </w:tcPr>
          <w:p>
            <w:pPr>
              <w:pStyle w:val="Normal"/>
              <w:bidi w:val="0"/>
              <w:jc w:val="left"/>
              <w:rPr/>
            </w:pPr>
            <w:r>
              <w:rPr/>
            </w:r>
          </w:p>
        </w:tc>
        <w:tc>
          <w:tcPr>
            <w:tcW w:w="2464" w:type="dxa"/>
            <w:vMerge w:val="continue"/>
            <w:tcBorders>
              <w:bottom w:val="single" w:sz="8" w:space="0" w:color="000000"/>
            </w:tcBorders>
            <w:tcMar>
              <w:bottom w:w="28" w:type="dxa"/>
            </w:tcMar>
            <w:vAlign w:val="center"/>
          </w:tcPr>
          <w:p>
            <w:pPr>
              <w:pStyle w:val="Normal"/>
              <w:bidi w:val="0"/>
              <w:jc w:val="left"/>
              <w:rPr/>
            </w:pPr>
            <w:r>
              <w:rPr/>
            </w:r>
          </w:p>
        </w:tc>
        <w:tc>
          <w:tcPr>
            <w:tcW w:w="204" w:type="dxa"/>
            <w:vMerge w:val="continue"/>
            <w:tcBorders>
              <w:bottom w:val="single" w:sz="8" w:space="0" w:color="000000"/>
              <w:right w:val="single" w:sz="8" w:space="0" w:color="000000"/>
            </w:tcBorders>
            <w:tcMar>
              <w:bottom w:w="28" w:type="dxa"/>
              <w:right w:w="28" w:type="dxa"/>
            </w:tcMar>
            <w:vAlign w:val="center"/>
          </w:tcPr>
          <w:p>
            <w:pPr>
              <w:pStyle w:val="Normal"/>
              <w:bidi w:val="0"/>
              <w:jc w:val="left"/>
              <w:rPr/>
            </w:pPr>
            <w:r>
              <w:rPr/>
            </w:r>
          </w:p>
        </w:tc>
        <w:tc>
          <w:tcPr>
            <w:tcW w:w="204" w:type="dxa"/>
            <w:vMerge w:val="continue"/>
            <w:tcBorders>
              <w:bottom w:val="single" w:sz="8" w:space="0" w:color="000000"/>
            </w:tcBorders>
            <w:tcMar>
              <w:bottom w:w="28" w:type="dxa"/>
            </w:tcMar>
            <w:vAlign w:val="center"/>
          </w:tcPr>
          <w:p>
            <w:pPr>
              <w:pStyle w:val="Normal"/>
              <w:bidi w:val="0"/>
              <w:jc w:val="left"/>
              <w:rPr/>
            </w:pPr>
            <w:r>
              <w:rPr/>
            </w:r>
          </w:p>
        </w:tc>
        <w:tc>
          <w:tcPr>
            <w:tcW w:w="1490" w:type="dxa"/>
            <w:vMerge w:val="continue"/>
            <w:tcBorders>
              <w:bottom w:val="single" w:sz="8" w:space="0" w:color="000000"/>
            </w:tcBorders>
            <w:tcMar>
              <w:bottom w:w="28" w:type="dxa"/>
            </w:tcMar>
            <w:vAlign w:val="center"/>
          </w:tcPr>
          <w:p>
            <w:pPr>
              <w:pStyle w:val="Normal"/>
              <w:bidi w:val="0"/>
              <w:jc w:val="left"/>
              <w:rPr/>
            </w:pPr>
            <w:r>
              <w:rPr/>
            </w:r>
          </w:p>
        </w:tc>
        <w:tc>
          <w:tcPr>
            <w:tcW w:w="224" w:type="dxa"/>
            <w:vMerge w:val="continue"/>
            <w:tcBorders>
              <w:bottom w:val="single" w:sz="8" w:space="0" w:color="000000"/>
            </w:tcBorders>
            <w:tcMar>
              <w:bottom w:w="28" w:type="dxa"/>
            </w:tcMar>
            <w:vAlign w:val="center"/>
          </w:tcPr>
          <w:p>
            <w:pPr>
              <w:pStyle w:val="Normal"/>
              <w:bidi w:val="0"/>
              <w:jc w:val="left"/>
              <w:rPr/>
            </w:pPr>
            <w:r>
              <w:rPr/>
            </w:r>
          </w:p>
        </w:tc>
      </w:tr>
      <w:tr>
        <w:trPr/>
        <w:tc>
          <w:tcPr>
            <w:tcW w:w="185" w:type="dxa"/>
            <w:vMerge w:val="continue"/>
            <w:tcBorders>
              <w:bottom w:val="single" w:sz="8" w:space="0" w:color="000000"/>
            </w:tcBorders>
            <w:tcMar>
              <w:bottom w:w="28" w:type="dxa"/>
            </w:tcMar>
            <w:vAlign w:val="center"/>
          </w:tcPr>
          <w:p>
            <w:pPr>
              <w:pStyle w:val="Normal"/>
              <w:bidi w:val="0"/>
              <w:jc w:val="left"/>
              <w:rPr/>
            </w:pPr>
            <w:r>
              <w:rPr/>
            </w:r>
          </w:p>
        </w:tc>
        <w:tc>
          <w:tcPr>
            <w:tcW w:w="728" w:type="dxa"/>
            <w:vMerge w:val="continue"/>
            <w:tcBorders>
              <w:bottom w:val="single" w:sz="8" w:space="0" w:color="000000"/>
            </w:tcBorders>
            <w:tcMar>
              <w:bottom w:w="28" w:type="dxa"/>
            </w:tcMar>
            <w:vAlign w:val="center"/>
          </w:tcPr>
          <w:p>
            <w:pPr>
              <w:pStyle w:val="Normal"/>
              <w:bidi w:val="0"/>
              <w:jc w:val="left"/>
              <w:rPr/>
            </w:pPr>
            <w:r>
              <w:rPr/>
            </w:r>
          </w:p>
        </w:tc>
        <w:tc>
          <w:tcPr>
            <w:tcW w:w="204" w:type="dxa"/>
            <w:vMerge w:val="continue"/>
            <w:tcBorders>
              <w:bottom w:val="single" w:sz="8" w:space="0" w:color="000000"/>
              <w:right w:val="single" w:sz="8" w:space="0" w:color="000000"/>
            </w:tcBorders>
            <w:tcMar>
              <w:bottom w:w="28" w:type="dxa"/>
              <w:right w:w="28" w:type="dxa"/>
            </w:tcMar>
            <w:vAlign w:val="center"/>
          </w:tcPr>
          <w:p>
            <w:pPr>
              <w:pStyle w:val="Normal"/>
              <w:bidi w:val="0"/>
              <w:jc w:val="left"/>
              <w:rPr/>
            </w:pPr>
            <w:r>
              <w:rPr/>
            </w:r>
          </w:p>
        </w:tc>
        <w:tc>
          <w:tcPr>
            <w:tcW w:w="204"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490" w:type="dxa"/>
            <w:tcBorders>
              <w:bottom w:val="single" w:sz="8" w:space="0" w:color="000000"/>
            </w:tcBorders>
            <w:shd w:fill="F2F2F2" w:val="clear"/>
            <w:tcMar>
              <w:bottom w:w="28"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Fleet Acquisition</w:t>
            </w:r>
          </w:p>
        </w:tc>
        <w:tc>
          <w:tcPr>
            <w:tcW w:w="204"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204" w:type="dxa"/>
            <w:tcBorders>
              <w:bottom w:val="single" w:sz="8" w:space="0" w:color="000000"/>
            </w:tcBorders>
            <w:shd w:fill="F2F2F2" w:val="clear"/>
            <w:tcMar>
              <w:bottom w:w="28" w:type="dxa"/>
            </w:tcMar>
            <w:vAlign w:val="center"/>
          </w:tcPr>
          <w:p>
            <w:pPr>
              <w:pStyle w:val="TableContents"/>
              <w:bidi w:val="0"/>
              <w:spacing w:before="0" w:after="0"/>
              <w:jc w:val="left"/>
              <w:rPr/>
            </w:pPr>
            <w:r>
              <w:rPr/>
              <w:t> </w:t>
            </w:r>
          </w:p>
        </w:tc>
        <w:tc>
          <w:tcPr>
            <w:tcW w:w="1992" w:type="dxa"/>
            <w:tcBorders>
              <w:bottom w:val="single" w:sz="8" w:space="0" w:color="000000"/>
            </w:tcBorders>
            <w:shd w:fill="F2F2F2" w:val="clear"/>
            <w:tcMar>
              <w:bottom w:w="28"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Fleet Costs</w:t>
            </w:r>
          </w:p>
        </w:tc>
        <w:tc>
          <w:tcPr>
            <w:tcW w:w="204" w:type="dxa"/>
            <w:tcBorders>
              <w:bottom w:val="single" w:sz="8" w:space="0" w:color="000000"/>
              <w:right w:val="single" w:sz="8" w:space="0" w:color="000000"/>
            </w:tcBorders>
            <w:shd w:fill="F2F2F2" w:val="clear"/>
            <w:tcMar>
              <w:bottom w:w="28" w:type="dxa"/>
              <w:right w:w="28" w:type="dxa"/>
            </w:tcMar>
            <w:vAlign w:val="center"/>
          </w:tcPr>
          <w:p>
            <w:pPr>
              <w:pStyle w:val="TableContents"/>
              <w:bidi w:val="0"/>
              <w:spacing w:before="0" w:after="0"/>
              <w:jc w:val="left"/>
              <w:rPr/>
            </w:pPr>
            <w:r>
              <w:rPr/>
              <w:t> </w:t>
            </w:r>
          </w:p>
        </w:tc>
        <w:tc>
          <w:tcPr>
            <w:tcW w:w="204" w:type="dxa"/>
            <w:vMerge w:val="continue"/>
            <w:tcBorders>
              <w:bottom w:val="single" w:sz="8" w:space="0" w:color="000000"/>
            </w:tcBorders>
            <w:tcMar>
              <w:bottom w:w="28" w:type="dxa"/>
            </w:tcMar>
            <w:vAlign w:val="center"/>
          </w:tcPr>
          <w:p>
            <w:pPr>
              <w:pStyle w:val="Normal"/>
              <w:bidi w:val="0"/>
              <w:jc w:val="left"/>
              <w:rPr/>
            </w:pPr>
            <w:r>
              <w:rPr/>
            </w:r>
          </w:p>
        </w:tc>
        <w:tc>
          <w:tcPr>
            <w:tcW w:w="2464" w:type="dxa"/>
            <w:vMerge w:val="continue"/>
            <w:tcBorders>
              <w:bottom w:val="single" w:sz="8" w:space="0" w:color="000000"/>
            </w:tcBorders>
            <w:tcMar>
              <w:bottom w:w="28" w:type="dxa"/>
            </w:tcMar>
            <w:vAlign w:val="center"/>
          </w:tcPr>
          <w:p>
            <w:pPr>
              <w:pStyle w:val="Normal"/>
              <w:bidi w:val="0"/>
              <w:jc w:val="left"/>
              <w:rPr/>
            </w:pPr>
            <w:r>
              <w:rPr/>
            </w:r>
          </w:p>
        </w:tc>
        <w:tc>
          <w:tcPr>
            <w:tcW w:w="204" w:type="dxa"/>
            <w:vMerge w:val="continue"/>
            <w:tcBorders>
              <w:bottom w:val="single" w:sz="8" w:space="0" w:color="000000"/>
              <w:right w:val="single" w:sz="8" w:space="0" w:color="000000"/>
            </w:tcBorders>
            <w:tcMar>
              <w:bottom w:w="28" w:type="dxa"/>
              <w:right w:w="28" w:type="dxa"/>
            </w:tcMar>
            <w:vAlign w:val="center"/>
          </w:tcPr>
          <w:p>
            <w:pPr>
              <w:pStyle w:val="Normal"/>
              <w:bidi w:val="0"/>
              <w:jc w:val="left"/>
              <w:rPr/>
            </w:pPr>
            <w:r>
              <w:rPr/>
            </w:r>
          </w:p>
        </w:tc>
        <w:tc>
          <w:tcPr>
            <w:tcW w:w="204" w:type="dxa"/>
            <w:vMerge w:val="continue"/>
            <w:tcBorders>
              <w:bottom w:val="single" w:sz="8" w:space="0" w:color="000000"/>
            </w:tcBorders>
            <w:tcMar>
              <w:bottom w:w="28" w:type="dxa"/>
            </w:tcMar>
            <w:vAlign w:val="center"/>
          </w:tcPr>
          <w:p>
            <w:pPr>
              <w:pStyle w:val="Normal"/>
              <w:bidi w:val="0"/>
              <w:jc w:val="left"/>
              <w:rPr/>
            </w:pPr>
            <w:r>
              <w:rPr/>
            </w:r>
          </w:p>
        </w:tc>
        <w:tc>
          <w:tcPr>
            <w:tcW w:w="1490" w:type="dxa"/>
            <w:vMerge w:val="continue"/>
            <w:tcBorders>
              <w:bottom w:val="single" w:sz="8" w:space="0" w:color="000000"/>
            </w:tcBorders>
            <w:tcMar>
              <w:bottom w:w="28" w:type="dxa"/>
            </w:tcMar>
            <w:vAlign w:val="center"/>
          </w:tcPr>
          <w:p>
            <w:pPr>
              <w:pStyle w:val="Normal"/>
              <w:bidi w:val="0"/>
              <w:jc w:val="left"/>
              <w:rPr/>
            </w:pPr>
            <w:r>
              <w:rPr/>
            </w:r>
          </w:p>
        </w:tc>
        <w:tc>
          <w:tcPr>
            <w:tcW w:w="224" w:type="dxa"/>
            <w:vMerge w:val="continue"/>
            <w:tcBorders>
              <w:bottom w:val="single" w:sz="8" w:space="0" w:color="000000"/>
            </w:tcBorders>
            <w:tcMar>
              <w:bottom w:w="28" w:type="dxa"/>
            </w:tcMar>
            <w:vAlign w:val="center"/>
          </w:tcPr>
          <w:p>
            <w:pPr>
              <w:pStyle w:val="Normal"/>
              <w:bidi w:val="0"/>
              <w:jc w:val="left"/>
              <w:rPr/>
            </w:pPr>
            <w:r>
              <w:rPr/>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728" w:type="dxa"/>
            <w:tcBorders>
              <w:bottom w:val="single" w:sz="8" w:space="0" w:color="000000"/>
            </w:tcBorders>
            <w:tcMar>
              <w:bottom w:w="28"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~10%</w:t>
            </w:r>
          </w:p>
        </w:tc>
        <w:tc>
          <w:tcPr>
            <w:tcW w:w="204"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204" w:type="dxa"/>
            <w:tcBorders>
              <w:bottom w:val="single" w:sz="8" w:space="0" w:color="000000"/>
            </w:tcBorders>
            <w:tcMar>
              <w:bottom w:w="28" w:type="dxa"/>
            </w:tcMar>
            <w:vAlign w:val="center"/>
          </w:tcPr>
          <w:p>
            <w:pPr>
              <w:pStyle w:val="TableContents"/>
              <w:bidi w:val="0"/>
              <w:spacing w:before="0" w:after="0"/>
              <w:jc w:val="left"/>
              <w:rPr/>
            </w:pPr>
            <w:r>
              <w:rPr/>
              <w:t> </w:t>
            </w:r>
          </w:p>
        </w:tc>
        <w:tc>
          <w:tcPr>
            <w:tcW w:w="1490" w:type="dxa"/>
            <w:tcBorders>
              <w:bottom w:val="single" w:sz="8"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Other</w:t>
            </w:r>
          </w:p>
        </w:tc>
        <w:tc>
          <w:tcPr>
            <w:tcW w:w="204"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204" w:type="dxa"/>
            <w:tcBorders>
              <w:bottom w:val="single" w:sz="8" w:space="0" w:color="000000"/>
            </w:tcBorders>
            <w:tcMar>
              <w:bottom w:w="28" w:type="dxa"/>
            </w:tcMar>
            <w:vAlign w:val="center"/>
          </w:tcPr>
          <w:p>
            <w:pPr>
              <w:pStyle w:val="TableContents"/>
              <w:bidi w:val="0"/>
              <w:spacing w:before="0" w:after="0"/>
              <w:jc w:val="left"/>
              <w:rPr/>
            </w:pPr>
            <w:r>
              <w:rPr/>
              <w:t> </w:t>
            </w:r>
          </w:p>
        </w:tc>
        <w:tc>
          <w:tcPr>
            <w:tcW w:w="1992" w:type="dxa"/>
            <w:tcBorders>
              <w:bottom w:val="single" w:sz="8"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Varies</w:t>
            </w:r>
          </w:p>
        </w:tc>
        <w:tc>
          <w:tcPr>
            <w:tcW w:w="204"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204" w:type="dxa"/>
            <w:tcBorders>
              <w:bottom w:val="single" w:sz="8" w:space="0" w:color="000000"/>
            </w:tcBorders>
            <w:tcMar>
              <w:bottom w:w="28" w:type="dxa"/>
            </w:tcMar>
            <w:vAlign w:val="center"/>
          </w:tcPr>
          <w:p>
            <w:pPr>
              <w:pStyle w:val="TableContents"/>
              <w:bidi w:val="0"/>
              <w:spacing w:before="0" w:after="0"/>
              <w:jc w:val="left"/>
              <w:rPr/>
            </w:pPr>
            <w:r>
              <w:rPr/>
              <w:t> </w:t>
            </w:r>
          </w:p>
        </w:tc>
        <w:tc>
          <w:tcPr>
            <w:tcW w:w="2464" w:type="dxa"/>
            <w:tcBorders>
              <w:bottom w:val="single" w:sz="8"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Varies (i.e. completion, roll-out, etc.)</w:t>
            </w:r>
          </w:p>
        </w:tc>
        <w:tc>
          <w:tcPr>
            <w:tcW w:w="204"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204" w:type="dxa"/>
            <w:tcBorders>
              <w:bottom w:val="single" w:sz="8" w:space="0" w:color="000000"/>
            </w:tcBorders>
            <w:tcMar>
              <w:bottom w:w="28" w:type="dxa"/>
            </w:tcMar>
            <w:vAlign w:val="center"/>
          </w:tcPr>
          <w:p>
            <w:pPr>
              <w:pStyle w:val="TableContents"/>
              <w:bidi w:val="0"/>
              <w:spacing w:before="0" w:after="0"/>
              <w:jc w:val="left"/>
              <w:rPr/>
            </w:pPr>
            <w:r>
              <w:rPr/>
              <w:t> </w:t>
            </w:r>
          </w:p>
        </w:tc>
        <w:tc>
          <w:tcPr>
            <w:tcW w:w="1490" w:type="dxa"/>
            <w:tcBorders>
              <w:bottom w:val="single" w:sz="8"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Qualitative</w:t>
            </w:r>
          </w:p>
        </w:tc>
        <w:tc>
          <w:tcPr>
            <w:tcW w:w="224"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shd w:fill="F2F2F2" w:val="clear"/>
            <w:vAlign w:val="center"/>
          </w:tcPr>
          <w:p>
            <w:pPr>
              <w:pStyle w:val="TableContents"/>
              <w:bidi w:val="0"/>
              <w:spacing w:before="0" w:after="0"/>
              <w:jc w:val="left"/>
              <w:rPr/>
            </w:pPr>
            <w:r>
              <w:rPr/>
              <w:t> </w:t>
            </w:r>
          </w:p>
        </w:tc>
        <w:tc>
          <w:tcPr>
            <w:tcW w:w="9796" w:type="dxa"/>
            <w:gridSpan w:val="13"/>
            <w:tcBorders/>
            <w:shd w:fill="F2F2F2" w:val="clear"/>
            <w:vAlign w:val="center"/>
          </w:tcPr>
          <w:p>
            <w:pPr>
              <w:pStyle w:val="TableContents"/>
              <w:bidi w:val="0"/>
              <w:spacing w:before="0" w:after="283"/>
              <w:ind w:left="43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20"/>
              </w:rPr>
            </w:pPr>
            <w:r>
              <w:rPr>
                <w:rFonts w:ascii="Arial;Helvetica;sans-serif" w:hAnsi="Arial;Helvetica;sans-serif"/>
                <w:color w:val="000000"/>
                <w:sz w:val="20"/>
              </w:rPr>
              <w:t xml:space="preserve">Payout is subject to attainment of threshold Adjusted EBITDA goals. </w:t>
            </w:r>
          </w:p>
        </w:tc>
        <w:tc>
          <w:tcPr>
            <w:tcW w:w="224" w:type="dxa"/>
            <w:tcBorders/>
            <w:shd w:fill="F2F2F2" w:val="clear"/>
            <w:vAlign w:val="center"/>
          </w:tcPr>
          <w:p>
            <w:pPr>
              <w:pStyle w:val="TableContents"/>
              <w:bidi w:val="0"/>
              <w:spacing w:before="0" w:after="0"/>
              <w:jc w:val="left"/>
              <w:rPr/>
            </w:pPr>
            <w:r>
              <w:rPr/>
              <w:t> </w:t>
            </w:r>
          </w:p>
        </w:tc>
      </w:tr>
      <w:tr>
        <w:trPr/>
        <w:tc>
          <w:tcPr>
            <w:tcW w:w="185" w:type="dxa"/>
            <w:tcBorders/>
            <w:shd w:fill="F2F2F2" w:val="clear"/>
            <w:vAlign w:val="center"/>
          </w:tcPr>
          <w:p>
            <w:pPr>
              <w:pStyle w:val="TableContents"/>
              <w:bidi w:val="0"/>
              <w:spacing w:before="0" w:after="0"/>
              <w:jc w:val="left"/>
              <w:rPr/>
            </w:pPr>
            <w:r>
              <w:rPr/>
              <w:t> </w:t>
            </w:r>
          </w:p>
        </w:tc>
        <w:tc>
          <w:tcPr>
            <w:tcW w:w="9796" w:type="dxa"/>
            <w:gridSpan w:val="13"/>
            <w:tcBorders/>
            <w:shd w:fill="F2F2F2" w:val="clear"/>
            <w:vAlign w:val="center"/>
          </w:tcPr>
          <w:p>
            <w:pPr>
              <w:pStyle w:val="TableContents"/>
              <w:bidi w:val="0"/>
              <w:spacing w:before="0" w:after="283"/>
              <w:ind w:left="43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20"/>
              </w:rPr>
            </w:pPr>
            <w:r>
              <w:rPr>
                <w:rFonts w:ascii="Arial;Helvetica;sans-serif" w:hAnsi="Arial;Helvetica;sans-serif"/>
                <w:color w:val="000000"/>
                <w:sz w:val="20"/>
              </w:rPr>
              <w:t>Achievement of total scorecard goals is capped at 100% of target, with the result multiplied by 0%-150% based on attainment of Adjusted EBITDA goals (from Below-Threshold to Maximum).</w:t>
            </w:r>
          </w:p>
        </w:tc>
        <w:tc>
          <w:tcPr>
            <w:tcW w:w="224" w:type="dxa"/>
            <w:tcBorders/>
            <w:shd w:fill="F2F2F2" w:val="clear"/>
            <w:vAlign w:val="center"/>
          </w:tcPr>
          <w:p>
            <w:pPr>
              <w:pStyle w:val="TableContents"/>
              <w:bidi w:val="0"/>
              <w:spacing w:before="0" w:after="0"/>
              <w:jc w:val="left"/>
              <w:rPr/>
            </w:pPr>
            <w:r>
              <w:rPr/>
              <w:t> </w:t>
            </w:r>
          </w:p>
        </w:tc>
      </w:tr>
    </w:tbl>
    <w:p>
      <w:pPr>
        <w:pStyle w:val="TextBody"/>
        <w:bidi w:val="0"/>
        <w:spacing w:before="250" w:after="283"/>
        <w:ind w:left="0" w:right="0" w:hanging="0"/>
        <w:jc w:val="left"/>
        <w:rPr>
          <w:rFonts w:ascii="Arial;Helvetica;sans-serif" w:hAnsi="Arial;Helvetica;sans-serif"/>
          <w:i/>
          <w:color w:val="000000"/>
          <w:sz w:val="20"/>
        </w:rPr>
      </w:pPr>
      <w:bookmarkStart w:id="63" w:name="tAIPRAP"/>
      <w:bookmarkEnd w:id="63"/>
      <w:r>
        <w:rPr>
          <w:rFonts w:ascii="Arial;Helvetica;sans-serif" w:hAnsi="Arial;Helvetica;sans-serif"/>
          <w:i/>
          <w:color w:val="000000"/>
          <w:sz w:val="20"/>
        </w:rPr>
        <w:t>2025 AIP Results and Payouts</w:t>
      </w:r>
      <w:r>
        <w:rPr>
          <w:rFonts w:ascii="Arial;Helvetica;sans-serif" w:hAnsi="Arial;Helvetica;sans-serif"/>
          <w:i/>
          <w:caps w:val="false"/>
          <w:smallCaps w:val="false"/>
          <w:color w:val="000000"/>
          <w:sz w:val="20"/>
        </w:rPr>
        <w:t xml:space="preserve">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Payouts under the Adjusted EBITDA component of the 2025 AIP were below target but above threshold, reflecting the Company’s attainment of AIP Adjusted EBITDA Goals of $914 million (after the market price adjustment described above), which resulted in payout at the 57% level for that component. Payouts under the Individual Component were based on scorecard results multiplied by attainment of the applicable Adjusted EBITDA goals for that component, which resulted in a 78% modifier. For example, for Mr. Choi, the Individual Component of the scorecard was determined based on a quantitative assessment of the scorecard factors, including the Company’s 2025 financial results with respect to revenue and cost control, among others. Accordingly, actual payouts under the 2025 AIP were as follows (excluding Ms. Martins because she departed before earning an annual incentive award): </w:t>
      </w:r>
    </w:p>
    <w:tbl>
      <w:tblPr>
        <w:tblW w:w="10205" w:type="dxa"/>
        <w:jc w:val="left"/>
        <w:tblInd w:w="0" w:type="dxa"/>
        <w:tblLayout w:type="fixed"/>
        <w:tblCellMar>
          <w:top w:w="0" w:type="dxa"/>
          <w:left w:w="0" w:type="dxa"/>
          <w:bottom w:w="0" w:type="dxa"/>
          <w:right w:w="0" w:type="dxa"/>
        </w:tblCellMar>
      </w:tblPr>
      <w:tblGrid>
        <w:gridCol w:w="185"/>
        <w:gridCol w:w="1070"/>
        <w:gridCol w:w="170"/>
        <w:gridCol w:w="170"/>
        <w:gridCol w:w="771"/>
        <w:gridCol w:w="170"/>
        <w:gridCol w:w="170"/>
        <w:gridCol w:w="595"/>
        <w:gridCol w:w="170"/>
        <w:gridCol w:w="170"/>
        <w:gridCol w:w="1029"/>
        <w:gridCol w:w="170"/>
        <w:gridCol w:w="170"/>
        <w:gridCol w:w="505"/>
        <w:gridCol w:w="170"/>
        <w:gridCol w:w="170"/>
        <w:gridCol w:w="1251"/>
        <w:gridCol w:w="170"/>
        <w:gridCol w:w="170"/>
        <w:gridCol w:w="610"/>
        <w:gridCol w:w="170"/>
        <w:gridCol w:w="170"/>
        <w:gridCol w:w="610"/>
        <w:gridCol w:w="170"/>
        <w:gridCol w:w="170"/>
        <w:gridCol w:w="640"/>
        <w:gridCol w:w="219"/>
      </w:tblGrid>
      <w:tr>
        <w:trPr/>
        <w:tc>
          <w:tcPr>
            <w:tcW w:w="185"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0" w:type="dxa"/>
            <w:tcBorders/>
            <w:vAlign w:val="center"/>
          </w:tcPr>
          <w:p>
            <w:pPr>
              <w:pStyle w:val="TableContents"/>
              <w:bidi w:val="0"/>
              <w:spacing w:before="0" w:after="0"/>
              <w:jc w:val="left"/>
              <w:rPr/>
            </w:pPr>
            <w:r>
              <w:rPr/>
              <w:t> </w:t>
            </w:r>
          </w:p>
        </w:tc>
        <w:tc>
          <w:tcPr>
            <w:tcW w:w="219"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070" w:type="dxa"/>
            <w:tcBorders>
              <w:bottom w:val="single" w:sz="8" w:space="0" w:color="000000"/>
            </w:tcBorders>
            <w:tcMar>
              <w:bottom w:w="28" w:type="dxa"/>
            </w:tcM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NEO</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1"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Base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Salary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95"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Target (%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of Base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Salary)</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29"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Adjusted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EBITDA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Component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Payout % (50%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Weight)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05"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Score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51"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Individual Scorecard Component (50%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Weight)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Adjusted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EBITDA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Multiplier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10"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Payout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10"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Total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Payout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40"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Total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Payout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 </w:t>
            </w:r>
          </w:p>
        </w:tc>
        <w:tc>
          <w:tcPr>
            <w:tcW w:w="219"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shd w:fill="CCCCCC" w:val="clear"/>
            <w:vAlign w:val="center"/>
          </w:tcPr>
          <w:p>
            <w:pPr>
              <w:pStyle w:val="TableContents"/>
              <w:bidi w:val="0"/>
              <w:spacing w:before="0" w:after="0"/>
              <w:jc w:val="left"/>
              <w:rPr/>
            </w:pPr>
            <w:r>
              <w:rPr/>
              <w:t> </w:t>
            </w:r>
          </w:p>
        </w:tc>
        <w:tc>
          <w:tcPr>
            <w:tcW w:w="1070" w:type="dxa"/>
            <w:tcBorders/>
            <w:shd w:fill="CCCCCC"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Choi</w:t>
            </w:r>
            <w:r>
              <w:rPr>
                <w:rFonts w:ascii="Arial;Helvetica;sans-serif" w:hAnsi="Arial;Helvetica;sans-serif"/>
                <w:color w:val="000000"/>
                <w:position w:val="5"/>
                <w:sz w:val="13"/>
                <w:sz w:val="16"/>
              </w:rPr>
              <w:t>(1)</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1" w:type="dxa"/>
            <w:tcBorders/>
            <w:shd w:fill="CCCCCC" w:val="clear"/>
            <w:vAlign w:val="center"/>
          </w:tcPr>
          <w:p>
            <w:pPr>
              <w:pStyle w:val="TableContents"/>
              <w:bidi w:val="0"/>
              <w:spacing w:before="0" w:after="283"/>
              <w:ind w:left="4" w:right="0" w:hanging="0"/>
              <w:jc w:val="left"/>
              <w:rPr>
                <w:rFonts w:ascii="Arial;Helvetica;sans-serif" w:hAnsi="Arial;Helvetica;sans-serif"/>
                <w:color w:val="000000"/>
                <w:sz w:val="16"/>
              </w:rPr>
            </w:pPr>
            <w:r>
              <w:rPr>
                <w:rFonts w:ascii="Arial;Helvetica;sans-serif" w:hAnsi="Arial;Helvetica;sans-serif"/>
                <w:color w:val="000000"/>
                <w:sz w:val="16"/>
              </w:rPr>
              <w:t>1,000,000</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595" w:type="dxa"/>
            <w:tcBorders/>
            <w:shd w:fill="CCCCCC" w:val="clear"/>
            <w:vAlign w:val="center"/>
          </w:tcPr>
          <w:p>
            <w:pPr>
              <w:pStyle w:val="TableContents"/>
              <w:bidi w:val="0"/>
              <w:spacing w:before="0" w:after="283"/>
              <w:ind w:left="225" w:right="0" w:hanging="0"/>
              <w:jc w:val="left"/>
              <w:rPr>
                <w:rFonts w:ascii="Arial;Helvetica;sans-serif" w:hAnsi="Arial;Helvetica;sans-serif"/>
                <w:color w:val="000000"/>
                <w:sz w:val="16"/>
              </w:rPr>
            </w:pPr>
            <w:r>
              <w:rPr>
                <w:rFonts w:ascii="Arial;Helvetica;sans-serif" w:hAnsi="Arial;Helvetica;sans-serif"/>
                <w:color w:val="000000"/>
                <w:sz w:val="16"/>
              </w:rPr>
              <w:t>150%</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029" w:type="dxa"/>
            <w:tcBorders/>
            <w:shd w:fill="CCCCCC" w:val="clear"/>
            <w:vAlign w:val="center"/>
          </w:tcPr>
          <w:p>
            <w:pPr>
              <w:pStyle w:val="TableContents"/>
              <w:bidi w:val="0"/>
              <w:spacing w:before="0" w:after="283"/>
              <w:ind w:left="480" w:right="0" w:hanging="0"/>
              <w:jc w:val="left"/>
              <w:rPr>
                <w:rFonts w:ascii="Arial;Helvetica;sans-serif" w:hAnsi="Arial;Helvetica;sans-serif"/>
                <w:color w:val="000000"/>
                <w:sz w:val="16"/>
              </w:rPr>
            </w:pPr>
            <w:r>
              <w:rPr>
                <w:rFonts w:ascii="Arial;Helvetica;sans-serif" w:hAnsi="Arial;Helvetica;sans-serif"/>
                <w:color w:val="000000"/>
                <w:sz w:val="16"/>
              </w:rPr>
              <w:t>57%</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505" w:type="dxa"/>
            <w:tcBorders/>
            <w:shd w:fill="CCCCCC" w:val="clear"/>
            <w:vAlign w:val="center"/>
          </w:tcPr>
          <w:p>
            <w:pPr>
              <w:pStyle w:val="TableContents"/>
              <w:bidi w:val="0"/>
              <w:spacing w:before="0" w:after="283"/>
              <w:ind w:left="89" w:right="0" w:hanging="0"/>
              <w:jc w:val="left"/>
              <w:rPr>
                <w:rFonts w:ascii="Arial;Helvetica;sans-serif" w:hAnsi="Arial;Helvetica;sans-serif"/>
                <w:color w:val="000000"/>
                <w:sz w:val="16"/>
              </w:rPr>
            </w:pPr>
            <w:r>
              <w:rPr>
                <w:rFonts w:ascii="Arial;Helvetica;sans-serif" w:hAnsi="Arial;Helvetica;sans-serif"/>
                <w:color w:val="000000"/>
                <w:sz w:val="16"/>
              </w:rPr>
              <w:t>94</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51" w:type="dxa"/>
            <w:tcBorders/>
            <w:shd w:fill="CCCCCC" w:val="clear"/>
            <w:vAlign w:val="center"/>
          </w:tcPr>
          <w:p>
            <w:pPr>
              <w:pStyle w:val="TableContents"/>
              <w:bidi w:val="0"/>
              <w:spacing w:before="0" w:after="283"/>
              <w:ind w:left="1373" w:right="0" w:hanging="0"/>
              <w:jc w:val="left"/>
              <w:rPr>
                <w:rFonts w:ascii="Arial;Helvetica;sans-serif" w:hAnsi="Arial;Helvetica;sans-serif"/>
                <w:color w:val="000000"/>
                <w:sz w:val="16"/>
              </w:rPr>
            </w:pPr>
            <w:r>
              <w:rPr>
                <w:rFonts w:ascii="Arial;Helvetica;sans-serif" w:hAnsi="Arial;Helvetica;sans-serif"/>
                <w:color w:val="000000"/>
                <w:sz w:val="16"/>
              </w:rPr>
              <w:t>78%</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610" w:type="dxa"/>
            <w:tcBorders/>
            <w:shd w:fill="CCCCCC" w:val="clear"/>
            <w:vAlign w:val="center"/>
          </w:tcPr>
          <w:p>
            <w:pPr>
              <w:pStyle w:val="TableContents"/>
              <w:bidi w:val="0"/>
              <w:spacing w:before="0" w:after="283"/>
              <w:ind w:left="178" w:right="0" w:hanging="0"/>
              <w:jc w:val="left"/>
              <w:rPr>
                <w:rFonts w:ascii="Arial;Helvetica;sans-serif" w:hAnsi="Arial;Helvetica;sans-serif"/>
                <w:color w:val="000000"/>
                <w:sz w:val="16"/>
              </w:rPr>
            </w:pPr>
            <w:r>
              <w:rPr>
                <w:rFonts w:ascii="Arial;Helvetica;sans-serif" w:hAnsi="Arial;Helvetica;sans-serif"/>
                <w:color w:val="000000"/>
                <w:sz w:val="16"/>
              </w:rPr>
              <w:t>73%</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610" w:type="dxa"/>
            <w:tcBorders/>
            <w:shd w:fill="CCCCCC" w:val="clear"/>
            <w:vAlign w:val="center"/>
          </w:tcPr>
          <w:p>
            <w:pPr>
              <w:pStyle w:val="TableContents"/>
              <w:bidi w:val="0"/>
              <w:spacing w:before="0" w:after="283"/>
              <w:ind w:left="178" w:right="0" w:hanging="0"/>
              <w:jc w:val="left"/>
              <w:rPr>
                <w:rFonts w:ascii="Arial;Helvetica;sans-serif" w:hAnsi="Arial;Helvetica;sans-serif"/>
                <w:color w:val="000000"/>
                <w:sz w:val="16"/>
              </w:rPr>
            </w:pPr>
            <w:r>
              <w:rPr>
                <w:rFonts w:ascii="Arial;Helvetica;sans-serif" w:hAnsi="Arial;Helvetica;sans-serif"/>
                <w:color w:val="000000"/>
                <w:sz w:val="16"/>
              </w:rPr>
              <w:t>65%</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640" w:type="dxa"/>
            <w:tcBorders/>
            <w:shd w:fill="CCCCCC"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765,351 </w:t>
            </w:r>
          </w:p>
        </w:tc>
        <w:tc>
          <w:tcPr>
            <w:tcW w:w="219" w:type="dxa"/>
            <w:tcBorders/>
            <w:shd w:fill="CCCCCC"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Cunha</w:t>
            </w:r>
            <w:r>
              <w:rPr>
                <w:rFonts w:ascii="Arial;Helvetica;sans-serif" w:hAnsi="Arial;Helvetica;sans-serif"/>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1" w:type="dxa"/>
            <w:tcBorders/>
            <w:vAlign w:val="center"/>
          </w:tcPr>
          <w:p>
            <w:pPr>
              <w:pStyle w:val="TableContents"/>
              <w:bidi w:val="0"/>
              <w:spacing w:before="0" w:after="283"/>
              <w:ind w:left="4" w:right="0" w:hanging="0"/>
              <w:jc w:val="left"/>
              <w:rPr>
                <w:rFonts w:ascii="Arial;Helvetica;sans-serif" w:hAnsi="Arial;Helvetica;sans-serif"/>
                <w:color w:val="000000"/>
                <w:sz w:val="16"/>
              </w:rPr>
            </w:pPr>
            <w:r>
              <w:rPr>
                <w:rFonts w:ascii="Arial;Helvetica;sans-serif" w:hAnsi="Arial;Helvetica;sans-serif"/>
                <w:color w:val="000000"/>
                <w:sz w:val="16"/>
              </w:rPr>
              <w:t>650,000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5" w:type="dxa"/>
            <w:tcBorders/>
            <w:vAlign w:val="center"/>
          </w:tcPr>
          <w:p>
            <w:pPr>
              <w:pStyle w:val="TableContents"/>
              <w:bidi w:val="0"/>
              <w:spacing w:before="0" w:after="283"/>
              <w:ind w:left="225" w:right="0" w:hanging="0"/>
              <w:jc w:val="left"/>
              <w:rPr>
                <w:rFonts w:ascii="Arial;Helvetica;sans-serif" w:hAnsi="Arial;Helvetica;sans-serif"/>
                <w:color w:val="000000"/>
                <w:sz w:val="16"/>
              </w:rPr>
            </w:pPr>
            <w:r>
              <w:rPr>
                <w:rFonts w:ascii="Arial;Helvetica;sans-serif" w:hAnsi="Arial;Helvetica;sans-serif"/>
                <w:color w:val="000000"/>
                <w:sz w:val="16"/>
              </w:rPr>
              <w:t>125%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9" w:type="dxa"/>
            <w:tcBorders/>
            <w:vAlign w:val="center"/>
          </w:tcPr>
          <w:p>
            <w:pPr>
              <w:pStyle w:val="TableContents"/>
              <w:bidi w:val="0"/>
              <w:spacing w:before="0" w:after="283"/>
              <w:ind w:left="480" w:right="0" w:hanging="0"/>
              <w:jc w:val="left"/>
              <w:rPr>
                <w:rFonts w:ascii="Arial;Helvetica;sans-serif" w:hAnsi="Arial;Helvetica;sans-serif"/>
                <w:color w:val="000000"/>
                <w:sz w:val="16"/>
              </w:rPr>
            </w:pPr>
            <w:r>
              <w:rPr>
                <w:rFonts w:ascii="Arial;Helvetica;sans-serif" w:hAnsi="Arial;Helvetica;sans-serif"/>
                <w:color w:val="000000"/>
                <w:sz w:val="16"/>
              </w:rPr>
              <w:t>57%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5" w:type="dxa"/>
            <w:tcBorders/>
            <w:vAlign w:val="center"/>
          </w:tcPr>
          <w:p>
            <w:pPr>
              <w:pStyle w:val="TableContents"/>
              <w:bidi w:val="0"/>
              <w:spacing w:before="0" w:after="283"/>
              <w:ind w:left="89" w:right="0" w:hanging="0"/>
              <w:jc w:val="left"/>
              <w:rPr>
                <w:rFonts w:ascii="Arial;Helvetica;sans-serif" w:hAnsi="Arial;Helvetica;sans-serif"/>
                <w:color w:val="000000"/>
                <w:sz w:val="16"/>
              </w:rPr>
            </w:pPr>
            <w:r>
              <w:rPr>
                <w:rFonts w:ascii="Arial;Helvetica;sans-serif" w:hAnsi="Arial;Helvetica;sans-serif"/>
                <w:color w:val="000000"/>
                <w:sz w:val="16"/>
              </w:rPr>
              <w:t>91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1" w:type="dxa"/>
            <w:tcBorders/>
            <w:vAlign w:val="center"/>
          </w:tcPr>
          <w:p>
            <w:pPr>
              <w:pStyle w:val="TableContents"/>
              <w:bidi w:val="0"/>
              <w:spacing w:before="0" w:after="283"/>
              <w:ind w:left="1373" w:right="0" w:hanging="0"/>
              <w:jc w:val="left"/>
              <w:rPr>
                <w:rFonts w:ascii="Arial;Helvetica;sans-serif" w:hAnsi="Arial;Helvetica;sans-serif"/>
                <w:color w:val="000000"/>
                <w:sz w:val="16"/>
              </w:rPr>
            </w:pPr>
            <w:r>
              <w:rPr>
                <w:rFonts w:ascii="Arial;Helvetica;sans-serif" w:hAnsi="Arial;Helvetica;sans-serif"/>
                <w:color w:val="000000"/>
                <w:sz w:val="16"/>
              </w:rPr>
              <w:t>78%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0" w:type="dxa"/>
            <w:tcBorders/>
            <w:vAlign w:val="center"/>
          </w:tcPr>
          <w:p>
            <w:pPr>
              <w:pStyle w:val="TableContents"/>
              <w:bidi w:val="0"/>
              <w:spacing w:before="0" w:after="283"/>
              <w:ind w:left="178" w:right="0" w:hanging="0"/>
              <w:jc w:val="left"/>
              <w:rPr>
                <w:rFonts w:ascii="Arial;Helvetica;sans-serif" w:hAnsi="Arial;Helvetica;sans-serif"/>
                <w:color w:val="000000"/>
                <w:sz w:val="16"/>
              </w:rPr>
            </w:pPr>
            <w:r>
              <w:rPr>
                <w:rFonts w:ascii="Arial;Helvetica;sans-serif" w:hAnsi="Arial;Helvetica;sans-serif"/>
                <w:color w:val="000000"/>
                <w:sz w:val="16"/>
              </w:rPr>
              <w:t>71%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0" w:type="dxa"/>
            <w:tcBorders/>
            <w:vAlign w:val="center"/>
          </w:tcPr>
          <w:p>
            <w:pPr>
              <w:pStyle w:val="TableContents"/>
              <w:bidi w:val="0"/>
              <w:spacing w:before="0" w:after="283"/>
              <w:ind w:left="178" w:right="0" w:hanging="0"/>
              <w:jc w:val="left"/>
              <w:rPr>
                <w:rFonts w:ascii="Arial;Helvetica;sans-serif" w:hAnsi="Arial;Helvetica;sans-serif"/>
                <w:color w:val="000000"/>
                <w:sz w:val="16"/>
              </w:rPr>
            </w:pPr>
            <w:r>
              <w:rPr>
                <w:rFonts w:ascii="Arial;Helvetica;sans-serif" w:hAnsi="Arial;Helvetica;sans-serif"/>
                <w:color w:val="000000"/>
                <w:sz w:val="16"/>
              </w:rPr>
              <w:t>64%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262,096 </w:t>
            </w:r>
          </w:p>
        </w:tc>
        <w:tc>
          <w:tcPr>
            <w:tcW w:w="219" w:type="dxa"/>
            <w:tcBorders/>
            <w:vAlign w:val="center"/>
          </w:tcPr>
          <w:p>
            <w:pPr>
              <w:pStyle w:val="TableContents"/>
              <w:bidi w:val="0"/>
              <w:spacing w:before="0" w:after="0"/>
              <w:jc w:val="left"/>
              <w:rPr/>
            </w:pPr>
            <w:r>
              <w:rPr/>
              <w:t> </w:t>
            </w:r>
          </w:p>
        </w:tc>
      </w:tr>
      <w:tr>
        <w:trPr/>
        <w:tc>
          <w:tcPr>
            <w:tcW w:w="185" w:type="dxa"/>
            <w:tcBorders/>
            <w:shd w:fill="CCCCCC" w:val="clear"/>
            <w:vAlign w:val="center"/>
          </w:tcPr>
          <w:p>
            <w:pPr>
              <w:pStyle w:val="TableContents"/>
              <w:bidi w:val="0"/>
              <w:spacing w:before="0" w:after="0"/>
              <w:jc w:val="left"/>
              <w:rPr/>
            </w:pPr>
            <w:r>
              <w:rPr/>
              <w:t> </w:t>
            </w:r>
          </w:p>
        </w:tc>
        <w:tc>
          <w:tcPr>
            <w:tcW w:w="1070" w:type="dxa"/>
            <w:tcBorders/>
            <w:shd w:fill="CCCCCC"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Simhambhatla</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1" w:type="dxa"/>
            <w:tcBorders/>
            <w:shd w:fill="CCCCCC" w:val="clear"/>
            <w:vAlign w:val="center"/>
          </w:tcPr>
          <w:p>
            <w:pPr>
              <w:pStyle w:val="TableContents"/>
              <w:bidi w:val="0"/>
              <w:spacing w:before="0" w:after="283"/>
              <w:ind w:left="4" w:right="0" w:hanging="0"/>
              <w:jc w:val="left"/>
              <w:rPr>
                <w:rFonts w:ascii="Arial;Helvetica;sans-serif" w:hAnsi="Arial;Helvetica;sans-serif"/>
                <w:color w:val="000000"/>
                <w:sz w:val="16"/>
              </w:rPr>
            </w:pPr>
            <w:r>
              <w:rPr>
                <w:rFonts w:ascii="Arial;Helvetica;sans-serif" w:hAnsi="Arial;Helvetica;sans-serif"/>
                <w:color w:val="000000"/>
                <w:sz w:val="16"/>
              </w:rPr>
              <w:t>500,000</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595" w:type="dxa"/>
            <w:tcBorders/>
            <w:shd w:fill="CCCCCC" w:val="clear"/>
            <w:vAlign w:val="center"/>
          </w:tcPr>
          <w:p>
            <w:pPr>
              <w:pStyle w:val="TableContents"/>
              <w:bidi w:val="0"/>
              <w:spacing w:before="0" w:after="283"/>
              <w:ind w:left="225" w:right="0" w:hanging="0"/>
              <w:jc w:val="left"/>
              <w:rPr>
                <w:rFonts w:ascii="Arial;Helvetica;sans-serif" w:hAnsi="Arial;Helvetica;sans-serif"/>
                <w:color w:val="000000"/>
                <w:sz w:val="16"/>
              </w:rPr>
            </w:pPr>
            <w:r>
              <w:rPr>
                <w:rFonts w:ascii="Arial;Helvetica;sans-serif" w:hAnsi="Arial;Helvetica;sans-serif"/>
                <w:color w:val="000000"/>
                <w:sz w:val="16"/>
              </w:rPr>
              <w:t>120%</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029" w:type="dxa"/>
            <w:tcBorders/>
            <w:shd w:fill="CCCCCC" w:val="clear"/>
            <w:vAlign w:val="center"/>
          </w:tcPr>
          <w:p>
            <w:pPr>
              <w:pStyle w:val="TableContents"/>
              <w:bidi w:val="0"/>
              <w:spacing w:before="0" w:after="283"/>
              <w:ind w:left="480" w:right="0" w:hanging="0"/>
              <w:jc w:val="left"/>
              <w:rPr>
                <w:rFonts w:ascii="Arial;Helvetica;sans-serif" w:hAnsi="Arial;Helvetica;sans-serif"/>
                <w:color w:val="000000"/>
                <w:sz w:val="16"/>
              </w:rPr>
            </w:pPr>
            <w:r>
              <w:rPr>
                <w:rFonts w:ascii="Arial;Helvetica;sans-serif" w:hAnsi="Arial;Helvetica;sans-serif"/>
                <w:color w:val="000000"/>
                <w:sz w:val="16"/>
              </w:rPr>
              <w:t>57%</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505" w:type="dxa"/>
            <w:tcBorders/>
            <w:shd w:fill="CCCCCC" w:val="clear"/>
            <w:vAlign w:val="center"/>
          </w:tcPr>
          <w:p>
            <w:pPr>
              <w:pStyle w:val="TableContents"/>
              <w:bidi w:val="0"/>
              <w:spacing w:before="0" w:after="283"/>
              <w:ind w:left="89" w:right="0" w:hanging="0"/>
              <w:jc w:val="left"/>
              <w:rPr>
                <w:rFonts w:ascii="Arial;Helvetica;sans-serif" w:hAnsi="Arial;Helvetica;sans-serif"/>
                <w:color w:val="000000"/>
                <w:sz w:val="16"/>
              </w:rPr>
            </w:pPr>
            <w:r>
              <w:rPr>
                <w:rFonts w:ascii="Arial;Helvetica;sans-serif" w:hAnsi="Arial;Helvetica;sans-serif"/>
                <w:color w:val="000000"/>
                <w:sz w:val="16"/>
              </w:rPr>
              <w:t>90</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51" w:type="dxa"/>
            <w:tcBorders/>
            <w:shd w:fill="CCCCCC" w:val="clear"/>
            <w:vAlign w:val="center"/>
          </w:tcPr>
          <w:p>
            <w:pPr>
              <w:pStyle w:val="TableContents"/>
              <w:bidi w:val="0"/>
              <w:spacing w:before="0" w:after="283"/>
              <w:ind w:left="1373" w:right="0" w:hanging="0"/>
              <w:jc w:val="left"/>
              <w:rPr>
                <w:rFonts w:ascii="Arial;Helvetica;sans-serif" w:hAnsi="Arial;Helvetica;sans-serif"/>
                <w:color w:val="000000"/>
                <w:sz w:val="16"/>
              </w:rPr>
            </w:pPr>
            <w:r>
              <w:rPr>
                <w:rFonts w:ascii="Arial;Helvetica;sans-serif" w:hAnsi="Arial;Helvetica;sans-serif"/>
                <w:color w:val="000000"/>
                <w:sz w:val="16"/>
              </w:rPr>
              <w:t>78%</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610" w:type="dxa"/>
            <w:tcBorders/>
            <w:shd w:fill="CCCCCC" w:val="clear"/>
            <w:vAlign w:val="center"/>
          </w:tcPr>
          <w:p>
            <w:pPr>
              <w:pStyle w:val="TableContents"/>
              <w:bidi w:val="0"/>
              <w:spacing w:before="0" w:after="283"/>
              <w:ind w:left="178" w:right="0" w:hanging="0"/>
              <w:jc w:val="left"/>
              <w:rPr>
                <w:rFonts w:ascii="Arial;Helvetica;sans-serif" w:hAnsi="Arial;Helvetica;sans-serif"/>
                <w:color w:val="000000"/>
                <w:sz w:val="16"/>
              </w:rPr>
            </w:pPr>
            <w:r>
              <w:rPr>
                <w:rFonts w:ascii="Arial;Helvetica;sans-serif" w:hAnsi="Arial;Helvetica;sans-serif"/>
                <w:color w:val="000000"/>
                <w:sz w:val="16"/>
              </w:rPr>
              <w:t>70%</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610" w:type="dxa"/>
            <w:tcBorders/>
            <w:shd w:fill="CCCCCC" w:val="clear"/>
            <w:vAlign w:val="center"/>
          </w:tcPr>
          <w:p>
            <w:pPr>
              <w:pStyle w:val="TableContents"/>
              <w:bidi w:val="0"/>
              <w:spacing w:before="0" w:after="283"/>
              <w:ind w:left="178" w:right="0" w:hanging="0"/>
              <w:jc w:val="left"/>
              <w:rPr>
                <w:rFonts w:ascii="Arial;Helvetica;sans-serif" w:hAnsi="Arial;Helvetica;sans-serif"/>
                <w:color w:val="000000"/>
                <w:sz w:val="16"/>
              </w:rPr>
            </w:pPr>
            <w:r>
              <w:rPr>
                <w:rFonts w:ascii="Arial;Helvetica;sans-serif" w:hAnsi="Arial;Helvetica;sans-serif"/>
                <w:color w:val="000000"/>
                <w:sz w:val="16"/>
              </w:rPr>
              <w:t>64%</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640" w:type="dxa"/>
            <w:tcBorders/>
            <w:shd w:fill="CCCCCC"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381,600 </w:t>
            </w:r>
          </w:p>
        </w:tc>
        <w:tc>
          <w:tcPr>
            <w:tcW w:w="219" w:type="dxa"/>
            <w:tcBorders/>
            <w:shd w:fill="CCCCCC"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Linnen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1" w:type="dxa"/>
            <w:tcBorders/>
            <w:vAlign w:val="center"/>
          </w:tcPr>
          <w:p>
            <w:pPr>
              <w:pStyle w:val="TableContents"/>
              <w:bidi w:val="0"/>
              <w:spacing w:before="0" w:after="283"/>
              <w:ind w:left="4" w:right="0" w:hanging="0"/>
              <w:jc w:val="left"/>
              <w:rPr>
                <w:rFonts w:ascii="Arial;Helvetica;sans-serif" w:hAnsi="Arial;Helvetica;sans-serif"/>
                <w:color w:val="000000"/>
                <w:sz w:val="16"/>
              </w:rPr>
            </w:pPr>
            <w:r>
              <w:rPr>
                <w:rFonts w:ascii="Arial;Helvetica;sans-serif" w:hAnsi="Arial;Helvetica;sans-serif"/>
                <w:color w:val="000000"/>
                <w:sz w:val="16"/>
              </w:rPr>
              <w:t>600,000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5" w:type="dxa"/>
            <w:tcBorders/>
            <w:vAlign w:val="center"/>
          </w:tcPr>
          <w:p>
            <w:pPr>
              <w:pStyle w:val="TableContents"/>
              <w:bidi w:val="0"/>
              <w:spacing w:before="0" w:after="283"/>
              <w:ind w:left="225" w:right="0" w:hanging="0"/>
              <w:jc w:val="left"/>
              <w:rPr>
                <w:rFonts w:ascii="Arial;Helvetica;sans-serif" w:hAnsi="Arial;Helvetica;sans-serif"/>
                <w:color w:val="000000"/>
                <w:sz w:val="16"/>
              </w:rPr>
            </w:pPr>
            <w:r>
              <w:rPr>
                <w:rFonts w:ascii="Arial;Helvetica;sans-serif" w:hAnsi="Arial;Helvetica;sans-serif"/>
                <w:color w:val="000000"/>
                <w:sz w:val="16"/>
              </w:rPr>
              <w:t>100%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9" w:type="dxa"/>
            <w:tcBorders/>
            <w:vAlign w:val="center"/>
          </w:tcPr>
          <w:p>
            <w:pPr>
              <w:pStyle w:val="TableContents"/>
              <w:bidi w:val="0"/>
              <w:spacing w:before="0" w:after="283"/>
              <w:ind w:left="480" w:right="0" w:hanging="0"/>
              <w:jc w:val="left"/>
              <w:rPr>
                <w:rFonts w:ascii="Arial;Helvetica;sans-serif" w:hAnsi="Arial;Helvetica;sans-serif"/>
                <w:color w:val="000000"/>
                <w:sz w:val="16"/>
              </w:rPr>
            </w:pPr>
            <w:r>
              <w:rPr>
                <w:rFonts w:ascii="Arial;Helvetica;sans-serif" w:hAnsi="Arial;Helvetica;sans-serif"/>
                <w:color w:val="000000"/>
                <w:sz w:val="16"/>
              </w:rPr>
              <w:t>57%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5" w:type="dxa"/>
            <w:tcBorders/>
            <w:vAlign w:val="center"/>
          </w:tcPr>
          <w:p>
            <w:pPr>
              <w:pStyle w:val="TableContents"/>
              <w:bidi w:val="0"/>
              <w:spacing w:before="0" w:after="283"/>
              <w:ind w:left="89" w:right="0" w:hanging="0"/>
              <w:jc w:val="left"/>
              <w:rPr>
                <w:rFonts w:ascii="Arial;Helvetica;sans-serif" w:hAnsi="Arial;Helvetica;sans-serif"/>
                <w:color w:val="000000"/>
                <w:sz w:val="16"/>
              </w:rPr>
            </w:pPr>
            <w:r>
              <w:rPr>
                <w:rFonts w:ascii="Arial;Helvetica;sans-serif" w:hAnsi="Arial;Helvetica;sans-serif"/>
                <w:color w:val="000000"/>
                <w:sz w:val="16"/>
              </w:rPr>
              <w:t>94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51" w:type="dxa"/>
            <w:tcBorders/>
            <w:vAlign w:val="center"/>
          </w:tcPr>
          <w:p>
            <w:pPr>
              <w:pStyle w:val="TableContents"/>
              <w:bidi w:val="0"/>
              <w:spacing w:before="0" w:after="283"/>
              <w:ind w:left="1373" w:right="0" w:hanging="0"/>
              <w:jc w:val="left"/>
              <w:rPr>
                <w:rFonts w:ascii="Arial;Helvetica;sans-serif" w:hAnsi="Arial;Helvetica;sans-serif"/>
                <w:color w:val="000000"/>
                <w:sz w:val="16"/>
              </w:rPr>
            </w:pPr>
            <w:r>
              <w:rPr>
                <w:rFonts w:ascii="Arial;Helvetica;sans-serif" w:hAnsi="Arial;Helvetica;sans-serif"/>
                <w:color w:val="000000"/>
                <w:sz w:val="16"/>
              </w:rPr>
              <w:t>78%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0" w:type="dxa"/>
            <w:tcBorders/>
            <w:vAlign w:val="center"/>
          </w:tcPr>
          <w:p>
            <w:pPr>
              <w:pStyle w:val="TableContents"/>
              <w:bidi w:val="0"/>
              <w:spacing w:before="0" w:after="283"/>
              <w:ind w:left="178" w:right="0" w:hanging="0"/>
              <w:jc w:val="left"/>
              <w:rPr>
                <w:rFonts w:ascii="Arial;Helvetica;sans-serif" w:hAnsi="Arial;Helvetica;sans-serif"/>
                <w:color w:val="000000"/>
                <w:sz w:val="16"/>
              </w:rPr>
            </w:pPr>
            <w:r>
              <w:rPr>
                <w:rFonts w:ascii="Arial;Helvetica;sans-serif" w:hAnsi="Arial;Helvetica;sans-serif"/>
                <w:color w:val="000000"/>
                <w:sz w:val="16"/>
              </w:rPr>
              <w:t>73%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0" w:type="dxa"/>
            <w:tcBorders/>
            <w:vAlign w:val="center"/>
          </w:tcPr>
          <w:p>
            <w:pPr>
              <w:pStyle w:val="TableContents"/>
              <w:bidi w:val="0"/>
              <w:spacing w:before="0" w:after="283"/>
              <w:ind w:left="178" w:right="0" w:hanging="0"/>
              <w:jc w:val="left"/>
              <w:rPr>
                <w:rFonts w:ascii="Arial;Helvetica;sans-serif" w:hAnsi="Arial;Helvetica;sans-serif"/>
                <w:color w:val="000000"/>
                <w:sz w:val="16"/>
              </w:rPr>
            </w:pPr>
            <w:r>
              <w:rPr>
                <w:rFonts w:ascii="Arial;Helvetica;sans-serif" w:hAnsi="Arial;Helvetica;sans-serif"/>
                <w:color w:val="000000"/>
                <w:sz w:val="16"/>
              </w:rPr>
              <w:t>65%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390,960 </w:t>
            </w:r>
          </w:p>
        </w:tc>
        <w:tc>
          <w:tcPr>
            <w:tcW w:w="219" w:type="dxa"/>
            <w:tcBorders/>
            <w:vAlign w:val="center"/>
          </w:tcPr>
          <w:p>
            <w:pPr>
              <w:pStyle w:val="TableContents"/>
              <w:bidi w:val="0"/>
              <w:spacing w:before="0" w:after="0"/>
              <w:jc w:val="left"/>
              <w:rPr/>
            </w:pPr>
            <w:r>
              <w:rPr/>
              <w:t> </w:t>
            </w:r>
          </w:p>
        </w:tc>
      </w:tr>
      <w:tr>
        <w:trPr/>
        <w:tc>
          <w:tcPr>
            <w:tcW w:w="185" w:type="dxa"/>
            <w:tcBorders/>
            <w:shd w:fill="CCCCCC" w:val="clear"/>
            <w:vAlign w:val="center"/>
          </w:tcPr>
          <w:p>
            <w:pPr>
              <w:pStyle w:val="TableContents"/>
              <w:bidi w:val="0"/>
              <w:spacing w:before="0" w:after="0"/>
              <w:jc w:val="left"/>
              <w:rPr/>
            </w:pPr>
            <w:r>
              <w:rPr/>
              <w:t> </w:t>
            </w:r>
          </w:p>
        </w:tc>
        <w:tc>
          <w:tcPr>
            <w:tcW w:w="1070" w:type="dxa"/>
            <w:tcBorders/>
            <w:shd w:fill="CCCCCC"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Ferraro</w:t>
            </w:r>
            <w:r>
              <w:rPr>
                <w:rFonts w:ascii="Arial;Helvetica;sans-serif" w:hAnsi="Arial;Helvetica;sans-serif"/>
                <w:color w:val="000000"/>
                <w:position w:val="5"/>
                <w:sz w:val="13"/>
                <w:sz w:val="16"/>
              </w:rPr>
              <w:t>(2)</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1" w:type="dxa"/>
            <w:tcBorders/>
            <w:shd w:fill="CCCCCC" w:val="clear"/>
            <w:vAlign w:val="center"/>
          </w:tcPr>
          <w:p>
            <w:pPr>
              <w:pStyle w:val="TableContents"/>
              <w:bidi w:val="0"/>
              <w:spacing w:before="0" w:after="283"/>
              <w:ind w:left="4" w:right="0" w:hanging="0"/>
              <w:jc w:val="left"/>
              <w:rPr>
                <w:rFonts w:ascii="Arial;Helvetica;sans-serif" w:hAnsi="Arial;Helvetica;sans-serif"/>
                <w:color w:val="000000"/>
                <w:sz w:val="16"/>
              </w:rPr>
            </w:pPr>
            <w:r>
              <w:rPr>
                <w:rFonts w:ascii="Arial;Helvetica;sans-serif" w:hAnsi="Arial;Helvetica;sans-serif"/>
                <w:color w:val="000000"/>
                <w:sz w:val="16"/>
              </w:rPr>
              <w:t>650,000</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595" w:type="dxa"/>
            <w:tcBorders/>
            <w:shd w:fill="CCCCCC" w:val="clear"/>
            <w:vAlign w:val="center"/>
          </w:tcPr>
          <w:p>
            <w:pPr>
              <w:pStyle w:val="TableContents"/>
              <w:bidi w:val="0"/>
              <w:spacing w:before="0" w:after="283"/>
              <w:ind w:left="225" w:right="0" w:hanging="0"/>
              <w:jc w:val="left"/>
              <w:rPr>
                <w:rFonts w:ascii="Arial;Helvetica;sans-serif" w:hAnsi="Arial;Helvetica;sans-serif"/>
                <w:color w:val="000000"/>
                <w:sz w:val="16"/>
              </w:rPr>
            </w:pPr>
            <w:r>
              <w:rPr>
                <w:rFonts w:ascii="Arial;Helvetica;sans-serif" w:hAnsi="Arial;Helvetica;sans-serif"/>
                <w:color w:val="000000"/>
                <w:sz w:val="16"/>
              </w:rPr>
              <w:t>200%</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029" w:type="dxa"/>
            <w:tcBorders/>
            <w:shd w:fill="CCCCCC" w:val="clear"/>
            <w:vAlign w:val="center"/>
          </w:tcPr>
          <w:p>
            <w:pPr>
              <w:pStyle w:val="TableContents"/>
              <w:bidi w:val="0"/>
              <w:spacing w:before="0" w:after="283"/>
              <w:ind w:left="480" w:right="0" w:hanging="0"/>
              <w:jc w:val="left"/>
              <w:rPr>
                <w:rFonts w:ascii="Arial;Helvetica;sans-serif" w:hAnsi="Arial;Helvetica;sans-serif"/>
                <w:color w:val="000000"/>
                <w:sz w:val="16"/>
              </w:rPr>
            </w:pPr>
            <w:r>
              <w:rPr>
                <w:rFonts w:ascii="Arial;Helvetica;sans-serif" w:hAnsi="Arial;Helvetica;sans-serif"/>
                <w:color w:val="000000"/>
                <w:sz w:val="16"/>
              </w:rPr>
              <w:t>57%</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505" w:type="dxa"/>
            <w:tcBorders/>
            <w:shd w:fill="CCCCCC" w:val="clear"/>
            <w:vAlign w:val="center"/>
          </w:tcPr>
          <w:p>
            <w:pPr>
              <w:pStyle w:val="TableContents"/>
              <w:bidi w:val="0"/>
              <w:spacing w:before="0" w:after="283"/>
              <w:ind w:left="89" w:right="0" w:hanging="0"/>
              <w:jc w:val="left"/>
              <w:rPr>
                <w:rFonts w:ascii="Arial;Helvetica;sans-serif" w:hAnsi="Arial;Helvetica;sans-serif"/>
                <w:color w:val="000000"/>
                <w:sz w:val="16"/>
              </w:rPr>
            </w:pPr>
            <w:r>
              <w:rPr>
                <w:rFonts w:ascii="Arial;Helvetica;sans-serif" w:hAnsi="Arial;Helvetica;sans-serif"/>
                <w:color w:val="000000"/>
                <w:sz w:val="16"/>
              </w:rPr>
              <w:t>N/A</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51" w:type="dxa"/>
            <w:tcBorders/>
            <w:shd w:fill="CCCCCC" w:val="clear"/>
            <w:vAlign w:val="center"/>
          </w:tcPr>
          <w:p>
            <w:pPr>
              <w:pStyle w:val="TableContents"/>
              <w:bidi w:val="0"/>
              <w:spacing w:before="0" w:after="283"/>
              <w:jc w:val="center"/>
              <w:rPr>
                <w:color w:val="000000"/>
              </w:rPr>
            </w:pPr>
            <w:r>
              <w:rPr>
                <w:color w:val="000000"/>
              </w:rPr>
              <w:t> </w:t>
            </w:r>
            <w:r>
              <w:rPr>
                <w:rFonts w:ascii="Arial;Helvetica;sans-serif" w:hAnsi="Arial;Helvetica;sans-serif"/>
                <w:color w:val="000000"/>
                <w:sz w:val="16"/>
              </w:rPr>
              <w:t>N/A</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610" w:type="dxa"/>
            <w:tcBorders/>
            <w:shd w:fill="CCCCCC" w:val="clear"/>
            <w:vAlign w:val="center"/>
          </w:tcPr>
          <w:p>
            <w:pPr>
              <w:pStyle w:val="TableContents"/>
              <w:bidi w:val="0"/>
              <w:spacing w:before="0" w:after="283"/>
              <w:jc w:val="center"/>
              <w:rPr>
                <w:color w:val="000000"/>
              </w:rPr>
            </w:pPr>
            <w:r>
              <w:rPr>
                <w:color w:val="000000"/>
              </w:rPr>
              <w:t> </w:t>
            </w:r>
            <w:r>
              <w:rPr>
                <w:rFonts w:ascii="Arial;Helvetica;sans-serif" w:hAnsi="Arial;Helvetica;sans-serif"/>
                <w:color w:val="000000"/>
                <w:sz w:val="16"/>
              </w:rPr>
              <w:t>N/A</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610" w:type="dxa"/>
            <w:tcBorders/>
            <w:shd w:fill="CCCCCC" w:val="clear"/>
            <w:vAlign w:val="center"/>
          </w:tcPr>
          <w:p>
            <w:pPr>
              <w:pStyle w:val="TableContents"/>
              <w:bidi w:val="0"/>
              <w:spacing w:before="0" w:after="283"/>
              <w:ind w:left="178" w:right="0" w:hanging="0"/>
              <w:jc w:val="left"/>
              <w:rPr>
                <w:rFonts w:ascii="Arial;Helvetica;sans-serif" w:hAnsi="Arial;Helvetica;sans-serif"/>
                <w:color w:val="000000"/>
                <w:sz w:val="16"/>
              </w:rPr>
            </w:pPr>
            <w:r>
              <w:rPr>
                <w:rFonts w:ascii="Arial;Helvetica;sans-serif" w:hAnsi="Arial;Helvetica;sans-serif"/>
                <w:color w:val="000000"/>
                <w:sz w:val="16"/>
              </w:rPr>
              <w:t>57%</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640" w:type="dxa"/>
            <w:tcBorders/>
            <w:shd w:fill="CCCCCC"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741,000</w:t>
            </w:r>
          </w:p>
        </w:tc>
        <w:tc>
          <w:tcPr>
            <w:tcW w:w="219" w:type="dxa"/>
            <w:tcBorders/>
            <w:shd w:fill="CCCCCC" w:val="clear"/>
            <w:vAlign w:val="center"/>
          </w:tcPr>
          <w:p>
            <w:pPr>
              <w:pStyle w:val="TableContents"/>
              <w:bidi w:val="0"/>
              <w:spacing w:before="0" w:after="0"/>
              <w:jc w:val="left"/>
              <w:rPr/>
            </w:pPr>
            <w:r>
              <w:rPr/>
              <w:t> </w:t>
            </w:r>
          </w:p>
        </w:tc>
      </w:tr>
      <w:tr>
        <w:trPr/>
        <w:tc>
          <w:tcPr>
            <w:tcW w:w="185" w:type="dxa"/>
            <w:tcBorders/>
            <w:shd w:fill="CCCCCC" w:val="clear"/>
            <w:vAlign w:val="center"/>
          </w:tcPr>
          <w:p>
            <w:pPr>
              <w:pStyle w:val="TableContents"/>
              <w:bidi w:val="0"/>
              <w:spacing w:before="0" w:after="0"/>
              <w:jc w:val="left"/>
              <w:rPr/>
            </w:pPr>
            <w:r>
              <w:rPr/>
              <w:t> </w:t>
            </w:r>
          </w:p>
        </w:tc>
        <w:tc>
          <w:tcPr>
            <w:tcW w:w="10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1"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595"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029"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505"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51"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61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61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640" w:type="dxa"/>
            <w:tcBorders/>
            <w:shd w:fill="CCCCCC" w:val="clear"/>
            <w:vAlign w:val="center"/>
          </w:tcPr>
          <w:p>
            <w:pPr>
              <w:pStyle w:val="TableContents"/>
              <w:bidi w:val="0"/>
              <w:spacing w:before="0" w:after="0"/>
              <w:jc w:val="left"/>
              <w:rPr/>
            </w:pPr>
            <w:r>
              <w:rPr/>
              <w:t> </w:t>
            </w:r>
          </w:p>
        </w:tc>
        <w:tc>
          <w:tcPr>
            <w:tcW w:w="219" w:type="dxa"/>
            <w:tcBorders/>
            <w:shd w:fill="CCCCCC"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9980"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For Mr. Choi, his 2025 AIP was pro-rated to reflect (i) 6 months as CTO, with an annual salary of $675,000 and target bonus of 125% of salary, and (ii) 6 months as CEO, with an annual salary of $1,000,000 and target bonus of 150% salary. For Mr. Cunha, the amount was pro-rated to reflect his start date.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9961"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Mr. Ferraro’s pro-rated 2025 AIP (reflecting his six months in the CEO role) was based solely on the Adjusted EBITDA component, in accordance with the Separation Agreement. </w:t>
            </w:r>
          </w:p>
        </w:tc>
      </w:tr>
    </w:tbl>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 reconciliation of our reported net income (loss) to our reported global Adjusted EBITDA is set forth below (dollars are in millions): </w:t>
      </w:r>
    </w:p>
    <w:tbl>
      <w:tblPr>
        <w:tblW w:w="6120" w:type="dxa"/>
        <w:jc w:val="left"/>
        <w:tblInd w:w="0" w:type="dxa"/>
        <w:tblLayout w:type="fixed"/>
        <w:tblCellMar>
          <w:top w:w="0" w:type="dxa"/>
          <w:left w:w="0" w:type="dxa"/>
          <w:bottom w:w="0" w:type="dxa"/>
          <w:right w:w="0" w:type="dxa"/>
        </w:tblCellMar>
      </w:tblPr>
      <w:tblGrid>
        <w:gridCol w:w="185"/>
        <w:gridCol w:w="380"/>
        <w:gridCol w:w="170"/>
        <w:gridCol w:w="170"/>
        <w:gridCol w:w="4175"/>
        <w:gridCol w:w="170"/>
        <w:gridCol w:w="170"/>
        <w:gridCol w:w="485"/>
        <w:gridCol w:w="215"/>
      </w:tblGrid>
      <w:tr>
        <w:trPr/>
        <w:tc>
          <w:tcPr>
            <w:tcW w:w="185"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0" w:type="dxa"/>
            <w:gridSpan w:val="4"/>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80" w:type="dxa"/>
            <w:tcBorders>
              <w:bottom w:val="single" w:sz="8" w:space="0" w:color="000000"/>
            </w:tcBorders>
            <w:tcMar>
              <w:bottom w:w="28"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000" w:type="dxa"/>
            <w:gridSpan w:val="4"/>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color w:val="000000"/>
                <w:sz w:val="16"/>
              </w:rPr>
            </w:pPr>
            <w:r>
              <w:rPr>
                <w:rFonts w:ascii="Arial;Helvetica;sans-serif" w:hAnsi="Arial;Helvetica;sans-serif"/>
                <w:b/>
                <w:color w:val="000000"/>
                <w:sz w:val="16"/>
              </w:rPr>
              <w:t>Reconciliation of net income</w:t>
            </w:r>
          </w:p>
          <w:p>
            <w:pPr>
              <w:pStyle w:val="TableContents"/>
              <w:bidi w:val="0"/>
              <w:spacing w:before="0" w:after="283"/>
              <w:jc w:val="right"/>
              <w:rPr>
                <w:rFonts w:ascii="Arial;Helvetica;sans-serif" w:hAnsi="Arial;Helvetica;sans-serif"/>
                <w:b/>
                <w:color w:val="000000"/>
                <w:sz w:val="16"/>
              </w:rPr>
            </w:pPr>
            <w:r>
              <w:rPr>
                <w:rFonts w:ascii="Arial;Helvetica;sans-serif" w:hAnsi="Arial;Helvetica;sans-serif"/>
                <w:b/>
                <w:color w:val="000000"/>
                <w:sz w:val="16"/>
              </w:rPr>
              <w:t xml:space="preserve">(loss) to Adjusted EBITDA 2025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4895" w:type="dxa"/>
            <w:gridSpan w:val="4"/>
            <w:tcBorders>
              <w:bottom w:val="single" w:sz="8" w:space="0" w:color="000000"/>
            </w:tcBorders>
            <w:shd w:fill="CCCCCC" w:val="clear"/>
            <w:tcMar>
              <w:bottom w:w="2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Net income (loss)</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485" w:type="dxa"/>
            <w:tcBorders>
              <w:bottom w:val="single" w:sz="8" w:space="0" w:color="000000"/>
            </w:tcBorders>
            <w:shd w:fill="CCCCCC"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(995) </w:t>
            </w:r>
          </w:p>
        </w:tc>
        <w:tc>
          <w:tcPr>
            <w:tcW w:w="21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4895" w:type="dxa"/>
            <w:gridSpan w:val="4"/>
            <w:tcBorders>
              <w:bottom w:val="single" w:sz="8" w:space="0" w:color="000000"/>
            </w:tcBorders>
            <w:tcMar>
              <w:bottom w:w="2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Provision for (benefit from) income taxes</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85"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u w:val="single"/>
              </w:rPr>
              <w:t>66</w:t>
            </w:r>
            <w:r>
              <w:rPr>
                <w:rFonts w:ascii="Arial;Helvetica;sans-serif" w:hAnsi="Arial;Helvetica;sans-serif"/>
                <w:color w:val="000000"/>
                <w:sz w:val="16"/>
              </w:rPr>
              <w:t xml:space="preserve">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4895" w:type="dxa"/>
            <w:gridSpan w:val="4"/>
            <w:tcBorders>
              <w:bottom w:val="single" w:sz="8" w:space="0" w:color="000000"/>
            </w:tcBorders>
            <w:shd w:fill="CCCCCC" w:val="clear"/>
            <w:tcMar>
              <w:bottom w:w="2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Income (loss) before income taxes</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485" w:type="dxa"/>
            <w:tcBorders>
              <w:bottom w:val="single" w:sz="8" w:space="0" w:color="000000"/>
            </w:tcBorders>
            <w:shd w:fill="CCCCCC"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(929) </w:t>
            </w:r>
          </w:p>
        </w:tc>
        <w:tc>
          <w:tcPr>
            <w:tcW w:w="21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80" w:type="dxa"/>
            <w:tcBorders>
              <w:bottom w:val="single" w:sz="8" w:space="0" w:color="000000"/>
            </w:tcBorders>
            <w:tcMar>
              <w:bottom w:w="2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Add:</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175" w:type="dxa"/>
            <w:tcBorders>
              <w:bottom w:val="single" w:sz="8"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Non-vehicle related depreciation and amortization</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85"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231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380" w:type="dxa"/>
            <w:tcBorders>
              <w:bottom w:val="single" w:sz="8" w:space="0" w:color="000000"/>
            </w:tcBorders>
            <w:shd w:fill="CCCCCC" w:val="clear"/>
            <w:tcMar>
              <w:bottom w:w="28" w:type="dxa"/>
            </w:tcMar>
            <w:vAlign w:val="center"/>
          </w:tcPr>
          <w:p>
            <w:pPr>
              <w:pStyle w:val="TableContents"/>
              <w:bidi w:val="0"/>
              <w:spacing w:before="0" w:after="283"/>
              <w:ind w:left="30" w:right="0" w:hanging="0"/>
              <w:jc w:val="left"/>
              <w:rPr>
                <w:color w:val="000000"/>
              </w:rPr>
            </w:pPr>
            <w:r>
              <w:rPr>
                <w:color w:val="000000"/>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4175" w:type="dxa"/>
            <w:tcBorders>
              <w:bottom w:val="single" w:sz="8" w:space="0" w:color="000000"/>
            </w:tcBorders>
            <w:shd w:fill="CCCCCC" w:val="clear"/>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Interest expense related to corporate debt, net: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485" w:type="dxa"/>
            <w:tcBorders>
              <w:bottom w:val="single" w:sz="8" w:space="0" w:color="000000"/>
            </w:tcBorders>
            <w:shd w:fill="CCCCCC" w:val="clear"/>
            <w:tcMar>
              <w:bottom w:w="28" w:type="dxa"/>
            </w:tcMar>
            <w:vAlign w:val="center"/>
          </w:tcPr>
          <w:p>
            <w:pPr>
              <w:pStyle w:val="TableContents"/>
              <w:bidi w:val="0"/>
              <w:spacing w:before="0" w:after="283"/>
              <w:jc w:val="right"/>
              <w:rPr>
                <w:color w:val="000000"/>
              </w:rPr>
            </w:pPr>
            <w:r>
              <w:rPr>
                <w:color w:val="000000"/>
              </w:rPr>
              <w:t> </w:t>
            </w:r>
          </w:p>
        </w:tc>
        <w:tc>
          <w:tcPr>
            <w:tcW w:w="21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80" w:type="dxa"/>
            <w:tcBorders>
              <w:bottom w:val="single" w:sz="8" w:space="0" w:color="000000"/>
            </w:tcBorders>
            <w:tcMar>
              <w:bottom w:w="28" w:type="dxa"/>
            </w:tcMar>
            <w:vAlign w:val="center"/>
          </w:tcPr>
          <w:p>
            <w:pPr>
              <w:pStyle w:val="TableContents"/>
              <w:bidi w:val="0"/>
              <w:spacing w:before="0" w:after="283"/>
              <w:ind w:left="30" w:right="0" w:hanging="0"/>
              <w:jc w:val="lef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175" w:type="dxa"/>
            <w:tcBorders>
              <w:bottom w:val="single" w:sz="8" w:space="0" w:color="000000"/>
            </w:tcBorders>
            <w:tcMar>
              <w:bottom w:w="28" w:type="dxa"/>
            </w:tcMar>
            <w:vAlign w:val="center"/>
          </w:tcPr>
          <w:p>
            <w:pPr>
              <w:pStyle w:val="TableContents"/>
              <w:bidi w:val="0"/>
              <w:spacing w:before="0" w:after="283"/>
              <w:ind w:left="400" w:right="0" w:hanging="0"/>
              <w:jc w:val="left"/>
              <w:rPr>
                <w:rFonts w:ascii="Arial;Helvetica;sans-serif" w:hAnsi="Arial;Helvetica;sans-serif"/>
                <w:color w:val="000000"/>
                <w:sz w:val="16"/>
              </w:rPr>
            </w:pPr>
            <w:r>
              <w:rPr>
                <w:rFonts w:ascii="Arial;Helvetica;sans-serif" w:hAnsi="Arial;Helvetica;sans-serif"/>
                <w:color w:val="000000"/>
                <w:sz w:val="16"/>
              </w:rPr>
              <w:t>Interest expense</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85"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422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380" w:type="dxa"/>
            <w:tcBorders>
              <w:bottom w:val="single" w:sz="8" w:space="0" w:color="000000"/>
            </w:tcBorders>
            <w:shd w:fill="CCCCCC" w:val="clear"/>
            <w:tcMar>
              <w:bottom w:w="28" w:type="dxa"/>
            </w:tcMar>
            <w:vAlign w:val="center"/>
          </w:tcPr>
          <w:p>
            <w:pPr>
              <w:pStyle w:val="TableContents"/>
              <w:bidi w:val="0"/>
              <w:spacing w:before="0" w:after="283"/>
              <w:ind w:left="30" w:right="0" w:hanging="0"/>
              <w:jc w:val="left"/>
              <w:rPr>
                <w:color w:val="000000"/>
              </w:rPr>
            </w:pPr>
            <w:r>
              <w:rPr>
                <w:color w:val="000000"/>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4175" w:type="dxa"/>
            <w:tcBorders>
              <w:bottom w:val="single" w:sz="8" w:space="0" w:color="000000"/>
            </w:tcBorders>
            <w:shd w:fill="CCCCCC" w:val="clear"/>
            <w:tcMar>
              <w:bottom w:w="28" w:type="dxa"/>
            </w:tcMar>
            <w:vAlign w:val="center"/>
          </w:tcPr>
          <w:p>
            <w:pPr>
              <w:pStyle w:val="TableContents"/>
              <w:bidi w:val="0"/>
              <w:spacing w:before="0" w:after="283"/>
              <w:ind w:left="400" w:right="0" w:hanging="0"/>
              <w:jc w:val="left"/>
              <w:rPr>
                <w:rFonts w:ascii="Arial;Helvetica;sans-serif" w:hAnsi="Arial;Helvetica;sans-serif"/>
                <w:color w:val="000000"/>
                <w:sz w:val="16"/>
              </w:rPr>
            </w:pPr>
            <w:r>
              <w:rPr>
                <w:rFonts w:ascii="Arial;Helvetica;sans-serif" w:hAnsi="Arial;Helvetica;sans-serif"/>
                <w:color w:val="000000"/>
                <w:sz w:val="16"/>
              </w:rPr>
              <w:t>Early extinguishment of debt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485" w:type="dxa"/>
            <w:tcBorders>
              <w:bottom w:val="single" w:sz="8" w:space="0" w:color="000000"/>
            </w:tcBorders>
            <w:shd w:fill="CCCCCC"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6 </w:t>
            </w:r>
          </w:p>
        </w:tc>
        <w:tc>
          <w:tcPr>
            <w:tcW w:w="21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80" w:type="dxa"/>
            <w:tcBorders>
              <w:bottom w:val="single" w:sz="8" w:space="0" w:color="000000"/>
            </w:tcBorders>
            <w:tcMar>
              <w:bottom w:w="28" w:type="dxa"/>
            </w:tcMar>
            <w:vAlign w:val="center"/>
          </w:tcPr>
          <w:p>
            <w:pPr>
              <w:pStyle w:val="TableContents"/>
              <w:bidi w:val="0"/>
              <w:spacing w:before="0" w:after="283"/>
              <w:ind w:left="30" w:right="0" w:hanging="0"/>
              <w:jc w:val="lef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175" w:type="dxa"/>
            <w:tcBorders>
              <w:bottom w:val="single" w:sz="8"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Long-lived asset impairment and other related charges</w:t>
            </w:r>
            <w:r>
              <w:rPr>
                <w:rFonts w:ascii="Arial;Helvetica;sans-serif" w:hAnsi="Arial;Helvetica;sans-serif"/>
                <w:color w:val="000000"/>
                <w:position w:val="5"/>
                <w:sz w:val="13"/>
                <w:sz w:val="16"/>
              </w:rPr>
              <w:t>(a)</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85"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518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380" w:type="dxa"/>
            <w:tcBorders>
              <w:bottom w:val="single" w:sz="8" w:space="0" w:color="000000"/>
            </w:tcBorders>
            <w:shd w:fill="CCCCCC" w:val="clear"/>
            <w:tcMar>
              <w:bottom w:w="28" w:type="dxa"/>
            </w:tcMar>
            <w:vAlign w:val="center"/>
          </w:tcPr>
          <w:p>
            <w:pPr>
              <w:pStyle w:val="TableContents"/>
              <w:bidi w:val="0"/>
              <w:spacing w:before="0" w:after="283"/>
              <w:ind w:left="30" w:right="0" w:hanging="0"/>
              <w:jc w:val="left"/>
              <w:rPr>
                <w:color w:val="000000"/>
              </w:rPr>
            </w:pPr>
            <w:r>
              <w:rPr>
                <w:color w:val="000000"/>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4175" w:type="dxa"/>
            <w:tcBorders>
              <w:bottom w:val="single" w:sz="8" w:space="0" w:color="000000"/>
            </w:tcBorders>
            <w:shd w:fill="CCCCCC" w:val="clear"/>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Other fleet charges</w:t>
            </w:r>
            <w:r>
              <w:rPr>
                <w:rFonts w:ascii="Arial;Helvetica;sans-serif" w:hAnsi="Arial;Helvetica;sans-serif"/>
                <w:color w:val="000000"/>
                <w:position w:val="5"/>
                <w:sz w:val="13"/>
                <w:sz w:val="16"/>
              </w:rPr>
              <w:t>(b)</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485" w:type="dxa"/>
            <w:tcBorders>
              <w:bottom w:val="single" w:sz="8" w:space="0" w:color="000000"/>
            </w:tcBorders>
            <w:shd w:fill="CCCCCC"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390 </w:t>
            </w:r>
          </w:p>
        </w:tc>
        <w:tc>
          <w:tcPr>
            <w:tcW w:w="21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80" w:type="dxa"/>
            <w:tcBorders>
              <w:bottom w:val="single" w:sz="8" w:space="0" w:color="000000"/>
            </w:tcBorders>
            <w:tcMar>
              <w:bottom w:w="28" w:type="dxa"/>
            </w:tcMar>
            <w:vAlign w:val="center"/>
          </w:tcPr>
          <w:p>
            <w:pPr>
              <w:pStyle w:val="TableContents"/>
              <w:bidi w:val="0"/>
              <w:spacing w:before="0" w:after="283"/>
              <w:ind w:left="30" w:right="0" w:hanging="0"/>
              <w:jc w:val="lef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175" w:type="dxa"/>
            <w:tcBorders>
              <w:bottom w:val="single" w:sz="8"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Restructuring and other related charges</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85"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131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380" w:type="dxa"/>
            <w:tcBorders>
              <w:bottom w:val="single" w:sz="8" w:space="0" w:color="000000"/>
            </w:tcBorders>
            <w:shd w:fill="CCCCCC" w:val="clear"/>
            <w:tcMar>
              <w:bottom w:w="28" w:type="dxa"/>
            </w:tcMar>
            <w:vAlign w:val="center"/>
          </w:tcPr>
          <w:p>
            <w:pPr>
              <w:pStyle w:val="TableContents"/>
              <w:bidi w:val="0"/>
              <w:spacing w:before="0" w:after="283"/>
              <w:ind w:left="30" w:right="0" w:hanging="0"/>
              <w:jc w:val="left"/>
              <w:rPr>
                <w:color w:val="000000"/>
              </w:rPr>
            </w:pPr>
            <w:r>
              <w:rPr>
                <w:color w:val="000000"/>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4175" w:type="dxa"/>
            <w:tcBorders>
              <w:bottom w:val="single" w:sz="8" w:space="0" w:color="000000"/>
            </w:tcBorders>
            <w:shd w:fill="CCCCCC" w:val="clear"/>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Transaction-related costs, net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485" w:type="dxa"/>
            <w:tcBorders>
              <w:bottom w:val="single" w:sz="8" w:space="0" w:color="000000"/>
            </w:tcBorders>
            <w:shd w:fill="CCCCCC"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18 </w:t>
            </w:r>
          </w:p>
        </w:tc>
        <w:tc>
          <w:tcPr>
            <w:tcW w:w="21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80" w:type="dxa"/>
            <w:tcBorders>
              <w:bottom w:val="single" w:sz="8" w:space="0" w:color="000000"/>
            </w:tcBorders>
            <w:tcMar>
              <w:bottom w:w="28" w:type="dxa"/>
            </w:tcMar>
            <w:vAlign w:val="center"/>
          </w:tcPr>
          <w:p>
            <w:pPr>
              <w:pStyle w:val="TableContents"/>
              <w:bidi w:val="0"/>
              <w:spacing w:before="0" w:after="283"/>
              <w:ind w:left="30" w:right="0" w:hanging="0"/>
              <w:jc w:val="lef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175" w:type="dxa"/>
            <w:tcBorders>
              <w:bottom w:val="single" w:sz="8"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Other (income) expense, net</w:t>
            </w:r>
            <w:r>
              <w:rPr>
                <w:rFonts w:ascii="Arial;Helvetica;sans-serif" w:hAnsi="Arial;Helvetica;sans-serif"/>
                <w:color w:val="000000"/>
                <w:position w:val="5"/>
                <w:sz w:val="13"/>
                <w:sz w:val="16"/>
              </w:rPr>
              <w:t>(c)</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85"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18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380" w:type="dxa"/>
            <w:tcBorders>
              <w:bottom w:val="single" w:sz="8" w:space="0" w:color="000000"/>
            </w:tcBorders>
            <w:shd w:fill="CCCCCC" w:val="clear"/>
            <w:tcMar>
              <w:bottom w:w="28" w:type="dxa"/>
            </w:tcMar>
            <w:vAlign w:val="center"/>
          </w:tcPr>
          <w:p>
            <w:pPr>
              <w:pStyle w:val="TableContents"/>
              <w:bidi w:val="0"/>
              <w:spacing w:before="0" w:after="283"/>
              <w:ind w:left="30" w:right="0" w:hanging="0"/>
              <w:jc w:val="left"/>
              <w:rPr>
                <w:color w:val="000000"/>
              </w:rPr>
            </w:pPr>
            <w:r>
              <w:rPr>
                <w:color w:val="000000"/>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4175" w:type="dxa"/>
            <w:tcBorders>
              <w:bottom w:val="single" w:sz="8" w:space="0" w:color="000000"/>
            </w:tcBorders>
            <w:shd w:fill="CCCCCC" w:val="clear"/>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Legal matters, net</w:t>
            </w:r>
            <w:r>
              <w:rPr>
                <w:rFonts w:ascii="Arial;Helvetica;sans-serif" w:hAnsi="Arial;Helvetica;sans-serif"/>
                <w:color w:val="000000"/>
                <w:position w:val="5"/>
                <w:sz w:val="13"/>
                <w:sz w:val="16"/>
              </w:rPr>
              <w:t>(d)</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485" w:type="dxa"/>
            <w:tcBorders>
              <w:bottom w:val="single" w:sz="8" w:space="0" w:color="000000"/>
            </w:tcBorders>
            <w:shd w:fill="CCCCCC"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(99) </w:t>
            </w:r>
          </w:p>
        </w:tc>
        <w:tc>
          <w:tcPr>
            <w:tcW w:w="21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80" w:type="dxa"/>
            <w:tcBorders>
              <w:bottom w:val="single" w:sz="8" w:space="0" w:color="000000"/>
            </w:tcBorders>
            <w:tcMar>
              <w:bottom w:w="28" w:type="dxa"/>
            </w:tcMar>
            <w:vAlign w:val="center"/>
          </w:tcPr>
          <w:p>
            <w:pPr>
              <w:pStyle w:val="TableContents"/>
              <w:bidi w:val="0"/>
              <w:spacing w:before="0" w:after="283"/>
              <w:ind w:left="30" w:right="0" w:hanging="0"/>
              <w:jc w:val="lef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175" w:type="dxa"/>
            <w:tcBorders>
              <w:bottom w:val="single" w:sz="8"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Cloud computing costs</w:t>
            </w:r>
            <w:r>
              <w:rPr>
                <w:rFonts w:ascii="Arial;Helvetica;sans-serif" w:hAnsi="Arial;Helvetica;sans-serif"/>
                <w:color w:val="000000"/>
                <w:position w:val="5"/>
                <w:sz w:val="13"/>
                <w:sz w:val="16"/>
              </w:rPr>
              <w:t>(e)</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85"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48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380" w:type="dxa"/>
            <w:tcBorders>
              <w:bottom w:val="single" w:sz="8" w:space="0" w:color="000000"/>
            </w:tcBorders>
            <w:shd w:fill="CCCCCC" w:val="clear"/>
            <w:tcMar>
              <w:bottom w:w="28" w:type="dxa"/>
            </w:tcMar>
            <w:vAlign w:val="center"/>
          </w:tcPr>
          <w:p>
            <w:pPr>
              <w:pStyle w:val="TableContents"/>
              <w:bidi w:val="0"/>
              <w:spacing w:before="0" w:after="283"/>
              <w:ind w:left="30" w:right="0" w:hanging="0"/>
              <w:jc w:val="left"/>
              <w:rPr>
                <w:color w:val="000000"/>
              </w:rPr>
            </w:pPr>
            <w:r>
              <w:rPr>
                <w:color w:val="000000"/>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4175" w:type="dxa"/>
            <w:tcBorders>
              <w:bottom w:val="single" w:sz="8" w:space="0" w:color="000000"/>
            </w:tcBorders>
            <w:shd w:fill="CCCCCC" w:val="clear"/>
            <w:tcMar>
              <w:bottom w:w="2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Severe weather-related damages, net</w:t>
            </w:r>
            <w:r>
              <w:rPr>
                <w:rFonts w:ascii="Arial;Helvetica;sans-serif" w:hAnsi="Arial;Helvetica;sans-serif"/>
                <w:color w:val="000000"/>
                <w:position w:val="5"/>
                <w:sz w:val="13"/>
                <w:sz w:val="16"/>
              </w:rPr>
              <w:t>(e)</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485" w:type="dxa"/>
            <w:tcBorders>
              <w:bottom w:val="single" w:sz="8" w:space="0" w:color="000000"/>
            </w:tcBorders>
            <w:shd w:fill="CCCCCC"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u w:val="single"/>
              </w:rPr>
              <w:t>(6)</w:t>
            </w:r>
            <w:r>
              <w:rPr>
                <w:rFonts w:ascii="Arial;Helvetica;sans-serif" w:hAnsi="Arial;Helvetica;sans-serif"/>
                <w:color w:val="000000"/>
                <w:sz w:val="16"/>
              </w:rPr>
              <w:t xml:space="preserve"> </w:t>
            </w:r>
          </w:p>
        </w:tc>
        <w:tc>
          <w:tcPr>
            <w:tcW w:w="21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895" w:type="dxa"/>
            <w:gridSpan w:val="4"/>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Adjusted EBITDA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748</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895"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(a)</w:t>
            </w:r>
          </w:p>
        </w:tc>
        <w:tc>
          <w:tcPr>
            <w:tcW w:w="9987"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Includes an impairment charge of approximately $518 million within our Americas reportable segment, related to the acceleration of the rotation of certain United States EV rental car vehicles in conjunction with the Interpace Ventures transaction. See Note 2 – Summary of Significant Accounting Policies – Impairment of Long-Lived Assets to our Consolidated Financial Statements included in our 2025 Annual Report.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26</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4" w:name="ny20066167x1_def14a_106-executive_pg8"/>
        <w:bookmarkEnd w:id="6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(b)</w:t>
            </w:r>
          </w:p>
        </w:tc>
        <w:tc>
          <w:tcPr>
            <w:tcW w:w="9947"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Costs reported within vehicle depreciation and lease charges, net related to the disposal of certain fleet in our Americas reportable segment.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(c)</w:t>
            </w:r>
          </w:p>
        </w:tc>
        <w:tc>
          <w:tcPr>
            <w:tcW w:w="9965"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Primarily consists of gains or losses related to our equity method investment in a former subsidiary, offset by fleet related and certain administrative services provided to the same former subsidiary. </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(d)</w:t>
            </w:r>
          </w:p>
        </w:tc>
        <w:tc>
          <w:tcPr>
            <w:tcW w:w="995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Consists of $3 million reported within selling, general and administrative expenses and $102 million of income reported within operating expenses. </w:t>
            </w:r>
          </w:p>
        </w:tc>
      </w:tr>
    </w:tbl>
    <w:tbl>
      <w:tblPr>
        <w:tblW w:w="3040" w:type="dxa"/>
        <w:jc w:val="left"/>
        <w:tblInd w:w="0" w:type="dxa"/>
        <w:tblLayout w:type="fixed"/>
        <w:tblCellMar>
          <w:top w:w="0" w:type="dxa"/>
          <w:left w:w="0" w:type="dxa"/>
          <w:bottom w:w="0" w:type="dxa"/>
          <w:right w:w="0" w:type="dxa"/>
        </w:tblCellMar>
      </w:tblPr>
      <w:tblGrid>
        <w:gridCol w:w="260"/>
        <w:gridCol w:w="2780"/>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(e)</w:t>
            </w:r>
          </w:p>
        </w:tc>
        <w:tc>
          <w:tcPr>
            <w:tcW w:w="278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Reported within operating expenses. </w:t>
            </w:r>
          </w:p>
        </w:tc>
      </w:tr>
    </w:tbl>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believe Adjusted EBITDA is useful as a supplemental measure in evaluating the performance of our operating businesses and in comparing our results from period to period. We also believe that Adjusted EBITDA is useful to investors because it allows them to assess our results of operations and financial condition on the same basis that management uses internally. Adjusted EBITDA is a non-GAAP measure and should not be considered in isolation or as a substitute for net income or other income statement data prepared in accordance with U.S. GAAP. Our presentation of Adjusted EBITDA may not be comparable to similarly-titled measures used by other companies. </w:t>
      </w:r>
    </w:p>
    <w:p>
      <w:pPr>
        <w:pStyle w:val="TextBody"/>
        <w:bidi w:val="0"/>
        <w:spacing w:before="41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Long-Term Incentive Awards </w:t>
      </w:r>
    </w:p>
    <w:p>
      <w:pPr>
        <w:pStyle w:val="TextBody"/>
        <w:bidi w:val="0"/>
        <w:spacing w:before="390" w:after="283"/>
        <w:ind w:left="0" w:right="0" w:hanging="0"/>
        <w:jc w:val="left"/>
        <w:rPr>
          <w:rFonts w:ascii="Arial;Helvetica;sans-serif" w:hAnsi="Arial;Helvetica;sans-serif"/>
          <w:i/>
          <w:color w:val="000000"/>
          <w:sz w:val="20"/>
        </w:rPr>
      </w:pPr>
      <w:r>
        <w:rPr>
          <w:rFonts w:ascii="Arial;Helvetica;sans-serif" w:hAnsi="Arial;Helvetica;sans-serif"/>
          <w:i/>
          <w:color w:val="000000"/>
          <w:sz w:val="20"/>
        </w:rPr>
        <w:t>2025 LTIP</w:t>
      </w:r>
      <w:r>
        <w:rPr>
          <w:rFonts w:ascii="Arial;Helvetica;sans-serif" w:hAnsi="Arial;Helvetica;sans-serif"/>
          <w:i/>
          <w:caps w:val="false"/>
          <w:smallCaps w:val="false"/>
          <w:color w:val="000000"/>
          <w:sz w:val="20"/>
        </w:rPr>
        <w:t xml:space="preserve">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For 2025, the Committee approved a long-term incentive program (the “2025 LTIP”) in which all NEOs participated. Mr. Ferraro received an LTIP award with different terms as described below. Grant date values for 2025 LTIP awards were determined following a market review of the Peer Group, and in certain cases, Survey Data (as defined under “Consideration of Peer Groups and Survey Data”), as well as individual and Company financial performance for the prior year. For the 2025 LTIP, the Committee approved two tranches of PSU: (i) the typical annual three-year performance award of PSUs and RSUs and (ii) a supplemental two-year performance award described below. </w:t>
      </w:r>
    </w:p>
    <w:p>
      <w:pPr>
        <w:pStyle w:val="TextBody"/>
        <w:bidi w:val="0"/>
        <w:spacing w:before="410" w:after="283"/>
        <w:ind w:left="0" w:right="0" w:hanging="0"/>
        <w:jc w:val="left"/>
        <w:rPr>
          <w:rFonts w:ascii="Arial;Helvetica;sans-serif" w:hAnsi="Arial;Helvetica;sans-serif"/>
          <w:i/>
          <w:color w:val="000000"/>
          <w:sz w:val="20"/>
        </w:rPr>
      </w:pPr>
      <w:r>
        <w:rPr>
          <w:rFonts w:ascii="Arial;Helvetica;sans-serif" w:hAnsi="Arial;Helvetica;sans-serif"/>
          <w:i/>
          <w:color w:val="000000"/>
          <w:sz w:val="20"/>
        </w:rPr>
        <w:t>2025 LTIP Tranche 1</w:t>
      </w:r>
      <w:r>
        <w:rPr>
          <w:rFonts w:ascii="Arial;Helvetica;sans-serif" w:hAnsi="Arial;Helvetica;sans-serif"/>
          <w:i/>
          <w:caps w:val="false"/>
          <w:smallCaps w:val="false"/>
          <w:color w:val="000000"/>
          <w:sz w:val="20"/>
        </w:rPr>
        <w:t xml:space="preserve">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Committee reviewed the following factors to determine the appropriate type of equity to be granted under the annual award program: perceived value to award recipients to effect retention and incentive goals, peer practices, the degree of alignment with shareholder interests and our pay-for-performance philosophy, potential dilution and projected expense balanced with the value delivered to award recipients. Based on an analysis of these factors, the Committee determined that continuing the mix of 50% PSUs and 50% RSUs would: </w:t>
      </w:r>
    </w:p>
    <w:tbl>
      <w:tblPr>
        <w:tblW w:w="7420" w:type="dxa"/>
        <w:jc w:val="left"/>
        <w:tblInd w:w="0" w:type="dxa"/>
        <w:tblLayout w:type="fixed"/>
        <w:tblCellMar>
          <w:top w:w="0" w:type="dxa"/>
          <w:left w:w="0" w:type="dxa"/>
          <w:bottom w:w="0" w:type="dxa"/>
          <w:right w:w="0" w:type="dxa"/>
        </w:tblCellMar>
      </w:tblPr>
      <w:tblGrid>
        <w:gridCol w:w="140"/>
        <w:gridCol w:w="7280"/>
      </w:tblGrid>
      <w:tr>
        <w:trPr/>
        <w:tc>
          <w:tcPr>
            <w:tcW w:w="140" w:type="dxa"/>
            <w:tcBorders/>
            <w:vAlign w:val="center"/>
          </w:tcPr>
          <w:p>
            <w:pPr>
              <w:pStyle w:val="TableContents"/>
              <w:bidi w:val="0"/>
              <w:spacing w:before="0" w:after="0"/>
              <w:jc w:val="left"/>
              <w:rPr>
                <w:color w:val="000000"/>
              </w:rPr>
            </w:pPr>
            <w:r>
              <w:rPr>
                <w:color w:val="000000"/>
              </w:rPr>
              <w:t>•</w:t>
            </w:r>
          </w:p>
        </w:tc>
        <w:tc>
          <w:tcPr>
            <w:tcW w:w="72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align incentives with shareholders’ focus on profitability and financial performance;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reflect the relevant decision-making impact of the individual and the impact of those decisions on the Company; and </w:t>
            </w:r>
          </w:p>
        </w:tc>
      </w:tr>
    </w:tbl>
    <w:tbl>
      <w:tblPr>
        <w:tblW w:w="5320" w:type="dxa"/>
        <w:jc w:val="left"/>
        <w:tblInd w:w="0" w:type="dxa"/>
        <w:tblLayout w:type="fixed"/>
        <w:tblCellMar>
          <w:top w:w="0" w:type="dxa"/>
          <w:left w:w="0" w:type="dxa"/>
          <w:bottom w:w="0" w:type="dxa"/>
          <w:right w:w="0" w:type="dxa"/>
        </w:tblCellMar>
      </w:tblPr>
      <w:tblGrid>
        <w:gridCol w:w="140"/>
        <w:gridCol w:w="5180"/>
      </w:tblGrid>
      <w:tr>
        <w:trPr/>
        <w:tc>
          <w:tcPr>
            <w:tcW w:w="140" w:type="dxa"/>
            <w:tcBorders/>
            <w:vAlign w:val="center"/>
          </w:tcPr>
          <w:p>
            <w:pPr>
              <w:pStyle w:val="TableContents"/>
              <w:bidi w:val="0"/>
              <w:spacing w:before="0" w:after="0"/>
              <w:jc w:val="left"/>
              <w:rPr>
                <w:color w:val="000000"/>
              </w:rPr>
            </w:pPr>
            <w:r>
              <w:rPr>
                <w:color w:val="000000"/>
              </w:rPr>
              <w:t>•</w:t>
            </w:r>
          </w:p>
        </w:tc>
        <w:tc>
          <w:tcPr>
            <w:tcW w:w="51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incentivize retention of key employees over the long term. </w:t>
            </w:r>
          </w:p>
        </w:tc>
      </w:tr>
    </w:tbl>
    <w:p>
      <w:pPr>
        <w:pStyle w:val="TextBody"/>
        <w:bidi w:val="0"/>
        <w:spacing w:before="21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Under the 2025 LTIP: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RSUs are scheduled to vest, subject to continued service, in approximately equal installments on the first three anniversaries of the date of grant;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PSUs are scheduled to vest on the three-year anniversary of the date of grant, subject to satisfaction of performance goals and continued service;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Three-year cumulative Adjusted EBITDA was selected as the performance metric for the PSUs based on several factors, including the following: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color w:val="000000"/>
              </w:rPr>
            </w:pPr>
            <w:r>
              <w:rPr>
                <w:color w:val="000000"/>
              </w:rPr>
              <w:t>○</w:t>
            </w:r>
          </w:p>
        </w:tc>
        <w:tc>
          <w:tcPr>
            <w:tcW w:w="1000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the Company’s Adjusted EBITDA has been strongly correlated to the Company’s long-term stock price performance; and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color w:val="000000"/>
              </w:rPr>
            </w:pPr>
            <w:r>
              <w:rPr>
                <w:color w:val="000000"/>
              </w:rPr>
              <w:t>○</w:t>
            </w:r>
          </w:p>
        </w:tc>
        <w:tc>
          <w:tcPr>
            <w:tcW w:w="1000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Adjusted EBITDA is a key measure of operational and financial performance driven by the Company’s strategy and widely understood within the Company and by the Company’s shareholders; and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color w:val="000000"/>
              </w:rPr>
            </w:pPr>
            <w:r>
              <w:rPr>
                <w:color w:val="000000"/>
              </w:rPr>
              <w:t>○</w:t>
            </w:r>
          </w:p>
        </w:tc>
        <w:tc>
          <w:tcPr>
            <w:tcW w:w="1000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although also used in our AIP, the metric as used for the PSUs measures sustained performance over a three-year period.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27</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5" w:name="ny20066167x1_def14a_106-executive_pg9"/>
        <w:bookmarkEnd w:id="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three-year cumulative Adjusted EBITDA goals are set forth below and were set during first quarter 2025. The target goal represents attainment of three-year Adjusted EBITDA during the performance period. The Adjusted EBITDA target goal was lower than the goals for the 2024 LTIP, but represented a significant increase over 2024 results. </w:t>
      </w:r>
    </w:p>
    <w:tbl>
      <w:tblPr>
        <w:tblW w:w="7050" w:type="dxa"/>
        <w:jc w:val="left"/>
        <w:tblInd w:w="0" w:type="dxa"/>
        <w:tblLayout w:type="fixed"/>
        <w:tblCellMar>
          <w:top w:w="0" w:type="dxa"/>
          <w:left w:w="0" w:type="dxa"/>
          <w:bottom w:w="0" w:type="dxa"/>
          <w:right w:w="0" w:type="dxa"/>
        </w:tblCellMar>
      </w:tblPr>
      <w:tblGrid>
        <w:gridCol w:w="185"/>
        <w:gridCol w:w="1550"/>
        <w:gridCol w:w="170"/>
        <w:gridCol w:w="170"/>
        <w:gridCol w:w="2570"/>
        <w:gridCol w:w="170"/>
        <w:gridCol w:w="170"/>
        <w:gridCol w:w="1850"/>
        <w:gridCol w:w="215"/>
      </w:tblGrid>
      <w:tr>
        <w:trPr/>
        <w:tc>
          <w:tcPr>
            <w:tcW w:w="185"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550" w:type="dxa"/>
            <w:tcBorders>
              <w:bottom w:val="single" w:sz="8" w:space="0" w:color="000000"/>
            </w:tcBorders>
            <w:tcMar>
              <w:bottom w:w="43" w:type="dxa"/>
            </w:tcM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Achievement Level</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570"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Payout Opportunity*</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(as a % of target units awarded)</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850"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Adjusted EBITDA Goal</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(in billions)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550" w:type="dxa"/>
            <w:tcBorders>
              <w:bottom w:val="single" w:sz="8" w:space="0" w:color="000000"/>
            </w:tcBorders>
            <w:shd w:fill="CCCCCC" w:val="clear"/>
            <w:tcMar>
              <w:bottom w:w="38"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Maximum</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2570" w:type="dxa"/>
            <w:tcBorders>
              <w:bottom w:val="single" w:sz="8" w:space="0" w:color="000000"/>
            </w:tcBorders>
            <w:shd w:fill="CCCCCC" w:val="clear"/>
            <w:tcMar>
              <w:bottom w:w="38" w:type="dxa"/>
            </w:tcMar>
            <w:vAlign w:val="center"/>
          </w:tcPr>
          <w:p>
            <w:pPr>
              <w:pStyle w:val="TableContents"/>
              <w:bidi w:val="0"/>
              <w:spacing w:before="0" w:after="283"/>
              <w:ind w:left="1053" w:right="0" w:hanging="0"/>
              <w:jc w:val="left"/>
              <w:rPr>
                <w:rFonts w:ascii="Arial;Helvetica;sans-serif" w:hAnsi="Arial;Helvetica;sans-serif"/>
                <w:color w:val="000000"/>
                <w:sz w:val="20"/>
              </w:rPr>
            </w:pPr>
            <w:r>
              <w:rPr>
                <w:rFonts w:ascii="Arial;Helvetica;sans-serif" w:hAnsi="Arial;Helvetica;sans-serif"/>
                <w:color w:val="000000"/>
                <w:sz w:val="20"/>
              </w:rPr>
              <w:t>150%</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850" w:type="dxa"/>
            <w:tcBorders>
              <w:bottom w:val="single" w:sz="8" w:space="0" w:color="000000"/>
            </w:tcBorders>
            <w:shd w:fill="CCCCCC" w:val="clear"/>
            <w:tcMar>
              <w:bottom w:w="38" w:type="dxa"/>
            </w:tcMar>
            <w:vAlign w:val="center"/>
          </w:tcPr>
          <w:p>
            <w:pPr>
              <w:pStyle w:val="TableContents"/>
              <w:bidi w:val="0"/>
              <w:spacing w:before="0" w:after="283"/>
              <w:ind w:left="970" w:right="0" w:hanging="0"/>
              <w:jc w:val="left"/>
              <w:rPr>
                <w:rFonts w:ascii="Arial;Helvetica;sans-serif" w:hAnsi="Arial;Helvetica;sans-serif"/>
                <w:color w:val="000000"/>
                <w:sz w:val="20"/>
              </w:rPr>
            </w:pPr>
            <w:r>
              <w:rPr>
                <w:rFonts w:ascii="Arial;Helvetica;sans-serif" w:hAnsi="Arial;Helvetica;sans-serif"/>
                <w:color w:val="000000"/>
                <w:sz w:val="20"/>
              </w:rPr>
              <w:t xml:space="preserve">$5.04 </w:t>
            </w:r>
          </w:p>
        </w:tc>
        <w:tc>
          <w:tcPr>
            <w:tcW w:w="21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550" w:type="dxa"/>
            <w:tcBorders>
              <w:bottom w:val="single" w:sz="8" w:space="0" w:color="000000"/>
            </w:tcBorders>
            <w:tcMar>
              <w:bottom w:w="38"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Target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570" w:type="dxa"/>
            <w:tcBorders>
              <w:bottom w:val="single" w:sz="8" w:space="0" w:color="000000"/>
            </w:tcBorders>
            <w:tcMar>
              <w:bottom w:w="38" w:type="dxa"/>
            </w:tcMar>
            <w:vAlign w:val="center"/>
          </w:tcPr>
          <w:p>
            <w:pPr>
              <w:pStyle w:val="TableContents"/>
              <w:bidi w:val="0"/>
              <w:spacing w:before="0" w:after="283"/>
              <w:ind w:left="1053" w:right="0" w:hanging="0"/>
              <w:jc w:val="left"/>
              <w:rPr>
                <w:rFonts w:ascii="Arial;Helvetica;sans-serif" w:hAnsi="Arial;Helvetica;sans-serif"/>
                <w:color w:val="000000"/>
                <w:sz w:val="20"/>
              </w:rPr>
            </w:pPr>
            <w:r>
              <w:rPr>
                <w:rFonts w:ascii="Arial;Helvetica;sans-serif" w:hAnsi="Arial;Helvetica;sans-serif"/>
                <w:color w:val="000000"/>
                <w:sz w:val="20"/>
              </w:rPr>
              <w:t>100%</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850" w:type="dxa"/>
            <w:tcBorders>
              <w:bottom w:val="single" w:sz="8" w:space="0" w:color="000000"/>
            </w:tcBorders>
            <w:tcMar>
              <w:bottom w:w="38" w:type="dxa"/>
            </w:tcMar>
            <w:vAlign w:val="center"/>
          </w:tcPr>
          <w:p>
            <w:pPr>
              <w:pStyle w:val="TableContents"/>
              <w:bidi w:val="0"/>
              <w:spacing w:before="0" w:after="283"/>
              <w:ind w:left="970" w:right="0" w:hanging="0"/>
              <w:jc w:val="left"/>
              <w:rPr>
                <w:rFonts w:ascii="Arial;Helvetica;sans-serif" w:hAnsi="Arial;Helvetica;sans-serif"/>
                <w:color w:val="000000"/>
                <w:sz w:val="20"/>
              </w:rPr>
            </w:pPr>
            <w:r>
              <w:rPr>
                <w:rFonts w:ascii="Arial;Helvetica;sans-serif" w:hAnsi="Arial;Helvetica;sans-serif"/>
                <w:color w:val="000000"/>
                <w:sz w:val="20"/>
              </w:rPr>
              <w:t xml:space="preserve">$4.20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shd w:fill="CCCCCC" w:val="clear"/>
            <w:vAlign w:val="center"/>
          </w:tcPr>
          <w:p>
            <w:pPr>
              <w:pStyle w:val="TableContents"/>
              <w:bidi w:val="0"/>
              <w:spacing w:before="0" w:after="0"/>
              <w:jc w:val="left"/>
              <w:rPr/>
            </w:pPr>
            <w:r>
              <w:rPr/>
              <w:t> </w:t>
            </w:r>
          </w:p>
        </w:tc>
        <w:tc>
          <w:tcPr>
            <w:tcW w:w="1550" w:type="dxa"/>
            <w:tcBorders/>
            <w:shd w:fill="CCCCCC" w:val="cle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Threshold</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2570" w:type="dxa"/>
            <w:tcBorders/>
            <w:shd w:fill="CCCCCC" w:val="clear"/>
            <w:vAlign w:val="center"/>
          </w:tcPr>
          <w:p>
            <w:pPr>
              <w:pStyle w:val="TableContents"/>
              <w:bidi w:val="0"/>
              <w:spacing w:before="0" w:after="283"/>
              <w:ind w:left="1053" w:right="0" w:hanging="0"/>
              <w:jc w:val="left"/>
              <w:rPr>
                <w:rFonts w:ascii="Arial;Helvetica;sans-serif" w:hAnsi="Arial;Helvetica;sans-serif"/>
                <w:color w:val="000000"/>
                <w:sz w:val="20"/>
              </w:rPr>
            </w:pPr>
            <w:r>
              <w:rPr>
                <w:rFonts w:ascii="Arial;Helvetica;sans-serif" w:hAnsi="Arial;Helvetica;sans-serif"/>
                <w:color w:val="000000"/>
                <w:sz w:val="20"/>
              </w:rPr>
              <w:t>50%</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850" w:type="dxa"/>
            <w:tcBorders/>
            <w:shd w:fill="CCCCCC" w:val="clear"/>
            <w:vAlign w:val="center"/>
          </w:tcPr>
          <w:p>
            <w:pPr>
              <w:pStyle w:val="TableContents"/>
              <w:bidi w:val="0"/>
              <w:spacing w:before="0" w:after="283"/>
              <w:ind w:left="970" w:right="0" w:hanging="0"/>
              <w:jc w:val="left"/>
              <w:rPr>
                <w:rFonts w:ascii="Arial;Helvetica;sans-serif" w:hAnsi="Arial;Helvetica;sans-serif"/>
                <w:color w:val="000000"/>
                <w:sz w:val="20"/>
              </w:rPr>
            </w:pPr>
            <w:r>
              <w:rPr>
                <w:rFonts w:ascii="Arial;Helvetica;sans-serif" w:hAnsi="Arial;Helvetica;sans-serif"/>
                <w:color w:val="000000"/>
                <w:sz w:val="20"/>
              </w:rPr>
              <w:t>$3.36</w:t>
            </w:r>
          </w:p>
        </w:tc>
        <w:tc>
          <w:tcPr>
            <w:tcW w:w="215" w:type="dxa"/>
            <w:tcBorders/>
            <w:shd w:fill="CCCCCC" w:val="clear"/>
            <w:vAlign w:val="center"/>
          </w:tcPr>
          <w:p>
            <w:pPr>
              <w:pStyle w:val="TableContents"/>
              <w:bidi w:val="0"/>
              <w:spacing w:before="0" w:after="0"/>
              <w:jc w:val="left"/>
              <w:rPr/>
            </w:pPr>
            <w:r>
              <w:rPr/>
              <w:t> </w:t>
            </w:r>
          </w:p>
        </w:tc>
      </w:tr>
      <w:tr>
        <w:trPr/>
        <w:tc>
          <w:tcPr>
            <w:tcW w:w="185" w:type="dxa"/>
            <w:tcBorders/>
            <w:shd w:fill="CCCCCC" w:val="clear"/>
            <w:vAlign w:val="center"/>
          </w:tcPr>
          <w:p>
            <w:pPr>
              <w:pStyle w:val="TableContents"/>
              <w:bidi w:val="0"/>
              <w:spacing w:before="0" w:after="0"/>
              <w:jc w:val="left"/>
              <w:rPr/>
            </w:pPr>
            <w:r>
              <w:rPr/>
              <w:t> </w:t>
            </w:r>
          </w:p>
        </w:tc>
        <w:tc>
          <w:tcPr>
            <w:tcW w:w="155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25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850" w:type="dxa"/>
            <w:tcBorders/>
            <w:shd w:fill="CCCCCC" w:val="clear"/>
            <w:vAlign w:val="center"/>
          </w:tcPr>
          <w:p>
            <w:pPr>
              <w:pStyle w:val="TableContents"/>
              <w:bidi w:val="0"/>
              <w:spacing w:before="0" w:after="0"/>
              <w:jc w:val="left"/>
              <w:rPr/>
            </w:pPr>
            <w:r>
              <w:rPr/>
              <w:t> </w:t>
            </w:r>
          </w:p>
        </w:tc>
        <w:tc>
          <w:tcPr>
            <w:tcW w:w="215" w:type="dxa"/>
            <w:tcBorders/>
            <w:shd w:fill="CCCCCC" w:val="clear"/>
            <w:vAlign w:val="center"/>
          </w:tcPr>
          <w:p>
            <w:pPr>
              <w:pStyle w:val="TableContents"/>
              <w:bidi w:val="0"/>
              <w:spacing w:before="0" w:after="0"/>
              <w:jc w:val="left"/>
              <w:rPr/>
            </w:pPr>
            <w:r>
              <w:rPr/>
              <w:t> </w:t>
            </w:r>
          </w:p>
        </w:tc>
      </w:tr>
    </w:tbl>
    <w:tbl>
      <w:tblPr>
        <w:tblW w:w="6895" w:type="dxa"/>
        <w:jc w:val="left"/>
        <w:tblInd w:w="0" w:type="dxa"/>
        <w:tblLayout w:type="fixed"/>
        <w:tblCellMar>
          <w:top w:w="0" w:type="dxa"/>
          <w:left w:w="0" w:type="dxa"/>
          <w:bottom w:w="0" w:type="dxa"/>
          <w:right w:w="0" w:type="dxa"/>
        </w:tblCellMar>
      </w:tblPr>
      <w:tblGrid>
        <w:gridCol w:w="110"/>
        <w:gridCol w:w="6785"/>
      </w:tblGrid>
      <w:tr>
        <w:trPr/>
        <w:tc>
          <w:tcPr>
            <w:tcW w:w="11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w:t>
            </w:r>
          </w:p>
        </w:tc>
        <w:tc>
          <w:tcPr>
            <w:tcW w:w="678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Straight-line interpolation is used to determine payout between specified achievement levels. </w:t>
            </w:r>
          </w:p>
        </w:tc>
      </w:tr>
    </w:tbl>
    <w:p>
      <w:pPr>
        <w:pStyle w:val="TextBody"/>
        <w:bidi w:val="0"/>
        <w:spacing w:before="400" w:after="283"/>
        <w:ind w:left="0" w:right="0" w:hanging="0"/>
        <w:jc w:val="left"/>
        <w:rPr>
          <w:rFonts w:ascii="Arial;Helvetica;sans-serif" w:hAnsi="Arial;Helvetica;sans-serif"/>
          <w:i/>
          <w:color w:val="000000"/>
          <w:sz w:val="20"/>
        </w:rPr>
      </w:pPr>
      <w:r>
        <w:rPr>
          <w:rFonts w:ascii="Arial;Helvetica;sans-serif" w:hAnsi="Arial;Helvetica;sans-serif"/>
          <w:i/>
          <w:color w:val="000000"/>
          <w:sz w:val="20"/>
        </w:rPr>
        <w:t>2025 LTIP Tranche 2</w:t>
      </w:r>
      <w:r>
        <w:rPr>
          <w:rFonts w:ascii="Arial;Helvetica;sans-serif" w:hAnsi="Arial;Helvetica;sans-serif"/>
          <w:i/>
          <w:caps w:val="false"/>
          <w:smallCaps w:val="false"/>
          <w:color w:val="000000"/>
          <w:sz w:val="20"/>
        </w:rPr>
        <w:t xml:space="preserve">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Committee believes that it is important to retain the flexibility to take special considerations into account to ensure we are meeting our executive compensation goals, to improve retention and to increase the amount of compensation tied directly to performance. As a result, in 2025, the Committee approved a supplemental tranche of LTIP awards for our executive team. In addition to the factors considered for the 2025 LTIP in general described above, the Committee took into account factors such as our management transition, our strategic goals, and our commitment to improving performance. The Committee approved these supplemental awards solely in the form of PSUs, but with a two-year performance period, which the Committee believed was important to differ from our annual awards and to focus on both retention and shorter-term improved performance. Given the shorter performance timeframe, the maximum payout is 100% of target. The individual award amounts were generally tied to a percentage of prior annual grants. </w:t>
      </w:r>
    </w:p>
    <w:tbl>
      <w:tblPr>
        <w:tblW w:w="7515" w:type="dxa"/>
        <w:jc w:val="left"/>
        <w:tblInd w:w="0" w:type="dxa"/>
        <w:tblLayout w:type="fixed"/>
        <w:tblCellMar>
          <w:top w:w="0" w:type="dxa"/>
          <w:left w:w="0" w:type="dxa"/>
          <w:bottom w:w="0" w:type="dxa"/>
          <w:right w:w="0" w:type="dxa"/>
        </w:tblCellMar>
      </w:tblPr>
      <w:tblGrid>
        <w:gridCol w:w="185"/>
        <w:gridCol w:w="2015"/>
        <w:gridCol w:w="170"/>
        <w:gridCol w:w="170"/>
        <w:gridCol w:w="2570"/>
        <w:gridCol w:w="170"/>
        <w:gridCol w:w="170"/>
        <w:gridCol w:w="1850"/>
        <w:gridCol w:w="215"/>
      </w:tblGrid>
      <w:tr>
        <w:trPr/>
        <w:tc>
          <w:tcPr>
            <w:tcW w:w="185"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015" w:type="dxa"/>
            <w:tcBorders>
              <w:bottom w:val="single" w:sz="8" w:space="0" w:color="000000"/>
            </w:tcBorders>
            <w:tcMar>
              <w:bottom w:w="43" w:type="dxa"/>
            </w:tcM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Achievement Level</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570"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Payout Opportunity*</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(as a % of target units awarded)</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850"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Adjusted EBITDA Goal</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(in billions)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2015" w:type="dxa"/>
            <w:tcBorders>
              <w:bottom w:val="single" w:sz="8" w:space="0" w:color="000000"/>
            </w:tcBorders>
            <w:shd w:fill="CCCCCC" w:val="clear"/>
            <w:tcMar>
              <w:bottom w:w="38"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Target (and Maximum)</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2570" w:type="dxa"/>
            <w:tcBorders>
              <w:bottom w:val="single" w:sz="8" w:space="0" w:color="000000"/>
            </w:tcBorders>
            <w:shd w:fill="CCCCCC" w:val="clear"/>
            <w:tcMar>
              <w:bottom w:w="38" w:type="dxa"/>
            </w:tcMar>
            <w:vAlign w:val="center"/>
          </w:tcPr>
          <w:p>
            <w:pPr>
              <w:pStyle w:val="TableContents"/>
              <w:bidi w:val="0"/>
              <w:spacing w:before="0" w:after="283"/>
              <w:ind w:left="1053" w:right="0" w:hanging="0"/>
              <w:jc w:val="left"/>
              <w:rPr>
                <w:rFonts w:ascii="Arial;Helvetica;sans-serif" w:hAnsi="Arial;Helvetica;sans-serif"/>
                <w:color w:val="000000"/>
                <w:sz w:val="20"/>
              </w:rPr>
            </w:pPr>
            <w:r>
              <w:rPr>
                <w:rFonts w:ascii="Arial;Helvetica;sans-serif" w:hAnsi="Arial;Helvetica;sans-serif"/>
                <w:color w:val="000000"/>
                <w:sz w:val="20"/>
              </w:rPr>
              <w:t>100%</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850" w:type="dxa"/>
            <w:tcBorders>
              <w:bottom w:val="single" w:sz="8" w:space="0" w:color="000000"/>
            </w:tcBorders>
            <w:shd w:fill="CCCCCC" w:val="clear"/>
            <w:tcMar>
              <w:bottom w:w="38" w:type="dxa"/>
            </w:tcMar>
            <w:vAlign w:val="center"/>
          </w:tcPr>
          <w:p>
            <w:pPr>
              <w:pStyle w:val="TableContents"/>
              <w:bidi w:val="0"/>
              <w:spacing w:before="0" w:after="283"/>
              <w:ind w:left="1026" w:right="0" w:hanging="0"/>
              <w:jc w:val="left"/>
              <w:rPr>
                <w:rFonts w:ascii="Arial;Helvetica;sans-serif" w:hAnsi="Arial;Helvetica;sans-serif"/>
                <w:color w:val="000000"/>
                <w:sz w:val="20"/>
              </w:rPr>
            </w:pPr>
            <w:r>
              <w:rPr>
                <w:rFonts w:ascii="Arial;Helvetica;sans-serif" w:hAnsi="Arial;Helvetica;sans-serif"/>
                <w:color w:val="000000"/>
                <w:sz w:val="20"/>
              </w:rPr>
              <w:t xml:space="preserve">$2.5 </w:t>
            </w:r>
          </w:p>
        </w:tc>
        <w:tc>
          <w:tcPr>
            <w:tcW w:w="21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Threshold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70" w:type="dxa"/>
            <w:tcBorders/>
            <w:vAlign w:val="center"/>
          </w:tcPr>
          <w:p>
            <w:pPr>
              <w:pStyle w:val="TableContents"/>
              <w:bidi w:val="0"/>
              <w:spacing w:before="0" w:after="283"/>
              <w:ind w:left="1053" w:right="0" w:hanging="0"/>
              <w:jc w:val="left"/>
              <w:rPr>
                <w:rFonts w:ascii="Arial;Helvetica;sans-serif" w:hAnsi="Arial;Helvetica;sans-serif"/>
                <w:color w:val="000000"/>
                <w:sz w:val="20"/>
              </w:rPr>
            </w:pPr>
            <w:r>
              <w:rPr>
                <w:rFonts w:ascii="Arial;Helvetica;sans-serif" w:hAnsi="Arial;Helvetica;sans-serif"/>
                <w:color w:val="000000"/>
                <w:sz w:val="20"/>
              </w:rPr>
              <w:t>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283"/>
              <w:ind w:left="1026" w:right="0" w:hanging="0"/>
              <w:jc w:val="left"/>
              <w:rPr>
                <w:rFonts w:ascii="Arial;Helvetica;sans-serif" w:hAnsi="Arial;Helvetica;sans-serif"/>
                <w:color w:val="000000"/>
                <w:sz w:val="20"/>
              </w:rPr>
            </w:pPr>
            <w:r>
              <w:rPr>
                <w:rFonts w:ascii="Arial;Helvetica;sans-serif" w:hAnsi="Arial;Helvetica;sans-serif"/>
                <w:color w:val="000000"/>
                <w:sz w:val="20"/>
              </w:rPr>
              <w:t>$2.0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6895" w:type="dxa"/>
        <w:jc w:val="left"/>
        <w:tblInd w:w="0" w:type="dxa"/>
        <w:tblLayout w:type="fixed"/>
        <w:tblCellMar>
          <w:top w:w="0" w:type="dxa"/>
          <w:left w:w="0" w:type="dxa"/>
          <w:bottom w:w="0" w:type="dxa"/>
          <w:right w:w="0" w:type="dxa"/>
        </w:tblCellMar>
      </w:tblPr>
      <w:tblGrid>
        <w:gridCol w:w="110"/>
        <w:gridCol w:w="6785"/>
      </w:tblGrid>
      <w:tr>
        <w:trPr/>
        <w:tc>
          <w:tcPr>
            <w:tcW w:w="11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w:t>
            </w:r>
          </w:p>
        </w:tc>
        <w:tc>
          <w:tcPr>
            <w:tcW w:w="678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Straight-line interpolation is used to determine payout between specified achievement levels. </w:t>
            </w:r>
          </w:p>
        </w:tc>
      </w:tr>
    </w:tbl>
    <w:p>
      <w:pPr>
        <w:pStyle w:val="TextBody"/>
        <w:bidi w:val="0"/>
        <w:spacing w:before="390" w:after="283"/>
        <w:ind w:left="0" w:right="0" w:hanging="0"/>
        <w:jc w:val="left"/>
        <w:rPr>
          <w:rFonts w:ascii="Arial;Helvetica;sans-serif" w:hAnsi="Arial;Helvetica;sans-serif"/>
          <w:i/>
          <w:color w:val="000000"/>
          <w:sz w:val="20"/>
        </w:rPr>
      </w:pPr>
      <w:r>
        <w:rPr>
          <w:rFonts w:ascii="Arial;Helvetica;sans-serif" w:hAnsi="Arial;Helvetica;sans-serif"/>
          <w:i/>
          <w:color w:val="000000"/>
          <w:sz w:val="20"/>
        </w:rPr>
        <w:t>Outgoing CEO LTIP Award</w:t>
      </w:r>
      <w:r>
        <w:rPr>
          <w:rFonts w:ascii="Arial;Helvetica;sans-serif" w:hAnsi="Arial;Helvetica;sans-serif"/>
          <w:i/>
          <w:caps w:val="false"/>
          <w:smallCaps w:val="false"/>
          <w:color w:val="000000"/>
          <w:sz w:val="20"/>
        </w:rPr>
        <w:t xml:space="preserve">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As part of considering the appropriate incentives for Mr. Ferraro in early 2025 after announcement of his expected transition away from the CEO role mid-year to an advisor role, the Committee wanted to ensure that any LTIP award for Mr. Ferraro in 2025 reflected this transitional role through the end of 2025, mostly tied to performance. As a result, he received an award split 32% RSUs vesting over one year and 68% PSUs, with the PSUs based on Adjusted EBITDA goals for 2025 only. The Committee believed that a shorter-term equity award was important to successfully complete the transition and encourage Mr. Ferraro’s continued focus on our performance. The different goals from the annual LTIP awards above reflected the fact that this was for a one-year period rather than the normal three-year period. The threshold PSU goals for 2025 were not met and so the PSUs were forfeited in full. </w:t>
      </w:r>
    </w:p>
    <w:tbl>
      <w:tblPr>
        <w:tblW w:w="7050" w:type="dxa"/>
        <w:jc w:val="left"/>
        <w:tblInd w:w="0" w:type="dxa"/>
        <w:tblLayout w:type="fixed"/>
        <w:tblCellMar>
          <w:top w:w="0" w:type="dxa"/>
          <w:left w:w="0" w:type="dxa"/>
          <w:bottom w:w="0" w:type="dxa"/>
          <w:right w:w="0" w:type="dxa"/>
        </w:tblCellMar>
      </w:tblPr>
      <w:tblGrid>
        <w:gridCol w:w="185"/>
        <w:gridCol w:w="1550"/>
        <w:gridCol w:w="170"/>
        <w:gridCol w:w="170"/>
        <w:gridCol w:w="2570"/>
        <w:gridCol w:w="170"/>
        <w:gridCol w:w="170"/>
        <w:gridCol w:w="1850"/>
        <w:gridCol w:w="215"/>
      </w:tblGrid>
      <w:tr>
        <w:trPr/>
        <w:tc>
          <w:tcPr>
            <w:tcW w:w="185" w:type="dxa"/>
            <w:tcBorders/>
            <w:vAlign w:val="center"/>
          </w:tcPr>
          <w:p>
            <w:pPr>
              <w:pStyle w:val="TableContents"/>
              <w:bidi w:val="0"/>
              <w:spacing w:before="0" w:after="0"/>
              <w:jc w:val="left"/>
              <w:rPr/>
            </w:pPr>
            <w:r>
              <w:rPr/>
              <w:t> </w:t>
            </w:r>
          </w:p>
        </w:tc>
        <w:tc>
          <w:tcPr>
            <w:tcW w:w="15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5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550" w:type="dxa"/>
            <w:tcBorders>
              <w:bottom w:val="single" w:sz="8" w:space="0" w:color="000000"/>
            </w:tcBorders>
            <w:tcMar>
              <w:bottom w:w="43" w:type="dxa"/>
            </w:tcM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Achievement Level</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570"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Payout Opportunity*</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(as a % of target units awarded)</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850"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Adjusted EBITDA Goal</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(in billions)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550" w:type="dxa"/>
            <w:tcBorders>
              <w:bottom w:val="single" w:sz="8" w:space="0" w:color="000000"/>
            </w:tcBorders>
            <w:shd w:fill="CCCCCC" w:val="clear"/>
            <w:tcMar>
              <w:bottom w:w="38"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Maximum</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2570" w:type="dxa"/>
            <w:tcBorders>
              <w:bottom w:val="single" w:sz="8" w:space="0" w:color="000000"/>
            </w:tcBorders>
            <w:shd w:fill="CCCCCC" w:val="clear"/>
            <w:tcMar>
              <w:bottom w:w="38" w:type="dxa"/>
            </w:tcMar>
            <w:vAlign w:val="center"/>
          </w:tcPr>
          <w:p>
            <w:pPr>
              <w:pStyle w:val="TableContents"/>
              <w:bidi w:val="0"/>
              <w:spacing w:before="0" w:after="283"/>
              <w:ind w:left="1053" w:right="0" w:hanging="0"/>
              <w:jc w:val="left"/>
              <w:rPr>
                <w:rFonts w:ascii="Arial;Helvetica;sans-serif" w:hAnsi="Arial;Helvetica;sans-serif"/>
                <w:color w:val="000000"/>
                <w:sz w:val="20"/>
              </w:rPr>
            </w:pPr>
            <w:r>
              <w:rPr>
                <w:rFonts w:ascii="Arial;Helvetica;sans-serif" w:hAnsi="Arial;Helvetica;sans-serif"/>
                <w:color w:val="000000"/>
                <w:sz w:val="20"/>
              </w:rPr>
              <w:t>150%</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850" w:type="dxa"/>
            <w:tcBorders>
              <w:bottom w:val="single" w:sz="8" w:space="0" w:color="000000"/>
            </w:tcBorders>
            <w:shd w:fill="CCCCCC" w:val="clear"/>
            <w:tcMar>
              <w:bottom w:w="38" w:type="dxa"/>
            </w:tcMar>
            <w:vAlign w:val="center"/>
          </w:tcPr>
          <w:p>
            <w:pPr>
              <w:pStyle w:val="TableContents"/>
              <w:bidi w:val="0"/>
              <w:spacing w:before="0" w:after="283"/>
              <w:ind w:left="970" w:right="0" w:hanging="0"/>
              <w:jc w:val="left"/>
              <w:rPr>
                <w:rFonts w:ascii="Arial;Helvetica;sans-serif" w:hAnsi="Arial;Helvetica;sans-serif"/>
                <w:color w:val="000000"/>
                <w:sz w:val="20"/>
              </w:rPr>
            </w:pPr>
            <w:r>
              <w:rPr>
                <w:rFonts w:ascii="Arial;Helvetica;sans-serif" w:hAnsi="Arial;Helvetica;sans-serif"/>
                <w:color w:val="000000"/>
                <w:sz w:val="20"/>
              </w:rPr>
              <w:t xml:space="preserve">$1.32 </w:t>
            </w:r>
          </w:p>
        </w:tc>
        <w:tc>
          <w:tcPr>
            <w:tcW w:w="21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550" w:type="dxa"/>
            <w:tcBorders>
              <w:bottom w:val="single" w:sz="8" w:space="0" w:color="000000"/>
            </w:tcBorders>
            <w:tcMar>
              <w:bottom w:w="38"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Target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570" w:type="dxa"/>
            <w:tcBorders>
              <w:bottom w:val="single" w:sz="8" w:space="0" w:color="000000"/>
            </w:tcBorders>
            <w:tcMar>
              <w:bottom w:w="38" w:type="dxa"/>
            </w:tcMar>
            <w:vAlign w:val="center"/>
          </w:tcPr>
          <w:p>
            <w:pPr>
              <w:pStyle w:val="TableContents"/>
              <w:bidi w:val="0"/>
              <w:spacing w:before="0" w:after="283"/>
              <w:ind w:left="1053" w:right="0" w:hanging="0"/>
              <w:jc w:val="left"/>
              <w:rPr>
                <w:rFonts w:ascii="Arial;Helvetica;sans-serif" w:hAnsi="Arial;Helvetica;sans-serif"/>
                <w:color w:val="000000"/>
                <w:sz w:val="20"/>
              </w:rPr>
            </w:pPr>
            <w:r>
              <w:rPr>
                <w:rFonts w:ascii="Arial;Helvetica;sans-serif" w:hAnsi="Arial;Helvetica;sans-serif"/>
                <w:color w:val="000000"/>
                <w:sz w:val="20"/>
              </w:rPr>
              <w:t>100%</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850" w:type="dxa"/>
            <w:tcBorders>
              <w:bottom w:val="single" w:sz="8" w:space="0" w:color="000000"/>
            </w:tcBorders>
            <w:tcMar>
              <w:bottom w:w="38" w:type="dxa"/>
            </w:tcMar>
            <w:vAlign w:val="center"/>
          </w:tcPr>
          <w:p>
            <w:pPr>
              <w:pStyle w:val="TableContents"/>
              <w:bidi w:val="0"/>
              <w:spacing w:before="0" w:after="283"/>
              <w:ind w:left="970" w:right="0" w:hanging="0"/>
              <w:jc w:val="left"/>
              <w:rPr>
                <w:rFonts w:ascii="Arial;Helvetica;sans-serif" w:hAnsi="Arial;Helvetica;sans-serif"/>
                <w:color w:val="000000"/>
                <w:sz w:val="20"/>
              </w:rPr>
            </w:pPr>
            <w:r>
              <w:rPr>
                <w:rFonts w:ascii="Arial;Helvetica;sans-serif" w:hAnsi="Arial;Helvetica;sans-serif"/>
                <w:color w:val="000000"/>
                <w:sz w:val="20"/>
              </w:rPr>
              <w:t xml:space="preserve">$1.1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shd w:fill="CCCCCC" w:val="clear"/>
            <w:vAlign w:val="center"/>
          </w:tcPr>
          <w:p>
            <w:pPr>
              <w:pStyle w:val="TableContents"/>
              <w:bidi w:val="0"/>
              <w:spacing w:before="0" w:after="0"/>
              <w:jc w:val="left"/>
              <w:rPr/>
            </w:pPr>
            <w:r>
              <w:rPr/>
              <w:t> </w:t>
            </w:r>
          </w:p>
        </w:tc>
        <w:tc>
          <w:tcPr>
            <w:tcW w:w="1550" w:type="dxa"/>
            <w:tcBorders/>
            <w:shd w:fill="CCCCCC" w:val="cle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Threshold</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2570" w:type="dxa"/>
            <w:tcBorders/>
            <w:shd w:fill="CCCCCC" w:val="clear"/>
            <w:vAlign w:val="center"/>
          </w:tcPr>
          <w:p>
            <w:pPr>
              <w:pStyle w:val="TableContents"/>
              <w:bidi w:val="0"/>
              <w:spacing w:before="0" w:after="283"/>
              <w:ind w:left="1053" w:right="0" w:hanging="0"/>
              <w:jc w:val="left"/>
              <w:rPr>
                <w:rFonts w:ascii="Arial;Helvetica;sans-serif" w:hAnsi="Arial;Helvetica;sans-serif"/>
                <w:color w:val="000000"/>
                <w:sz w:val="20"/>
              </w:rPr>
            </w:pPr>
            <w:r>
              <w:rPr>
                <w:rFonts w:ascii="Arial;Helvetica;sans-serif" w:hAnsi="Arial;Helvetica;sans-serif"/>
                <w:color w:val="000000"/>
                <w:sz w:val="20"/>
              </w:rPr>
              <w:t>50%</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850" w:type="dxa"/>
            <w:tcBorders/>
            <w:shd w:fill="CCCCCC" w:val="clear"/>
            <w:vAlign w:val="center"/>
          </w:tcPr>
          <w:p>
            <w:pPr>
              <w:pStyle w:val="TableContents"/>
              <w:bidi w:val="0"/>
              <w:spacing w:before="0" w:after="283"/>
              <w:ind w:left="97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.88</w:t>
            </w:r>
          </w:p>
        </w:tc>
        <w:tc>
          <w:tcPr>
            <w:tcW w:w="215" w:type="dxa"/>
            <w:tcBorders/>
            <w:shd w:fill="CCCCCC" w:val="clear"/>
            <w:vAlign w:val="center"/>
          </w:tcPr>
          <w:p>
            <w:pPr>
              <w:pStyle w:val="TableContents"/>
              <w:bidi w:val="0"/>
              <w:spacing w:before="0" w:after="0"/>
              <w:jc w:val="left"/>
              <w:rPr/>
            </w:pPr>
            <w:r>
              <w:rPr/>
              <w:t> </w:t>
            </w:r>
          </w:p>
        </w:tc>
      </w:tr>
      <w:tr>
        <w:trPr/>
        <w:tc>
          <w:tcPr>
            <w:tcW w:w="185" w:type="dxa"/>
            <w:tcBorders/>
            <w:shd w:fill="CCCCCC" w:val="clear"/>
            <w:vAlign w:val="center"/>
          </w:tcPr>
          <w:p>
            <w:pPr>
              <w:pStyle w:val="TableContents"/>
              <w:bidi w:val="0"/>
              <w:spacing w:before="0" w:after="0"/>
              <w:jc w:val="left"/>
              <w:rPr/>
            </w:pPr>
            <w:r>
              <w:rPr/>
              <w:t> </w:t>
            </w:r>
          </w:p>
        </w:tc>
        <w:tc>
          <w:tcPr>
            <w:tcW w:w="155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25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850" w:type="dxa"/>
            <w:tcBorders/>
            <w:shd w:fill="CCCCCC" w:val="clear"/>
            <w:vAlign w:val="center"/>
          </w:tcPr>
          <w:p>
            <w:pPr>
              <w:pStyle w:val="TableContents"/>
              <w:bidi w:val="0"/>
              <w:spacing w:before="0" w:after="0"/>
              <w:jc w:val="left"/>
              <w:rPr/>
            </w:pPr>
            <w:r>
              <w:rPr/>
              <w:t> </w:t>
            </w:r>
          </w:p>
        </w:tc>
        <w:tc>
          <w:tcPr>
            <w:tcW w:w="215" w:type="dxa"/>
            <w:tcBorders/>
            <w:shd w:fill="CCCCCC" w:val="clear"/>
            <w:vAlign w:val="center"/>
          </w:tcPr>
          <w:p>
            <w:pPr>
              <w:pStyle w:val="TableContents"/>
              <w:bidi w:val="0"/>
              <w:spacing w:before="0" w:after="0"/>
              <w:jc w:val="left"/>
              <w:rPr/>
            </w:pPr>
            <w:r>
              <w:rPr/>
              <w:t> </w:t>
            </w:r>
          </w:p>
        </w:tc>
      </w:tr>
    </w:tbl>
    <w:tbl>
      <w:tblPr>
        <w:tblW w:w="6895" w:type="dxa"/>
        <w:jc w:val="left"/>
        <w:tblInd w:w="0" w:type="dxa"/>
        <w:tblLayout w:type="fixed"/>
        <w:tblCellMar>
          <w:top w:w="0" w:type="dxa"/>
          <w:left w:w="0" w:type="dxa"/>
          <w:bottom w:w="0" w:type="dxa"/>
          <w:right w:w="0" w:type="dxa"/>
        </w:tblCellMar>
      </w:tblPr>
      <w:tblGrid>
        <w:gridCol w:w="110"/>
        <w:gridCol w:w="6785"/>
      </w:tblGrid>
      <w:tr>
        <w:trPr/>
        <w:tc>
          <w:tcPr>
            <w:tcW w:w="11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w:t>
            </w:r>
          </w:p>
        </w:tc>
        <w:tc>
          <w:tcPr>
            <w:tcW w:w="678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Straight-line interpolation is used to determine payout between specified achievement levels. </w:t>
            </w:r>
          </w:p>
        </w:tc>
      </w:tr>
    </w:tbl>
    <w:p>
      <w:pPr>
        <w:pStyle w:val="TextBody"/>
        <w:bidi w:val="0"/>
        <w:spacing w:before="230" w:after="283"/>
        <w:ind w:left="0" w:right="0" w:hanging="0"/>
        <w:jc w:val="left"/>
        <w:rPr>
          <w:rFonts w:ascii="Arial;Helvetica;sans-serif" w:hAnsi="Arial;Helvetica;sans-serif"/>
          <w:b/>
          <w:color w:val="000000"/>
          <w:sz w:val="24"/>
        </w:rPr>
      </w:pPr>
      <w:r>
        <w:rPr>
          <w:rFonts w:ascii="Arial;Helvetica;sans-serif" w:hAnsi="Arial;Helvetica;sans-serif"/>
          <w:b/>
          <w:color w:val="000000"/>
          <w:sz w:val="24"/>
        </w:rPr>
        <w:t xml:space="preserve">Setting CEO and Other NEO Compensation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Board has assigned to the Committee the responsibility to approve compensation for all NEOs, including our CEO. The roles and duties of participants in the decision-making process for our executive program are summarized below. </w:t>
      </w:r>
    </w:p>
    <w:p>
      <w:pPr>
        <w:pStyle w:val="TextBody"/>
        <w:bidi w:val="0"/>
        <w:spacing w:before="40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Role of the Independent Compensation Consultant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Consistent with its charter, the Committee continued its engagement of Pay Governance LLC, a compensation consulting firm, to work with the Committee and the Company as an adviser on executive compensation matters in 2025. The compensation consultant reports to, and is directed by, the Committee, which has the authority to retain or terminate compensation advisers.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28</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6" w:name="ny20066167x1_def14a_106-executive_pg10"/>
        <w:bookmarkEnd w:id="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2025, the Committee reviewed information regarding the independence and potential conflicts of interest of Pay Governance, taking into account, among other things, the factors set forth in the Nasdaq listing standards. Based on this review, the Committee concluded that the engagement of Pay Governance did not raise any conflict of interest. Outside of services provided for the Committee, the compensation consultant did not provide additional services to the Company in 2025. </w:t>
      </w:r>
    </w:p>
    <w:p>
      <w:pPr>
        <w:pStyle w:val="TextBody"/>
        <w:bidi w:val="0"/>
        <w:spacing w:before="41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Compensation Decisions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Compensation Committee is responsible for the ultimate decisions of compensation for NEOs, including our CEO. As part of its decision-making process, the Committee may seek input from management and our Human Resources staff, in addition to working directly with the Committee’s compensation consultant. The process generally reflects a review of practices of our Peer Group and Survey Data (as defined below), and is typically designed to take into consideration past practice and our strategy to tie a greater portion of total target compensation to variable versus fixed compensation. The Committee also may consider individual performance, the Company’s business plan and goals, and other factors such as individual level of experience and responsibilities (including relative responsibilities compared to others within the Company and the individual’s potential impact on Company operations), leadership, skill, contributions to the Company and the size and complexity of the Company’s operations. </w:t>
      </w:r>
    </w:p>
    <w:p>
      <w:pPr>
        <w:pStyle w:val="TextBody"/>
        <w:bidi w:val="0"/>
        <w:spacing w:before="41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Risk Assessment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approving annual and long-term incentive awards for our NEOs, the Committee assesses the risks associated with the adoption of these awards, including the performance measures and goals for the awards, and has concluded that the Company’s incentive awards would not be likely to encourage excessive risk-taking. Management also annually reviews the Company’s compensation policies and practices for employees generally with the Committee and the Company’s compensation consultant to determine whether these programs create incentives that might motivate inappropriate or excessive risk-taking. For additional information, please see “Functions and Meetings of the Board of Directors - Risk Management and Risk Assessment.” </w:t>
      </w:r>
    </w:p>
    <w:p>
      <w:pPr>
        <w:pStyle w:val="TextBody"/>
        <w:bidi w:val="0"/>
        <w:spacing w:before="41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Consideration of Peer Groups and Survey Data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Committee developed the Company’s peer group set forth below for 2025 pay decisions (the “Peer Group”), taking into consideration that very few direct industry competitors exist, the Company’s business model, the relevant labor market for talent and other factors, including but not limited to the following: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the industry for peer group companies, which the Committee believes should operate within hotel/resort, travel, trucking, automotive retail and rental retail industries; and </w:t>
            </w:r>
          </w:p>
        </w:tc>
      </w:tr>
    </w:tbl>
    <w:tbl>
      <w:tblPr>
        <w:tblW w:w="9730" w:type="dxa"/>
        <w:jc w:val="left"/>
        <w:tblInd w:w="0" w:type="dxa"/>
        <w:tblLayout w:type="fixed"/>
        <w:tblCellMar>
          <w:top w:w="0" w:type="dxa"/>
          <w:left w:w="0" w:type="dxa"/>
          <w:bottom w:w="0" w:type="dxa"/>
          <w:right w:w="0" w:type="dxa"/>
        </w:tblCellMar>
      </w:tblPr>
      <w:tblGrid>
        <w:gridCol w:w="140"/>
        <w:gridCol w:w="9590"/>
      </w:tblGrid>
      <w:tr>
        <w:trPr/>
        <w:tc>
          <w:tcPr>
            <w:tcW w:w="140" w:type="dxa"/>
            <w:tcBorders/>
            <w:vAlign w:val="center"/>
          </w:tcPr>
          <w:p>
            <w:pPr>
              <w:pStyle w:val="TableContents"/>
              <w:bidi w:val="0"/>
              <w:spacing w:before="0" w:after="0"/>
              <w:jc w:val="left"/>
              <w:rPr>
                <w:color w:val="000000"/>
              </w:rPr>
            </w:pPr>
            <w:r>
              <w:rPr>
                <w:color w:val="000000"/>
              </w:rPr>
              <w:t>•</w:t>
            </w:r>
          </w:p>
        </w:tc>
        <w:tc>
          <w:tcPr>
            <w:tcW w:w="959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market capitalization and revenue for peer group companies, with primary emphasis on market capitalization. </w:t>
            </w:r>
          </w:p>
        </w:tc>
      </w:tr>
    </w:tbl>
    <w:p>
      <w:pPr>
        <w:pStyle w:val="TextBody"/>
        <w:bidi w:val="0"/>
        <w:spacing w:before="41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PEER GROUP </w:t>
      </w:r>
    </w:p>
    <w:tbl>
      <w:tblPr>
        <w:tblW w:w="7245" w:type="dxa"/>
        <w:jc w:val="left"/>
        <w:tblInd w:w="0" w:type="dxa"/>
        <w:tblLayout w:type="fixed"/>
        <w:tblCellMar>
          <w:top w:w="0" w:type="dxa"/>
          <w:left w:w="0" w:type="dxa"/>
          <w:bottom w:w="0" w:type="dxa"/>
          <w:right w:w="0" w:type="dxa"/>
        </w:tblCellMar>
      </w:tblPr>
      <w:tblGrid>
        <w:gridCol w:w="185"/>
        <w:gridCol w:w="3050"/>
        <w:gridCol w:w="170"/>
        <w:gridCol w:w="170"/>
        <w:gridCol w:w="3455"/>
        <w:gridCol w:w="215"/>
      </w:tblGrid>
      <w:tr>
        <w:trPr/>
        <w:tc>
          <w:tcPr>
            <w:tcW w:w="185" w:type="dxa"/>
            <w:tcBorders/>
            <w:vAlign w:val="center"/>
          </w:tcPr>
          <w:p>
            <w:pPr>
              <w:pStyle w:val="TableContents"/>
              <w:bidi w:val="0"/>
              <w:spacing w:before="0" w:after="0"/>
              <w:jc w:val="left"/>
              <w:rPr/>
            </w:pPr>
            <w:r>
              <w:rPr/>
              <w:t> </w:t>
            </w:r>
          </w:p>
        </w:tc>
        <w:tc>
          <w:tcPr>
            <w:tcW w:w="30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5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050" w:type="dxa"/>
            <w:tcBorders/>
            <w:vAlign w:val="center"/>
          </w:tcPr>
          <w:p>
            <w:pPr>
              <w:pStyle w:val="TableContents"/>
              <w:bidi w:val="0"/>
              <w:spacing w:before="0" w:after="283"/>
              <w:ind w:left="160" w:right="0" w:hanging="0"/>
              <w:jc w:val="left"/>
              <w:rPr>
                <w:rFonts w:ascii="Arial;Helvetica;sans-serif" w:hAnsi="Arial;Helvetica;sans-serif"/>
                <w:color w:val="000000"/>
                <w:sz w:val="20"/>
              </w:rPr>
            </w:pPr>
            <w:r>
              <w:rPr>
                <w:rFonts w:ascii="Arial;Helvetica;sans-serif" w:hAnsi="Arial;Helvetica;sans-serif"/>
                <w:color w:val="000000"/>
                <w:sz w:val="20"/>
              </w:rPr>
              <w:t>Alaska Air Group,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5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J.B. Hunt Transportation Services, Inc.</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050" w:type="dxa"/>
            <w:tcBorders/>
            <w:vAlign w:val="center"/>
          </w:tcPr>
          <w:p>
            <w:pPr>
              <w:pStyle w:val="TableContents"/>
              <w:bidi w:val="0"/>
              <w:spacing w:before="0" w:after="283"/>
              <w:ind w:left="160" w:right="0" w:hanging="0"/>
              <w:jc w:val="left"/>
              <w:rPr>
                <w:rFonts w:ascii="Arial;Helvetica;sans-serif" w:hAnsi="Arial;Helvetica;sans-serif"/>
                <w:color w:val="000000"/>
                <w:sz w:val="20"/>
              </w:rPr>
            </w:pPr>
            <w:r>
              <w:rPr>
                <w:rFonts w:ascii="Arial;Helvetica;sans-serif" w:hAnsi="Arial;Helvetica;sans-serif"/>
                <w:color w:val="000000"/>
                <w:sz w:val="20"/>
              </w:rPr>
              <w:t>American Airlines Group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5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JetBlue Airways Corporation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050" w:type="dxa"/>
            <w:tcBorders/>
            <w:vAlign w:val="center"/>
          </w:tcPr>
          <w:p>
            <w:pPr>
              <w:pStyle w:val="TableContents"/>
              <w:bidi w:val="0"/>
              <w:spacing w:before="0" w:after="283"/>
              <w:ind w:left="160" w:right="0" w:hanging="0"/>
              <w:jc w:val="left"/>
              <w:rPr>
                <w:rFonts w:ascii="Arial;Helvetica;sans-serif" w:hAnsi="Arial;Helvetica;sans-serif"/>
                <w:color w:val="000000"/>
                <w:sz w:val="20"/>
              </w:rPr>
            </w:pPr>
            <w:r>
              <w:rPr>
                <w:rFonts w:ascii="Arial;Helvetica;sans-serif" w:hAnsi="Arial;Helvetica;sans-serif"/>
                <w:color w:val="000000"/>
                <w:sz w:val="20"/>
              </w:rPr>
              <w:t>Asbury Automotive Group,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5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KAR Auction Services, Inc.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050" w:type="dxa"/>
            <w:tcBorders/>
            <w:vAlign w:val="center"/>
          </w:tcPr>
          <w:p>
            <w:pPr>
              <w:pStyle w:val="TableContents"/>
              <w:bidi w:val="0"/>
              <w:spacing w:before="0" w:after="283"/>
              <w:ind w:left="160" w:right="0" w:hanging="0"/>
              <w:jc w:val="left"/>
              <w:rPr>
                <w:rFonts w:ascii="Arial;Helvetica;sans-serif" w:hAnsi="Arial;Helvetica;sans-serif"/>
                <w:color w:val="000000"/>
                <w:sz w:val="20"/>
              </w:rPr>
            </w:pPr>
            <w:r>
              <w:rPr>
                <w:rFonts w:ascii="Arial;Helvetica;sans-serif" w:hAnsi="Arial;Helvetica;sans-serif"/>
                <w:color w:val="000000"/>
                <w:sz w:val="20"/>
              </w:rPr>
              <w:t>AutoNation,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5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Norwegian Cruise Line Holdings Ltd.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050" w:type="dxa"/>
            <w:tcBorders/>
            <w:vAlign w:val="center"/>
          </w:tcPr>
          <w:p>
            <w:pPr>
              <w:pStyle w:val="TableContents"/>
              <w:bidi w:val="0"/>
              <w:spacing w:before="0" w:after="283"/>
              <w:ind w:left="160" w:right="0" w:hanging="0"/>
              <w:jc w:val="left"/>
              <w:rPr>
                <w:rFonts w:ascii="Arial;Helvetica;sans-serif" w:hAnsi="Arial;Helvetica;sans-serif"/>
                <w:color w:val="000000"/>
                <w:sz w:val="20"/>
              </w:rPr>
            </w:pPr>
            <w:r>
              <w:rPr>
                <w:rFonts w:ascii="Arial;Helvetica;sans-serif" w:hAnsi="Arial;Helvetica;sans-serif"/>
                <w:color w:val="000000"/>
                <w:sz w:val="20"/>
              </w:rPr>
              <w:t>Choice Hotels International,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5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Rent A Center, Inc.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050" w:type="dxa"/>
            <w:tcBorders/>
            <w:vAlign w:val="center"/>
          </w:tcPr>
          <w:p>
            <w:pPr>
              <w:pStyle w:val="TableContents"/>
              <w:bidi w:val="0"/>
              <w:spacing w:before="0" w:after="283"/>
              <w:ind w:left="160" w:right="0" w:hanging="0"/>
              <w:jc w:val="left"/>
              <w:rPr>
                <w:rFonts w:ascii="Arial;Helvetica;sans-serif" w:hAnsi="Arial;Helvetica;sans-serif"/>
                <w:color w:val="000000"/>
                <w:sz w:val="20"/>
              </w:rPr>
            </w:pPr>
            <w:r>
              <w:rPr>
                <w:rFonts w:ascii="Arial;Helvetica;sans-serif" w:hAnsi="Arial;Helvetica;sans-serif"/>
                <w:color w:val="000000"/>
                <w:sz w:val="20"/>
              </w:rPr>
              <w:t>Group 1 Automotive,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5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Ryder System, Inc.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050" w:type="dxa"/>
            <w:tcBorders/>
            <w:vAlign w:val="center"/>
          </w:tcPr>
          <w:p>
            <w:pPr>
              <w:pStyle w:val="TableContents"/>
              <w:bidi w:val="0"/>
              <w:spacing w:before="0" w:after="283"/>
              <w:ind w:left="160" w:right="0" w:hanging="0"/>
              <w:jc w:val="left"/>
              <w:rPr>
                <w:rFonts w:ascii="Arial;Helvetica;sans-serif" w:hAnsi="Arial;Helvetica;sans-serif"/>
                <w:color w:val="000000"/>
                <w:sz w:val="20"/>
              </w:rPr>
            </w:pPr>
            <w:r>
              <w:rPr>
                <w:rFonts w:ascii="Arial;Helvetica;sans-serif" w:hAnsi="Arial;Helvetica;sans-serif"/>
                <w:color w:val="000000"/>
                <w:sz w:val="20"/>
              </w:rPr>
              <w:t>Hertz Global Holdings,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5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Schneider National, Inc.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050" w:type="dxa"/>
            <w:tcBorders/>
            <w:vAlign w:val="center"/>
          </w:tcPr>
          <w:p>
            <w:pPr>
              <w:pStyle w:val="TableContents"/>
              <w:bidi w:val="0"/>
              <w:spacing w:before="0" w:after="283"/>
              <w:ind w:left="160" w:right="0" w:hanging="0"/>
              <w:jc w:val="left"/>
              <w:rPr>
                <w:rFonts w:ascii="Arial;Helvetica;sans-serif" w:hAnsi="Arial;Helvetica;sans-serif"/>
                <w:color w:val="000000"/>
                <w:sz w:val="20"/>
              </w:rPr>
            </w:pPr>
            <w:r>
              <w:rPr>
                <w:rFonts w:ascii="Arial;Helvetica;sans-serif" w:hAnsi="Arial;Helvetica;sans-serif"/>
                <w:color w:val="000000"/>
                <w:sz w:val="20"/>
              </w:rPr>
              <w:t>Hyatt Hotels Corporation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5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Travel + Leisure Co.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050" w:type="dxa"/>
            <w:tcBorders/>
            <w:vAlign w:val="center"/>
          </w:tcPr>
          <w:p>
            <w:pPr>
              <w:pStyle w:val="TableContents"/>
              <w:bidi w:val="0"/>
              <w:spacing w:before="0" w:after="283"/>
              <w:ind w:left="160" w:right="0" w:hanging="0"/>
              <w:jc w:val="left"/>
              <w:rPr>
                <w:rFonts w:ascii="Arial;Helvetica;sans-serif" w:hAnsi="Arial;Helvetica;sans-serif"/>
                <w:color w:val="000000"/>
                <w:sz w:val="20"/>
              </w:rPr>
            </w:pPr>
            <w:r>
              <w:rPr>
                <w:rFonts w:ascii="Arial;Helvetica;sans-serif" w:hAnsi="Arial;Helvetica;sans-serif"/>
                <w:color w:val="000000"/>
                <w:sz w:val="20"/>
              </w:rPr>
              <w:t>InterContinental Hotels Group PLC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5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United Airlines Holdings, Inc.</w:t>
            </w:r>
          </w:p>
        </w:tc>
        <w:tc>
          <w:tcPr>
            <w:tcW w:w="215"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Committee reviewed pay data of the Peer Group for 2025 pay decisions to ensure reasonable comparability of the compensation of our NEOs. The Committee does not specifically target any percentile within the Peer Group when setting overall compensation, any individual element of compensation or the relative pay mix among different elements of compensation. The Committee reviews the Peer Group periodically to ensure that the component companies continue to meet the criteria for which they were selected, as well as to identify other companies that may become appropriate for inclusion.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29</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7" w:name="ny20066167x1_def14a_106-executive_pg11"/>
        <w:bookmarkEnd w:id="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Committee recognizes that our executives have opportunities available to them in a range of industries and that any peer group for the Company will have some inherent limitations given the absence of a large sample of public companies in the vehicle rental business. In order to compare ourselves to a broad set of general industry market data available, the Committee also reviews widely-used survey data from consulting firms such as Aon Hewitt and Willis Towers Watson for companies that have revenue comparable to ours (the “Survey Data”) as another data point. The Survey Data* represents data from over 1,000 companies sized according to revenue, assets and number of employees.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2025, the Committee considered the Survey Data for each element of the 2025 compensation and benefits package as a general check and to ensure reasonable comparability. Consideration of the Peer Group and the Survey Data represented just two factors considered in setting executive compensation for 2025. Please refer to “Analysis of 2025 Pay Decisions” for the other factors considered in setting executive compensation for 2025. </w:t>
      </w:r>
    </w:p>
    <w:p>
      <w:pPr>
        <w:pStyle w:val="TextBody"/>
        <w:bidi w:val="0"/>
        <w:spacing w:before="160" w:after="283"/>
        <w:ind w:left="400" w:right="0" w:hanging="0"/>
        <w:jc w:val="both"/>
        <w:rPr>
          <w:rFonts w:ascii="Arial;Helvetica;sans-serif" w:hAnsi="Arial;Helvetica;sans-serif"/>
          <w:i/>
          <w:color w:val="000000"/>
          <w:sz w:val="20"/>
        </w:rPr>
      </w:pPr>
      <w:r>
        <w:rPr>
          <w:rFonts w:ascii="Arial;Helvetica;sans-serif" w:hAnsi="Arial;Helvetica;sans-serif"/>
          <w:i/>
          <w:color w:val="000000"/>
          <w:sz w:val="20"/>
        </w:rPr>
        <w:t>* While the Survey Data include a general list of participating companies, each survey provides information on a “no-names” basis—i.e., for each position comparison, it does not identify by name which companies comparable in revenue size to our Company produced results for each position matched, and thus we are unable to list the comparable companies that are included in the Survey Data utilized.</w:t>
      </w:r>
      <w:r>
        <w:rPr>
          <w:rFonts w:ascii="Arial;Helvetica;sans-serif" w:hAnsi="Arial;Helvetica;sans-serif"/>
          <w:i/>
          <w:caps w:val="false"/>
          <w:smallCaps w:val="false"/>
          <w:color w:val="000000"/>
          <w:sz w:val="20"/>
        </w:rPr>
        <w:t xml:space="preserve"> </w:t>
      </w:r>
    </w:p>
    <w:p>
      <w:pPr>
        <w:pStyle w:val="TextBody"/>
        <w:bidi w:val="0"/>
        <w:spacing w:before="41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Committee Consideration of the Company’s 2025 Shareholder Vote on Executive Compensation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Committee reviewed the results of the Company’s Say on Pay vote in 2025. At the 2025 Annual Meeting of Shareholders, approximately 98.9% of the votes cast were in support of the Company’s Say on Pay proposal. Based on the 2025 Say on Pay results and feedback from shareholders, the Committee concluded that the Company’s overall compensation program as it relates to its NEOs enjoys the support of the Company’s shareholders and does not require revision to address any broad shareholder concern. </w:t>
      </w:r>
    </w:p>
    <w:p>
      <w:pPr>
        <w:pStyle w:val="TextBody"/>
        <w:bidi w:val="0"/>
        <w:spacing w:before="41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Policy Related to Equity Awards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practice has been to grant regular long-term incentive awards at pre-established meetings of the Committee. Annual long-term incentive awards, which typically include awards granted to all NEOs, are usually approved in the first quarter. However, the Committee retains the ability to determine, and has in the past determined, to make grants at other times during the year, including but not limited to approvals for executives hired or promoted during the year. In connection with valuing the grants of stock-based awards, it is our policy generally to use, as the grant or strike price for any stock-based compensation vehicle, the closing price of our Common Stock on the grant date, which is often the date the Committee approves the award but may be a future specified date. The Committee typically approves a dollar amount for each RSU or PSU award, which is then divided by the closing price of our Common Stock on the date of grant (or other specified date such as a hire date) to arrive at the number of RSUs or PSUs to be granted. </w:t>
      </w:r>
    </w:p>
    <w:p>
      <w:pPr>
        <w:pStyle w:val="TextBody"/>
        <w:bidi w:val="0"/>
        <w:spacing w:before="41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Executive Stock Ownership and Retention Guidelines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executive stock ownership guidelines require NEOs to acquire and hold designated levels of Avis Budget Common Stock. Under these guidelines, our CEO is required to retain 100%, and other NEOs are required to retain a minimum of 50%, of the net shares (net of taxes) obtained upon the vesting of restricted stock awards and of vested stock options (if applicable), until reaching the following specified ownership thresholds: </w:t>
      </w:r>
    </w:p>
    <w:tbl>
      <w:tblPr>
        <w:tblW w:w="4320" w:type="dxa"/>
        <w:jc w:val="left"/>
        <w:tblInd w:w="0" w:type="dxa"/>
        <w:tblLayout w:type="fixed"/>
        <w:tblCellMar>
          <w:top w:w="0" w:type="dxa"/>
          <w:left w:w="0" w:type="dxa"/>
          <w:bottom w:w="0" w:type="dxa"/>
          <w:right w:w="0" w:type="dxa"/>
        </w:tblCellMar>
      </w:tblPr>
      <w:tblGrid>
        <w:gridCol w:w="185"/>
        <w:gridCol w:w="1370"/>
        <w:gridCol w:w="170"/>
        <w:gridCol w:w="170"/>
        <w:gridCol w:w="2210"/>
        <w:gridCol w:w="215"/>
      </w:tblGrid>
      <w:tr>
        <w:trPr/>
        <w:tc>
          <w:tcPr>
            <w:tcW w:w="185"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1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370" w:type="dxa"/>
            <w:tcBorders>
              <w:bottom w:val="single" w:sz="8" w:space="0" w:color="000000"/>
            </w:tcBorders>
            <w:tcMar>
              <w:bottom w:w="38" w:type="dxa"/>
            </w:tcMar>
            <w:vAlign w:val="center"/>
          </w:tcPr>
          <w:p>
            <w:pPr>
              <w:pStyle w:val="TableContents"/>
              <w:bidi w:val="0"/>
              <w:spacing w:before="0" w:after="283"/>
              <w:ind w:left="30" w:right="0" w:hanging="0"/>
              <w:jc w:val="left"/>
              <w:rPr>
                <w:rFonts w:ascii="Arial;Helvetica;sans-serif" w:hAnsi="Arial;Helvetica;sans-serif"/>
                <w:b/>
                <w:color w:val="000000"/>
                <w:sz w:val="20"/>
              </w:rPr>
            </w:pPr>
            <w:r>
              <w:rPr>
                <w:rFonts w:ascii="Arial;Helvetica;sans-serif" w:hAnsi="Arial;Helvetica;sans-serif"/>
                <w:b/>
                <w:color w:val="000000"/>
                <w:sz w:val="20"/>
              </w:rPr>
              <w:t>Officer Role(s)</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210" w:type="dxa"/>
            <w:tcBorders>
              <w:bottom w:val="single" w:sz="8" w:space="0" w:color="000000"/>
            </w:tcBorders>
            <w:tcMar>
              <w:bottom w:w="38" w:type="dxa"/>
            </w:tcMar>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Threshold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shd w:fill="CCCCCC" w:val="clear"/>
            <w:vAlign w:val="center"/>
          </w:tcPr>
          <w:p>
            <w:pPr>
              <w:pStyle w:val="TableContents"/>
              <w:bidi w:val="0"/>
              <w:spacing w:before="0" w:after="0"/>
              <w:jc w:val="left"/>
              <w:rPr/>
            </w:pPr>
            <w:r>
              <w:rPr/>
              <w:t> </w:t>
            </w:r>
          </w:p>
        </w:tc>
        <w:tc>
          <w:tcPr>
            <w:tcW w:w="1370" w:type="dxa"/>
            <w:tcBorders/>
            <w:shd w:fill="CCCCCC" w:val="cle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CEO</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2210" w:type="dxa"/>
            <w:tcBorders/>
            <w:shd w:fill="CCCCCC"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Five times base salary </w:t>
            </w:r>
          </w:p>
        </w:tc>
        <w:tc>
          <w:tcPr>
            <w:tcW w:w="215" w:type="dxa"/>
            <w:tcBorders/>
            <w:shd w:fill="CCCCCC"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70" w:type="dxa"/>
            <w:tcBorders/>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CFO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1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Three times base salary </w:t>
            </w:r>
          </w:p>
        </w:tc>
        <w:tc>
          <w:tcPr>
            <w:tcW w:w="215" w:type="dxa"/>
            <w:tcBorders/>
            <w:vAlign w:val="center"/>
          </w:tcPr>
          <w:p>
            <w:pPr>
              <w:pStyle w:val="TableContents"/>
              <w:bidi w:val="0"/>
              <w:spacing w:before="0" w:after="0"/>
              <w:jc w:val="left"/>
              <w:rPr/>
            </w:pPr>
            <w:r>
              <w:rPr/>
              <w:t> </w:t>
            </w:r>
          </w:p>
        </w:tc>
      </w:tr>
      <w:tr>
        <w:trPr/>
        <w:tc>
          <w:tcPr>
            <w:tcW w:w="185" w:type="dxa"/>
            <w:tcBorders/>
            <w:shd w:fill="CCCCCC" w:val="clear"/>
            <w:vAlign w:val="center"/>
          </w:tcPr>
          <w:p>
            <w:pPr>
              <w:pStyle w:val="TableContents"/>
              <w:bidi w:val="0"/>
              <w:spacing w:before="0" w:after="0"/>
              <w:jc w:val="left"/>
              <w:rPr/>
            </w:pPr>
            <w:r>
              <w:rPr/>
              <w:t> </w:t>
            </w:r>
          </w:p>
        </w:tc>
        <w:tc>
          <w:tcPr>
            <w:tcW w:w="1370" w:type="dxa"/>
            <w:tcBorders/>
            <w:shd w:fill="CCCCCC" w:val="cle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CDIO; CHRO</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2210" w:type="dxa"/>
            <w:tcBorders/>
            <w:shd w:fill="CCCCCC"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Two times base salary</w:t>
            </w:r>
          </w:p>
        </w:tc>
        <w:tc>
          <w:tcPr>
            <w:tcW w:w="215" w:type="dxa"/>
            <w:tcBorders/>
            <w:shd w:fill="CCCCCC" w:val="clear"/>
            <w:vAlign w:val="center"/>
          </w:tcPr>
          <w:p>
            <w:pPr>
              <w:pStyle w:val="TableContents"/>
              <w:bidi w:val="0"/>
              <w:spacing w:before="0" w:after="0"/>
              <w:jc w:val="left"/>
              <w:rPr/>
            </w:pPr>
            <w:r>
              <w:rPr/>
              <w:t> </w:t>
            </w:r>
          </w:p>
        </w:tc>
      </w:tr>
    </w:tbl>
    <w:p>
      <w:pPr>
        <w:pStyle w:val="TextBody"/>
        <w:bidi w:val="0"/>
        <w:spacing w:before="24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Given the mandatory hold provision until thresholds are obtained, there is no specified deadline for achieving designated thresholds. For purposes of the executive stock ownership guidelines, stock ownership is defined to include stock owned by the executive directly and stock owned indirectly, including through the Company’s savings plan. As of December 31, 2025, the NEOs listed in the table had met the applicable ownership thresholds, other than our CFO, who became an officer in 2025.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Following attainment of ownership thresholds, our NEOs are required, for a period of one year, to hold an additional amount equal to 50% of the net shares obtained upon the vesting of any equity award and 50% of all stock options that vest.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30</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8" w:name="ny20066167x1_def14a_106-executive_pg12"/>
        <w:bookmarkEnd w:id="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Employment and Change of Control Agreements; Severance Arrangements; CEO Transition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Generally our NEOs participate in an Executive Severance Plan, which was last modified in 2021, to provide post-termination severance benefits under specific circumstances. However, we had previously entered into severance agreements in 2015 with each of our former CEO and our CHRO, which remained in place following adoption of the Executive Severance Plan. These arrangements are described in detail under the headings “Employment Agreements and Other Arrangements” and “Termination, Severance and Change of Control Arrangements” below.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February 2025, the Company announced that its current Chief Executive Officer would transition away from the role, effective June 30, 2025, and into an advisory role. In considering the terms of the transition agreement, the Committee believed it was important not only to comply with the terms of his pre-existing severance agreement, but to build the opportunity for a successful transition by having not only a substantial pre-transition period with Mr. Ferraro working towards the Company’s success, but also retain Mr. Ferraro to provide services after he ceased to be CEO, which the Committee believed was important given his tenure and experience. As a result, we entered into a Separation and Advising Agreement with Mr. Ferraro (the “Separation Agreement”), as further described under “Employment Agreements and Other Arrangements” below. </w:t>
      </w:r>
    </w:p>
    <w:p>
      <w:pPr>
        <w:pStyle w:val="TextBody"/>
        <w:bidi w:val="0"/>
        <w:spacing w:before="41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Perquisites and Benefits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have historically sought to provide perquisites to our executives that are consistent with those provided by the general market and Peer Group companies. Depending on the executive, our perquisites include financial planning services, auto use or allowance, discounted auto insurance, auto leasing through the employee lease program and limited personal use of Company-leased aircraft services. Generally the Company does not provide tax reimbursements or gross-ups on perquisites for any of our NEOs other than relocation-related expenses and expatriate benefits in accordance with the Company’s standard policies.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Employees, including our NEOs, may also receive tickets for professional sporting events, which are part of the Company’s season ticket subscription, and do not result in an associated incremental cost to our Company. Our ticket allocation policy is generally seniority-based, with a valid business purpose superseding any personal use. </w:t>
      </w:r>
    </w:p>
    <w:p>
      <w:pPr>
        <w:pStyle w:val="TextBody"/>
        <w:bidi w:val="0"/>
        <w:spacing w:before="41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Anti-Hedging Policy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Company’s insider trading policy prohibits directors, executive officers and other employees required to pre-clear trades in Company securities, along with members of their families and others living in their households and investment partnerships and other entities over which they have or share voting or investment control (collectively, the “Covered Persons”) from: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engaging in hedging and monetization transactions that permit any Covered Person to continue to own the Company’s equity securities without the full risks and rewards of ownership, including through the use of financial instruments such as prepaid variable forwards, equity swaps, collars and exchange funds;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holding the Company’s equity securities in a margin account or otherwise pledging the Company’s equity securities as collateral for a loan;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participating in transactions involving options in relation to the Company’s securities, such as puts, calls or other derivative securities on an exchange or in any other organized market; and </w:t>
            </w:r>
          </w:p>
        </w:tc>
      </w:tr>
    </w:tbl>
    <w:tbl>
      <w:tblPr>
        <w:tblW w:w="5425" w:type="dxa"/>
        <w:jc w:val="left"/>
        <w:tblInd w:w="0" w:type="dxa"/>
        <w:tblLayout w:type="fixed"/>
        <w:tblCellMar>
          <w:top w:w="0" w:type="dxa"/>
          <w:left w:w="0" w:type="dxa"/>
          <w:bottom w:w="0" w:type="dxa"/>
          <w:right w:w="0" w:type="dxa"/>
        </w:tblCellMar>
      </w:tblPr>
      <w:tblGrid>
        <w:gridCol w:w="140"/>
        <w:gridCol w:w="5285"/>
      </w:tblGrid>
      <w:tr>
        <w:trPr/>
        <w:tc>
          <w:tcPr>
            <w:tcW w:w="140" w:type="dxa"/>
            <w:tcBorders/>
            <w:vAlign w:val="center"/>
          </w:tcPr>
          <w:p>
            <w:pPr>
              <w:pStyle w:val="TableContents"/>
              <w:bidi w:val="0"/>
              <w:spacing w:before="0" w:after="0"/>
              <w:jc w:val="left"/>
              <w:rPr>
                <w:color w:val="000000"/>
              </w:rPr>
            </w:pPr>
            <w:r>
              <w:rPr>
                <w:color w:val="000000"/>
              </w:rPr>
              <w:t>•</w:t>
            </w:r>
          </w:p>
        </w:tc>
        <w:tc>
          <w:tcPr>
            <w:tcW w:w="52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engaging in short sales of the Company’s equity securities. </w:t>
            </w:r>
          </w:p>
        </w:tc>
      </w:tr>
    </w:tbl>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For purposes of the above, the Company’s equity securities include securities acquired by a Covered Person as part of his or her compensation or otherwise. We are party to a Cooperation Agreement with SRS, our largest stockholder, under which SRS has agreed to certain voting commitments. Pursuant to the terms of the Cooperation Agreement, SRS and its affiliates are not subject to the Company’s policies applicable to directors on pledging or making purchases on margin of, or entering into derivative or hedging arrangements (including options) with respect to, the Company’s securities that are otherwise in compliance with all applicable laws, regulations and the Cooperation Agreement. The Audit Committee monitors any proposed pledges in the Company’s Common Stock, including any pledge by SRS, and regularly discusses such matters and any related risks to the Company and its stockholders, with the Board, senior management and, when appropriate, the Company’s stockholders, including SRS.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31</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9" w:name="ny20066167x1_def14a_106-executive_pg13"/>
        <w:bookmarkEnd w:id="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Recoupment (Clawback) Policy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We have adopted a clawback policy that complies with the Nasdaq listing standards that implement the SEC rules under the Dodd-Frank Wall Street Reform and Consumer Protection Act and applies to our executive officers (as defined in applicable SEC rules). This policy applies to all incentive-based compensation (as that term is defined in the SEC rules), which includes performance-based awards granted under our Amended and Restated Equity and Incentive Plan and the cash bonus payments under the annual incentive plan in which our executive officers participate. </w:t>
      </w:r>
    </w:p>
    <w:p>
      <w:pPr>
        <w:pStyle w:val="TextBody"/>
        <w:bidi w:val="0"/>
        <w:spacing w:before="240" w:after="283"/>
        <w:ind w:left="0" w:right="0" w:hanging="0"/>
        <w:jc w:val="left"/>
        <w:rPr>
          <w:rFonts w:ascii="Arial;Helvetica;sans-serif" w:hAnsi="Arial;Helvetica;sans-serif"/>
          <w:b/>
          <w:color w:val="000000"/>
          <w:sz w:val="28"/>
        </w:rPr>
      </w:pPr>
      <w:r>
        <w:rPr>
          <w:rFonts w:ascii="Arial;Helvetica;sans-serif" w:hAnsi="Arial;Helvetica;sans-serif"/>
          <w:b/>
          <w:color w:val="000000"/>
          <w:sz w:val="28"/>
        </w:rPr>
        <w:t xml:space="preserve">Compensation Committee Report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Avis Budget Compensation Committee has reviewed and discussed the Compensation Discussion and Analysis required by Item 402(b) of Regulation S-K with management and, based on this review and discussion, the Compensation Committee recommended to the Board that the Compensation Discussion and Analysis be included in this Proxy Statement. </w:t>
      </w:r>
    </w:p>
    <w:p>
      <w:pPr>
        <w:pStyle w:val="TextBody"/>
        <w:bidi w:val="0"/>
        <w:spacing w:before="200" w:after="283"/>
        <w:jc w:val="center"/>
        <w:rPr>
          <w:rFonts w:ascii="Arial;Helvetica;sans-serif" w:hAnsi="Arial;Helvetica;sans-serif"/>
          <w:b/>
          <w:color w:val="000000"/>
          <w:sz w:val="20"/>
        </w:rPr>
      </w:pPr>
      <w:r>
        <w:rPr>
          <w:rFonts w:ascii="Arial;Helvetica;sans-serif" w:hAnsi="Arial;Helvetica;sans-serif"/>
          <w:b/>
          <w:color w:val="000000"/>
          <w:sz w:val="20"/>
        </w:rPr>
        <w:t xml:space="preserve">THE COMPENSATION COMMITTEE </w:t>
      </w:r>
    </w:p>
    <w:p>
      <w:pPr>
        <w:pStyle w:val="TextBody"/>
        <w:bidi w:val="0"/>
        <w:spacing w:before="0" w:after="283"/>
        <w:jc w:val="center"/>
        <w:rPr>
          <w:color w:val="000000"/>
        </w:rPr>
      </w:pPr>
      <w:r>
        <w:rPr>
          <w:color w:val="000000"/>
        </w:rPr>
        <w:t> </w:t>
      </w:r>
    </w:p>
    <w:p>
      <w:pPr>
        <w:pStyle w:val="TextBody"/>
        <w:bidi w:val="0"/>
        <w:spacing w:before="0" w:after="283"/>
        <w:jc w:val="center"/>
        <w:rPr>
          <w:rFonts w:ascii="Arial;Helvetica;sans-serif" w:hAnsi="Arial;Helvetica;sans-serif"/>
          <w:b w:val="false"/>
          <w:color w:val="000000"/>
          <w:sz w:val="20"/>
        </w:rPr>
      </w:pPr>
      <w:r>
        <w:rPr>
          <w:rFonts w:ascii="Arial;Helvetica;sans-serif" w:hAnsi="Arial;Helvetica;sans-serif"/>
          <w:b w:val="false"/>
          <w:color w:val="000000"/>
          <w:sz w:val="20"/>
        </w:rPr>
        <w:t xml:space="preserve">Karthik Sarma (Chair) </w:t>
      </w:r>
    </w:p>
    <w:p>
      <w:pPr>
        <w:pStyle w:val="TextBody"/>
        <w:bidi w:val="0"/>
        <w:spacing w:before="0" w:after="283"/>
        <w:jc w:val="center"/>
        <w:rPr>
          <w:rFonts w:ascii="Arial;Helvetica;sans-serif" w:hAnsi="Arial;Helvetica;sans-serif"/>
          <w:b w:val="false"/>
          <w:color w:val="000000"/>
          <w:sz w:val="20"/>
        </w:rPr>
      </w:pPr>
      <w:r>
        <w:rPr>
          <w:rFonts w:ascii="Arial;Helvetica;sans-serif" w:hAnsi="Arial;Helvetica;sans-serif"/>
          <w:b w:val="false"/>
          <w:color w:val="000000"/>
          <w:sz w:val="20"/>
        </w:rPr>
        <w:t xml:space="preserve">Lynn Krominga </w:t>
      </w:r>
    </w:p>
    <w:p>
      <w:pPr>
        <w:pStyle w:val="TextBody"/>
        <w:bidi w:val="0"/>
        <w:spacing w:before="0" w:after="283"/>
        <w:jc w:val="center"/>
        <w:rPr>
          <w:rFonts w:ascii="Arial;Helvetica;sans-serif" w:hAnsi="Arial;Helvetica;sans-serif"/>
          <w:b w:val="false"/>
          <w:color w:val="000000"/>
          <w:sz w:val="20"/>
        </w:rPr>
      </w:pPr>
      <w:r>
        <w:rPr>
          <w:rFonts w:ascii="Arial;Helvetica;sans-serif" w:hAnsi="Arial;Helvetica;sans-serif"/>
          <w:b w:val="false"/>
          <w:color w:val="000000"/>
          <w:sz w:val="20"/>
        </w:rPr>
        <w:t xml:space="preserve">Glenn Lurie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32</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0" w:name="ny20066167x1_def14a_107-summary_pg1"/>
        <w:bookmarkEnd w:id="70"/>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000000"/>
          <w:sz w:val="28"/>
        </w:rPr>
      </w:pPr>
      <w:bookmarkStart w:id="71" w:name="tSUMT"/>
      <w:bookmarkEnd w:id="71"/>
      <w:r>
        <w:rPr>
          <w:rFonts w:ascii="Arial;Helvetica;sans-serif" w:hAnsi="Arial;Helvetica;sans-serif"/>
          <w:b/>
          <w:color w:val="000000"/>
          <w:sz w:val="28"/>
        </w:rPr>
        <w:t xml:space="preserve">Summary Compensation Table </w:t>
      </w:r>
    </w:p>
    <w:tbl>
      <w:tblPr>
        <w:tblW w:w="11820" w:type="dxa"/>
        <w:jc w:val="left"/>
        <w:tblInd w:w="0" w:type="dxa"/>
        <w:tblLayout w:type="fixed"/>
        <w:tblCellMar>
          <w:top w:w="0" w:type="dxa"/>
          <w:left w:w="0" w:type="dxa"/>
          <w:bottom w:w="0" w:type="dxa"/>
          <w:right w:w="0" w:type="dxa"/>
        </w:tblCellMar>
      </w:tblPr>
      <w:tblGrid>
        <w:gridCol w:w="185"/>
        <w:gridCol w:w="1115"/>
        <w:gridCol w:w="170"/>
        <w:gridCol w:w="170"/>
        <w:gridCol w:w="410"/>
        <w:gridCol w:w="170"/>
        <w:gridCol w:w="170"/>
        <w:gridCol w:w="770"/>
        <w:gridCol w:w="170"/>
        <w:gridCol w:w="170"/>
        <w:gridCol w:w="575"/>
        <w:gridCol w:w="170"/>
        <w:gridCol w:w="170"/>
        <w:gridCol w:w="770"/>
        <w:gridCol w:w="170"/>
        <w:gridCol w:w="170"/>
        <w:gridCol w:w="650"/>
        <w:gridCol w:w="170"/>
        <w:gridCol w:w="170"/>
        <w:gridCol w:w="1220"/>
        <w:gridCol w:w="170"/>
        <w:gridCol w:w="170"/>
        <w:gridCol w:w="1220"/>
        <w:gridCol w:w="170"/>
        <w:gridCol w:w="170"/>
        <w:gridCol w:w="770"/>
        <w:gridCol w:w="170"/>
        <w:gridCol w:w="170"/>
        <w:gridCol w:w="860"/>
        <w:gridCol w:w="215"/>
      </w:tblGrid>
      <w:tr>
        <w:trPr/>
        <w:tc>
          <w:tcPr>
            <w:tcW w:w="185"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115" w:type="dxa"/>
            <w:tcBorders>
              <w:bottom w:val="single" w:sz="8" w:space="0" w:color="000000"/>
            </w:tcBorders>
            <w:tcMar>
              <w:bottom w:w="28" w:type="dxa"/>
            </w:tcM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Name and </w:t>
            </w:r>
          </w:p>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Principal Position</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10"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Year</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Salary</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position w:val="5"/>
                <w:sz w:val="13"/>
                <w:sz w:val="16"/>
              </w:rPr>
              <w:t>(a)</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Bonus</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Stock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Awards</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position w:val="5"/>
                <w:sz w:val="13"/>
                <w:sz w:val="16"/>
              </w:rPr>
              <w:t>(b)</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50"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Option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Awards</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20"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Non-Equity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Incentive Plan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Compensation</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position w:val="5"/>
                <w:sz w:val="13"/>
                <w:sz w:val="16"/>
              </w:rPr>
              <w:t>(c)</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20"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Change in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Pension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Value and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Nonqualified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Deferred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Compensation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Earnings</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position w:val="5"/>
                <w:sz w:val="13"/>
                <w:sz w:val="16"/>
              </w:rPr>
              <w:t>(d)</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All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Other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Comp</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position w:val="5"/>
                <w:sz w:val="13"/>
                <w:sz w:val="16"/>
              </w:rPr>
              <w:t>(e)</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60"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Total</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115" w:type="dxa"/>
            <w:vMerge w:val="restart"/>
            <w:tcBorders>
              <w:bottom w:val="single" w:sz="8" w:space="0" w:color="000000"/>
            </w:tcBorders>
            <w:shd w:fill="CCCCCC" w:val="clear"/>
            <w:tcMar>
              <w:bottom w:w="2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Choi, Brian J.</w:t>
            </w:r>
          </w:p>
          <w:p>
            <w:pPr>
              <w:pStyle w:val="TableContents"/>
              <w:bidi w:val="0"/>
              <w:spacing w:before="0" w:after="283"/>
              <w:ind w:left="130" w:right="0" w:hanging="0"/>
              <w:jc w:val="left"/>
              <w:rPr>
                <w:rFonts w:ascii="Arial;Helvetica;sans-serif" w:hAnsi="Arial;Helvetica;sans-serif"/>
                <w:color w:val="000000"/>
                <w:sz w:val="16"/>
              </w:rPr>
            </w:pPr>
            <w:r>
              <w:rPr>
                <w:rFonts w:ascii="Arial;Helvetica;sans-serif" w:hAnsi="Arial;Helvetica;sans-serif"/>
                <w:color w:val="000000"/>
                <w:sz w:val="16"/>
              </w:rPr>
              <w:t>CEO*</w:t>
            </w:r>
          </w:p>
        </w:tc>
        <w:tc>
          <w:tcPr>
            <w:tcW w:w="170" w:type="dxa"/>
            <w:vMerge w:val="restart"/>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410" w:type="dxa"/>
            <w:tcBorders/>
            <w:shd w:fill="CCCCCC"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837,500</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575" w:type="dxa"/>
            <w:tcBorders/>
            <w:shd w:fill="CCCCCC" w:val="clear"/>
            <w:vAlign w:val="center"/>
          </w:tcPr>
          <w:p>
            <w:pPr>
              <w:pStyle w:val="TableContents"/>
              <w:bidi w:val="0"/>
              <w:spacing w:before="0" w:after="283"/>
              <w:jc w:val="center"/>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4,285,014</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650" w:type="dxa"/>
            <w:tcBorders/>
            <w:shd w:fill="CCCCCC" w:val="clear"/>
            <w:vAlign w:val="center"/>
          </w:tcPr>
          <w:p>
            <w:pPr>
              <w:pStyle w:val="TableContents"/>
              <w:bidi w:val="0"/>
              <w:spacing w:before="0" w:after="283"/>
              <w:jc w:val="center"/>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20" w:type="dxa"/>
            <w:tcBorders/>
            <w:shd w:fill="CCCCCC"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765,351</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20" w:type="dxa"/>
            <w:tcBorders/>
            <w:shd w:fill="CCCCCC" w:val="clear"/>
            <w:vAlign w:val="center"/>
          </w:tcPr>
          <w:p>
            <w:pPr>
              <w:pStyle w:val="TableContents"/>
              <w:bidi w:val="0"/>
              <w:spacing w:before="0" w:after="283"/>
              <w:jc w:val="center"/>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33,545</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60" w:type="dxa"/>
            <w:tcBorders/>
            <w:shd w:fill="CCCCCC"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5,921,410 </w:t>
            </w:r>
          </w:p>
        </w:tc>
        <w:tc>
          <w:tcPr>
            <w:tcW w:w="215" w:type="dxa"/>
            <w:tcBorders/>
            <w:shd w:fill="CCCCCC" w:val="clear"/>
            <w:vAlign w:val="center"/>
          </w:tcPr>
          <w:p>
            <w:pPr>
              <w:pStyle w:val="TableContents"/>
              <w:bidi w:val="0"/>
              <w:spacing w:before="0" w:after="0"/>
              <w:jc w:val="left"/>
              <w:rPr/>
            </w:pPr>
            <w:r>
              <w:rPr/>
              <w:t> </w:t>
            </w:r>
          </w:p>
        </w:tc>
      </w:tr>
      <w:tr>
        <w:trPr/>
        <w:tc>
          <w:tcPr>
            <w:tcW w:w="185" w:type="dxa"/>
            <w:vMerge w:val="continue"/>
            <w:tcBorders>
              <w:bottom w:val="single" w:sz="8" w:space="0" w:color="000000"/>
            </w:tcBorders>
            <w:shd w:fill="CCCCCC" w:val="clear"/>
            <w:tcMar>
              <w:bottom w:w="28" w:type="dxa"/>
            </w:tcMar>
            <w:vAlign w:val="center"/>
          </w:tcPr>
          <w:p>
            <w:pPr>
              <w:pStyle w:val="Normal"/>
              <w:bidi w:val="0"/>
              <w:jc w:val="left"/>
              <w:rPr/>
            </w:pPr>
            <w:r>
              <w:rPr/>
            </w:r>
          </w:p>
        </w:tc>
        <w:tc>
          <w:tcPr>
            <w:tcW w:w="1115" w:type="dxa"/>
            <w:vMerge w:val="continue"/>
            <w:tcBorders>
              <w:bottom w:val="single" w:sz="8" w:space="0" w:color="000000"/>
            </w:tcBorders>
            <w:shd w:fill="CCCCCC" w:val="clear"/>
            <w:tcMar>
              <w:bottom w:w="28" w:type="dxa"/>
            </w:tcMar>
            <w:vAlign w:val="center"/>
          </w:tcPr>
          <w:p>
            <w:pPr>
              <w:pStyle w:val="Normal"/>
              <w:bidi w:val="0"/>
              <w:jc w:val="left"/>
              <w:rPr/>
            </w:pPr>
            <w:r>
              <w:rPr/>
            </w:r>
          </w:p>
        </w:tc>
        <w:tc>
          <w:tcPr>
            <w:tcW w:w="170" w:type="dxa"/>
            <w:vMerge w:val="continue"/>
            <w:tcBorders>
              <w:bottom w:val="single" w:sz="8" w:space="0" w:color="000000"/>
            </w:tcBorders>
            <w:shd w:fill="CCCCCC" w:val="clear"/>
            <w:tcMar>
              <w:bottom w:w="28" w:type="dxa"/>
            </w:tcMar>
            <w:vAlign w:val="center"/>
          </w:tcPr>
          <w:p>
            <w:pPr>
              <w:pStyle w:val="Normal"/>
              <w:bidi w:val="0"/>
              <w:jc w:val="left"/>
              <w:rPr/>
            </w:pPr>
            <w:r>
              <w:rPr/>
            </w:r>
          </w:p>
        </w:tc>
        <w:tc>
          <w:tcPr>
            <w:tcW w:w="170" w:type="dxa"/>
            <w:tcBorders/>
            <w:shd w:fill="CCCCCC" w:val="clear"/>
            <w:vAlign w:val="center"/>
          </w:tcPr>
          <w:p>
            <w:pPr>
              <w:pStyle w:val="TableContents"/>
              <w:bidi w:val="0"/>
              <w:spacing w:before="0" w:after="0"/>
              <w:jc w:val="left"/>
              <w:rPr/>
            </w:pPr>
            <w:r>
              <w:rPr/>
              <w:t> </w:t>
            </w:r>
          </w:p>
        </w:tc>
        <w:tc>
          <w:tcPr>
            <w:tcW w:w="410" w:type="dxa"/>
            <w:tcBorders/>
            <w:shd w:fill="CCCCCC"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675,000</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575" w:type="dxa"/>
            <w:tcBorders/>
            <w:shd w:fill="CCCCCC" w:val="clear"/>
            <w:vAlign w:val="center"/>
          </w:tcPr>
          <w:p>
            <w:pPr>
              <w:pStyle w:val="TableContents"/>
              <w:bidi w:val="0"/>
              <w:spacing w:before="0" w:after="283"/>
              <w:jc w:val="center"/>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2,000,060</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650" w:type="dxa"/>
            <w:tcBorders/>
            <w:shd w:fill="CCCCCC" w:val="clear"/>
            <w:vAlign w:val="center"/>
          </w:tcPr>
          <w:p>
            <w:pPr>
              <w:pStyle w:val="TableContents"/>
              <w:bidi w:val="0"/>
              <w:spacing w:before="0" w:after="283"/>
              <w:jc w:val="center"/>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20" w:type="dxa"/>
            <w:tcBorders/>
            <w:shd w:fill="CCCCCC" w:val="clear"/>
            <w:vAlign w:val="center"/>
          </w:tcPr>
          <w:p>
            <w:pPr>
              <w:pStyle w:val="TableContents"/>
              <w:bidi w:val="0"/>
              <w:spacing w:before="0" w:after="283"/>
              <w:jc w:val="righ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20" w:type="dxa"/>
            <w:tcBorders/>
            <w:shd w:fill="CCCCCC" w:val="clear"/>
            <w:vAlign w:val="center"/>
          </w:tcPr>
          <w:p>
            <w:pPr>
              <w:pStyle w:val="TableContents"/>
              <w:bidi w:val="0"/>
              <w:spacing w:before="0" w:after="283"/>
              <w:jc w:val="center"/>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34,036</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60" w:type="dxa"/>
            <w:tcBorders/>
            <w:shd w:fill="CCCCCC"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2,709,096 </w:t>
            </w:r>
          </w:p>
        </w:tc>
        <w:tc>
          <w:tcPr>
            <w:tcW w:w="215" w:type="dxa"/>
            <w:tcBorders/>
            <w:shd w:fill="CCCCCC" w:val="clear"/>
            <w:vAlign w:val="center"/>
          </w:tcPr>
          <w:p>
            <w:pPr>
              <w:pStyle w:val="TableContents"/>
              <w:bidi w:val="0"/>
              <w:spacing w:before="0" w:after="0"/>
              <w:jc w:val="left"/>
              <w:rPr/>
            </w:pPr>
            <w:r>
              <w:rPr/>
              <w:t> </w:t>
            </w:r>
          </w:p>
        </w:tc>
      </w:tr>
      <w:tr>
        <w:trPr/>
        <w:tc>
          <w:tcPr>
            <w:tcW w:w="185" w:type="dxa"/>
            <w:vMerge w:val="continue"/>
            <w:tcBorders>
              <w:bottom w:val="single" w:sz="8" w:space="0" w:color="000000"/>
            </w:tcBorders>
            <w:shd w:fill="CCCCCC" w:val="clear"/>
            <w:tcMar>
              <w:bottom w:w="28" w:type="dxa"/>
            </w:tcMar>
            <w:vAlign w:val="center"/>
          </w:tcPr>
          <w:p>
            <w:pPr>
              <w:pStyle w:val="Normal"/>
              <w:bidi w:val="0"/>
              <w:jc w:val="left"/>
              <w:rPr/>
            </w:pPr>
            <w:r>
              <w:rPr/>
            </w:r>
          </w:p>
        </w:tc>
        <w:tc>
          <w:tcPr>
            <w:tcW w:w="1115" w:type="dxa"/>
            <w:vMerge w:val="continue"/>
            <w:tcBorders>
              <w:bottom w:val="single" w:sz="8" w:space="0" w:color="000000"/>
            </w:tcBorders>
            <w:shd w:fill="CCCCCC" w:val="clear"/>
            <w:tcMar>
              <w:bottom w:w="28" w:type="dxa"/>
            </w:tcMar>
            <w:vAlign w:val="center"/>
          </w:tcPr>
          <w:p>
            <w:pPr>
              <w:pStyle w:val="Normal"/>
              <w:bidi w:val="0"/>
              <w:jc w:val="left"/>
              <w:rPr/>
            </w:pPr>
            <w:r>
              <w:rPr/>
            </w:r>
          </w:p>
        </w:tc>
        <w:tc>
          <w:tcPr>
            <w:tcW w:w="170" w:type="dxa"/>
            <w:vMerge w:val="continue"/>
            <w:tcBorders>
              <w:bottom w:val="single" w:sz="8" w:space="0" w:color="000000"/>
            </w:tcBorders>
            <w:shd w:fill="CCCCCC" w:val="clear"/>
            <w:tcMar>
              <w:bottom w:w="28" w:type="dxa"/>
            </w:tcMar>
            <w:vAlign w:val="center"/>
          </w:tcPr>
          <w:p>
            <w:pPr>
              <w:pStyle w:val="Normal"/>
              <w:bidi w:val="0"/>
              <w:jc w:val="left"/>
              <w:rPr/>
            </w:pPr>
            <w:r>
              <w:rPr/>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410" w:type="dxa"/>
            <w:tcBorders>
              <w:bottom w:val="single" w:sz="8" w:space="0" w:color="000000"/>
            </w:tcBorders>
            <w:shd w:fill="CCCCCC" w:val="clear"/>
            <w:tcMar>
              <w:bottom w:w="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2023</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770" w:type="dxa"/>
            <w:tcBorders>
              <w:bottom w:val="single" w:sz="8" w:space="0" w:color="000000"/>
            </w:tcBorders>
            <w:shd w:fill="CCCCCC"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624,000</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575" w:type="dxa"/>
            <w:tcBorders>
              <w:bottom w:val="single" w:sz="8" w:space="0" w:color="000000"/>
            </w:tcBorders>
            <w:shd w:fill="CCCCCC" w:val="clear"/>
            <w:tcMar>
              <w:bottom w:w="28"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770" w:type="dxa"/>
            <w:tcBorders>
              <w:bottom w:val="single" w:sz="8" w:space="0" w:color="000000"/>
            </w:tcBorders>
            <w:shd w:fill="CCCCCC"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1,800,200</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650" w:type="dxa"/>
            <w:tcBorders>
              <w:bottom w:val="single" w:sz="8" w:space="0" w:color="000000"/>
            </w:tcBorders>
            <w:shd w:fill="CCCCCC" w:val="clear"/>
            <w:tcMar>
              <w:bottom w:w="28"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220" w:type="dxa"/>
            <w:tcBorders>
              <w:bottom w:val="single" w:sz="8" w:space="0" w:color="000000"/>
            </w:tcBorders>
            <w:shd w:fill="CCCCCC"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726,336</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220" w:type="dxa"/>
            <w:tcBorders>
              <w:bottom w:val="single" w:sz="8" w:space="0" w:color="000000"/>
            </w:tcBorders>
            <w:shd w:fill="CCCCCC" w:val="clear"/>
            <w:tcMar>
              <w:bottom w:w="28"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770" w:type="dxa"/>
            <w:tcBorders>
              <w:bottom w:val="single" w:sz="8" w:space="0" w:color="000000"/>
            </w:tcBorders>
            <w:shd w:fill="CCCCCC"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450,841</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860" w:type="dxa"/>
            <w:tcBorders>
              <w:bottom w:val="single" w:sz="8" w:space="0" w:color="000000"/>
            </w:tcBorders>
            <w:shd w:fill="CCCCCC"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3,601,377 </w:t>
            </w:r>
          </w:p>
        </w:tc>
        <w:tc>
          <w:tcPr>
            <w:tcW w:w="21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115" w:type="dxa"/>
            <w:tcBorders>
              <w:bottom w:val="single" w:sz="8" w:space="0" w:color="000000"/>
            </w:tcBorders>
            <w:tcMar>
              <w:bottom w:w="2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Cunha, Daniel</w:t>
            </w:r>
          </w:p>
          <w:p>
            <w:pPr>
              <w:pStyle w:val="TableContents"/>
              <w:bidi w:val="0"/>
              <w:spacing w:before="0" w:after="283"/>
              <w:ind w:left="130" w:right="0" w:hanging="0"/>
              <w:jc w:val="left"/>
              <w:rPr>
                <w:rFonts w:ascii="Arial;Helvetica;sans-serif" w:hAnsi="Arial;Helvetica;sans-serif"/>
                <w:color w:val="000000"/>
                <w:sz w:val="16"/>
              </w:rPr>
            </w:pPr>
            <w:r>
              <w:rPr>
                <w:rFonts w:ascii="Arial;Helvetica;sans-serif" w:hAnsi="Arial;Helvetica;sans-serif"/>
                <w:color w:val="000000"/>
                <w:sz w:val="16"/>
              </w:rPr>
              <w:t>EVP, CFO*</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10"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325,000</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1,207,176</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50" w:type="dxa"/>
            <w:tcBorders>
              <w:bottom w:val="single" w:sz="8" w:space="0" w:color="000000"/>
            </w:tcBorders>
            <w:tcMar>
              <w:bottom w:w="28"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2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262,096</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20" w:type="dxa"/>
            <w:tcBorders>
              <w:bottom w:val="single" w:sz="8" w:space="0" w:color="000000"/>
            </w:tcBorders>
            <w:tcMar>
              <w:bottom w:w="28"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127,750</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6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1,922,022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115" w:type="dxa"/>
            <w:tcBorders>
              <w:bottom w:val="single" w:sz="8" w:space="0" w:color="000000"/>
            </w:tcBorders>
            <w:shd w:fill="CCCCCC" w:val="clear"/>
            <w:tcMar>
              <w:bottom w:w="2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Pahwa, Jagdeep</w:t>
            </w:r>
          </w:p>
          <w:p>
            <w:pPr>
              <w:pStyle w:val="TableContents"/>
              <w:bidi w:val="0"/>
              <w:spacing w:before="0" w:after="283"/>
              <w:ind w:left="130" w:right="0" w:hanging="0"/>
              <w:jc w:val="left"/>
              <w:rPr>
                <w:rFonts w:ascii="Arial;Helvetica;sans-serif" w:hAnsi="Arial;Helvetica;sans-serif"/>
                <w:color w:val="000000"/>
                <w:sz w:val="16"/>
              </w:rPr>
            </w:pPr>
            <w:r>
              <w:rPr>
                <w:rFonts w:ascii="Arial;Helvetica;sans-serif" w:hAnsi="Arial;Helvetica;sans-serif"/>
                <w:color w:val="000000"/>
                <w:sz w:val="16"/>
              </w:rPr>
              <w:t>Executive Chairman</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410" w:type="dxa"/>
            <w:tcBorders>
              <w:bottom w:val="single" w:sz="8" w:space="0" w:color="000000"/>
            </w:tcBorders>
            <w:shd w:fill="CCCCCC" w:val="clear"/>
            <w:tcMar>
              <w:bottom w:w="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770" w:type="dxa"/>
            <w:tcBorders>
              <w:bottom w:val="single" w:sz="8" w:space="0" w:color="000000"/>
            </w:tcBorders>
            <w:shd w:fill="CCCCCC"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4,655</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575" w:type="dxa"/>
            <w:tcBorders>
              <w:bottom w:val="single" w:sz="8" w:space="0" w:color="000000"/>
            </w:tcBorders>
            <w:shd w:fill="CCCCCC" w:val="clear"/>
            <w:tcMar>
              <w:bottom w:w="28"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770" w:type="dxa"/>
            <w:tcBorders>
              <w:bottom w:val="single" w:sz="8" w:space="0" w:color="000000"/>
            </w:tcBorders>
            <w:shd w:fill="CCCCCC"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5,000,050</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650" w:type="dxa"/>
            <w:tcBorders>
              <w:bottom w:val="single" w:sz="8" w:space="0" w:color="000000"/>
            </w:tcBorders>
            <w:shd w:fill="CCCCCC" w:val="clear"/>
            <w:tcMar>
              <w:bottom w:w="28"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220" w:type="dxa"/>
            <w:tcBorders>
              <w:bottom w:val="single" w:sz="8" w:space="0" w:color="000000"/>
            </w:tcBorders>
            <w:shd w:fill="CCCCCC" w:val="clear"/>
            <w:tcMar>
              <w:bottom w:w="28"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220" w:type="dxa"/>
            <w:tcBorders>
              <w:bottom w:val="single" w:sz="8" w:space="0" w:color="000000"/>
            </w:tcBorders>
            <w:shd w:fill="CCCCCC" w:val="clear"/>
            <w:tcMar>
              <w:bottom w:w="28"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770" w:type="dxa"/>
            <w:tcBorders>
              <w:bottom w:val="single" w:sz="8" w:space="0" w:color="000000"/>
            </w:tcBorders>
            <w:shd w:fill="CCCCCC" w:val="clear"/>
            <w:tcMar>
              <w:bottom w:w="28"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860" w:type="dxa"/>
            <w:tcBorders>
              <w:bottom w:val="single" w:sz="8" w:space="0" w:color="000000"/>
            </w:tcBorders>
            <w:shd w:fill="CCCCCC"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5,004,705 </w:t>
            </w:r>
          </w:p>
        </w:tc>
        <w:tc>
          <w:tcPr>
            <w:tcW w:w="21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1115" w:type="dxa"/>
            <w:vMerge w:val="restart"/>
            <w:tcBorders>
              <w:bottom w:val="single" w:sz="8" w:space="0" w:color="000000"/>
            </w:tcBorders>
            <w:tcMar>
              <w:bottom w:w="2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 xml:space="preserve">Simhambhatla, Ravi </w:t>
            </w:r>
          </w:p>
          <w:p>
            <w:pPr>
              <w:pStyle w:val="TableContents"/>
              <w:bidi w:val="0"/>
              <w:spacing w:before="0" w:after="283"/>
              <w:ind w:left="130" w:right="0" w:hanging="0"/>
              <w:jc w:val="left"/>
              <w:rPr>
                <w:rFonts w:ascii="Arial;Helvetica;sans-serif" w:hAnsi="Arial;Helvetica;sans-serif"/>
                <w:color w:val="000000"/>
                <w:sz w:val="16"/>
              </w:rPr>
            </w:pPr>
            <w:r>
              <w:rPr>
                <w:rFonts w:ascii="Arial;Helvetica;sans-serif" w:hAnsi="Arial;Helvetica;sans-serif"/>
                <w:color w:val="000000"/>
                <w:sz w:val="16"/>
              </w:rPr>
              <w:t>EVP, Chief Digital &amp; Innovation Officer</w:t>
            </w:r>
          </w:p>
        </w:tc>
        <w:tc>
          <w:tcPr>
            <w:tcW w:w="170"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500,000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1,150,008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381,600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161,765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2,193,373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000000"/>
            </w:tcBorders>
            <w:tcMar>
              <w:bottom w:w="28" w:type="dxa"/>
            </w:tcMar>
            <w:vAlign w:val="center"/>
          </w:tcPr>
          <w:p>
            <w:pPr>
              <w:pStyle w:val="Normal"/>
              <w:bidi w:val="0"/>
              <w:jc w:val="left"/>
              <w:rPr/>
            </w:pPr>
            <w:r>
              <w:rPr/>
            </w:r>
          </w:p>
        </w:tc>
        <w:tc>
          <w:tcPr>
            <w:tcW w:w="1115" w:type="dxa"/>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bottom w:val="single" w:sz="8" w:space="0" w:color="000000"/>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500,000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900,050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righ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152,958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1,553,008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000000"/>
            </w:tcBorders>
            <w:tcMar>
              <w:bottom w:w="28" w:type="dxa"/>
            </w:tcMar>
            <w:vAlign w:val="center"/>
          </w:tcPr>
          <w:p>
            <w:pPr>
              <w:pStyle w:val="Normal"/>
              <w:bidi w:val="0"/>
              <w:jc w:val="left"/>
              <w:rPr/>
            </w:pPr>
            <w:r>
              <w:rPr/>
            </w:r>
          </w:p>
        </w:tc>
        <w:tc>
          <w:tcPr>
            <w:tcW w:w="1115" w:type="dxa"/>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bottom w:val="single" w:sz="8" w:space="0" w:color="000000"/>
            </w:tcBorders>
            <w:tcMar>
              <w:bottom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10"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2023</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500,000</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900,100</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50" w:type="dxa"/>
            <w:tcBorders>
              <w:bottom w:val="single" w:sz="8" w:space="0" w:color="000000"/>
            </w:tcBorders>
            <w:tcMar>
              <w:bottom w:w="28"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2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478,404</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20" w:type="dxa"/>
            <w:tcBorders>
              <w:bottom w:val="single" w:sz="8" w:space="0" w:color="000000"/>
            </w:tcBorders>
            <w:tcMar>
              <w:bottom w:w="28"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596,312</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6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2,474,816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115" w:type="dxa"/>
            <w:vMerge w:val="restart"/>
            <w:tcBorders>
              <w:bottom w:val="single" w:sz="8" w:space="0" w:color="000000"/>
            </w:tcBorders>
            <w:shd w:fill="CCCCCC" w:val="clear"/>
            <w:tcMar>
              <w:bottom w:w="2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 xml:space="preserve">Linnen, Edward P. </w:t>
            </w:r>
          </w:p>
          <w:p>
            <w:pPr>
              <w:pStyle w:val="TableContents"/>
              <w:bidi w:val="0"/>
              <w:spacing w:before="0" w:after="283"/>
              <w:ind w:left="130" w:right="0" w:hanging="0"/>
              <w:jc w:val="left"/>
              <w:rPr>
                <w:rFonts w:ascii="Arial;Helvetica;sans-serif" w:hAnsi="Arial;Helvetica;sans-serif"/>
                <w:color w:val="000000"/>
                <w:sz w:val="16"/>
              </w:rPr>
            </w:pPr>
            <w:r>
              <w:rPr>
                <w:rFonts w:ascii="Arial;Helvetica;sans-serif" w:hAnsi="Arial;Helvetica;sans-serif"/>
                <w:color w:val="000000"/>
                <w:sz w:val="16"/>
              </w:rPr>
              <w:t>EVP, CHRO</w:t>
            </w:r>
          </w:p>
        </w:tc>
        <w:tc>
          <w:tcPr>
            <w:tcW w:w="170" w:type="dxa"/>
            <w:vMerge w:val="restart"/>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410" w:type="dxa"/>
            <w:tcBorders/>
            <w:shd w:fill="CCCCCC"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600,000</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575" w:type="dxa"/>
            <w:tcBorders/>
            <w:shd w:fill="CCCCCC" w:val="clear"/>
            <w:vAlign w:val="center"/>
          </w:tcPr>
          <w:p>
            <w:pPr>
              <w:pStyle w:val="TableContents"/>
              <w:bidi w:val="0"/>
              <w:spacing w:before="0" w:after="283"/>
              <w:jc w:val="center"/>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829,979</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650" w:type="dxa"/>
            <w:tcBorders/>
            <w:shd w:fill="CCCCCC" w:val="clear"/>
            <w:vAlign w:val="center"/>
          </w:tcPr>
          <w:p>
            <w:pPr>
              <w:pStyle w:val="TableContents"/>
              <w:bidi w:val="0"/>
              <w:spacing w:before="0" w:after="283"/>
              <w:jc w:val="center"/>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20" w:type="dxa"/>
            <w:tcBorders/>
            <w:shd w:fill="CCCCCC"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390,960</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20" w:type="dxa"/>
            <w:tcBorders/>
            <w:shd w:fill="CCCCCC" w:val="clear"/>
            <w:vAlign w:val="center"/>
          </w:tcPr>
          <w:p>
            <w:pPr>
              <w:pStyle w:val="TableContents"/>
              <w:bidi w:val="0"/>
              <w:spacing w:before="0" w:after="283"/>
              <w:jc w:val="center"/>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66,450</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60" w:type="dxa"/>
            <w:tcBorders/>
            <w:shd w:fill="CCCCCC"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1,887,389 </w:t>
            </w:r>
          </w:p>
        </w:tc>
        <w:tc>
          <w:tcPr>
            <w:tcW w:w="215" w:type="dxa"/>
            <w:tcBorders/>
            <w:shd w:fill="CCCCCC" w:val="clear"/>
            <w:vAlign w:val="center"/>
          </w:tcPr>
          <w:p>
            <w:pPr>
              <w:pStyle w:val="TableContents"/>
              <w:bidi w:val="0"/>
              <w:spacing w:before="0" w:after="0"/>
              <w:jc w:val="left"/>
              <w:rPr/>
            </w:pPr>
            <w:r>
              <w:rPr/>
              <w:t> </w:t>
            </w:r>
          </w:p>
        </w:tc>
      </w:tr>
      <w:tr>
        <w:trPr/>
        <w:tc>
          <w:tcPr>
            <w:tcW w:w="185" w:type="dxa"/>
            <w:vMerge w:val="continue"/>
            <w:tcBorders>
              <w:bottom w:val="single" w:sz="8" w:space="0" w:color="000000"/>
            </w:tcBorders>
            <w:shd w:fill="CCCCCC" w:val="clear"/>
            <w:tcMar>
              <w:bottom w:w="28" w:type="dxa"/>
            </w:tcMar>
            <w:vAlign w:val="center"/>
          </w:tcPr>
          <w:p>
            <w:pPr>
              <w:pStyle w:val="Normal"/>
              <w:bidi w:val="0"/>
              <w:jc w:val="left"/>
              <w:rPr/>
            </w:pPr>
            <w:r>
              <w:rPr/>
            </w:r>
          </w:p>
        </w:tc>
        <w:tc>
          <w:tcPr>
            <w:tcW w:w="1115" w:type="dxa"/>
            <w:vMerge w:val="continue"/>
            <w:tcBorders>
              <w:bottom w:val="single" w:sz="8" w:space="0" w:color="000000"/>
            </w:tcBorders>
            <w:shd w:fill="CCCCCC" w:val="clear"/>
            <w:tcMar>
              <w:bottom w:w="28" w:type="dxa"/>
            </w:tcMar>
            <w:vAlign w:val="center"/>
          </w:tcPr>
          <w:p>
            <w:pPr>
              <w:pStyle w:val="Normal"/>
              <w:bidi w:val="0"/>
              <w:jc w:val="left"/>
              <w:rPr/>
            </w:pPr>
            <w:r>
              <w:rPr/>
            </w:r>
          </w:p>
        </w:tc>
        <w:tc>
          <w:tcPr>
            <w:tcW w:w="170" w:type="dxa"/>
            <w:vMerge w:val="continue"/>
            <w:tcBorders>
              <w:bottom w:val="single" w:sz="8" w:space="0" w:color="000000"/>
            </w:tcBorders>
            <w:shd w:fill="CCCCCC" w:val="clear"/>
            <w:tcMar>
              <w:bottom w:w="28" w:type="dxa"/>
            </w:tcMar>
            <w:vAlign w:val="center"/>
          </w:tcPr>
          <w:p>
            <w:pPr>
              <w:pStyle w:val="Normal"/>
              <w:bidi w:val="0"/>
              <w:jc w:val="left"/>
              <w:rPr/>
            </w:pPr>
            <w:r>
              <w:rPr/>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410" w:type="dxa"/>
            <w:tcBorders>
              <w:bottom w:val="single" w:sz="8" w:space="0" w:color="000000"/>
            </w:tcBorders>
            <w:shd w:fill="CCCCCC" w:val="clear"/>
            <w:tcMar>
              <w:bottom w:w="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770" w:type="dxa"/>
            <w:tcBorders>
              <w:bottom w:val="single" w:sz="8" w:space="0" w:color="000000"/>
            </w:tcBorders>
            <w:shd w:fill="CCCCCC"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600,000</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575" w:type="dxa"/>
            <w:tcBorders>
              <w:bottom w:val="single" w:sz="8" w:space="0" w:color="000000"/>
            </w:tcBorders>
            <w:shd w:fill="CCCCCC" w:val="clear"/>
            <w:tcMar>
              <w:bottom w:w="28"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770" w:type="dxa"/>
            <w:tcBorders>
              <w:bottom w:val="single" w:sz="8" w:space="0" w:color="000000"/>
            </w:tcBorders>
            <w:shd w:fill="CCCCCC"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650,098</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650" w:type="dxa"/>
            <w:tcBorders>
              <w:bottom w:val="single" w:sz="8" w:space="0" w:color="000000"/>
            </w:tcBorders>
            <w:shd w:fill="CCCCCC" w:val="clear"/>
            <w:tcMar>
              <w:bottom w:w="28"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220" w:type="dxa"/>
            <w:tcBorders>
              <w:bottom w:val="single" w:sz="8" w:space="0" w:color="000000"/>
            </w:tcBorders>
            <w:shd w:fill="CCCCCC" w:val="clear"/>
            <w:tcMar>
              <w:bottom w:w="28"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220" w:type="dxa"/>
            <w:tcBorders>
              <w:bottom w:val="single" w:sz="8" w:space="0" w:color="000000"/>
            </w:tcBorders>
            <w:shd w:fill="CCCCCC" w:val="clear"/>
            <w:tcMar>
              <w:bottom w:w="28"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770" w:type="dxa"/>
            <w:tcBorders>
              <w:bottom w:val="single" w:sz="8" w:space="0" w:color="000000"/>
            </w:tcBorders>
            <w:shd w:fill="CCCCCC"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62,443</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860" w:type="dxa"/>
            <w:tcBorders>
              <w:bottom w:val="single" w:sz="8" w:space="0" w:color="000000"/>
            </w:tcBorders>
            <w:shd w:fill="CCCCCC"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1,312,541 </w:t>
            </w:r>
          </w:p>
        </w:tc>
        <w:tc>
          <w:tcPr>
            <w:tcW w:w="21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1115" w:type="dxa"/>
            <w:vMerge w:val="restart"/>
            <w:tcBorders>
              <w:bottom w:val="single" w:sz="8" w:space="0" w:color="000000"/>
            </w:tcBorders>
            <w:tcMar>
              <w:bottom w:w="2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Ferraro, Joseph A</w:t>
            </w:r>
          </w:p>
          <w:p>
            <w:pPr>
              <w:pStyle w:val="TableContents"/>
              <w:bidi w:val="0"/>
              <w:spacing w:before="0" w:after="283"/>
              <w:ind w:left="130" w:right="0" w:hanging="0"/>
              <w:jc w:val="left"/>
              <w:rPr>
                <w:rFonts w:ascii="Arial;Helvetica;sans-serif" w:hAnsi="Arial;Helvetica;sans-serif"/>
                <w:color w:val="000000"/>
                <w:sz w:val="16"/>
              </w:rPr>
            </w:pPr>
            <w:r>
              <w:rPr>
                <w:rFonts w:ascii="Arial;Helvetica;sans-serif" w:hAnsi="Arial;Helvetica;sans-serif"/>
                <w:color w:val="000000"/>
                <w:sz w:val="16"/>
              </w:rPr>
              <w:t>Former President and CEO*</w:t>
            </w:r>
          </w:p>
        </w:tc>
        <w:tc>
          <w:tcPr>
            <w:tcW w:w="170"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1,550,000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5,566,691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741,000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716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136,947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7,995,354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000000"/>
            </w:tcBorders>
            <w:tcMar>
              <w:bottom w:w="28" w:type="dxa"/>
            </w:tcMar>
            <w:vAlign w:val="center"/>
          </w:tcPr>
          <w:p>
            <w:pPr>
              <w:pStyle w:val="Normal"/>
              <w:bidi w:val="0"/>
              <w:jc w:val="left"/>
              <w:rPr/>
            </w:pPr>
            <w:r>
              <w:rPr/>
            </w:r>
          </w:p>
        </w:tc>
        <w:tc>
          <w:tcPr>
            <w:tcW w:w="1115" w:type="dxa"/>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bottom w:val="single" w:sz="8" w:space="0" w:color="000000"/>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1,300,000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7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5,350,082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righ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272,708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6,922,790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000000"/>
            </w:tcBorders>
            <w:tcMar>
              <w:bottom w:w="28" w:type="dxa"/>
            </w:tcMar>
            <w:vAlign w:val="center"/>
          </w:tcPr>
          <w:p>
            <w:pPr>
              <w:pStyle w:val="Normal"/>
              <w:bidi w:val="0"/>
              <w:jc w:val="left"/>
              <w:rPr/>
            </w:pPr>
            <w:r>
              <w:rPr/>
            </w:r>
          </w:p>
        </w:tc>
        <w:tc>
          <w:tcPr>
            <w:tcW w:w="1115" w:type="dxa"/>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bottom w:val="single" w:sz="8" w:space="0" w:color="000000"/>
            </w:tcBorders>
            <w:tcMar>
              <w:bottom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10"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2023</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1,248,000</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5,200,116</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50" w:type="dxa"/>
            <w:tcBorders>
              <w:bottom w:val="single" w:sz="8" w:space="0" w:color="000000"/>
            </w:tcBorders>
            <w:tcMar>
              <w:bottom w:w="28"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2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2,312,170</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20" w:type="dxa"/>
            <w:tcBorders>
              <w:bottom w:val="single" w:sz="8" w:space="0" w:color="000000"/>
            </w:tcBorders>
            <w:tcMar>
              <w:bottom w:w="28"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1,514,635</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6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10,274,921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vMerge w:val="restart"/>
            <w:tcBorders/>
            <w:shd w:fill="CCCCCC" w:val="clear"/>
            <w:vAlign w:val="center"/>
          </w:tcPr>
          <w:p>
            <w:pPr>
              <w:pStyle w:val="TableContents"/>
              <w:bidi w:val="0"/>
              <w:spacing w:before="0" w:after="0"/>
              <w:jc w:val="left"/>
              <w:rPr/>
            </w:pPr>
            <w:r>
              <w:rPr/>
              <w:t> </w:t>
            </w:r>
          </w:p>
        </w:tc>
        <w:tc>
          <w:tcPr>
            <w:tcW w:w="1115" w:type="dxa"/>
            <w:vMerge w:val="restart"/>
            <w:tcBorders/>
            <w:shd w:fill="CCCCCC"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Martins, Izzy</w:t>
            </w:r>
          </w:p>
          <w:p>
            <w:pPr>
              <w:pStyle w:val="TableContents"/>
              <w:bidi w:val="0"/>
              <w:spacing w:before="0" w:after="283"/>
              <w:ind w:left="130" w:right="0" w:hanging="0"/>
              <w:jc w:val="left"/>
              <w:rPr>
                <w:rFonts w:ascii="Arial;Helvetica;sans-serif" w:hAnsi="Arial;Helvetica;sans-serif"/>
                <w:color w:val="000000"/>
                <w:sz w:val="16"/>
              </w:rPr>
            </w:pPr>
            <w:r>
              <w:rPr>
                <w:rFonts w:ascii="Arial;Helvetica;sans-serif" w:hAnsi="Arial;Helvetica;sans-serif"/>
                <w:color w:val="000000"/>
                <w:sz w:val="16"/>
              </w:rPr>
              <w:t>Former CFO*</w:t>
            </w:r>
          </w:p>
        </w:tc>
        <w:tc>
          <w:tcPr>
            <w:tcW w:w="170" w:type="dxa"/>
            <w:vMerge w:val="restart"/>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410" w:type="dxa"/>
            <w:tcBorders/>
            <w:shd w:fill="CCCCCC"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350,000</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575" w:type="dxa"/>
            <w:tcBorders/>
            <w:shd w:fill="CCCCCC" w:val="clear"/>
            <w:vAlign w:val="center"/>
          </w:tcPr>
          <w:p>
            <w:pPr>
              <w:pStyle w:val="TableContents"/>
              <w:bidi w:val="0"/>
              <w:spacing w:before="0" w:after="283"/>
              <w:jc w:val="center"/>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2,119,988</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650" w:type="dxa"/>
            <w:tcBorders/>
            <w:shd w:fill="CCCCCC" w:val="clear"/>
            <w:vAlign w:val="center"/>
          </w:tcPr>
          <w:p>
            <w:pPr>
              <w:pStyle w:val="TableContents"/>
              <w:bidi w:val="0"/>
              <w:spacing w:before="0" w:after="283"/>
              <w:jc w:val="center"/>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20" w:type="dxa"/>
            <w:tcBorders/>
            <w:shd w:fill="CCCCCC" w:val="clear"/>
            <w:vAlign w:val="center"/>
          </w:tcPr>
          <w:p>
            <w:pPr>
              <w:pStyle w:val="TableContents"/>
              <w:bidi w:val="0"/>
              <w:spacing w:before="0" w:after="283"/>
              <w:jc w:val="righ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20" w:type="dxa"/>
            <w:tcBorders/>
            <w:shd w:fill="CCCCCC" w:val="clear"/>
            <w:vAlign w:val="center"/>
          </w:tcPr>
          <w:p>
            <w:pPr>
              <w:pStyle w:val="TableContents"/>
              <w:bidi w:val="0"/>
              <w:spacing w:before="0" w:after="283"/>
              <w:jc w:val="center"/>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19,161</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60" w:type="dxa"/>
            <w:tcBorders/>
            <w:shd w:fill="CCCCCC"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2,489,149 </w:t>
            </w:r>
          </w:p>
        </w:tc>
        <w:tc>
          <w:tcPr>
            <w:tcW w:w="215" w:type="dxa"/>
            <w:tcBorders/>
            <w:shd w:fill="CCCCCC" w:val="clear"/>
            <w:vAlign w:val="center"/>
          </w:tcPr>
          <w:p>
            <w:pPr>
              <w:pStyle w:val="TableContents"/>
              <w:bidi w:val="0"/>
              <w:spacing w:before="0" w:after="0"/>
              <w:jc w:val="left"/>
              <w:rPr/>
            </w:pPr>
            <w:r>
              <w:rPr/>
              <w:t> </w:t>
            </w:r>
          </w:p>
        </w:tc>
      </w:tr>
      <w:tr>
        <w:trPr/>
        <w:tc>
          <w:tcPr>
            <w:tcW w:w="185" w:type="dxa"/>
            <w:vMerge w:val="continue"/>
            <w:tcBorders/>
            <w:shd w:fill="CCCCCC" w:val="clear"/>
            <w:vAlign w:val="center"/>
          </w:tcPr>
          <w:p>
            <w:pPr>
              <w:pStyle w:val="Normal"/>
              <w:bidi w:val="0"/>
              <w:jc w:val="left"/>
              <w:rPr/>
            </w:pPr>
            <w:r>
              <w:rPr/>
            </w:r>
          </w:p>
        </w:tc>
        <w:tc>
          <w:tcPr>
            <w:tcW w:w="1115" w:type="dxa"/>
            <w:vMerge w:val="continue"/>
            <w:tcBorders/>
            <w:shd w:fill="CCCCCC" w:val="clear"/>
            <w:vAlign w:val="center"/>
          </w:tcPr>
          <w:p>
            <w:pPr>
              <w:pStyle w:val="Normal"/>
              <w:bidi w:val="0"/>
              <w:jc w:val="left"/>
              <w:rPr/>
            </w:pPr>
            <w:r>
              <w:rPr/>
            </w:r>
          </w:p>
        </w:tc>
        <w:tc>
          <w:tcPr>
            <w:tcW w:w="170" w:type="dxa"/>
            <w:vMerge w:val="continue"/>
            <w:tcBorders/>
            <w:shd w:fill="CCCCCC" w:val="clear"/>
            <w:vAlign w:val="center"/>
          </w:tcPr>
          <w:p>
            <w:pPr>
              <w:pStyle w:val="Normal"/>
              <w:bidi w:val="0"/>
              <w:jc w:val="left"/>
              <w:rPr/>
            </w:pPr>
            <w:r>
              <w:rPr/>
            </w:r>
          </w:p>
        </w:tc>
        <w:tc>
          <w:tcPr>
            <w:tcW w:w="170" w:type="dxa"/>
            <w:tcBorders/>
            <w:shd w:fill="CCCCCC" w:val="clear"/>
            <w:vAlign w:val="center"/>
          </w:tcPr>
          <w:p>
            <w:pPr>
              <w:pStyle w:val="TableContents"/>
              <w:bidi w:val="0"/>
              <w:spacing w:before="0" w:after="0"/>
              <w:jc w:val="left"/>
              <w:rPr/>
            </w:pPr>
            <w:r>
              <w:rPr/>
              <w:t> </w:t>
            </w:r>
          </w:p>
        </w:tc>
        <w:tc>
          <w:tcPr>
            <w:tcW w:w="410" w:type="dxa"/>
            <w:tcBorders/>
            <w:shd w:fill="CCCCCC"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700,000</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575" w:type="dxa"/>
            <w:tcBorders/>
            <w:shd w:fill="CCCCCC" w:val="clear"/>
            <w:vAlign w:val="center"/>
          </w:tcPr>
          <w:p>
            <w:pPr>
              <w:pStyle w:val="TableContents"/>
              <w:bidi w:val="0"/>
              <w:spacing w:before="0" w:after="283"/>
              <w:jc w:val="center"/>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1,725,002</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650" w:type="dxa"/>
            <w:tcBorders/>
            <w:shd w:fill="CCCCCC" w:val="clear"/>
            <w:vAlign w:val="center"/>
          </w:tcPr>
          <w:p>
            <w:pPr>
              <w:pStyle w:val="TableContents"/>
              <w:bidi w:val="0"/>
              <w:spacing w:before="0" w:after="283"/>
              <w:jc w:val="center"/>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20" w:type="dxa"/>
            <w:tcBorders/>
            <w:shd w:fill="CCCCCC" w:val="clear"/>
            <w:vAlign w:val="center"/>
          </w:tcPr>
          <w:p>
            <w:pPr>
              <w:pStyle w:val="TableContents"/>
              <w:bidi w:val="0"/>
              <w:spacing w:before="0" w:after="283"/>
              <w:jc w:val="righ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20" w:type="dxa"/>
            <w:tcBorders/>
            <w:shd w:fill="CCCCCC" w:val="clear"/>
            <w:vAlign w:val="center"/>
          </w:tcPr>
          <w:p>
            <w:pPr>
              <w:pStyle w:val="TableContents"/>
              <w:bidi w:val="0"/>
              <w:spacing w:before="0" w:after="283"/>
              <w:jc w:val="center"/>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89,384</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60" w:type="dxa"/>
            <w:tcBorders/>
            <w:shd w:fill="CCCCCC"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2,514,386 </w:t>
            </w:r>
          </w:p>
        </w:tc>
        <w:tc>
          <w:tcPr>
            <w:tcW w:w="215" w:type="dxa"/>
            <w:tcBorders/>
            <w:shd w:fill="CCCCCC" w:val="clear"/>
            <w:vAlign w:val="center"/>
          </w:tcPr>
          <w:p>
            <w:pPr>
              <w:pStyle w:val="TableContents"/>
              <w:bidi w:val="0"/>
              <w:spacing w:before="0" w:after="0"/>
              <w:jc w:val="left"/>
              <w:rPr/>
            </w:pPr>
            <w:r>
              <w:rPr/>
              <w:t> </w:t>
            </w:r>
          </w:p>
        </w:tc>
      </w:tr>
      <w:tr>
        <w:trPr/>
        <w:tc>
          <w:tcPr>
            <w:tcW w:w="185" w:type="dxa"/>
            <w:vMerge w:val="continue"/>
            <w:tcBorders/>
            <w:shd w:fill="CCCCCC" w:val="clear"/>
            <w:vAlign w:val="center"/>
          </w:tcPr>
          <w:p>
            <w:pPr>
              <w:pStyle w:val="Normal"/>
              <w:bidi w:val="0"/>
              <w:jc w:val="left"/>
              <w:rPr/>
            </w:pPr>
            <w:r>
              <w:rPr/>
            </w:r>
          </w:p>
        </w:tc>
        <w:tc>
          <w:tcPr>
            <w:tcW w:w="1115" w:type="dxa"/>
            <w:vMerge w:val="continue"/>
            <w:tcBorders/>
            <w:shd w:fill="CCCCCC" w:val="clear"/>
            <w:vAlign w:val="center"/>
          </w:tcPr>
          <w:p>
            <w:pPr>
              <w:pStyle w:val="Normal"/>
              <w:bidi w:val="0"/>
              <w:jc w:val="left"/>
              <w:rPr/>
            </w:pPr>
            <w:r>
              <w:rPr/>
            </w:r>
          </w:p>
        </w:tc>
        <w:tc>
          <w:tcPr>
            <w:tcW w:w="170" w:type="dxa"/>
            <w:vMerge w:val="continue"/>
            <w:tcBorders/>
            <w:shd w:fill="CCCCCC" w:val="clear"/>
            <w:vAlign w:val="center"/>
          </w:tcPr>
          <w:p>
            <w:pPr>
              <w:pStyle w:val="Normal"/>
              <w:bidi w:val="0"/>
              <w:jc w:val="left"/>
              <w:rPr/>
            </w:pPr>
            <w:r>
              <w:rPr/>
            </w:r>
          </w:p>
        </w:tc>
        <w:tc>
          <w:tcPr>
            <w:tcW w:w="170" w:type="dxa"/>
            <w:tcBorders/>
            <w:shd w:fill="CCCCCC" w:val="clear"/>
            <w:vAlign w:val="center"/>
          </w:tcPr>
          <w:p>
            <w:pPr>
              <w:pStyle w:val="TableContents"/>
              <w:bidi w:val="0"/>
              <w:spacing w:before="0" w:after="0"/>
              <w:jc w:val="left"/>
              <w:rPr/>
            </w:pPr>
            <w:r>
              <w:rPr/>
              <w:t> </w:t>
            </w:r>
          </w:p>
        </w:tc>
        <w:tc>
          <w:tcPr>
            <w:tcW w:w="410" w:type="dxa"/>
            <w:tcBorders/>
            <w:shd w:fill="CCCCCC"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2023</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624,000</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575" w:type="dxa"/>
            <w:tcBorders/>
            <w:shd w:fill="CCCCCC" w:val="clear"/>
            <w:vAlign w:val="center"/>
          </w:tcPr>
          <w:p>
            <w:pPr>
              <w:pStyle w:val="TableContents"/>
              <w:bidi w:val="0"/>
              <w:spacing w:before="0" w:after="283"/>
              <w:jc w:val="center"/>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900,100</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650" w:type="dxa"/>
            <w:tcBorders/>
            <w:shd w:fill="CCCCCC" w:val="clear"/>
            <w:vAlign w:val="center"/>
          </w:tcPr>
          <w:p>
            <w:pPr>
              <w:pStyle w:val="TableContents"/>
              <w:bidi w:val="0"/>
              <w:spacing w:before="0" w:after="283"/>
              <w:jc w:val="center"/>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20" w:type="dxa"/>
            <w:tcBorders/>
            <w:shd w:fill="CCCCCC"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700,128</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20" w:type="dxa"/>
            <w:tcBorders/>
            <w:shd w:fill="CCCCCC" w:val="clear"/>
            <w:vAlign w:val="center"/>
          </w:tcPr>
          <w:p>
            <w:pPr>
              <w:pStyle w:val="TableContents"/>
              <w:bidi w:val="0"/>
              <w:spacing w:before="0" w:after="283"/>
              <w:jc w:val="center"/>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301,631</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60" w:type="dxa"/>
            <w:tcBorders/>
            <w:shd w:fill="CCCCCC"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2,525,859</w:t>
            </w:r>
          </w:p>
        </w:tc>
        <w:tc>
          <w:tcPr>
            <w:tcW w:w="215" w:type="dxa"/>
            <w:tcBorders/>
            <w:shd w:fill="CCCCCC" w:val="clear"/>
            <w:vAlign w:val="center"/>
          </w:tcPr>
          <w:p>
            <w:pPr>
              <w:pStyle w:val="TableContents"/>
              <w:bidi w:val="0"/>
              <w:spacing w:before="0" w:after="0"/>
              <w:jc w:val="left"/>
              <w:rPr/>
            </w:pPr>
            <w:r>
              <w:rPr/>
              <w:t> </w:t>
            </w:r>
          </w:p>
        </w:tc>
      </w:tr>
      <w:tr>
        <w:trPr/>
        <w:tc>
          <w:tcPr>
            <w:tcW w:w="185" w:type="dxa"/>
            <w:tcBorders/>
            <w:shd w:fill="CCCCCC" w:val="clear"/>
            <w:vAlign w:val="center"/>
          </w:tcPr>
          <w:p>
            <w:pPr>
              <w:pStyle w:val="TableContents"/>
              <w:bidi w:val="0"/>
              <w:spacing w:before="0" w:after="0"/>
              <w:jc w:val="left"/>
              <w:rPr/>
            </w:pPr>
            <w:r>
              <w:rPr/>
              <w:t> </w:t>
            </w:r>
          </w:p>
        </w:tc>
        <w:tc>
          <w:tcPr>
            <w:tcW w:w="1115"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41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575"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65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2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2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60" w:type="dxa"/>
            <w:tcBorders/>
            <w:shd w:fill="CCCCCC" w:val="clear"/>
            <w:vAlign w:val="center"/>
          </w:tcPr>
          <w:p>
            <w:pPr>
              <w:pStyle w:val="TableContents"/>
              <w:bidi w:val="0"/>
              <w:spacing w:before="0" w:after="0"/>
              <w:jc w:val="left"/>
              <w:rPr/>
            </w:pPr>
            <w:r>
              <w:rPr/>
              <w:t> </w:t>
            </w:r>
          </w:p>
        </w:tc>
        <w:tc>
          <w:tcPr>
            <w:tcW w:w="215" w:type="dxa"/>
            <w:tcBorders/>
            <w:shd w:fill="CCCCCC"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w:t>
            </w:r>
          </w:p>
        </w:tc>
        <w:tc>
          <w:tcPr>
            <w:tcW w:w="10095" w:type="dxa"/>
            <w:tcBorders/>
            <w:vAlign w:val="center"/>
          </w:tcPr>
          <w:p>
            <w:pPr>
              <w:pStyle w:val="TableContents"/>
              <w:bidi w:val="0"/>
              <w:spacing w:before="0" w:after="0"/>
              <w:jc w:val="both"/>
              <w:rPr>
                <w:rFonts w:ascii="Arial;Helvetica;sans-serif" w:hAnsi="Arial;Helvetica;sans-serif"/>
                <w:color w:val="000000"/>
                <w:sz w:val="14"/>
              </w:rPr>
            </w:pPr>
            <w:r>
              <w:rPr>
                <w:rFonts w:ascii="Arial;Helvetica;sans-serif" w:hAnsi="Arial;Helvetica;sans-serif"/>
                <w:color w:val="000000"/>
                <w:sz w:val="14"/>
              </w:rPr>
              <w:t xml:space="preserve">Mr. Choi was appointed Chief Executive Officer effective July 1, 2025, at which time Mr. Ferraro’s position transitioned to Advisor to the Board of Directors. Previously, Mr. Choi was Executive Vice President and Chief Financial Officer in 2023, and was Executive Vice President and Chief Transformation Officer from 2024 through June 2025. Mr. Cunha replaced Ms. Martins as CFO on July 1, 2025. </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(a)</w:t>
            </w:r>
          </w:p>
        </w:tc>
        <w:tc>
          <w:tcPr>
            <w:tcW w:w="10024" w:type="dxa"/>
            <w:tcBorders/>
            <w:vAlign w:val="center"/>
          </w:tcPr>
          <w:p>
            <w:pPr>
              <w:pStyle w:val="TableContents"/>
              <w:bidi w:val="0"/>
              <w:spacing w:before="0" w:after="0"/>
              <w:jc w:val="both"/>
              <w:rPr>
                <w:rFonts w:ascii="Arial;Helvetica;sans-serif" w:hAnsi="Arial;Helvetica;sans-serif"/>
                <w:color w:val="000000"/>
                <w:sz w:val="14"/>
              </w:rPr>
            </w:pPr>
            <w:r>
              <w:rPr>
                <w:rFonts w:ascii="Arial;Helvetica;sans-serif" w:hAnsi="Arial;Helvetica;sans-serif"/>
                <w:color w:val="000000"/>
                <w:sz w:val="14"/>
              </w:rPr>
              <w:t xml:space="preserve">Salary includes amounts deferred under the Company’s Deferred Compensation Plan or 401(k) Plan. For Mr. Cunha, his 2025 salary is prorated to reflect when his employment with the Company commenced in July 2025. Mr. Pahwa’s employment with the Company was in the U.S. through November 2025 and in the U.K. beginning December 2025, at which point he began receiving a base salary to meet applicable minimum salary requirements. Mr. Pahwa’s base salary reflects a monthly average £/$ exchange rate as of the date paid, received or allocated. </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(b)</w:t>
            </w:r>
          </w:p>
        </w:tc>
        <w:tc>
          <w:tcPr>
            <w:tcW w:w="10026" w:type="dxa"/>
            <w:tcBorders/>
            <w:vAlign w:val="center"/>
          </w:tcPr>
          <w:p>
            <w:pPr>
              <w:pStyle w:val="TableContents"/>
              <w:bidi w:val="0"/>
              <w:spacing w:before="0" w:after="0"/>
              <w:jc w:val="both"/>
              <w:rPr>
                <w:rFonts w:ascii="Arial;Helvetica;sans-serif" w:hAnsi="Arial;Helvetica;sans-serif"/>
                <w:color w:val="000000"/>
                <w:sz w:val="14"/>
              </w:rPr>
            </w:pPr>
            <w:r>
              <w:rPr>
                <w:rFonts w:ascii="Arial;Helvetica;sans-serif" w:hAnsi="Arial;Helvetica;sans-serif"/>
                <w:color w:val="000000"/>
                <w:sz w:val="14"/>
              </w:rPr>
              <w:t xml:space="preserve">Represents the aggregate grant date fair value computed by multiplying the number of shares (in the case of PSUs, based on target level as the probable outcome) by the closing price on the grant date, in accordance with Financial Accounting Standards Board (“FASB”) Accounting Standards Codification (“ASC”) Topic 718, Compensation Stock—Compensation. The grant date value of the 2025 stock awards assuming achievement of the highest level of performance conditions are: for Mr. Ferraro, $7,459,359; Mr. Choi, $5,222,547; Mr. Cunha, $1,509,074; Mr. Pahwa, $6,250,094; Mr. Simhambhatla, $1,375,011; Mr. Linnen, $992,467; Ms. Martins $2,551,265. The 2025 stock awards are further discussed in the CD&amp;A. </w:t>
            </w:r>
          </w:p>
        </w:tc>
      </w:tr>
    </w:tbl>
    <w:tbl>
      <w:tblPr>
        <w:tblW w:w="3280" w:type="dxa"/>
        <w:jc w:val="left"/>
        <w:tblInd w:w="0" w:type="dxa"/>
        <w:tblLayout w:type="fixed"/>
        <w:tblCellMar>
          <w:top w:w="0" w:type="dxa"/>
          <w:left w:w="0" w:type="dxa"/>
          <w:bottom w:w="0" w:type="dxa"/>
          <w:right w:w="0" w:type="dxa"/>
        </w:tblCellMar>
      </w:tblPr>
      <w:tblGrid>
        <w:gridCol w:w="215"/>
        <w:gridCol w:w="3065"/>
      </w:tblGrid>
      <w:tr>
        <w:trPr/>
        <w:tc>
          <w:tcPr>
            <w:tcW w:w="21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(c)</w:t>
            </w:r>
          </w:p>
        </w:tc>
        <w:tc>
          <w:tcPr>
            <w:tcW w:w="306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 xml:space="preserve">See a description of the 2025 AIP in the CD&amp;A. </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(d)</w:t>
            </w:r>
          </w:p>
        </w:tc>
        <w:tc>
          <w:tcPr>
            <w:tcW w:w="10018" w:type="dxa"/>
            <w:tcBorders/>
            <w:vAlign w:val="center"/>
          </w:tcPr>
          <w:p>
            <w:pPr>
              <w:pStyle w:val="TableContents"/>
              <w:bidi w:val="0"/>
              <w:spacing w:before="0" w:after="0"/>
              <w:jc w:val="both"/>
              <w:rPr>
                <w:rFonts w:ascii="Arial;Helvetica;sans-serif" w:hAnsi="Arial;Helvetica;sans-serif"/>
                <w:color w:val="000000"/>
                <w:sz w:val="14"/>
              </w:rPr>
            </w:pPr>
            <w:r>
              <w:rPr>
                <w:rFonts w:ascii="Arial;Helvetica;sans-serif" w:hAnsi="Arial;Helvetica;sans-serif"/>
                <w:color w:val="000000"/>
                <w:sz w:val="14"/>
              </w:rPr>
              <w:t xml:space="preserve">For Mr. Ferraro, in 2025, his pension value increased by $716. While no value is shown for 2024 and 2023, his pension value decreased by $24,644 and $3,220, respectively. Avis froze this qualified defined benefit pension plan to new participation and future benefit accruals as of December 31, 1998. Please see the “Pension Benefits Table” for further information regarding this plan. </w:t>
            </w:r>
          </w:p>
        </w:tc>
      </w:tr>
    </w:tbl>
    <w:tbl>
      <w:tblPr>
        <w:tblW w:w="5995" w:type="dxa"/>
        <w:jc w:val="left"/>
        <w:tblInd w:w="0" w:type="dxa"/>
        <w:tblLayout w:type="fixed"/>
        <w:tblCellMar>
          <w:top w:w="0" w:type="dxa"/>
          <w:left w:w="0" w:type="dxa"/>
          <w:bottom w:w="0" w:type="dxa"/>
          <w:right w:w="0" w:type="dxa"/>
        </w:tblCellMar>
      </w:tblPr>
      <w:tblGrid>
        <w:gridCol w:w="215"/>
        <w:gridCol w:w="5780"/>
      </w:tblGrid>
      <w:tr>
        <w:trPr/>
        <w:tc>
          <w:tcPr>
            <w:tcW w:w="21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(e)</w:t>
            </w:r>
          </w:p>
        </w:tc>
        <w:tc>
          <w:tcPr>
            <w:tcW w:w="5780"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 xml:space="preserve">All Other Compensation is comprised of the compensation described in the following tables.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33</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2" w:name="ny20066167x1_def14a_107-summary_pg2"/>
        <w:bookmarkEnd w:id="72"/>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000000"/>
          <w:sz w:val="28"/>
        </w:rPr>
      </w:pPr>
      <w:bookmarkStart w:id="73" w:name="tALLT"/>
      <w:bookmarkEnd w:id="73"/>
      <w:r>
        <w:rPr>
          <w:rFonts w:ascii="Arial;Helvetica;sans-serif" w:hAnsi="Arial;Helvetica;sans-serif"/>
          <w:b/>
          <w:color w:val="000000"/>
          <w:sz w:val="28"/>
        </w:rPr>
        <w:t xml:space="preserve">All Other Compensation Table </w:t>
      </w:r>
    </w:p>
    <w:tbl>
      <w:tblPr>
        <w:tblW w:w="9660" w:type="dxa"/>
        <w:jc w:val="left"/>
        <w:tblInd w:w="0" w:type="dxa"/>
        <w:tblLayout w:type="fixed"/>
        <w:tblCellMar>
          <w:top w:w="0" w:type="dxa"/>
          <w:left w:w="0" w:type="dxa"/>
          <w:bottom w:w="0" w:type="dxa"/>
          <w:right w:w="0" w:type="dxa"/>
        </w:tblCellMar>
      </w:tblPr>
      <w:tblGrid>
        <w:gridCol w:w="185"/>
        <w:gridCol w:w="1355"/>
        <w:gridCol w:w="170"/>
        <w:gridCol w:w="170"/>
        <w:gridCol w:w="455"/>
        <w:gridCol w:w="170"/>
        <w:gridCol w:w="170"/>
        <w:gridCol w:w="1265"/>
        <w:gridCol w:w="170"/>
        <w:gridCol w:w="170"/>
        <w:gridCol w:w="1040"/>
        <w:gridCol w:w="170"/>
        <w:gridCol w:w="170"/>
        <w:gridCol w:w="1010"/>
        <w:gridCol w:w="170"/>
        <w:gridCol w:w="170"/>
        <w:gridCol w:w="830"/>
        <w:gridCol w:w="170"/>
        <w:gridCol w:w="170"/>
        <w:gridCol w:w="1265"/>
        <w:gridCol w:w="215"/>
      </w:tblGrid>
      <w:tr>
        <w:trPr/>
        <w:tc>
          <w:tcPr>
            <w:tcW w:w="185"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355" w:type="dxa"/>
            <w:tcBorders>
              <w:bottom w:val="single" w:sz="8" w:space="0" w:color="000000"/>
            </w:tcBorders>
            <w:tcMar>
              <w:bottom w:w="28" w:type="dxa"/>
            </w:tcM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Name</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Year</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65"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Company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Contributions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to Deferred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Compensation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Plans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position w:val="5"/>
                <w:sz w:val="13"/>
                <w:sz w:val="16"/>
              </w:rPr>
              <w:t>(a)</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Perquisites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position w:val="5"/>
                <w:sz w:val="13"/>
                <w:sz w:val="16"/>
              </w:rPr>
              <w:t>(b)</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10"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Dividend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Equivalent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Stock Units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position w:val="5"/>
                <w:sz w:val="13"/>
                <w:sz w:val="16"/>
              </w:rPr>
              <w:t>(c)</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Other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Amounts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position w:val="5"/>
                <w:sz w:val="13"/>
                <w:sz w:val="16"/>
              </w:rPr>
              <w:t>(d)</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65"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Total All Other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Compensation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355" w:type="dxa"/>
            <w:vMerge w:val="restart"/>
            <w:tcBorders>
              <w:bottom w:val="single" w:sz="8" w:space="0" w:color="000000"/>
            </w:tcBorders>
            <w:shd w:fill="CCCCCC" w:val="clear"/>
            <w:tcMar>
              <w:bottom w:w="2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Mr. Choi</w:t>
            </w:r>
          </w:p>
        </w:tc>
        <w:tc>
          <w:tcPr>
            <w:tcW w:w="170" w:type="dxa"/>
            <w:vMerge w:val="restart"/>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455" w:type="dxa"/>
            <w:tcBorders/>
            <w:shd w:fill="CCCCCC"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65" w:type="dxa"/>
            <w:tcBorders/>
            <w:shd w:fill="CCCCCC"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3,500</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040" w:type="dxa"/>
            <w:tcBorders/>
            <w:shd w:fill="CCCCCC"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29,337</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010" w:type="dxa"/>
            <w:tcBorders/>
            <w:shd w:fill="CCCCCC" w:val="clear"/>
            <w:vAlign w:val="center"/>
          </w:tcPr>
          <w:p>
            <w:pPr>
              <w:pStyle w:val="TableContents"/>
              <w:bidi w:val="0"/>
              <w:spacing w:before="0" w:after="283"/>
              <w:jc w:val="righ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30" w:type="dxa"/>
            <w:tcBorders/>
            <w:shd w:fill="CCCCCC"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708</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65" w:type="dxa"/>
            <w:tcBorders/>
            <w:shd w:fill="CCCCCC"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33,545 </w:t>
            </w:r>
          </w:p>
        </w:tc>
        <w:tc>
          <w:tcPr>
            <w:tcW w:w="215" w:type="dxa"/>
            <w:tcBorders/>
            <w:shd w:fill="CCCCCC" w:val="clear"/>
            <w:vAlign w:val="center"/>
          </w:tcPr>
          <w:p>
            <w:pPr>
              <w:pStyle w:val="TableContents"/>
              <w:bidi w:val="0"/>
              <w:spacing w:before="0" w:after="0"/>
              <w:jc w:val="left"/>
              <w:rPr/>
            </w:pPr>
            <w:r>
              <w:rPr/>
              <w:t> </w:t>
            </w:r>
          </w:p>
        </w:tc>
      </w:tr>
      <w:tr>
        <w:trPr/>
        <w:tc>
          <w:tcPr>
            <w:tcW w:w="185" w:type="dxa"/>
            <w:vMerge w:val="continue"/>
            <w:tcBorders>
              <w:bottom w:val="single" w:sz="8" w:space="0" w:color="000000"/>
            </w:tcBorders>
            <w:shd w:fill="CCCCCC" w:val="clear"/>
            <w:tcMar>
              <w:bottom w:w="28" w:type="dxa"/>
            </w:tcMar>
            <w:vAlign w:val="center"/>
          </w:tcPr>
          <w:p>
            <w:pPr>
              <w:pStyle w:val="Normal"/>
              <w:bidi w:val="0"/>
              <w:jc w:val="left"/>
              <w:rPr/>
            </w:pPr>
            <w:r>
              <w:rPr/>
            </w:r>
          </w:p>
        </w:tc>
        <w:tc>
          <w:tcPr>
            <w:tcW w:w="1355" w:type="dxa"/>
            <w:vMerge w:val="continue"/>
            <w:tcBorders>
              <w:bottom w:val="single" w:sz="8" w:space="0" w:color="000000"/>
            </w:tcBorders>
            <w:shd w:fill="CCCCCC" w:val="clear"/>
            <w:tcMar>
              <w:bottom w:w="28" w:type="dxa"/>
            </w:tcMar>
            <w:vAlign w:val="center"/>
          </w:tcPr>
          <w:p>
            <w:pPr>
              <w:pStyle w:val="Normal"/>
              <w:bidi w:val="0"/>
              <w:jc w:val="left"/>
              <w:rPr/>
            </w:pPr>
            <w:r>
              <w:rPr/>
            </w:r>
          </w:p>
        </w:tc>
        <w:tc>
          <w:tcPr>
            <w:tcW w:w="170" w:type="dxa"/>
            <w:vMerge w:val="continue"/>
            <w:tcBorders>
              <w:bottom w:val="single" w:sz="8" w:space="0" w:color="000000"/>
            </w:tcBorders>
            <w:shd w:fill="CCCCCC" w:val="clear"/>
            <w:tcMar>
              <w:bottom w:w="28" w:type="dxa"/>
            </w:tcMar>
            <w:vAlign w:val="center"/>
          </w:tcPr>
          <w:p>
            <w:pPr>
              <w:pStyle w:val="Normal"/>
              <w:bidi w:val="0"/>
              <w:jc w:val="left"/>
              <w:rPr/>
            </w:pPr>
            <w:r>
              <w:rPr/>
            </w:r>
          </w:p>
        </w:tc>
        <w:tc>
          <w:tcPr>
            <w:tcW w:w="170" w:type="dxa"/>
            <w:tcBorders/>
            <w:shd w:fill="CCCCCC" w:val="clear"/>
            <w:vAlign w:val="center"/>
          </w:tcPr>
          <w:p>
            <w:pPr>
              <w:pStyle w:val="TableContents"/>
              <w:bidi w:val="0"/>
              <w:spacing w:before="0" w:after="0"/>
              <w:jc w:val="left"/>
              <w:rPr/>
            </w:pPr>
            <w:r>
              <w:rPr/>
              <w:t> </w:t>
            </w:r>
          </w:p>
        </w:tc>
        <w:tc>
          <w:tcPr>
            <w:tcW w:w="455" w:type="dxa"/>
            <w:tcBorders/>
            <w:shd w:fill="CCCCCC"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65" w:type="dxa"/>
            <w:tcBorders/>
            <w:shd w:fill="CCCCCC"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3,450</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040" w:type="dxa"/>
            <w:tcBorders/>
            <w:shd w:fill="CCCCCC"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29,923</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010" w:type="dxa"/>
            <w:tcBorders/>
            <w:shd w:fill="CCCCCC" w:val="clear"/>
            <w:vAlign w:val="center"/>
          </w:tcPr>
          <w:p>
            <w:pPr>
              <w:pStyle w:val="TableContents"/>
              <w:bidi w:val="0"/>
              <w:spacing w:before="0" w:after="283"/>
              <w:jc w:val="righ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30" w:type="dxa"/>
            <w:tcBorders/>
            <w:shd w:fill="CCCCCC"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663</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65" w:type="dxa"/>
            <w:tcBorders/>
            <w:shd w:fill="CCCCCC"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34,036 </w:t>
            </w:r>
          </w:p>
        </w:tc>
        <w:tc>
          <w:tcPr>
            <w:tcW w:w="215" w:type="dxa"/>
            <w:tcBorders/>
            <w:shd w:fill="CCCCCC" w:val="clear"/>
            <w:vAlign w:val="center"/>
          </w:tcPr>
          <w:p>
            <w:pPr>
              <w:pStyle w:val="TableContents"/>
              <w:bidi w:val="0"/>
              <w:spacing w:before="0" w:after="0"/>
              <w:jc w:val="left"/>
              <w:rPr/>
            </w:pPr>
            <w:r>
              <w:rPr/>
              <w:t> </w:t>
            </w:r>
          </w:p>
        </w:tc>
      </w:tr>
      <w:tr>
        <w:trPr/>
        <w:tc>
          <w:tcPr>
            <w:tcW w:w="185" w:type="dxa"/>
            <w:vMerge w:val="continue"/>
            <w:tcBorders>
              <w:bottom w:val="single" w:sz="8" w:space="0" w:color="000000"/>
            </w:tcBorders>
            <w:shd w:fill="CCCCCC" w:val="clear"/>
            <w:tcMar>
              <w:bottom w:w="28" w:type="dxa"/>
            </w:tcMar>
            <w:vAlign w:val="center"/>
          </w:tcPr>
          <w:p>
            <w:pPr>
              <w:pStyle w:val="Normal"/>
              <w:bidi w:val="0"/>
              <w:jc w:val="left"/>
              <w:rPr/>
            </w:pPr>
            <w:r>
              <w:rPr/>
            </w:r>
          </w:p>
        </w:tc>
        <w:tc>
          <w:tcPr>
            <w:tcW w:w="1355" w:type="dxa"/>
            <w:vMerge w:val="continue"/>
            <w:tcBorders>
              <w:bottom w:val="single" w:sz="8" w:space="0" w:color="000000"/>
            </w:tcBorders>
            <w:shd w:fill="CCCCCC" w:val="clear"/>
            <w:tcMar>
              <w:bottom w:w="28" w:type="dxa"/>
            </w:tcMar>
            <w:vAlign w:val="center"/>
          </w:tcPr>
          <w:p>
            <w:pPr>
              <w:pStyle w:val="Normal"/>
              <w:bidi w:val="0"/>
              <w:jc w:val="left"/>
              <w:rPr/>
            </w:pPr>
            <w:r>
              <w:rPr/>
            </w:r>
          </w:p>
        </w:tc>
        <w:tc>
          <w:tcPr>
            <w:tcW w:w="170" w:type="dxa"/>
            <w:vMerge w:val="continue"/>
            <w:tcBorders>
              <w:bottom w:val="single" w:sz="8" w:space="0" w:color="000000"/>
            </w:tcBorders>
            <w:shd w:fill="CCCCCC" w:val="clear"/>
            <w:tcMar>
              <w:bottom w:w="28" w:type="dxa"/>
            </w:tcMar>
            <w:vAlign w:val="center"/>
          </w:tcPr>
          <w:p>
            <w:pPr>
              <w:pStyle w:val="Normal"/>
              <w:bidi w:val="0"/>
              <w:jc w:val="left"/>
              <w:rPr/>
            </w:pPr>
            <w:r>
              <w:rPr/>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455" w:type="dxa"/>
            <w:tcBorders>
              <w:bottom w:val="single" w:sz="8" w:space="0" w:color="000000"/>
            </w:tcBorders>
            <w:shd w:fill="CCCCCC"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2023</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265" w:type="dxa"/>
            <w:tcBorders>
              <w:bottom w:val="single" w:sz="8" w:space="0" w:color="000000"/>
            </w:tcBorders>
            <w:shd w:fill="CCCCCC"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3,300</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shd w:fill="CCCCCC"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32,073</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010" w:type="dxa"/>
            <w:tcBorders>
              <w:bottom w:val="single" w:sz="8" w:space="0" w:color="000000"/>
            </w:tcBorders>
            <w:shd w:fill="CCCCCC"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414,831</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CCCCC"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637</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265" w:type="dxa"/>
            <w:tcBorders>
              <w:bottom w:val="single" w:sz="8" w:space="0" w:color="000000"/>
            </w:tcBorders>
            <w:shd w:fill="CCCCCC"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450,841 </w:t>
            </w:r>
          </w:p>
        </w:tc>
        <w:tc>
          <w:tcPr>
            <w:tcW w:w="21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1355" w:type="dxa"/>
            <w:vMerge w:val="restart"/>
            <w:tcBorders>
              <w:bottom w:val="single" w:sz="8" w:space="0" w:color="000000"/>
            </w:tcBorders>
            <w:tcMar>
              <w:bottom w:w="2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Mr. Cunha</w:t>
            </w:r>
          </w:p>
        </w:tc>
        <w:tc>
          <w:tcPr>
            <w:tcW w:w="170"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jc w:val="righ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127,431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jc w:val="righ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319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127,750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000000"/>
            </w:tcBorders>
            <w:tcMar>
              <w:bottom w:w="28" w:type="dxa"/>
            </w:tcMar>
            <w:vAlign w:val="center"/>
          </w:tcPr>
          <w:p>
            <w:pPr>
              <w:pStyle w:val="Normal"/>
              <w:bidi w:val="0"/>
              <w:jc w:val="left"/>
              <w:rPr/>
            </w:pPr>
            <w:r>
              <w:rPr/>
            </w:r>
          </w:p>
        </w:tc>
        <w:tc>
          <w:tcPr>
            <w:tcW w:w="1355" w:type="dxa"/>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bottom w:val="single" w:sz="8" w:space="0" w:color="000000"/>
            </w:tcBorders>
            <w:tcMar>
              <w:bottom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55" w:type="dxa"/>
            <w:tcBorders>
              <w:bottom w:val="single" w:sz="8" w:space="0" w:color="000000"/>
            </w:tcBorders>
            <w:tcMar>
              <w:bottom w:w="28" w:type="dxa"/>
            </w:tcMar>
            <w:vAlign w:val="center"/>
          </w:tcPr>
          <w:p>
            <w:pPr>
              <w:pStyle w:val="TableContents"/>
              <w:bidi w:val="0"/>
              <w:spacing w:before="0" w:after="283"/>
              <w:jc w:val="righ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65" w:type="dxa"/>
            <w:tcBorders>
              <w:bottom w:val="single" w:sz="8" w:space="0" w:color="000000"/>
            </w:tcBorders>
            <w:tcMar>
              <w:bottom w:w="28"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10" w:type="dxa"/>
            <w:tcBorders>
              <w:bottom w:val="single" w:sz="8" w:space="0" w:color="000000"/>
            </w:tcBorders>
            <w:tcMar>
              <w:bottom w:w="28"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65" w:type="dxa"/>
            <w:tcBorders>
              <w:bottom w:val="single" w:sz="8" w:space="0" w:color="000000"/>
            </w:tcBorders>
            <w:tcMar>
              <w:bottom w:w="28" w:type="dxa"/>
            </w:tcMar>
            <w:vAlign w:val="center"/>
          </w:tcPr>
          <w:p>
            <w:pPr>
              <w:pStyle w:val="TableContents"/>
              <w:bidi w:val="0"/>
              <w:spacing w:before="0" w:after="283"/>
              <w:jc w:val="right"/>
              <w:rPr>
                <w:color w:val="000000"/>
              </w:rPr>
            </w:pPr>
            <w:r>
              <w:rPr>
                <w:color w:val="000000"/>
              </w:rPr>
              <w:t xml:space="preserve">—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355" w:type="dxa"/>
            <w:tcBorders>
              <w:bottom w:val="single" w:sz="8" w:space="0" w:color="000000"/>
            </w:tcBorders>
            <w:shd w:fill="CCCCCC" w:val="clear"/>
            <w:tcMar>
              <w:bottom w:w="2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Mr. Pahwa</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455" w:type="dxa"/>
            <w:tcBorders>
              <w:bottom w:val="single" w:sz="8" w:space="0" w:color="000000"/>
            </w:tcBorders>
            <w:shd w:fill="CCCCCC"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265" w:type="dxa"/>
            <w:tcBorders>
              <w:bottom w:val="single" w:sz="8" w:space="0" w:color="000000"/>
            </w:tcBorders>
            <w:shd w:fill="CCCCCC" w:val="clear"/>
            <w:tcMar>
              <w:bottom w:w="28"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shd w:fill="CCCCCC" w:val="clear"/>
            <w:tcMar>
              <w:bottom w:w="28"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010" w:type="dxa"/>
            <w:tcBorders>
              <w:bottom w:val="single" w:sz="8" w:space="0" w:color="000000"/>
            </w:tcBorders>
            <w:shd w:fill="CCCCCC" w:val="clear"/>
            <w:tcMar>
              <w:bottom w:w="28"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CCCCC" w:val="clear"/>
            <w:tcMar>
              <w:bottom w:w="28"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265" w:type="dxa"/>
            <w:tcBorders>
              <w:bottom w:val="single" w:sz="8" w:space="0" w:color="000000"/>
            </w:tcBorders>
            <w:shd w:fill="CCCCCC" w:val="clear"/>
            <w:tcMar>
              <w:bottom w:w="28" w:type="dxa"/>
            </w:tcMar>
            <w:vAlign w:val="center"/>
          </w:tcPr>
          <w:p>
            <w:pPr>
              <w:pStyle w:val="TableContents"/>
              <w:bidi w:val="0"/>
              <w:spacing w:before="0" w:after="283"/>
              <w:jc w:val="right"/>
              <w:rPr>
                <w:color w:val="000000"/>
              </w:rPr>
            </w:pPr>
            <w:r>
              <w:rPr>
                <w:color w:val="000000"/>
              </w:rPr>
              <w:t xml:space="preserve">— </w:t>
            </w:r>
          </w:p>
        </w:tc>
        <w:tc>
          <w:tcPr>
            <w:tcW w:w="21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1355" w:type="dxa"/>
            <w:vMerge w:val="restart"/>
            <w:tcBorders>
              <w:bottom w:val="single" w:sz="8" w:space="0" w:color="000000"/>
            </w:tcBorders>
            <w:tcMar>
              <w:bottom w:w="2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Mr. Simhambhatla</w:t>
            </w:r>
          </w:p>
        </w:tc>
        <w:tc>
          <w:tcPr>
            <w:tcW w:w="170"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17,346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143,888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jc w:val="righ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531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161,765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000000"/>
            </w:tcBorders>
            <w:tcMar>
              <w:bottom w:w="28" w:type="dxa"/>
            </w:tcMar>
            <w:vAlign w:val="center"/>
          </w:tcPr>
          <w:p>
            <w:pPr>
              <w:pStyle w:val="Normal"/>
              <w:bidi w:val="0"/>
              <w:jc w:val="left"/>
              <w:rPr/>
            </w:pPr>
            <w:r>
              <w:rPr/>
            </w:r>
          </w:p>
        </w:tc>
        <w:tc>
          <w:tcPr>
            <w:tcW w:w="1355" w:type="dxa"/>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bottom w:val="single" w:sz="8" w:space="0" w:color="000000"/>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19,346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133,081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jc w:val="righ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531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152,958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000000"/>
            </w:tcBorders>
            <w:tcMar>
              <w:bottom w:w="28" w:type="dxa"/>
            </w:tcMar>
            <w:vAlign w:val="center"/>
          </w:tcPr>
          <w:p>
            <w:pPr>
              <w:pStyle w:val="Normal"/>
              <w:bidi w:val="0"/>
              <w:jc w:val="left"/>
              <w:rPr/>
            </w:pPr>
            <w:r>
              <w:rPr/>
            </w:r>
          </w:p>
        </w:tc>
        <w:tc>
          <w:tcPr>
            <w:tcW w:w="1355" w:type="dxa"/>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bottom w:val="single" w:sz="8" w:space="0" w:color="000000"/>
            </w:tcBorders>
            <w:tcMar>
              <w:bottom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55"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2023</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65"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4,831</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185,809</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1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405,407</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265</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65"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596,312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355" w:type="dxa"/>
            <w:vMerge w:val="restart"/>
            <w:tcBorders>
              <w:bottom w:val="single" w:sz="8" w:space="0" w:color="000000"/>
            </w:tcBorders>
            <w:shd w:fill="CCCCCC" w:val="clear"/>
            <w:tcMar>
              <w:bottom w:w="2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Mr. Linnen</w:t>
            </w:r>
          </w:p>
        </w:tc>
        <w:tc>
          <w:tcPr>
            <w:tcW w:w="170" w:type="dxa"/>
            <w:vMerge w:val="restart"/>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455" w:type="dxa"/>
            <w:tcBorders/>
            <w:shd w:fill="CCCCCC"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65" w:type="dxa"/>
            <w:tcBorders/>
            <w:shd w:fill="CCCCCC"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36,231</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040" w:type="dxa"/>
            <w:tcBorders/>
            <w:shd w:fill="CCCCCC"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29,581</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010" w:type="dxa"/>
            <w:tcBorders/>
            <w:shd w:fill="CCCCCC" w:val="clear"/>
            <w:vAlign w:val="center"/>
          </w:tcPr>
          <w:p>
            <w:pPr>
              <w:pStyle w:val="TableContents"/>
              <w:bidi w:val="0"/>
              <w:spacing w:before="0" w:after="283"/>
              <w:jc w:val="righ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30" w:type="dxa"/>
            <w:tcBorders/>
            <w:shd w:fill="CCCCCC"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638</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65" w:type="dxa"/>
            <w:tcBorders/>
            <w:shd w:fill="CCCCCC"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66,450 </w:t>
            </w:r>
          </w:p>
        </w:tc>
        <w:tc>
          <w:tcPr>
            <w:tcW w:w="215" w:type="dxa"/>
            <w:tcBorders/>
            <w:shd w:fill="CCCCCC" w:val="clear"/>
            <w:vAlign w:val="center"/>
          </w:tcPr>
          <w:p>
            <w:pPr>
              <w:pStyle w:val="TableContents"/>
              <w:bidi w:val="0"/>
              <w:spacing w:before="0" w:after="0"/>
              <w:jc w:val="left"/>
              <w:rPr/>
            </w:pPr>
            <w:r>
              <w:rPr/>
              <w:t> </w:t>
            </w:r>
          </w:p>
        </w:tc>
      </w:tr>
      <w:tr>
        <w:trPr/>
        <w:tc>
          <w:tcPr>
            <w:tcW w:w="185" w:type="dxa"/>
            <w:vMerge w:val="continue"/>
            <w:tcBorders>
              <w:bottom w:val="single" w:sz="8" w:space="0" w:color="000000"/>
            </w:tcBorders>
            <w:shd w:fill="CCCCCC" w:val="clear"/>
            <w:tcMar>
              <w:bottom w:w="28" w:type="dxa"/>
            </w:tcMar>
            <w:vAlign w:val="center"/>
          </w:tcPr>
          <w:p>
            <w:pPr>
              <w:pStyle w:val="Normal"/>
              <w:bidi w:val="0"/>
              <w:jc w:val="left"/>
              <w:rPr/>
            </w:pPr>
            <w:r>
              <w:rPr/>
            </w:r>
          </w:p>
        </w:tc>
        <w:tc>
          <w:tcPr>
            <w:tcW w:w="1355" w:type="dxa"/>
            <w:vMerge w:val="continue"/>
            <w:tcBorders>
              <w:bottom w:val="single" w:sz="8" w:space="0" w:color="000000"/>
            </w:tcBorders>
            <w:shd w:fill="CCCCCC" w:val="clear"/>
            <w:tcMar>
              <w:bottom w:w="28" w:type="dxa"/>
            </w:tcMar>
            <w:vAlign w:val="center"/>
          </w:tcPr>
          <w:p>
            <w:pPr>
              <w:pStyle w:val="Normal"/>
              <w:bidi w:val="0"/>
              <w:jc w:val="left"/>
              <w:rPr/>
            </w:pPr>
            <w:r>
              <w:rPr/>
            </w:r>
          </w:p>
        </w:tc>
        <w:tc>
          <w:tcPr>
            <w:tcW w:w="170" w:type="dxa"/>
            <w:vMerge w:val="continue"/>
            <w:tcBorders>
              <w:bottom w:val="single" w:sz="8" w:space="0" w:color="000000"/>
            </w:tcBorders>
            <w:shd w:fill="CCCCCC" w:val="clear"/>
            <w:tcMar>
              <w:bottom w:w="28" w:type="dxa"/>
            </w:tcMar>
            <w:vAlign w:val="center"/>
          </w:tcPr>
          <w:p>
            <w:pPr>
              <w:pStyle w:val="Normal"/>
              <w:bidi w:val="0"/>
              <w:jc w:val="left"/>
              <w:rPr/>
            </w:pPr>
            <w:r>
              <w:rPr/>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455" w:type="dxa"/>
            <w:tcBorders>
              <w:bottom w:val="single" w:sz="8" w:space="0" w:color="000000"/>
            </w:tcBorders>
            <w:shd w:fill="CCCCCC"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265" w:type="dxa"/>
            <w:tcBorders>
              <w:bottom w:val="single" w:sz="8" w:space="0" w:color="000000"/>
            </w:tcBorders>
            <w:shd w:fill="CCCCCC"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35,931</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shd w:fill="CCCCCC"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25,905</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010" w:type="dxa"/>
            <w:tcBorders>
              <w:bottom w:val="single" w:sz="8" w:space="0" w:color="000000"/>
            </w:tcBorders>
            <w:shd w:fill="CCCCCC" w:val="clear"/>
            <w:tcMar>
              <w:bottom w:w="28" w:type="dxa"/>
            </w:tcMar>
            <w:vAlign w:val="center"/>
          </w:tcPr>
          <w:p>
            <w:pPr>
              <w:pStyle w:val="TableContents"/>
              <w:bidi w:val="0"/>
              <w:spacing w:before="0" w:after="283"/>
              <w:jc w:val="right"/>
              <w:rPr>
                <w:color w:val="000000"/>
              </w:rPr>
            </w:pPr>
            <w:r>
              <w:rPr>
                <w:color w:val="000000"/>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CCCCC"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607</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265" w:type="dxa"/>
            <w:tcBorders>
              <w:bottom w:val="single" w:sz="8" w:space="0" w:color="000000"/>
            </w:tcBorders>
            <w:shd w:fill="CCCCCC"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62,443 </w:t>
            </w:r>
          </w:p>
        </w:tc>
        <w:tc>
          <w:tcPr>
            <w:tcW w:w="21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1355" w:type="dxa"/>
            <w:vMerge w:val="restart"/>
            <w:tcBorders>
              <w:bottom w:val="single" w:sz="8" w:space="0" w:color="000000"/>
            </w:tcBorders>
            <w:tcMar>
              <w:bottom w:w="2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Mr. Ferraro</w:t>
            </w:r>
          </w:p>
        </w:tc>
        <w:tc>
          <w:tcPr>
            <w:tcW w:w="170"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94,527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41,712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jc w:val="righ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708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136,947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000000"/>
            </w:tcBorders>
            <w:tcMar>
              <w:bottom w:w="28" w:type="dxa"/>
            </w:tcMar>
            <w:vAlign w:val="center"/>
          </w:tcPr>
          <w:p>
            <w:pPr>
              <w:pStyle w:val="Normal"/>
              <w:bidi w:val="0"/>
              <w:jc w:val="left"/>
              <w:rPr/>
            </w:pPr>
            <w:r>
              <w:rPr/>
            </w:r>
          </w:p>
        </w:tc>
        <w:tc>
          <w:tcPr>
            <w:tcW w:w="1355" w:type="dxa"/>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bottom w:val="single" w:sz="8" w:space="0" w:color="000000"/>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216,670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55,330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jc w:val="righ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708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272,708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000000"/>
            </w:tcBorders>
            <w:tcMar>
              <w:bottom w:w="28" w:type="dxa"/>
            </w:tcMar>
            <w:vAlign w:val="center"/>
          </w:tcPr>
          <w:p>
            <w:pPr>
              <w:pStyle w:val="Normal"/>
              <w:bidi w:val="0"/>
              <w:jc w:val="left"/>
              <w:rPr/>
            </w:pPr>
            <w:r>
              <w:rPr/>
            </w:r>
          </w:p>
        </w:tc>
        <w:tc>
          <w:tcPr>
            <w:tcW w:w="1355" w:type="dxa"/>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bottom w:val="single" w:sz="8" w:space="0" w:color="000000"/>
            </w:tcBorders>
            <w:tcMar>
              <w:bottom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55"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2023</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65"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272,825</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52,043</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1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1,189,059</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708</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65"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1,514,635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vMerge w:val="restart"/>
            <w:tcBorders/>
            <w:shd w:fill="CCCCCC" w:val="clear"/>
            <w:vAlign w:val="center"/>
          </w:tcPr>
          <w:p>
            <w:pPr>
              <w:pStyle w:val="TableContents"/>
              <w:bidi w:val="0"/>
              <w:spacing w:before="0" w:after="0"/>
              <w:jc w:val="left"/>
              <w:rPr/>
            </w:pPr>
            <w:r>
              <w:rPr/>
              <w:t> </w:t>
            </w:r>
          </w:p>
        </w:tc>
        <w:tc>
          <w:tcPr>
            <w:tcW w:w="1355" w:type="dxa"/>
            <w:vMerge w:val="restart"/>
            <w:tcBorders/>
            <w:shd w:fill="CCCCCC"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Ms. Martins</w:t>
            </w:r>
          </w:p>
        </w:tc>
        <w:tc>
          <w:tcPr>
            <w:tcW w:w="170" w:type="dxa"/>
            <w:vMerge w:val="restart"/>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455" w:type="dxa"/>
            <w:tcBorders/>
            <w:shd w:fill="CCCCCC"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2025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65" w:type="dxa"/>
            <w:tcBorders/>
            <w:shd w:fill="CCCCCC" w:val="clear"/>
            <w:vAlign w:val="center"/>
          </w:tcPr>
          <w:p>
            <w:pPr>
              <w:pStyle w:val="TableContents"/>
              <w:bidi w:val="0"/>
              <w:spacing w:before="0" w:after="283"/>
              <w:jc w:val="right"/>
              <w:rPr>
                <w:color w:val="000000"/>
              </w:rPr>
            </w:pPr>
            <w:r>
              <w:rPr>
                <w:color w:val="000000"/>
              </w:rPr>
              <w:t xml:space="preserve">—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040" w:type="dxa"/>
            <w:tcBorders/>
            <w:shd w:fill="CCCCCC"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18,807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010" w:type="dxa"/>
            <w:tcBorders/>
            <w:shd w:fill="CCCCCC" w:val="clear"/>
            <w:vAlign w:val="center"/>
          </w:tcPr>
          <w:p>
            <w:pPr>
              <w:pStyle w:val="TableContents"/>
              <w:bidi w:val="0"/>
              <w:spacing w:before="0" w:after="283"/>
              <w:jc w:val="right"/>
              <w:rPr>
                <w:color w:val="000000"/>
              </w:rPr>
            </w:pPr>
            <w:r>
              <w:rPr>
                <w:color w:val="000000"/>
              </w:rPr>
              <w:t xml:space="preserve">—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30" w:type="dxa"/>
            <w:tcBorders/>
            <w:shd w:fill="CCCCCC"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354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65" w:type="dxa"/>
            <w:tcBorders/>
            <w:shd w:fill="CCCCCC"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19,161 </w:t>
            </w:r>
          </w:p>
        </w:tc>
        <w:tc>
          <w:tcPr>
            <w:tcW w:w="215" w:type="dxa"/>
            <w:tcBorders/>
            <w:shd w:fill="CCCCCC" w:val="clear"/>
            <w:vAlign w:val="center"/>
          </w:tcPr>
          <w:p>
            <w:pPr>
              <w:pStyle w:val="TableContents"/>
              <w:bidi w:val="0"/>
              <w:spacing w:before="0" w:after="0"/>
              <w:jc w:val="left"/>
              <w:rPr/>
            </w:pPr>
            <w:r>
              <w:rPr/>
              <w:t> </w:t>
            </w:r>
          </w:p>
        </w:tc>
      </w:tr>
      <w:tr>
        <w:trPr/>
        <w:tc>
          <w:tcPr>
            <w:tcW w:w="185" w:type="dxa"/>
            <w:vMerge w:val="continue"/>
            <w:tcBorders/>
            <w:shd w:fill="CCCCCC" w:val="clear"/>
            <w:vAlign w:val="center"/>
          </w:tcPr>
          <w:p>
            <w:pPr>
              <w:pStyle w:val="Normal"/>
              <w:bidi w:val="0"/>
              <w:jc w:val="left"/>
              <w:rPr/>
            </w:pPr>
            <w:r>
              <w:rPr/>
            </w:r>
          </w:p>
        </w:tc>
        <w:tc>
          <w:tcPr>
            <w:tcW w:w="1355" w:type="dxa"/>
            <w:vMerge w:val="continue"/>
            <w:tcBorders/>
            <w:shd w:fill="CCCCCC" w:val="clear"/>
            <w:vAlign w:val="center"/>
          </w:tcPr>
          <w:p>
            <w:pPr>
              <w:pStyle w:val="Normal"/>
              <w:bidi w:val="0"/>
              <w:jc w:val="left"/>
              <w:rPr/>
            </w:pPr>
            <w:r>
              <w:rPr/>
            </w:r>
          </w:p>
        </w:tc>
        <w:tc>
          <w:tcPr>
            <w:tcW w:w="170" w:type="dxa"/>
            <w:vMerge w:val="continue"/>
            <w:tcBorders/>
            <w:shd w:fill="CCCCCC" w:val="clear"/>
            <w:vAlign w:val="center"/>
          </w:tcPr>
          <w:p>
            <w:pPr>
              <w:pStyle w:val="Normal"/>
              <w:bidi w:val="0"/>
              <w:jc w:val="left"/>
              <w:rPr/>
            </w:pPr>
            <w:r>
              <w:rPr/>
            </w:r>
          </w:p>
        </w:tc>
        <w:tc>
          <w:tcPr>
            <w:tcW w:w="170" w:type="dxa"/>
            <w:tcBorders/>
            <w:shd w:fill="CCCCCC" w:val="clear"/>
            <w:vAlign w:val="center"/>
          </w:tcPr>
          <w:p>
            <w:pPr>
              <w:pStyle w:val="TableContents"/>
              <w:bidi w:val="0"/>
              <w:spacing w:before="0" w:after="0"/>
              <w:jc w:val="left"/>
              <w:rPr/>
            </w:pPr>
            <w:r>
              <w:rPr/>
              <w:t> </w:t>
            </w:r>
          </w:p>
        </w:tc>
        <w:tc>
          <w:tcPr>
            <w:tcW w:w="455" w:type="dxa"/>
            <w:tcBorders/>
            <w:shd w:fill="CCCCCC"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65" w:type="dxa"/>
            <w:tcBorders/>
            <w:shd w:fill="CCCCCC"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62,708</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040" w:type="dxa"/>
            <w:tcBorders/>
            <w:shd w:fill="CCCCCC"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26,013</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010" w:type="dxa"/>
            <w:tcBorders/>
            <w:shd w:fill="CCCCCC" w:val="clear"/>
            <w:vAlign w:val="center"/>
          </w:tcPr>
          <w:p>
            <w:pPr>
              <w:pStyle w:val="TableContents"/>
              <w:bidi w:val="0"/>
              <w:spacing w:before="0" w:after="283"/>
              <w:jc w:val="righ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30" w:type="dxa"/>
            <w:tcBorders/>
            <w:shd w:fill="CCCCCC"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663</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65" w:type="dxa"/>
            <w:tcBorders/>
            <w:shd w:fill="CCCCCC"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89,384 </w:t>
            </w:r>
          </w:p>
        </w:tc>
        <w:tc>
          <w:tcPr>
            <w:tcW w:w="215" w:type="dxa"/>
            <w:tcBorders/>
            <w:shd w:fill="CCCCCC" w:val="clear"/>
            <w:vAlign w:val="center"/>
          </w:tcPr>
          <w:p>
            <w:pPr>
              <w:pStyle w:val="TableContents"/>
              <w:bidi w:val="0"/>
              <w:spacing w:before="0" w:after="0"/>
              <w:jc w:val="left"/>
              <w:rPr/>
            </w:pPr>
            <w:r>
              <w:rPr/>
              <w:t> </w:t>
            </w:r>
          </w:p>
        </w:tc>
      </w:tr>
      <w:tr>
        <w:trPr/>
        <w:tc>
          <w:tcPr>
            <w:tcW w:w="185" w:type="dxa"/>
            <w:vMerge w:val="continue"/>
            <w:tcBorders/>
            <w:shd w:fill="CCCCCC" w:val="clear"/>
            <w:vAlign w:val="center"/>
          </w:tcPr>
          <w:p>
            <w:pPr>
              <w:pStyle w:val="Normal"/>
              <w:bidi w:val="0"/>
              <w:jc w:val="left"/>
              <w:rPr/>
            </w:pPr>
            <w:r>
              <w:rPr/>
            </w:r>
          </w:p>
        </w:tc>
        <w:tc>
          <w:tcPr>
            <w:tcW w:w="1355" w:type="dxa"/>
            <w:vMerge w:val="continue"/>
            <w:tcBorders/>
            <w:shd w:fill="CCCCCC" w:val="clear"/>
            <w:vAlign w:val="center"/>
          </w:tcPr>
          <w:p>
            <w:pPr>
              <w:pStyle w:val="Normal"/>
              <w:bidi w:val="0"/>
              <w:jc w:val="left"/>
              <w:rPr/>
            </w:pPr>
            <w:r>
              <w:rPr/>
            </w:r>
          </w:p>
        </w:tc>
        <w:tc>
          <w:tcPr>
            <w:tcW w:w="170" w:type="dxa"/>
            <w:vMerge w:val="continue"/>
            <w:tcBorders/>
            <w:shd w:fill="CCCCCC" w:val="clear"/>
            <w:vAlign w:val="center"/>
          </w:tcPr>
          <w:p>
            <w:pPr>
              <w:pStyle w:val="Normal"/>
              <w:bidi w:val="0"/>
              <w:jc w:val="left"/>
              <w:rPr/>
            </w:pPr>
            <w:r>
              <w:rPr/>
            </w:r>
          </w:p>
        </w:tc>
        <w:tc>
          <w:tcPr>
            <w:tcW w:w="170" w:type="dxa"/>
            <w:tcBorders/>
            <w:shd w:fill="CCCCCC" w:val="clear"/>
            <w:vAlign w:val="center"/>
          </w:tcPr>
          <w:p>
            <w:pPr>
              <w:pStyle w:val="TableContents"/>
              <w:bidi w:val="0"/>
              <w:spacing w:before="0" w:after="0"/>
              <w:jc w:val="left"/>
              <w:rPr/>
            </w:pPr>
            <w:r>
              <w:rPr/>
              <w:t> </w:t>
            </w:r>
          </w:p>
        </w:tc>
        <w:tc>
          <w:tcPr>
            <w:tcW w:w="455" w:type="dxa"/>
            <w:tcBorders/>
            <w:shd w:fill="CCCCCC"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2023</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65" w:type="dxa"/>
            <w:tcBorders/>
            <w:shd w:fill="CCCCCC"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19,800</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040" w:type="dxa"/>
            <w:tcBorders/>
            <w:shd w:fill="CCCCCC"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23,056</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010" w:type="dxa"/>
            <w:tcBorders/>
            <w:shd w:fill="CCCCCC"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258,138</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30" w:type="dxa"/>
            <w:tcBorders/>
            <w:shd w:fill="CCCCCC"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637</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65" w:type="dxa"/>
            <w:tcBorders/>
            <w:shd w:fill="CCCCCC"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301,631</w:t>
            </w:r>
          </w:p>
        </w:tc>
        <w:tc>
          <w:tcPr>
            <w:tcW w:w="215" w:type="dxa"/>
            <w:tcBorders/>
            <w:shd w:fill="CCCCCC" w:val="clear"/>
            <w:vAlign w:val="center"/>
          </w:tcPr>
          <w:p>
            <w:pPr>
              <w:pStyle w:val="TableContents"/>
              <w:bidi w:val="0"/>
              <w:spacing w:before="0" w:after="0"/>
              <w:jc w:val="left"/>
              <w:rPr/>
            </w:pPr>
            <w:r>
              <w:rPr/>
              <w:t> </w:t>
            </w:r>
          </w:p>
        </w:tc>
      </w:tr>
      <w:tr>
        <w:trPr/>
        <w:tc>
          <w:tcPr>
            <w:tcW w:w="185" w:type="dxa"/>
            <w:tcBorders/>
            <w:shd w:fill="CCCCCC" w:val="clear"/>
            <w:vAlign w:val="center"/>
          </w:tcPr>
          <w:p>
            <w:pPr>
              <w:pStyle w:val="TableContents"/>
              <w:bidi w:val="0"/>
              <w:spacing w:before="0" w:after="0"/>
              <w:jc w:val="left"/>
              <w:rPr/>
            </w:pPr>
            <w:r>
              <w:rPr/>
              <w:t> </w:t>
            </w:r>
          </w:p>
        </w:tc>
        <w:tc>
          <w:tcPr>
            <w:tcW w:w="1355"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455"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65"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04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01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3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65" w:type="dxa"/>
            <w:tcBorders/>
            <w:shd w:fill="CCCCCC" w:val="clear"/>
            <w:vAlign w:val="center"/>
          </w:tcPr>
          <w:p>
            <w:pPr>
              <w:pStyle w:val="TableContents"/>
              <w:bidi w:val="0"/>
              <w:spacing w:before="0" w:after="0"/>
              <w:jc w:val="left"/>
              <w:rPr/>
            </w:pPr>
            <w:r>
              <w:rPr/>
              <w:t> </w:t>
            </w:r>
          </w:p>
        </w:tc>
        <w:tc>
          <w:tcPr>
            <w:tcW w:w="215" w:type="dxa"/>
            <w:tcBorders/>
            <w:shd w:fill="CCCCCC"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(a)</w:t>
            </w:r>
          </w:p>
        </w:tc>
        <w:tc>
          <w:tcPr>
            <w:tcW w:w="10011" w:type="dxa"/>
            <w:tcBorders/>
            <w:vAlign w:val="center"/>
          </w:tcPr>
          <w:p>
            <w:pPr>
              <w:pStyle w:val="TableContents"/>
              <w:bidi w:val="0"/>
              <w:spacing w:before="0" w:after="0"/>
              <w:jc w:val="both"/>
              <w:rPr>
                <w:rFonts w:ascii="Arial;Helvetica;sans-serif" w:hAnsi="Arial;Helvetica;sans-serif"/>
                <w:color w:val="000000"/>
                <w:sz w:val="14"/>
              </w:rPr>
            </w:pPr>
            <w:r>
              <w:rPr>
                <w:rFonts w:ascii="Arial;Helvetica;sans-serif" w:hAnsi="Arial;Helvetica;sans-serif"/>
                <w:color w:val="000000"/>
                <w:sz w:val="14"/>
              </w:rPr>
              <w:t xml:space="preserve">Amounts represent Company matching contributions under the Company’s Executive Deferred Compensation Plan or 401(k) Plan. Under the terms of the Deferred Compensation Plan and 401(k) Plan participants may receive Company matching contributions up to a maximum cap of 6%. </w:t>
            </w:r>
          </w:p>
        </w:tc>
      </w:tr>
    </w:tbl>
    <w:tbl>
      <w:tblPr>
        <w:tblW w:w="5260" w:type="dxa"/>
        <w:jc w:val="left"/>
        <w:tblInd w:w="0" w:type="dxa"/>
        <w:tblLayout w:type="fixed"/>
        <w:tblCellMar>
          <w:top w:w="0" w:type="dxa"/>
          <w:left w:w="0" w:type="dxa"/>
          <w:bottom w:w="0" w:type="dxa"/>
          <w:right w:w="0" w:type="dxa"/>
        </w:tblCellMar>
      </w:tblPr>
      <w:tblGrid>
        <w:gridCol w:w="215"/>
        <w:gridCol w:w="5045"/>
      </w:tblGrid>
      <w:tr>
        <w:trPr/>
        <w:tc>
          <w:tcPr>
            <w:tcW w:w="21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(b)</w:t>
            </w:r>
          </w:p>
        </w:tc>
        <w:tc>
          <w:tcPr>
            <w:tcW w:w="504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 xml:space="preserve">Represents the perquisites presented in the “Perquisites Table” set forth below.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(c)</w:t>
            </w:r>
          </w:p>
        </w:tc>
        <w:tc>
          <w:tcPr>
            <w:tcW w:w="10025" w:type="dxa"/>
            <w:tcBorders/>
            <w:vAlign w:val="center"/>
          </w:tcPr>
          <w:p>
            <w:pPr>
              <w:pStyle w:val="TableContents"/>
              <w:bidi w:val="0"/>
              <w:spacing w:before="0" w:after="0"/>
              <w:jc w:val="both"/>
              <w:rPr>
                <w:rFonts w:ascii="Arial;Helvetica;sans-serif" w:hAnsi="Arial;Helvetica;sans-serif"/>
                <w:color w:val="000000"/>
                <w:sz w:val="14"/>
              </w:rPr>
            </w:pPr>
            <w:r>
              <w:rPr>
                <w:rFonts w:ascii="Arial;Helvetica;sans-serif" w:hAnsi="Arial;Helvetica;sans-serif"/>
                <w:color w:val="000000"/>
                <w:sz w:val="14"/>
              </w:rPr>
              <w:t xml:space="preserve">Represents unvested dividend equivalent stock units credited to outstanding stock awards in connection with the Company’s special one-time cash dividend payment to stockholders in December 2023. The amount reported here reflects the aggregate grant date fair value (as described above). The dividend equivalent stock units remain subject to the same time-based and, if applicable, performance-based vesting conditions as the underlying stock awards so that dividend equivalent stock units will vest only to the extent the corresponding RSUs or PSUs become vested and, for PSUs, earned based on performance. </w:t>
            </w:r>
          </w:p>
        </w:tc>
      </w:tr>
    </w:tbl>
    <w:tbl>
      <w:tblPr>
        <w:tblW w:w="7285" w:type="dxa"/>
        <w:jc w:val="left"/>
        <w:tblInd w:w="0" w:type="dxa"/>
        <w:tblLayout w:type="fixed"/>
        <w:tblCellMar>
          <w:top w:w="0" w:type="dxa"/>
          <w:left w:w="0" w:type="dxa"/>
          <w:bottom w:w="0" w:type="dxa"/>
          <w:right w:w="0" w:type="dxa"/>
        </w:tblCellMar>
      </w:tblPr>
      <w:tblGrid>
        <w:gridCol w:w="215"/>
        <w:gridCol w:w="7070"/>
      </w:tblGrid>
      <w:tr>
        <w:trPr/>
        <w:tc>
          <w:tcPr>
            <w:tcW w:w="21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(d)</w:t>
            </w:r>
          </w:p>
        </w:tc>
        <w:tc>
          <w:tcPr>
            <w:tcW w:w="7070"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 xml:space="preserve">Amounts include the value of insurance premiums paid by the Company for a broad-based life insurance benefit.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34</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4" w:name="ny20066167x1_def14a_107-summary_pg3"/>
        <w:bookmarkEnd w:id="74"/>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000000"/>
          <w:sz w:val="28"/>
        </w:rPr>
      </w:pPr>
      <w:bookmarkStart w:id="75" w:name="tPQST"/>
      <w:bookmarkEnd w:id="75"/>
      <w:r>
        <w:rPr>
          <w:rFonts w:ascii="Arial;Helvetica;sans-serif" w:hAnsi="Arial;Helvetica;sans-serif"/>
          <w:b/>
          <w:color w:val="000000"/>
          <w:sz w:val="28"/>
        </w:rPr>
        <w:t xml:space="preserve">Perquisites Table </w:t>
      </w:r>
    </w:p>
    <w:tbl>
      <w:tblPr>
        <w:tblW w:w="8040" w:type="dxa"/>
        <w:jc w:val="left"/>
        <w:tblInd w:w="0" w:type="dxa"/>
        <w:tblLayout w:type="fixed"/>
        <w:tblCellMar>
          <w:top w:w="0" w:type="dxa"/>
          <w:left w:w="0" w:type="dxa"/>
          <w:bottom w:w="0" w:type="dxa"/>
          <w:right w:w="0" w:type="dxa"/>
        </w:tblCellMar>
      </w:tblPr>
      <w:tblGrid>
        <w:gridCol w:w="185"/>
        <w:gridCol w:w="1355"/>
        <w:gridCol w:w="170"/>
        <w:gridCol w:w="170"/>
        <w:gridCol w:w="410"/>
        <w:gridCol w:w="170"/>
        <w:gridCol w:w="170"/>
        <w:gridCol w:w="860"/>
        <w:gridCol w:w="170"/>
        <w:gridCol w:w="170"/>
        <w:gridCol w:w="815"/>
        <w:gridCol w:w="170"/>
        <w:gridCol w:w="170"/>
        <w:gridCol w:w="545"/>
        <w:gridCol w:w="170"/>
        <w:gridCol w:w="170"/>
        <w:gridCol w:w="635"/>
        <w:gridCol w:w="170"/>
        <w:gridCol w:w="170"/>
        <w:gridCol w:w="980"/>
        <w:gridCol w:w="215"/>
      </w:tblGrid>
      <w:tr>
        <w:trPr/>
        <w:tc>
          <w:tcPr>
            <w:tcW w:w="185"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355" w:type="dxa"/>
            <w:tcBorders>
              <w:bottom w:val="single" w:sz="8" w:space="0" w:color="000000"/>
            </w:tcBorders>
            <w:tcMar>
              <w:bottom w:w="43" w:type="dxa"/>
            </w:tcM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Name</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10"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Year</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60"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Personal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Use of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Company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Aircraft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position w:val="5"/>
                <w:sz w:val="13"/>
                <w:sz w:val="16"/>
              </w:rPr>
              <w:t>(a)</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15"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Financial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Services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position w:val="5"/>
                <w:sz w:val="13"/>
                <w:sz w:val="16"/>
              </w:rPr>
              <w:t>(b)</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Car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position w:val="5"/>
                <w:sz w:val="13"/>
                <w:sz w:val="16"/>
              </w:rPr>
              <w:t>(c)</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35"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Other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position w:val="5"/>
                <w:sz w:val="13"/>
                <w:sz w:val="16"/>
              </w:rPr>
              <w:t>(d)</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80"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Total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Perquisites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position w:val="5"/>
                <w:sz w:val="13"/>
                <w:sz w:val="16"/>
              </w:rPr>
              <w:t>(e)</w:t>
            </w:r>
            <w:r>
              <w:rPr>
                <w:rFonts w:ascii="Arial;Helvetica;sans-serif" w:hAnsi="Arial;Helvetica;sans-serif"/>
                <w:b/>
                <w:color w:val="000000"/>
                <w:sz w:val="16"/>
              </w:rPr>
              <w:t xml:space="preserve">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355" w:type="dxa"/>
            <w:vMerge w:val="restart"/>
            <w:tcBorders>
              <w:bottom w:val="single" w:sz="8" w:space="0" w:color="000000"/>
            </w:tcBorders>
            <w:shd w:fill="CCCCCC" w:val="clear"/>
            <w:tcMar>
              <w:bottom w:w="3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Mr. Choi</w:t>
            </w:r>
          </w:p>
        </w:tc>
        <w:tc>
          <w:tcPr>
            <w:tcW w:w="170" w:type="dxa"/>
            <w:vMerge w:val="restart"/>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410" w:type="dxa"/>
            <w:tcBorders/>
            <w:shd w:fill="CCCCCC"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60" w:type="dxa"/>
            <w:tcBorders/>
            <w:shd w:fill="CCCCCC" w:val="clear"/>
            <w:vAlign w:val="center"/>
          </w:tcPr>
          <w:p>
            <w:pPr>
              <w:pStyle w:val="TableContents"/>
              <w:bidi w:val="0"/>
              <w:spacing w:before="0" w:after="283"/>
              <w:jc w:val="center"/>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15" w:type="dxa"/>
            <w:tcBorders/>
            <w:shd w:fill="CCCCCC"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3,850</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545" w:type="dxa"/>
            <w:tcBorders/>
            <w:shd w:fill="CCCCCC"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19,975</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635" w:type="dxa"/>
            <w:tcBorders/>
            <w:shd w:fill="CCCCCC" w:val="clear"/>
            <w:vAlign w:val="center"/>
          </w:tcPr>
          <w:p>
            <w:pPr>
              <w:pStyle w:val="TableContents"/>
              <w:bidi w:val="0"/>
              <w:spacing w:before="0" w:after="283"/>
              <w:jc w:val="center"/>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980" w:type="dxa"/>
            <w:tcBorders/>
            <w:shd w:fill="CCCCCC"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29,337 </w:t>
            </w:r>
          </w:p>
        </w:tc>
        <w:tc>
          <w:tcPr>
            <w:tcW w:w="215" w:type="dxa"/>
            <w:tcBorders/>
            <w:shd w:fill="CCCCCC" w:val="clear"/>
            <w:vAlign w:val="center"/>
          </w:tcPr>
          <w:p>
            <w:pPr>
              <w:pStyle w:val="TableContents"/>
              <w:bidi w:val="0"/>
              <w:spacing w:before="0" w:after="0"/>
              <w:jc w:val="left"/>
              <w:rPr/>
            </w:pPr>
            <w:r>
              <w:rPr/>
              <w:t> </w:t>
            </w:r>
          </w:p>
        </w:tc>
      </w:tr>
      <w:tr>
        <w:trPr/>
        <w:tc>
          <w:tcPr>
            <w:tcW w:w="185" w:type="dxa"/>
            <w:vMerge w:val="continue"/>
            <w:tcBorders>
              <w:bottom w:val="single" w:sz="8" w:space="0" w:color="000000"/>
            </w:tcBorders>
            <w:shd w:fill="CCCCCC" w:val="clear"/>
            <w:tcMar>
              <w:bottom w:w="28" w:type="dxa"/>
            </w:tcMar>
            <w:vAlign w:val="center"/>
          </w:tcPr>
          <w:p>
            <w:pPr>
              <w:pStyle w:val="Normal"/>
              <w:bidi w:val="0"/>
              <w:jc w:val="left"/>
              <w:rPr/>
            </w:pPr>
            <w:r>
              <w:rPr/>
            </w:r>
          </w:p>
        </w:tc>
        <w:tc>
          <w:tcPr>
            <w:tcW w:w="1355" w:type="dxa"/>
            <w:vMerge w:val="continue"/>
            <w:tcBorders>
              <w:bottom w:val="single" w:sz="8" w:space="0" w:color="000000"/>
            </w:tcBorders>
            <w:shd w:fill="CCCCCC" w:val="clear"/>
            <w:tcMar>
              <w:bottom w:w="38" w:type="dxa"/>
            </w:tcMar>
            <w:vAlign w:val="center"/>
          </w:tcPr>
          <w:p>
            <w:pPr>
              <w:pStyle w:val="Normal"/>
              <w:bidi w:val="0"/>
              <w:jc w:val="left"/>
              <w:rPr/>
            </w:pPr>
            <w:r>
              <w:rPr/>
            </w:r>
          </w:p>
        </w:tc>
        <w:tc>
          <w:tcPr>
            <w:tcW w:w="170" w:type="dxa"/>
            <w:vMerge w:val="continue"/>
            <w:tcBorders>
              <w:bottom w:val="single" w:sz="8" w:space="0" w:color="000000"/>
            </w:tcBorders>
            <w:shd w:fill="CCCCCC" w:val="clear"/>
            <w:tcMar>
              <w:bottom w:w="28" w:type="dxa"/>
            </w:tcMar>
            <w:vAlign w:val="center"/>
          </w:tcPr>
          <w:p>
            <w:pPr>
              <w:pStyle w:val="Normal"/>
              <w:bidi w:val="0"/>
              <w:jc w:val="left"/>
              <w:rPr/>
            </w:pPr>
            <w:r>
              <w:rPr/>
            </w:r>
          </w:p>
        </w:tc>
        <w:tc>
          <w:tcPr>
            <w:tcW w:w="170" w:type="dxa"/>
            <w:tcBorders/>
            <w:shd w:fill="CCCCCC" w:val="clear"/>
            <w:vAlign w:val="center"/>
          </w:tcPr>
          <w:p>
            <w:pPr>
              <w:pStyle w:val="TableContents"/>
              <w:bidi w:val="0"/>
              <w:spacing w:before="0" w:after="0"/>
              <w:jc w:val="left"/>
              <w:rPr/>
            </w:pPr>
            <w:r>
              <w:rPr/>
              <w:t> </w:t>
            </w:r>
          </w:p>
        </w:tc>
        <w:tc>
          <w:tcPr>
            <w:tcW w:w="410" w:type="dxa"/>
            <w:tcBorders/>
            <w:shd w:fill="CCCCCC"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60" w:type="dxa"/>
            <w:tcBorders/>
            <w:shd w:fill="CCCCCC" w:val="clear"/>
            <w:vAlign w:val="center"/>
          </w:tcPr>
          <w:p>
            <w:pPr>
              <w:pStyle w:val="TableContents"/>
              <w:bidi w:val="0"/>
              <w:spacing w:before="0" w:after="283"/>
              <w:jc w:val="center"/>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15" w:type="dxa"/>
            <w:tcBorders/>
            <w:shd w:fill="CCCCCC"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4,550</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545" w:type="dxa"/>
            <w:tcBorders/>
            <w:shd w:fill="CCCCCC"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20,197</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635" w:type="dxa"/>
            <w:tcBorders/>
            <w:shd w:fill="CCCCCC" w:val="clear"/>
            <w:vAlign w:val="center"/>
          </w:tcPr>
          <w:p>
            <w:pPr>
              <w:pStyle w:val="TableContents"/>
              <w:bidi w:val="0"/>
              <w:spacing w:before="0" w:after="283"/>
              <w:jc w:val="center"/>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980" w:type="dxa"/>
            <w:tcBorders/>
            <w:shd w:fill="CCCCCC"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29,923 </w:t>
            </w:r>
          </w:p>
        </w:tc>
        <w:tc>
          <w:tcPr>
            <w:tcW w:w="215" w:type="dxa"/>
            <w:tcBorders/>
            <w:shd w:fill="CCCCCC" w:val="clear"/>
            <w:vAlign w:val="center"/>
          </w:tcPr>
          <w:p>
            <w:pPr>
              <w:pStyle w:val="TableContents"/>
              <w:bidi w:val="0"/>
              <w:spacing w:before="0" w:after="0"/>
              <w:jc w:val="left"/>
              <w:rPr/>
            </w:pPr>
            <w:r>
              <w:rPr/>
              <w:t> </w:t>
            </w:r>
          </w:p>
        </w:tc>
      </w:tr>
      <w:tr>
        <w:trPr/>
        <w:tc>
          <w:tcPr>
            <w:tcW w:w="185" w:type="dxa"/>
            <w:vMerge w:val="continue"/>
            <w:tcBorders>
              <w:bottom w:val="single" w:sz="8" w:space="0" w:color="000000"/>
            </w:tcBorders>
            <w:shd w:fill="CCCCCC" w:val="clear"/>
            <w:tcMar>
              <w:bottom w:w="28" w:type="dxa"/>
            </w:tcMar>
            <w:vAlign w:val="center"/>
          </w:tcPr>
          <w:p>
            <w:pPr>
              <w:pStyle w:val="Normal"/>
              <w:bidi w:val="0"/>
              <w:jc w:val="left"/>
              <w:rPr/>
            </w:pPr>
            <w:r>
              <w:rPr/>
            </w:r>
          </w:p>
        </w:tc>
        <w:tc>
          <w:tcPr>
            <w:tcW w:w="1355" w:type="dxa"/>
            <w:vMerge w:val="continue"/>
            <w:tcBorders>
              <w:bottom w:val="single" w:sz="8" w:space="0" w:color="000000"/>
            </w:tcBorders>
            <w:shd w:fill="CCCCCC" w:val="clear"/>
            <w:tcMar>
              <w:bottom w:w="38" w:type="dxa"/>
            </w:tcMar>
            <w:vAlign w:val="center"/>
          </w:tcPr>
          <w:p>
            <w:pPr>
              <w:pStyle w:val="Normal"/>
              <w:bidi w:val="0"/>
              <w:jc w:val="left"/>
              <w:rPr/>
            </w:pPr>
            <w:r>
              <w:rPr/>
            </w:r>
          </w:p>
        </w:tc>
        <w:tc>
          <w:tcPr>
            <w:tcW w:w="170" w:type="dxa"/>
            <w:vMerge w:val="continue"/>
            <w:tcBorders>
              <w:bottom w:val="single" w:sz="8" w:space="0" w:color="000000"/>
            </w:tcBorders>
            <w:shd w:fill="CCCCCC" w:val="clear"/>
            <w:tcMar>
              <w:bottom w:w="28" w:type="dxa"/>
            </w:tcMar>
            <w:vAlign w:val="center"/>
          </w:tcPr>
          <w:p>
            <w:pPr>
              <w:pStyle w:val="Normal"/>
              <w:bidi w:val="0"/>
              <w:jc w:val="left"/>
              <w:rPr/>
            </w:pPr>
            <w:r>
              <w:rPr/>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410" w:type="dxa"/>
            <w:tcBorders>
              <w:bottom w:val="single" w:sz="8" w:space="0" w:color="000000"/>
            </w:tcBorders>
            <w:shd w:fill="CCCCCC" w:val="clear"/>
            <w:tcMar>
              <w:bottom w:w="3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2023</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860" w:type="dxa"/>
            <w:tcBorders>
              <w:bottom w:val="single" w:sz="8" w:space="0" w:color="000000"/>
            </w:tcBorders>
            <w:shd w:fill="CCCCCC" w:val="clear"/>
            <w:tcMar>
              <w:bottom w:w="38"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815" w:type="dxa"/>
            <w:tcBorders>
              <w:bottom w:val="single" w:sz="8" w:space="0" w:color="000000"/>
            </w:tcBorders>
            <w:shd w:fill="CCCCCC" w:val="clear"/>
            <w:tcMar>
              <w:bottom w:w="3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4,450</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545" w:type="dxa"/>
            <w:tcBorders>
              <w:bottom w:val="single" w:sz="8" w:space="0" w:color="000000"/>
            </w:tcBorders>
            <w:shd w:fill="CCCCCC" w:val="clear"/>
            <w:tcMar>
              <w:bottom w:w="3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22,513</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635" w:type="dxa"/>
            <w:tcBorders>
              <w:bottom w:val="single" w:sz="8" w:space="0" w:color="000000"/>
            </w:tcBorders>
            <w:shd w:fill="CCCCCC" w:val="clear"/>
            <w:tcMar>
              <w:bottom w:w="38"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980" w:type="dxa"/>
            <w:tcBorders>
              <w:bottom w:val="single" w:sz="8" w:space="0" w:color="000000"/>
            </w:tcBorders>
            <w:shd w:fill="CCCCCC" w:val="clear"/>
            <w:tcMar>
              <w:bottom w:w="3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32,073 </w:t>
            </w:r>
          </w:p>
        </w:tc>
        <w:tc>
          <w:tcPr>
            <w:tcW w:w="21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355" w:type="dxa"/>
            <w:tcBorders>
              <w:bottom w:val="single" w:sz="8" w:space="0" w:color="000000"/>
            </w:tcBorders>
            <w:tcMar>
              <w:bottom w:w="3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Mr. Cunha</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10" w:type="dxa"/>
            <w:tcBorders>
              <w:bottom w:val="single" w:sz="8" w:space="0" w:color="000000"/>
            </w:tcBorders>
            <w:tcMar>
              <w:bottom w:w="3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60" w:type="dxa"/>
            <w:tcBorders>
              <w:bottom w:val="single" w:sz="8" w:space="0" w:color="000000"/>
            </w:tcBorders>
            <w:tcMar>
              <w:bottom w:w="38"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15" w:type="dxa"/>
            <w:tcBorders>
              <w:bottom w:val="single" w:sz="8" w:space="0" w:color="000000"/>
            </w:tcBorders>
            <w:tcMar>
              <w:bottom w:w="38"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38"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35" w:type="dxa"/>
            <w:tcBorders>
              <w:bottom w:val="single" w:sz="8" w:space="0" w:color="000000"/>
            </w:tcBorders>
            <w:tcMar>
              <w:bottom w:w="3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127,431</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80" w:type="dxa"/>
            <w:tcBorders>
              <w:bottom w:val="single" w:sz="8" w:space="0" w:color="000000"/>
            </w:tcBorders>
            <w:tcMar>
              <w:bottom w:w="3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127,431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355" w:type="dxa"/>
            <w:tcBorders>
              <w:bottom w:val="single" w:sz="8" w:space="0" w:color="000000"/>
            </w:tcBorders>
            <w:shd w:fill="CCCCCC" w:val="clear"/>
            <w:tcMar>
              <w:bottom w:w="3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Mr. Pahwa</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410" w:type="dxa"/>
            <w:tcBorders>
              <w:bottom w:val="single" w:sz="8" w:space="0" w:color="000000"/>
            </w:tcBorders>
            <w:shd w:fill="CCCCCC" w:val="clear"/>
            <w:tcMar>
              <w:bottom w:w="3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860" w:type="dxa"/>
            <w:tcBorders>
              <w:bottom w:val="single" w:sz="8" w:space="0" w:color="000000"/>
            </w:tcBorders>
            <w:shd w:fill="CCCCCC" w:val="clear"/>
            <w:tcMar>
              <w:bottom w:w="38"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815" w:type="dxa"/>
            <w:tcBorders>
              <w:bottom w:val="single" w:sz="8" w:space="0" w:color="000000"/>
            </w:tcBorders>
            <w:shd w:fill="CCCCCC" w:val="clear"/>
            <w:tcMar>
              <w:bottom w:w="38"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545" w:type="dxa"/>
            <w:tcBorders>
              <w:bottom w:val="single" w:sz="8" w:space="0" w:color="000000"/>
            </w:tcBorders>
            <w:shd w:fill="CCCCCC" w:val="clear"/>
            <w:tcMar>
              <w:bottom w:w="38"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635" w:type="dxa"/>
            <w:tcBorders>
              <w:bottom w:val="single" w:sz="8" w:space="0" w:color="000000"/>
            </w:tcBorders>
            <w:shd w:fill="CCCCCC" w:val="clear"/>
            <w:tcMar>
              <w:bottom w:w="38"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980" w:type="dxa"/>
            <w:tcBorders>
              <w:bottom w:val="single" w:sz="8" w:space="0" w:color="000000"/>
            </w:tcBorders>
            <w:shd w:fill="CCCCCC" w:val="clear"/>
            <w:tcMar>
              <w:bottom w:w="38" w:type="dxa"/>
            </w:tcMar>
            <w:vAlign w:val="center"/>
          </w:tcPr>
          <w:p>
            <w:pPr>
              <w:pStyle w:val="TableContents"/>
              <w:bidi w:val="0"/>
              <w:spacing w:before="0" w:after="283"/>
              <w:jc w:val="center"/>
              <w:rPr>
                <w:color w:val="000000"/>
              </w:rPr>
            </w:pPr>
            <w:r>
              <w:rPr>
                <w:color w:val="000000"/>
              </w:rPr>
              <w:t xml:space="preserve">— </w:t>
            </w:r>
          </w:p>
        </w:tc>
        <w:tc>
          <w:tcPr>
            <w:tcW w:w="21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1355" w:type="dxa"/>
            <w:vMerge w:val="restart"/>
            <w:tcBorders>
              <w:bottom w:val="single" w:sz="8" w:space="0" w:color="000000"/>
            </w:tcBorders>
            <w:tcMar>
              <w:bottom w:w="3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Mr. Simhambhatla</w:t>
            </w:r>
          </w:p>
        </w:tc>
        <w:tc>
          <w:tcPr>
            <w:tcW w:w="170"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24,176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119,712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143,888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000000"/>
            </w:tcBorders>
            <w:tcMar>
              <w:bottom w:w="28" w:type="dxa"/>
            </w:tcMar>
            <w:vAlign w:val="center"/>
          </w:tcPr>
          <w:p>
            <w:pPr>
              <w:pStyle w:val="Normal"/>
              <w:bidi w:val="0"/>
              <w:jc w:val="left"/>
              <w:rPr/>
            </w:pPr>
            <w:r>
              <w:rPr/>
            </w:r>
          </w:p>
        </w:tc>
        <w:tc>
          <w:tcPr>
            <w:tcW w:w="1355" w:type="dxa"/>
            <w:vMerge w:val="continue"/>
            <w:tcBorders>
              <w:bottom w:val="single" w:sz="8" w:space="0" w:color="000000"/>
            </w:tcBorders>
            <w:tcMar>
              <w:bottom w:w="38" w:type="dxa"/>
            </w:tcMar>
            <w:vAlign w:val="center"/>
          </w:tcPr>
          <w:p>
            <w:pPr>
              <w:pStyle w:val="Normal"/>
              <w:bidi w:val="0"/>
              <w:jc w:val="left"/>
              <w:rPr/>
            </w:pPr>
            <w:r>
              <w:rPr/>
            </w:r>
          </w:p>
        </w:tc>
        <w:tc>
          <w:tcPr>
            <w:tcW w:w="170" w:type="dxa"/>
            <w:vMerge w:val="continue"/>
            <w:tcBorders>
              <w:bottom w:val="single" w:sz="8" w:space="0" w:color="000000"/>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25,944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107,137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133,081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000000"/>
            </w:tcBorders>
            <w:tcMar>
              <w:bottom w:w="28" w:type="dxa"/>
            </w:tcMar>
            <w:vAlign w:val="center"/>
          </w:tcPr>
          <w:p>
            <w:pPr>
              <w:pStyle w:val="Normal"/>
              <w:bidi w:val="0"/>
              <w:jc w:val="left"/>
              <w:rPr/>
            </w:pPr>
            <w:r>
              <w:rPr/>
            </w:r>
          </w:p>
        </w:tc>
        <w:tc>
          <w:tcPr>
            <w:tcW w:w="1355" w:type="dxa"/>
            <w:vMerge w:val="continue"/>
            <w:tcBorders>
              <w:bottom w:val="single" w:sz="8" w:space="0" w:color="000000"/>
            </w:tcBorders>
            <w:tcMar>
              <w:bottom w:w="38" w:type="dxa"/>
            </w:tcMar>
            <w:vAlign w:val="center"/>
          </w:tcPr>
          <w:p>
            <w:pPr>
              <w:pStyle w:val="Normal"/>
              <w:bidi w:val="0"/>
              <w:jc w:val="left"/>
              <w:rPr/>
            </w:pPr>
            <w:r>
              <w:rPr/>
            </w:r>
          </w:p>
        </w:tc>
        <w:tc>
          <w:tcPr>
            <w:tcW w:w="170" w:type="dxa"/>
            <w:vMerge w:val="continue"/>
            <w:tcBorders>
              <w:bottom w:val="single" w:sz="8" w:space="0" w:color="000000"/>
            </w:tcBorders>
            <w:tcMar>
              <w:bottom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10" w:type="dxa"/>
            <w:tcBorders>
              <w:bottom w:val="single" w:sz="8" w:space="0" w:color="000000"/>
            </w:tcBorders>
            <w:tcMar>
              <w:bottom w:w="3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2023</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60" w:type="dxa"/>
            <w:tcBorders>
              <w:bottom w:val="single" w:sz="8" w:space="0" w:color="000000"/>
            </w:tcBorders>
            <w:tcMar>
              <w:bottom w:w="38"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15" w:type="dxa"/>
            <w:tcBorders>
              <w:bottom w:val="single" w:sz="8" w:space="0" w:color="000000"/>
            </w:tcBorders>
            <w:tcMar>
              <w:bottom w:w="38"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3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13,264</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35" w:type="dxa"/>
            <w:tcBorders>
              <w:bottom w:val="single" w:sz="8" w:space="0" w:color="000000"/>
            </w:tcBorders>
            <w:tcMar>
              <w:bottom w:w="3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172,545</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80" w:type="dxa"/>
            <w:tcBorders>
              <w:bottom w:val="single" w:sz="8" w:space="0" w:color="000000"/>
            </w:tcBorders>
            <w:tcMar>
              <w:bottom w:w="3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185,809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355" w:type="dxa"/>
            <w:vMerge w:val="restart"/>
            <w:tcBorders>
              <w:bottom w:val="single" w:sz="8" w:space="0" w:color="000000"/>
            </w:tcBorders>
            <w:shd w:fill="CCCCCC" w:val="clear"/>
            <w:tcMar>
              <w:bottom w:w="3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Mr. Linnen</w:t>
            </w:r>
          </w:p>
        </w:tc>
        <w:tc>
          <w:tcPr>
            <w:tcW w:w="170" w:type="dxa"/>
            <w:vMerge w:val="restart"/>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410" w:type="dxa"/>
            <w:tcBorders/>
            <w:shd w:fill="CCCCCC"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60" w:type="dxa"/>
            <w:tcBorders/>
            <w:shd w:fill="CCCCCC" w:val="clear"/>
            <w:vAlign w:val="center"/>
          </w:tcPr>
          <w:p>
            <w:pPr>
              <w:pStyle w:val="TableContents"/>
              <w:bidi w:val="0"/>
              <w:spacing w:before="0" w:after="283"/>
              <w:jc w:val="center"/>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15" w:type="dxa"/>
            <w:tcBorders/>
            <w:shd w:fill="CCCCCC"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9,000</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545" w:type="dxa"/>
            <w:tcBorders/>
            <w:shd w:fill="CCCCCC"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15,069</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635" w:type="dxa"/>
            <w:tcBorders/>
            <w:shd w:fill="CCCCCC" w:val="clear"/>
            <w:vAlign w:val="center"/>
          </w:tcPr>
          <w:p>
            <w:pPr>
              <w:pStyle w:val="TableContents"/>
              <w:bidi w:val="0"/>
              <w:spacing w:before="0" w:after="283"/>
              <w:jc w:val="center"/>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980" w:type="dxa"/>
            <w:tcBorders/>
            <w:shd w:fill="CCCCCC"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29,581 </w:t>
            </w:r>
          </w:p>
        </w:tc>
        <w:tc>
          <w:tcPr>
            <w:tcW w:w="215" w:type="dxa"/>
            <w:tcBorders/>
            <w:shd w:fill="CCCCCC" w:val="clear"/>
            <w:vAlign w:val="center"/>
          </w:tcPr>
          <w:p>
            <w:pPr>
              <w:pStyle w:val="TableContents"/>
              <w:bidi w:val="0"/>
              <w:spacing w:before="0" w:after="0"/>
              <w:jc w:val="left"/>
              <w:rPr/>
            </w:pPr>
            <w:r>
              <w:rPr/>
              <w:t> </w:t>
            </w:r>
          </w:p>
        </w:tc>
      </w:tr>
      <w:tr>
        <w:trPr/>
        <w:tc>
          <w:tcPr>
            <w:tcW w:w="185" w:type="dxa"/>
            <w:vMerge w:val="continue"/>
            <w:tcBorders>
              <w:bottom w:val="single" w:sz="8" w:space="0" w:color="000000"/>
            </w:tcBorders>
            <w:shd w:fill="CCCCCC" w:val="clear"/>
            <w:tcMar>
              <w:bottom w:w="28" w:type="dxa"/>
            </w:tcMar>
            <w:vAlign w:val="center"/>
          </w:tcPr>
          <w:p>
            <w:pPr>
              <w:pStyle w:val="Normal"/>
              <w:bidi w:val="0"/>
              <w:jc w:val="left"/>
              <w:rPr/>
            </w:pPr>
            <w:r>
              <w:rPr/>
            </w:r>
          </w:p>
        </w:tc>
        <w:tc>
          <w:tcPr>
            <w:tcW w:w="1355" w:type="dxa"/>
            <w:vMerge w:val="continue"/>
            <w:tcBorders>
              <w:bottom w:val="single" w:sz="8" w:space="0" w:color="000000"/>
            </w:tcBorders>
            <w:shd w:fill="CCCCCC" w:val="clear"/>
            <w:tcMar>
              <w:bottom w:w="38" w:type="dxa"/>
            </w:tcMar>
            <w:vAlign w:val="center"/>
          </w:tcPr>
          <w:p>
            <w:pPr>
              <w:pStyle w:val="Normal"/>
              <w:bidi w:val="0"/>
              <w:jc w:val="left"/>
              <w:rPr/>
            </w:pPr>
            <w:r>
              <w:rPr/>
            </w:r>
          </w:p>
        </w:tc>
        <w:tc>
          <w:tcPr>
            <w:tcW w:w="170" w:type="dxa"/>
            <w:vMerge w:val="continue"/>
            <w:tcBorders>
              <w:bottom w:val="single" w:sz="8" w:space="0" w:color="000000"/>
            </w:tcBorders>
            <w:shd w:fill="CCCCCC" w:val="clear"/>
            <w:tcMar>
              <w:bottom w:w="28" w:type="dxa"/>
            </w:tcMar>
            <w:vAlign w:val="center"/>
          </w:tcPr>
          <w:p>
            <w:pPr>
              <w:pStyle w:val="Normal"/>
              <w:bidi w:val="0"/>
              <w:jc w:val="left"/>
              <w:rPr/>
            </w:pPr>
            <w:r>
              <w:rPr/>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410" w:type="dxa"/>
            <w:tcBorders>
              <w:bottom w:val="single" w:sz="8" w:space="0" w:color="000000"/>
            </w:tcBorders>
            <w:shd w:fill="CCCCCC" w:val="clear"/>
            <w:tcMar>
              <w:bottom w:w="3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860" w:type="dxa"/>
            <w:tcBorders>
              <w:bottom w:val="single" w:sz="8" w:space="0" w:color="000000"/>
            </w:tcBorders>
            <w:shd w:fill="CCCCCC" w:val="clear"/>
            <w:tcMar>
              <w:bottom w:w="38"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815" w:type="dxa"/>
            <w:tcBorders>
              <w:bottom w:val="single" w:sz="8" w:space="0" w:color="000000"/>
            </w:tcBorders>
            <w:shd w:fill="CCCCCC" w:val="clear"/>
            <w:tcMar>
              <w:bottom w:w="3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8,500</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545" w:type="dxa"/>
            <w:tcBorders>
              <w:bottom w:val="single" w:sz="8" w:space="0" w:color="000000"/>
            </w:tcBorders>
            <w:shd w:fill="CCCCCC" w:val="clear"/>
            <w:tcMar>
              <w:bottom w:w="3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12,229</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635" w:type="dxa"/>
            <w:tcBorders>
              <w:bottom w:val="single" w:sz="8" w:space="0" w:color="000000"/>
            </w:tcBorders>
            <w:shd w:fill="CCCCCC" w:val="clear"/>
            <w:tcMar>
              <w:bottom w:w="38"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980" w:type="dxa"/>
            <w:tcBorders>
              <w:bottom w:val="single" w:sz="8" w:space="0" w:color="000000"/>
            </w:tcBorders>
            <w:shd w:fill="CCCCCC" w:val="clear"/>
            <w:tcMar>
              <w:bottom w:w="3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25,905 </w:t>
            </w:r>
          </w:p>
        </w:tc>
        <w:tc>
          <w:tcPr>
            <w:tcW w:w="21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1355" w:type="dxa"/>
            <w:vMerge w:val="restart"/>
            <w:tcBorders>
              <w:bottom w:val="single" w:sz="8" w:space="0" w:color="000000"/>
            </w:tcBorders>
            <w:tcMar>
              <w:bottom w:w="3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Mr. Ferraro</w:t>
            </w:r>
          </w:p>
        </w:tc>
        <w:tc>
          <w:tcPr>
            <w:tcW w:w="170"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13,241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28,471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41,712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000000"/>
            </w:tcBorders>
            <w:tcMar>
              <w:bottom w:w="28" w:type="dxa"/>
            </w:tcMar>
            <w:vAlign w:val="center"/>
          </w:tcPr>
          <w:p>
            <w:pPr>
              <w:pStyle w:val="Normal"/>
              <w:bidi w:val="0"/>
              <w:jc w:val="left"/>
              <w:rPr/>
            </w:pPr>
            <w:r>
              <w:rPr/>
            </w:r>
          </w:p>
        </w:tc>
        <w:tc>
          <w:tcPr>
            <w:tcW w:w="1355" w:type="dxa"/>
            <w:vMerge w:val="continue"/>
            <w:tcBorders>
              <w:bottom w:val="single" w:sz="8" w:space="0" w:color="000000"/>
            </w:tcBorders>
            <w:tcMar>
              <w:bottom w:w="38" w:type="dxa"/>
            </w:tcMar>
            <w:vAlign w:val="center"/>
          </w:tcPr>
          <w:p>
            <w:pPr>
              <w:pStyle w:val="Normal"/>
              <w:bidi w:val="0"/>
              <w:jc w:val="left"/>
              <w:rPr/>
            </w:pPr>
            <w:r>
              <w:rPr/>
            </w:r>
          </w:p>
        </w:tc>
        <w:tc>
          <w:tcPr>
            <w:tcW w:w="170" w:type="dxa"/>
            <w:vMerge w:val="continue"/>
            <w:tcBorders>
              <w:bottom w:val="single" w:sz="8" w:space="0" w:color="000000"/>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15,380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12,580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27,370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jc w:val="center"/>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55,330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000000"/>
            </w:tcBorders>
            <w:tcMar>
              <w:bottom w:w="28" w:type="dxa"/>
            </w:tcMar>
            <w:vAlign w:val="center"/>
          </w:tcPr>
          <w:p>
            <w:pPr>
              <w:pStyle w:val="Normal"/>
              <w:bidi w:val="0"/>
              <w:jc w:val="left"/>
              <w:rPr/>
            </w:pPr>
            <w:r>
              <w:rPr/>
            </w:r>
          </w:p>
        </w:tc>
        <w:tc>
          <w:tcPr>
            <w:tcW w:w="1355" w:type="dxa"/>
            <w:vMerge w:val="continue"/>
            <w:tcBorders>
              <w:bottom w:val="single" w:sz="8" w:space="0" w:color="000000"/>
            </w:tcBorders>
            <w:tcMar>
              <w:bottom w:w="38" w:type="dxa"/>
            </w:tcMar>
            <w:vAlign w:val="center"/>
          </w:tcPr>
          <w:p>
            <w:pPr>
              <w:pStyle w:val="Normal"/>
              <w:bidi w:val="0"/>
              <w:jc w:val="left"/>
              <w:rPr/>
            </w:pPr>
            <w:r>
              <w:rPr/>
            </w:r>
          </w:p>
        </w:tc>
        <w:tc>
          <w:tcPr>
            <w:tcW w:w="170" w:type="dxa"/>
            <w:vMerge w:val="continue"/>
            <w:tcBorders>
              <w:bottom w:val="single" w:sz="8" w:space="0" w:color="000000"/>
            </w:tcBorders>
            <w:tcMar>
              <w:bottom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10" w:type="dxa"/>
            <w:tcBorders>
              <w:bottom w:val="single" w:sz="8" w:space="0" w:color="000000"/>
            </w:tcBorders>
            <w:tcMar>
              <w:bottom w:w="3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2023</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60" w:type="dxa"/>
            <w:tcBorders>
              <w:bottom w:val="single" w:sz="8" w:space="0" w:color="000000"/>
            </w:tcBorders>
            <w:tcMar>
              <w:bottom w:w="3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13,460</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15" w:type="dxa"/>
            <w:tcBorders>
              <w:bottom w:val="single" w:sz="8" w:space="0" w:color="000000"/>
            </w:tcBorders>
            <w:tcMar>
              <w:bottom w:w="3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11,975</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3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26,608</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35" w:type="dxa"/>
            <w:tcBorders>
              <w:bottom w:val="single" w:sz="8" w:space="0" w:color="000000"/>
            </w:tcBorders>
            <w:tcMar>
              <w:bottom w:w="38" w:type="dxa"/>
            </w:tcMar>
            <w:vAlign w:val="center"/>
          </w:tcPr>
          <w:p>
            <w:pPr>
              <w:pStyle w:val="TableContents"/>
              <w:bidi w:val="0"/>
              <w:spacing w:before="0" w:after="283"/>
              <w:jc w:val="center"/>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80" w:type="dxa"/>
            <w:tcBorders>
              <w:bottom w:val="single" w:sz="8" w:space="0" w:color="000000"/>
            </w:tcBorders>
            <w:tcMar>
              <w:bottom w:w="3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52,043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vMerge w:val="restart"/>
            <w:tcBorders/>
            <w:shd w:fill="CCCCCC" w:val="clear"/>
            <w:vAlign w:val="center"/>
          </w:tcPr>
          <w:p>
            <w:pPr>
              <w:pStyle w:val="TableContents"/>
              <w:bidi w:val="0"/>
              <w:spacing w:before="0" w:after="0"/>
              <w:jc w:val="left"/>
              <w:rPr/>
            </w:pPr>
            <w:r>
              <w:rPr/>
              <w:t> </w:t>
            </w:r>
          </w:p>
        </w:tc>
        <w:tc>
          <w:tcPr>
            <w:tcW w:w="1355" w:type="dxa"/>
            <w:vMerge w:val="restart"/>
            <w:tcBorders/>
            <w:shd w:fill="CCCCCC"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Ms. Martins</w:t>
            </w:r>
          </w:p>
        </w:tc>
        <w:tc>
          <w:tcPr>
            <w:tcW w:w="170" w:type="dxa"/>
            <w:vMerge w:val="restart"/>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410" w:type="dxa"/>
            <w:tcBorders/>
            <w:shd w:fill="CCCCCC"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60" w:type="dxa"/>
            <w:tcBorders/>
            <w:shd w:fill="CCCCCC" w:val="clear"/>
            <w:vAlign w:val="center"/>
          </w:tcPr>
          <w:p>
            <w:pPr>
              <w:pStyle w:val="TableContents"/>
              <w:bidi w:val="0"/>
              <w:spacing w:before="0" w:after="283"/>
              <w:jc w:val="center"/>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15" w:type="dxa"/>
            <w:tcBorders/>
            <w:shd w:fill="CCCCCC" w:val="clear"/>
            <w:vAlign w:val="center"/>
          </w:tcPr>
          <w:p>
            <w:pPr>
              <w:pStyle w:val="TableContents"/>
              <w:bidi w:val="0"/>
              <w:spacing w:before="0" w:after="283"/>
              <w:jc w:val="center"/>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545" w:type="dxa"/>
            <w:tcBorders/>
            <w:shd w:fill="CCCCCC"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18,807</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635" w:type="dxa"/>
            <w:tcBorders/>
            <w:shd w:fill="CCCCCC" w:val="clear"/>
            <w:vAlign w:val="center"/>
          </w:tcPr>
          <w:p>
            <w:pPr>
              <w:pStyle w:val="TableContents"/>
              <w:bidi w:val="0"/>
              <w:spacing w:before="0" w:after="283"/>
              <w:jc w:val="center"/>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980" w:type="dxa"/>
            <w:tcBorders/>
            <w:shd w:fill="CCCCCC"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18,807 </w:t>
            </w:r>
          </w:p>
        </w:tc>
        <w:tc>
          <w:tcPr>
            <w:tcW w:w="215" w:type="dxa"/>
            <w:tcBorders/>
            <w:shd w:fill="CCCCCC" w:val="clear"/>
            <w:vAlign w:val="center"/>
          </w:tcPr>
          <w:p>
            <w:pPr>
              <w:pStyle w:val="TableContents"/>
              <w:bidi w:val="0"/>
              <w:spacing w:before="0" w:after="0"/>
              <w:jc w:val="left"/>
              <w:rPr/>
            </w:pPr>
            <w:r>
              <w:rPr/>
              <w:t> </w:t>
            </w:r>
          </w:p>
        </w:tc>
      </w:tr>
      <w:tr>
        <w:trPr/>
        <w:tc>
          <w:tcPr>
            <w:tcW w:w="185" w:type="dxa"/>
            <w:vMerge w:val="continue"/>
            <w:tcBorders/>
            <w:shd w:fill="CCCCCC" w:val="clear"/>
            <w:vAlign w:val="center"/>
          </w:tcPr>
          <w:p>
            <w:pPr>
              <w:pStyle w:val="Normal"/>
              <w:bidi w:val="0"/>
              <w:jc w:val="left"/>
              <w:rPr/>
            </w:pPr>
            <w:r>
              <w:rPr/>
            </w:r>
          </w:p>
        </w:tc>
        <w:tc>
          <w:tcPr>
            <w:tcW w:w="1355" w:type="dxa"/>
            <w:vMerge w:val="continue"/>
            <w:tcBorders/>
            <w:shd w:fill="CCCCCC" w:val="clear"/>
            <w:vAlign w:val="center"/>
          </w:tcPr>
          <w:p>
            <w:pPr>
              <w:pStyle w:val="Normal"/>
              <w:bidi w:val="0"/>
              <w:jc w:val="left"/>
              <w:rPr/>
            </w:pPr>
            <w:r>
              <w:rPr/>
            </w:r>
          </w:p>
        </w:tc>
        <w:tc>
          <w:tcPr>
            <w:tcW w:w="170" w:type="dxa"/>
            <w:vMerge w:val="continue"/>
            <w:tcBorders/>
            <w:shd w:fill="CCCCCC" w:val="clear"/>
            <w:vAlign w:val="center"/>
          </w:tcPr>
          <w:p>
            <w:pPr>
              <w:pStyle w:val="Normal"/>
              <w:bidi w:val="0"/>
              <w:jc w:val="left"/>
              <w:rPr/>
            </w:pPr>
            <w:r>
              <w:rPr/>
            </w:r>
          </w:p>
        </w:tc>
        <w:tc>
          <w:tcPr>
            <w:tcW w:w="170" w:type="dxa"/>
            <w:tcBorders/>
            <w:shd w:fill="CCCCCC" w:val="clear"/>
            <w:vAlign w:val="center"/>
          </w:tcPr>
          <w:p>
            <w:pPr>
              <w:pStyle w:val="TableContents"/>
              <w:bidi w:val="0"/>
              <w:spacing w:before="0" w:after="0"/>
              <w:jc w:val="left"/>
              <w:rPr/>
            </w:pPr>
            <w:r>
              <w:rPr/>
              <w:t> </w:t>
            </w:r>
          </w:p>
        </w:tc>
        <w:tc>
          <w:tcPr>
            <w:tcW w:w="410" w:type="dxa"/>
            <w:tcBorders/>
            <w:shd w:fill="CCCCCC"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60" w:type="dxa"/>
            <w:tcBorders/>
            <w:shd w:fill="CCCCCC" w:val="clear"/>
            <w:vAlign w:val="center"/>
          </w:tcPr>
          <w:p>
            <w:pPr>
              <w:pStyle w:val="TableContents"/>
              <w:bidi w:val="0"/>
              <w:spacing w:before="0" w:after="283"/>
              <w:jc w:val="center"/>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15" w:type="dxa"/>
            <w:tcBorders/>
            <w:shd w:fill="CCCCCC" w:val="clear"/>
            <w:vAlign w:val="center"/>
          </w:tcPr>
          <w:p>
            <w:pPr>
              <w:pStyle w:val="TableContents"/>
              <w:bidi w:val="0"/>
              <w:spacing w:before="0" w:after="283"/>
              <w:jc w:val="center"/>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545" w:type="dxa"/>
            <w:tcBorders/>
            <w:shd w:fill="CCCCCC"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26,013</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635" w:type="dxa"/>
            <w:tcBorders/>
            <w:shd w:fill="CCCCCC" w:val="clear"/>
            <w:vAlign w:val="center"/>
          </w:tcPr>
          <w:p>
            <w:pPr>
              <w:pStyle w:val="TableContents"/>
              <w:bidi w:val="0"/>
              <w:spacing w:before="0" w:after="283"/>
              <w:jc w:val="center"/>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980" w:type="dxa"/>
            <w:tcBorders/>
            <w:shd w:fill="CCCCCC"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26,013 </w:t>
            </w:r>
          </w:p>
        </w:tc>
        <w:tc>
          <w:tcPr>
            <w:tcW w:w="215" w:type="dxa"/>
            <w:tcBorders/>
            <w:shd w:fill="CCCCCC" w:val="clear"/>
            <w:vAlign w:val="center"/>
          </w:tcPr>
          <w:p>
            <w:pPr>
              <w:pStyle w:val="TableContents"/>
              <w:bidi w:val="0"/>
              <w:spacing w:before="0" w:after="0"/>
              <w:jc w:val="left"/>
              <w:rPr/>
            </w:pPr>
            <w:r>
              <w:rPr/>
              <w:t> </w:t>
            </w:r>
          </w:p>
        </w:tc>
      </w:tr>
      <w:tr>
        <w:trPr/>
        <w:tc>
          <w:tcPr>
            <w:tcW w:w="185" w:type="dxa"/>
            <w:vMerge w:val="continue"/>
            <w:tcBorders/>
            <w:shd w:fill="CCCCCC" w:val="clear"/>
            <w:vAlign w:val="center"/>
          </w:tcPr>
          <w:p>
            <w:pPr>
              <w:pStyle w:val="Normal"/>
              <w:bidi w:val="0"/>
              <w:jc w:val="left"/>
              <w:rPr/>
            </w:pPr>
            <w:r>
              <w:rPr/>
            </w:r>
          </w:p>
        </w:tc>
        <w:tc>
          <w:tcPr>
            <w:tcW w:w="1355" w:type="dxa"/>
            <w:vMerge w:val="continue"/>
            <w:tcBorders/>
            <w:shd w:fill="CCCCCC" w:val="clear"/>
            <w:vAlign w:val="center"/>
          </w:tcPr>
          <w:p>
            <w:pPr>
              <w:pStyle w:val="Normal"/>
              <w:bidi w:val="0"/>
              <w:jc w:val="left"/>
              <w:rPr/>
            </w:pPr>
            <w:r>
              <w:rPr/>
            </w:r>
          </w:p>
        </w:tc>
        <w:tc>
          <w:tcPr>
            <w:tcW w:w="170" w:type="dxa"/>
            <w:vMerge w:val="continue"/>
            <w:tcBorders/>
            <w:shd w:fill="CCCCCC" w:val="clear"/>
            <w:vAlign w:val="center"/>
          </w:tcPr>
          <w:p>
            <w:pPr>
              <w:pStyle w:val="Normal"/>
              <w:bidi w:val="0"/>
              <w:jc w:val="left"/>
              <w:rPr/>
            </w:pPr>
            <w:r>
              <w:rPr/>
            </w:r>
          </w:p>
        </w:tc>
        <w:tc>
          <w:tcPr>
            <w:tcW w:w="170" w:type="dxa"/>
            <w:tcBorders/>
            <w:shd w:fill="CCCCCC" w:val="clear"/>
            <w:vAlign w:val="center"/>
          </w:tcPr>
          <w:p>
            <w:pPr>
              <w:pStyle w:val="TableContents"/>
              <w:bidi w:val="0"/>
              <w:spacing w:before="0" w:after="0"/>
              <w:jc w:val="left"/>
              <w:rPr/>
            </w:pPr>
            <w:r>
              <w:rPr/>
              <w:t> </w:t>
            </w:r>
          </w:p>
        </w:tc>
        <w:tc>
          <w:tcPr>
            <w:tcW w:w="410" w:type="dxa"/>
            <w:tcBorders/>
            <w:shd w:fill="CCCCCC"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2023</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60" w:type="dxa"/>
            <w:tcBorders/>
            <w:shd w:fill="CCCCCC" w:val="clear"/>
            <w:vAlign w:val="center"/>
          </w:tcPr>
          <w:p>
            <w:pPr>
              <w:pStyle w:val="TableContents"/>
              <w:bidi w:val="0"/>
              <w:spacing w:before="0" w:after="283"/>
              <w:jc w:val="center"/>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15" w:type="dxa"/>
            <w:tcBorders/>
            <w:shd w:fill="CCCCCC" w:val="clear"/>
            <w:vAlign w:val="center"/>
          </w:tcPr>
          <w:p>
            <w:pPr>
              <w:pStyle w:val="TableContents"/>
              <w:bidi w:val="0"/>
              <w:spacing w:before="0" w:after="283"/>
              <w:jc w:val="center"/>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545" w:type="dxa"/>
            <w:tcBorders/>
            <w:shd w:fill="CCCCCC"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23,056</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635" w:type="dxa"/>
            <w:tcBorders/>
            <w:shd w:fill="CCCCCC" w:val="clear"/>
            <w:vAlign w:val="center"/>
          </w:tcPr>
          <w:p>
            <w:pPr>
              <w:pStyle w:val="TableContents"/>
              <w:bidi w:val="0"/>
              <w:spacing w:before="0" w:after="283"/>
              <w:jc w:val="center"/>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980" w:type="dxa"/>
            <w:tcBorders/>
            <w:shd w:fill="CCCCCC"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23,056</w:t>
            </w:r>
          </w:p>
        </w:tc>
        <w:tc>
          <w:tcPr>
            <w:tcW w:w="215" w:type="dxa"/>
            <w:tcBorders/>
            <w:shd w:fill="CCCCCC" w:val="clear"/>
            <w:vAlign w:val="center"/>
          </w:tcPr>
          <w:p>
            <w:pPr>
              <w:pStyle w:val="TableContents"/>
              <w:bidi w:val="0"/>
              <w:spacing w:before="0" w:after="0"/>
              <w:jc w:val="left"/>
              <w:rPr/>
            </w:pPr>
            <w:r>
              <w:rPr/>
              <w:t> </w:t>
            </w:r>
          </w:p>
        </w:tc>
      </w:tr>
      <w:tr>
        <w:trPr/>
        <w:tc>
          <w:tcPr>
            <w:tcW w:w="185" w:type="dxa"/>
            <w:tcBorders/>
            <w:shd w:fill="CCCCCC" w:val="clear"/>
            <w:vAlign w:val="center"/>
          </w:tcPr>
          <w:p>
            <w:pPr>
              <w:pStyle w:val="TableContents"/>
              <w:bidi w:val="0"/>
              <w:spacing w:before="0" w:after="0"/>
              <w:jc w:val="left"/>
              <w:rPr/>
            </w:pPr>
            <w:r>
              <w:rPr/>
              <w:t> </w:t>
            </w:r>
          </w:p>
        </w:tc>
        <w:tc>
          <w:tcPr>
            <w:tcW w:w="1355"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41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6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15"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545"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635"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980" w:type="dxa"/>
            <w:tcBorders/>
            <w:shd w:fill="CCCCCC" w:val="clear"/>
            <w:vAlign w:val="center"/>
          </w:tcPr>
          <w:p>
            <w:pPr>
              <w:pStyle w:val="TableContents"/>
              <w:bidi w:val="0"/>
              <w:spacing w:before="0" w:after="0"/>
              <w:jc w:val="left"/>
              <w:rPr/>
            </w:pPr>
            <w:r>
              <w:rPr/>
              <w:t> </w:t>
            </w:r>
          </w:p>
        </w:tc>
        <w:tc>
          <w:tcPr>
            <w:tcW w:w="215" w:type="dxa"/>
            <w:tcBorders/>
            <w:shd w:fill="CCCCCC"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(a)</w:t>
            </w:r>
          </w:p>
        </w:tc>
        <w:tc>
          <w:tcPr>
            <w:tcW w:w="9999"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Under our aircraft policy, our CEO has reasonable non-business access to the Company’s leased jet services, subject to prevailing market practices. For our other NEOs, non-business access is subject to approval by our CEO. The incremental cost of personal use of the leased jet services is calculated based on the contracted per hour cost, which includes flight-specific direct operating costs such as standard fuel, maintenance, repairs, catering and miscellaneous fees such as variable fuel surcharge as applicable, and international fees for travel outside the United States. Since the aircraft is leased primarily for business travel, fixed costs are not included. If there are personal use flights for which an NEO does not personally pay the Company’s incremental cost, then the amount paid by the Company is reflected above. Spouses of NEOs are occasionally additional passengers on business flights provided by our leased jet services. In such cases, if there is no incremental cost to the Company, no amount is reflected in the table. No tax gross-ups are provided on personal use of the leased jet.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(b)</w:t>
            </w:r>
          </w:p>
        </w:tc>
        <w:tc>
          <w:tcPr>
            <w:tcW w:w="9983"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For Mr. Ferraro, includes actual costs the Company incurred for financial services provided by Ayco, including tax return preparation, financial planning and estate planning. For Mr. Choi and Mr. Linnen, includes amount paid directly by the Executive for financial services with a third-party provider, with qualified amounts reimbursed by the Company. </w:t>
            </w:r>
          </w:p>
        </w:tc>
      </w:tr>
    </w:tbl>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(c)</w:t>
            </w:r>
          </w:p>
        </w:tc>
        <w:tc>
          <w:tcPr>
            <w:tcW w:w="9981"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Represents the annual lease value of a Company-provided car. NEOs are eligible to participate in the Company’s employee auto insurance program and employee car lease program; however, no amounts are included for these programs as the Company does not incur any associated incremental cost. </w:t>
            </w:r>
          </w:p>
        </w:tc>
      </w:tr>
    </w:tbl>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(d)</w:t>
            </w:r>
          </w:p>
        </w:tc>
        <w:tc>
          <w:tcPr>
            <w:tcW w:w="10002"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Mr. Simhambhatla was eligible for relocation benefits (which include tax reimbursements) under the Company’s standard policies for executives for twelve months following his commencement of employment in July 2022. Because he did not relocate during the 12-month period covered by Company policy, the Company agreed to pay continued commuting expenses (air and ground travel, temporary housing and the car lease referenced in (c) above) but does not provide tax reimbursements on these expenses. For 2023, amounts represent temporary housing ($75,377) and, during the period he was covered by the Company’s relocation policy, related tax reimbursement for six months ($32,473), and commuting expenses (air and ground travel) paid by the Company in the amount of $64,695. For 2024, amounts represent temporary housing ($43,362) and commuting expenses (air and ground travel) paid by the Company in the amount of $63,775. For 2025, the Company transitioned Mr. Simhambhatla’s arrangement mid-year from reimbursements for housing and commuting expenses to a monthly allowance program, with Mr. Simhambhatla then responsible for covering his own expenses related to commuting and housing. Amounts for 2025 represent temporary housing ($36,166) and commuting expenses (air and ground travel) paid by the Company in the amount of $33,546, and monthly allowance payments totaling $50,000. Mr. Cunha was eligible for relocation benefits (which include tax reimbursements) under the Company’s standard policies for executives for twelve months following his commencement of employment in July 2025. Amounts for 2025 consisted of relocation and home purchase support ($91,675) and related tax reimbursement ($35,756).</w:t>
            </w:r>
          </w:p>
        </w:tc>
      </w:tr>
    </w:tbl>
    <w:tbl>
      <w:tblPr>
        <w:tblW w:w="9655" w:type="dxa"/>
        <w:jc w:val="left"/>
        <w:tblInd w:w="0" w:type="dxa"/>
        <w:tblLayout w:type="fixed"/>
        <w:tblCellMar>
          <w:top w:w="0" w:type="dxa"/>
          <w:left w:w="0" w:type="dxa"/>
          <w:bottom w:w="0" w:type="dxa"/>
          <w:right w:w="0" w:type="dxa"/>
        </w:tblCellMar>
      </w:tblPr>
      <w:tblGrid>
        <w:gridCol w:w="260"/>
        <w:gridCol w:w="9395"/>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(e)</w:t>
            </w:r>
          </w:p>
        </w:tc>
        <w:tc>
          <w:tcPr>
            <w:tcW w:w="939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For Messrs. Choi and Linnen, amount includes payments for annual physical examination (annual costs did not exceed $5,512).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35</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6" w:name="ny20066167x1_def14a_107-summary_pg4"/>
        <w:bookmarkEnd w:id="76"/>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000000"/>
          <w:sz w:val="28"/>
        </w:rPr>
      </w:pPr>
      <w:bookmarkStart w:id="77" w:name="t22GPB"/>
      <w:bookmarkEnd w:id="77"/>
      <w:r>
        <w:rPr>
          <w:rFonts w:ascii="Arial;Helvetica;sans-serif" w:hAnsi="Arial;Helvetica;sans-serif"/>
          <w:b/>
          <w:color w:val="000000"/>
          <w:sz w:val="28"/>
        </w:rPr>
        <w:t xml:space="preserve">2025 Grants of Plan-Based Awards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The following table reflects information regarding our annual cash incentive plan and grants of stock awards (RSUs and PSUs) during 2025. We did not grant any stock options during 2025. </w:t>
      </w:r>
    </w:p>
    <w:tbl>
      <w:tblPr>
        <w:tblW w:w="12750" w:type="dxa"/>
        <w:jc w:val="left"/>
        <w:tblInd w:w="0" w:type="dxa"/>
        <w:tblLayout w:type="fixed"/>
        <w:tblCellMar>
          <w:top w:w="0" w:type="dxa"/>
          <w:left w:w="0" w:type="dxa"/>
          <w:bottom w:w="0" w:type="dxa"/>
          <w:right w:w="0" w:type="dxa"/>
        </w:tblCellMar>
      </w:tblPr>
      <w:tblGrid>
        <w:gridCol w:w="185"/>
        <w:gridCol w:w="1295"/>
        <w:gridCol w:w="170"/>
        <w:gridCol w:w="170"/>
        <w:gridCol w:w="755"/>
        <w:gridCol w:w="170"/>
        <w:gridCol w:w="170"/>
        <w:gridCol w:w="770"/>
        <w:gridCol w:w="170"/>
        <w:gridCol w:w="170"/>
        <w:gridCol w:w="860"/>
        <w:gridCol w:w="170"/>
        <w:gridCol w:w="170"/>
        <w:gridCol w:w="770"/>
        <w:gridCol w:w="170"/>
        <w:gridCol w:w="170"/>
        <w:gridCol w:w="815"/>
        <w:gridCol w:w="170"/>
        <w:gridCol w:w="170"/>
        <w:gridCol w:w="860"/>
        <w:gridCol w:w="170"/>
        <w:gridCol w:w="170"/>
        <w:gridCol w:w="560"/>
        <w:gridCol w:w="170"/>
        <w:gridCol w:w="170"/>
        <w:gridCol w:w="815"/>
        <w:gridCol w:w="170"/>
        <w:gridCol w:w="170"/>
        <w:gridCol w:w="680"/>
        <w:gridCol w:w="170"/>
        <w:gridCol w:w="170"/>
        <w:gridCol w:w="770"/>
        <w:gridCol w:w="215"/>
      </w:tblGrid>
      <w:tr>
        <w:trPr/>
        <w:tc>
          <w:tcPr>
            <w:tcW w:w="185" w:type="dxa"/>
            <w:tcBorders/>
            <w:vAlign w:val="center"/>
          </w:tcPr>
          <w:p>
            <w:pPr>
              <w:pStyle w:val="TableContents"/>
              <w:bidi w:val="0"/>
              <w:spacing w:before="0" w:after="0"/>
              <w:jc w:val="left"/>
              <w:rPr/>
            </w:pPr>
            <w:r>
              <w:rPr/>
              <w:t> </w:t>
            </w:r>
          </w:p>
        </w:tc>
        <w:tc>
          <w:tcPr>
            <w:tcW w:w="12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125" w:type="dxa"/>
            <w:gridSpan w:val="7"/>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15" w:type="dxa"/>
            <w:gridSpan w:val="7"/>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1295" w:type="dxa"/>
            <w:vMerge w:val="restart"/>
            <w:tcBorders>
              <w:bottom w:val="single" w:sz="8" w:space="0" w:color="000000"/>
            </w:tcBorders>
            <w:tcMar>
              <w:bottom w:w="33" w:type="dxa"/>
            </w:tcM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Name</w:t>
            </w:r>
          </w:p>
        </w:tc>
        <w:tc>
          <w:tcPr>
            <w:tcW w:w="170"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755" w:type="dxa"/>
            <w:vMerge w:val="restart"/>
            <w:tcBorders>
              <w:bottom w:val="single" w:sz="8" w:space="0" w:color="000000"/>
            </w:tcBorders>
            <w:tcMar>
              <w:bottom w:w="3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Award Type</w:t>
            </w:r>
          </w:p>
        </w:tc>
        <w:tc>
          <w:tcPr>
            <w:tcW w:w="170"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770" w:type="dxa"/>
            <w:vMerge w:val="restart"/>
            <w:tcBorders>
              <w:bottom w:val="single" w:sz="8" w:space="0" w:color="000000"/>
            </w:tcBorders>
            <w:tcMar>
              <w:bottom w:w="3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Grant/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Approval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Date</w:t>
            </w:r>
          </w:p>
        </w:tc>
        <w:tc>
          <w:tcPr>
            <w:tcW w:w="170"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125" w:type="dxa"/>
            <w:gridSpan w:val="7"/>
            <w:tcBorders>
              <w:bottom w:val="single" w:sz="8" w:space="0" w:color="000000"/>
            </w:tcBorders>
            <w:tcMar>
              <w:bottom w:w="3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Estimated Possible Payouts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Under Equity Incentive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Plan Awards</w:t>
            </w:r>
            <w:r>
              <w:rPr>
                <w:rFonts w:ascii="Arial;Helvetica;sans-serif" w:hAnsi="Arial;Helvetica;sans-serif"/>
                <w:b/>
                <w:color w:val="000000"/>
                <w:position w:val="5"/>
                <w:sz w:val="13"/>
                <w:sz w:val="16"/>
              </w:rPr>
              <w:t>(a)</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915" w:type="dxa"/>
            <w:gridSpan w:val="7"/>
            <w:tcBorders>
              <w:bottom w:val="single" w:sz="8" w:space="0" w:color="000000"/>
            </w:tcBorders>
            <w:tcMar>
              <w:bottom w:w="3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Estimated Future Payouts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Under Equity Incentive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Plan Awards</w:t>
            </w:r>
            <w:r>
              <w:rPr>
                <w:rFonts w:ascii="Arial;Helvetica;sans-serif" w:hAnsi="Arial;Helvetica;sans-serif"/>
                <w:b/>
                <w:color w:val="000000"/>
                <w:position w:val="5"/>
                <w:sz w:val="13"/>
                <w:sz w:val="16"/>
              </w:rPr>
              <w:t>(b)</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680" w:type="dxa"/>
            <w:vMerge w:val="restart"/>
            <w:tcBorders>
              <w:bottom w:val="single" w:sz="8" w:space="0" w:color="000000"/>
            </w:tcBorders>
            <w:tcMar>
              <w:bottom w:w="3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All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Other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Stock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Awards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Number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of Shares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of Stock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or Units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(#)(c)</w:t>
            </w:r>
          </w:p>
        </w:tc>
        <w:tc>
          <w:tcPr>
            <w:tcW w:w="170"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170"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770" w:type="dxa"/>
            <w:vMerge w:val="restart"/>
            <w:tcBorders>
              <w:bottom w:val="single" w:sz="8" w:space="0" w:color="000000"/>
            </w:tcBorders>
            <w:tcMar>
              <w:bottom w:w="3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Grant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Date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Fair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Value of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Stock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Awards ($)(d) </w:t>
            </w:r>
          </w:p>
        </w:tc>
        <w:tc>
          <w:tcPr>
            <w:tcW w:w="215" w:type="dxa"/>
            <w:vMerge w:val="restart"/>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vMerge w:val="continue"/>
            <w:tcBorders>
              <w:bottom w:val="single" w:sz="8" w:space="0" w:color="000000"/>
            </w:tcBorders>
            <w:tcMar>
              <w:bottom w:w="28" w:type="dxa"/>
            </w:tcMar>
            <w:vAlign w:val="center"/>
          </w:tcPr>
          <w:p>
            <w:pPr>
              <w:pStyle w:val="Normal"/>
              <w:bidi w:val="0"/>
              <w:jc w:val="left"/>
              <w:rPr/>
            </w:pPr>
            <w:r>
              <w:rPr/>
            </w:r>
          </w:p>
        </w:tc>
        <w:tc>
          <w:tcPr>
            <w:tcW w:w="1295" w:type="dxa"/>
            <w:vMerge w:val="continue"/>
            <w:tcBorders>
              <w:bottom w:val="single" w:sz="8" w:space="0" w:color="000000"/>
            </w:tcBorders>
            <w:tcMar>
              <w:bottom w:w="33" w:type="dxa"/>
            </w:tcMar>
            <w:vAlign w:val="center"/>
          </w:tcPr>
          <w:p>
            <w:pPr>
              <w:pStyle w:val="Normal"/>
              <w:bidi w:val="0"/>
              <w:jc w:val="left"/>
              <w:rPr/>
            </w:pPr>
            <w:r>
              <w:rPr/>
            </w:r>
          </w:p>
        </w:tc>
        <w:tc>
          <w:tcPr>
            <w:tcW w:w="170" w:type="dxa"/>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bottom w:val="single" w:sz="8" w:space="0" w:color="000000"/>
            </w:tcBorders>
            <w:tcMar>
              <w:bottom w:w="28" w:type="dxa"/>
            </w:tcMar>
            <w:vAlign w:val="center"/>
          </w:tcPr>
          <w:p>
            <w:pPr>
              <w:pStyle w:val="Normal"/>
              <w:bidi w:val="0"/>
              <w:jc w:val="left"/>
              <w:rPr/>
            </w:pPr>
            <w:r>
              <w:rPr/>
            </w:r>
          </w:p>
        </w:tc>
        <w:tc>
          <w:tcPr>
            <w:tcW w:w="755" w:type="dxa"/>
            <w:vMerge w:val="continue"/>
            <w:tcBorders>
              <w:bottom w:val="single" w:sz="8" w:space="0" w:color="000000"/>
            </w:tcBorders>
            <w:tcMar>
              <w:bottom w:w="33" w:type="dxa"/>
            </w:tcMar>
            <w:vAlign w:val="center"/>
          </w:tcPr>
          <w:p>
            <w:pPr>
              <w:pStyle w:val="Normal"/>
              <w:bidi w:val="0"/>
              <w:jc w:val="left"/>
              <w:rPr/>
            </w:pPr>
            <w:r>
              <w:rPr/>
            </w:r>
          </w:p>
        </w:tc>
        <w:tc>
          <w:tcPr>
            <w:tcW w:w="170" w:type="dxa"/>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bottom w:val="single" w:sz="8" w:space="0" w:color="000000"/>
            </w:tcBorders>
            <w:tcMar>
              <w:bottom w:w="28" w:type="dxa"/>
            </w:tcMar>
            <w:vAlign w:val="center"/>
          </w:tcPr>
          <w:p>
            <w:pPr>
              <w:pStyle w:val="Normal"/>
              <w:bidi w:val="0"/>
              <w:jc w:val="left"/>
              <w:rPr/>
            </w:pPr>
            <w:r>
              <w:rPr/>
            </w:r>
          </w:p>
        </w:tc>
        <w:tc>
          <w:tcPr>
            <w:tcW w:w="770" w:type="dxa"/>
            <w:vMerge w:val="continue"/>
            <w:tcBorders>
              <w:bottom w:val="single" w:sz="8" w:space="0" w:color="000000"/>
            </w:tcBorders>
            <w:tcMar>
              <w:bottom w:w="33" w:type="dxa"/>
            </w:tcMar>
            <w:vAlign w:val="center"/>
          </w:tcPr>
          <w:p>
            <w:pPr>
              <w:pStyle w:val="Normal"/>
              <w:bidi w:val="0"/>
              <w:jc w:val="left"/>
              <w:rPr/>
            </w:pPr>
            <w:r>
              <w:rPr/>
            </w:r>
          </w:p>
        </w:tc>
        <w:tc>
          <w:tcPr>
            <w:tcW w:w="170" w:type="dxa"/>
            <w:vMerge w:val="continue"/>
            <w:tcBorders>
              <w:bottom w:val="single" w:sz="8" w:space="0" w:color="000000"/>
            </w:tcBorders>
            <w:tcMar>
              <w:bottom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60" w:type="dxa"/>
            <w:tcBorders>
              <w:bottom w:val="single" w:sz="8" w:space="0" w:color="000000"/>
            </w:tcBorders>
            <w:tcMar>
              <w:bottom w:w="3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Threshold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3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Target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15" w:type="dxa"/>
            <w:tcBorders>
              <w:bottom w:val="single" w:sz="8" w:space="0" w:color="000000"/>
            </w:tcBorders>
            <w:tcMar>
              <w:bottom w:w="3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Maximum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60" w:type="dxa"/>
            <w:tcBorders>
              <w:bottom w:val="single" w:sz="8" w:space="0" w:color="000000"/>
            </w:tcBorders>
            <w:tcMar>
              <w:bottom w:w="3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Threshold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60" w:type="dxa"/>
            <w:tcBorders>
              <w:bottom w:val="single" w:sz="8" w:space="0" w:color="000000"/>
            </w:tcBorders>
            <w:tcMar>
              <w:bottom w:w="3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Target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15" w:type="dxa"/>
            <w:tcBorders>
              <w:bottom w:val="single" w:sz="8" w:space="0" w:color="000000"/>
            </w:tcBorders>
            <w:tcMar>
              <w:bottom w:w="3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Maximum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vMerge w:val="continue"/>
            <w:tcBorders>
              <w:bottom w:val="single" w:sz="8" w:space="0" w:color="000000"/>
            </w:tcBorders>
            <w:tcMar>
              <w:bottom w:w="28" w:type="dxa"/>
            </w:tcMar>
            <w:vAlign w:val="center"/>
          </w:tcPr>
          <w:p>
            <w:pPr>
              <w:pStyle w:val="Normal"/>
              <w:bidi w:val="0"/>
              <w:jc w:val="left"/>
              <w:rPr/>
            </w:pPr>
            <w:r>
              <w:rPr/>
            </w:r>
          </w:p>
        </w:tc>
        <w:tc>
          <w:tcPr>
            <w:tcW w:w="680" w:type="dxa"/>
            <w:vMerge w:val="continue"/>
            <w:tcBorders>
              <w:bottom w:val="single" w:sz="8" w:space="0" w:color="000000"/>
            </w:tcBorders>
            <w:tcMar>
              <w:bottom w:w="33" w:type="dxa"/>
            </w:tcMar>
            <w:vAlign w:val="center"/>
          </w:tcPr>
          <w:p>
            <w:pPr>
              <w:pStyle w:val="Normal"/>
              <w:bidi w:val="0"/>
              <w:jc w:val="left"/>
              <w:rPr/>
            </w:pPr>
            <w:r>
              <w:rPr/>
            </w:r>
          </w:p>
        </w:tc>
        <w:tc>
          <w:tcPr>
            <w:tcW w:w="170" w:type="dxa"/>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bottom w:val="single" w:sz="8" w:space="0" w:color="000000"/>
            </w:tcBorders>
            <w:tcMar>
              <w:bottom w:w="28" w:type="dxa"/>
            </w:tcMar>
            <w:vAlign w:val="center"/>
          </w:tcPr>
          <w:p>
            <w:pPr>
              <w:pStyle w:val="Normal"/>
              <w:bidi w:val="0"/>
              <w:jc w:val="left"/>
              <w:rPr/>
            </w:pPr>
            <w:r>
              <w:rPr/>
            </w:r>
          </w:p>
        </w:tc>
        <w:tc>
          <w:tcPr>
            <w:tcW w:w="770" w:type="dxa"/>
            <w:vMerge w:val="continue"/>
            <w:tcBorders>
              <w:bottom w:val="single" w:sz="8" w:space="0" w:color="000000"/>
            </w:tcBorders>
            <w:tcMar>
              <w:bottom w:w="33" w:type="dxa"/>
            </w:tcMar>
            <w:vAlign w:val="center"/>
          </w:tcPr>
          <w:p>
            <w:pPr>
              <w:pStyle w:val="Normal"/>
              <w:bidi w:val="0"/>
              <w:jc w:val="left"/>
              <w:rPr/>
            </w:pPr>
            <w:r>
              <w:rPr/>
            </w:r>
          </w:p>
        </w:tc>
        <w:tc>
          <w:tcPr>
            <w:tcW w:w="215" w:type="dxa"/>
            <w:vMerge w:val="continue"/>
            <w:tcBorders>
              <w:bottom w:val="single" w:sz="8" w:space="0" w:color="000000"/>
            </w:tcBorders>
            <w:tcMar>
              <w:bottom w:w="28" w:type="dxa"/>
            </w:tcMar>
            <w:vAlign w:val="center"/>
          </w:tcPr>
          <w:p>
            <w:pPr>
              <w:pStyle w:val="Normal"/>
              <w:bidi w:val="0"/>
              <w:jc w:val="left"/>
              <w:rPr/>
            </w:pPr>
            <w:r>
              <w:rPr/>
            </w:r>
          </w:p>
        </w:tc>
      </w:tr>
      <w:tr>
        <w:trPr/>
        <w:tc>
          <w:tcPr>
            <w:tcW w:w="185" w:type="dxa"/>
            <w:vMerge w:val="restart"/>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295" w:type="dxa"/>
            <w:vMerge w:val="restart"/>
            <w:tcBorders>
              <w:bottom w:val="single" w:sz="8" w:space="0" w:color="000000"/>
            </w:tcBorders>
            <w:shd w:fill="CCCCCC" w:val="clear"/>
            <w:tcMar>
              <w:bottom w:w="28" w:type="dxa"/>
            </w:tcMar>
            <w:vAlign w:val="center"/>
          </w:tcPr>
          <w:p>
            <w:pPr>
              <w:pStyle w:val="TableContents"/>
              <w:bidi w:val="0"/>
              <w:spacing w:before="0" w:after="283"/>
              <w:ind w:left="30" w:right="0" w:hanging="0"/>
              <w:jc w:val="left"/>
              <w:rPr>
                <w:rFonts w:ascii="Arial;Helvetica;sans-serif" w:hAnsi="Arial;Helvetica;sans-serif"/>
                <w:color w:val="000000"/>
                <w:sz w:val="15"/>
              </w:rPr>
            </w:pPr>
            <w:r>
              <w:rPr>
                <w:rFonts w:ascii="Arial;Helvetica;sans-serif" w:hAnsi="Arial;Helvetica;sans-serif"/>
                <w:color w:val="000000"/>
                <w:sz w:val="15"/>
              </w:rPr>
              <w:t>Mr. Choi</w:t>
            </w:r>
          </w:p>
        </w:tc>
        <w:tc>
          <w:tcPr>
            <w:tcW w:w="170" w:type="dxa"/>
            <w:vMerge w:val="restart"/>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55" w:type="dxa"/>
            <w:tcBorders/>
            <w:shd w:fill="CCCCCC" w:val="cle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Annual Incentive</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283"/>
              <w:ind w:left="13"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60" w:type="dxa"/>
            <w:tcBorders/>
            <w:shd w:fill="CCCCCC" w:val="clear"/>
            <w:vAlign w:val="center"/>
          </w:tcPr>
          <w:p>
            <w:pPr>
              <w:pStyle w:val="TableContents"/>
              <w:bidi w:val="0"/>
              <w:spacing w:before="0" w:after="283"/>
              <w:ind w:left="116" w:right="0" w:hanging="0"/>
              <w:jc w:val="left"/>
              <w:rPr>
                <w:rFonts w:ascii="Arial;Helvetica;sans-serif" w:hAnsi="Arial;Helvetica;sans-serif"/>
                <w:color w:val="000000"/>
                <w:sz w:val="15"/>
              </w:rPr>
            </w:pPr>
            <w:r>
              <w:rPr>
                <w:rFonts w:ascii="Arial;Helvetica;sans-serif" w:hAnsi="Arial;Helvetica;sans-serif"/>
                <w:color w:val="000000"/>
                <w:sz w:val="15"/>
              </w:rPr>
              <w:t>585,938</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1,171,875</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15" w:type="dxa"/>
            <w:tcBorders/>
            <w:shd w:fill="CCCCCC" w:val="clear"/>
            <w:vAlign w:val="center"/>
          </w:tcPr>
          <w:p>
            <w:pPr>
              <w:pStyle w:val="TableContents"/>
              <w:bidi w:val="0"/>
              <w:spacing w:before="0" w:after="283"/>
              <w:ind w:left="35" w:right="0" w:hanging="0"/>
              <w:jc w:val="left"/>
              <w:rPr>
                <w:rFonts w:ascii="Arial;Helvetica;sans-serif" w:hAnsi="Arial;Helvetica;sans-serif"/>
                <w:color w:val="000000"/>
                <w:sz w:val="15"/>
              </w:rPr>
            </w:pPr>
            <w:r>
              <w:rPr>
                <w:rFonts w:ascii="Arial;Helvetica;sans-serif" w:hAnsi="Arial;Helvetica;sans-serif"/>
                <w:color w:val="000000"/>
                <w:sz w:val="15"/>
              </w:rPr>
              <w:t>1,757,813</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60" w:type="dxa"/>
            <w:tcBorders/>
            <w:shd w:fill="CCCCCC" w:val="clear"/>
            <w:vAlign w:val="center"/>
          </w:tcPr>
          <w:p>
            <w:pPr>
              <w:pStyle w:val="TableContents"/>
              <w:bidi w:val="0"/>
              <w:spacing w:before="0" w:after="283"/>
              <w:ind w:left="157"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560" w:type="dxa"/>
            <w:tcBorders/>
            <w:shd w:fill="CCCCCC" w:val="clear"/>
            <w:vAlign w:val="center"/>
          </w:tcPr>
          <w:p>
            <w:pPr>
              <w:pStyle w:val="TableContents"/>
              <w:bidi w:val="0"/>
              <w:spacing w:before="0" w:after="283"/>
              <w:ind w:left="129"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15" w:type="dxa"/>
            <w:tcBorders/>
            <w:shd w:fill="CCCCCC" w:val="clear"/>
            <w:vAlign w:val="center"/>
          </w:tcPr>
          <w:p>
            <w:pPr>
              <w:pStyle w:val="TableContents"/>
              <w:bidi w:val="0"/>
              <w:spacing w:before="0" w:after="283"/>
              <w:ind w:left="140"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680" w:type="dxa"/>
            <w:tcBorders/>
            <w:shd w:fill="CCCCCC" w:val="clear"/>
            <w:vAlign w:val="center"/>
          </w:tcPr>
          <w:p>
            <w:pPr>
              <w:pStyle w:val="TableContents"/>
              <w:bidi w:val="0"/>
              <w:spacing w:before="0" w:after="283"/>
              <w:ind w:left="135"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283"/>
              <w:ind w:left="176" w:right="0" w:hanging="0"/>
              <w:jc w:val="left"/>
              <w:rPr>
                <w:color w:val="000000"/>
              </w:rPr>
            </w:pPr>
            <w:r>
              <w:rPr>
                <w:color w:val="000000"/>
              </w:rPr>
              <w:t xml:space="preserve">— </w:t>
            </w:r>
          </w:p>
        </w:tc>
        <w:tc>
          <w:tcPr>
            <w:tcW w:w="215" w:type="dxa"/>
            <w:tcBorders/>
            <w:shd w:fill="CCCCCC" w:val="clear"/>
            <w:vAlign w:val="center"/>
          </w:tcPr>
          <w:p>
            <w:pPr>
              <w:pStyle w:val="TableContents"/>
              <w:bidi w:val="0"/>
              <w:spacing w:before="0" w:after="0"/>
              <w:jc w:val="left"/>
              <w:rPr/>
            </w:pPr>
            <w:r>
              <w:rPr/>
              <w:t> </w:t>
            </w:r>
          </w:p>
        </w:tc>
      </w:tr>
      <w:tr>
        <w:trPr/>
        <w:tc>
          <w:tcPr>
            <w:tcW w:w="185" w:type="dxa"/>
            <w:vMerge w:val="continue"/>
            <w:tcBorders>
              <w:bottom w:val="single" w:sz="8" w:space="0" w:color="000000"/>
            </w:tcBorders>
            <w:shd w:fill="CCCCCC" w:val="clear"/>
            <w:tcMar>
              <w:bottom w:w="28" w:type="dxa"/>
            </w:tcMar>
            <w:vAlign w:val="center"/>
          </w:tcPr>
          <w:p>
            <w:pPr>
              <w:pStyle w:val="Normal"/>
              <w:bidi w:val="0"/>
              <w:jc w:val="left"/>
              <w:rPr/>
            </w:pPr>
            <w:r>
              <w:rPr/>
            </w:r>
          </w:p>
        </w:tc>
        <w:tc>
          <w:tcPr>
            <w:tcW w:w="1295" w:type="dxa"/>
            <w:vMerge w:val="continue"/>
            <w:tcBorders>
              <w:bottom w:val="single" w:sz="8" w:space="0" w:color="000000"/>
            </w:tcBorders>
            <w:shd w:fill="CCCCCC" w:val="clear"/>
            <w:tcMar>
              <w:bottom w:w="28" w:type="dxa"/>
            </w:tcMar>
            <w:vAlign w:val="center"/>
          </w:tcPr>
          <w:p>
            <w:pPr>
              <w:pStyle w:val="Normal"/>
              <w:bidi w:val="0"/>
              <w:jc w:val="left"/>
              <w:rPr/>
            </w:pPr>
            <w:r>
              <w:rPr/>
            </w:r>
          </w:p>
        </w:tc>
        <w:tc>
          <w:tcPr>
            <w:tcW w:w="170" w:type="dxa"/>
            <w:vMerge w:val="continue"/>
            <w:tcBorders>
              <w:bottom w:val="single" w:sz="8" w:space="0" w:color="000000"/>
            </w:tcBorders>
            <w:shd w:fill="CCCCCC" w:val="clear"/>
            <w:tcMar>
              <w:bottom w:w="28" w:type="dxa"/>
            </w:tcMar>
            <w:vAlign w:val="center"/>
          </w:tcPr>
          <w:p>
            <w:pPr>
              <w:pStyle w:val="Normal"/>
              <w:bidi w:val="0"/>
              <w:jc w:val="left"/>
              <w:rPr/>
            </w:pPr>
            <w:r>
              <w:rPr/>
            </w:r>
          </w:p>
        </w:tc>
        <w:tc>
          <w:tcPr>
            <w:tcW w:w="170" w:type="dxa"/>
            <w:tcBorders/>
            <w:shd w:fill="CCCCCC" w:val="clear"/>
            <w:vAlign w:val="center"/>
          </w:tcPr>
          <w:p>
            <w:pPr>
              <w:pStyle w:val="TableContents"/>
              <w:bidi w:val="0"/>
              <w:spacing w:before="0" w:after="0"/>
              <w:jc w:val="left"/>
              <w:rPr/>
            </w:pPr>
            <w:r>
              <w:rPr/>
              <w:t> </w:t>
            </w:r>
          </w:p>
        </w:tc>
        <w:tc>
          <w:tcPr>
            <w:tcW w:w="755" w:type="dxa"/>
            <w:tcBorders/>
            <w:shd w:fill="CCCCCC" w:val="cle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RSU</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283"/>
              <w:ind w:left="13" w:right="0" w:hanging="0"/>
              <w:jc w:val="left"/>
              <w:rPr>
                <w:rFonts w:ascii="Arial;Helvetica;sans-serif" w:hAnsi="Arial;Helvetica;sans-serif"/>
                <w:color w:val="000000"/>
                <w:sz w:val="15"/>
              </w:rPr>
            </w:pPr>
            <w:r>
              <w:rPr>
                <w:rFonts w:ascii="Arial;Helvetica;sans-serif" w:hAnsi="Arial;Helvetica;sans-serif"/>
                <w:color w:val="000000"/>
                <w:sz w:val="15"/>
              </w:rPr>
              <w:t>3/12/2025</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60" w:type="dxa"/>
            <w:tcBorders/>
            <w:shd w:fill="CCCCCC" w:val="clear"/>
            <w:vAlign w:val="center"/>
          </w:tcPr>
          <w:p>
            <w:pPr>
              <w:pStyle w:val="TableContents"/>
              <w:bidi w:val="0"/>
              <w:spacing w:before="0" w:after="283"/>
              <w:ind w:left="116"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15" w:type="dxa"/>
            <w:tcBorders/>
            <w:shd w:fill="CCCCCC" w:val="clear"/>
            <w:vAlign w:val="center"/>
          </w:tcPr>
          <w:p>
            <w:pPr>
              <w:pStyle w:val="TableContents"/>
              <w:bidi w:val="0"/>
              <w:spacing w:before="0" w:after="283"/>
              <w:ind w:left="35"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60" w:type="dxa"/>
            <w:tcBorders/>
            <w:shd w:fill="CCCCCC" w:val="clear"/>
            <w:vAlign w:val="center"/>
          </w:tcPr>
          <w:p>
            <w:pPr>
              <w:pStyle w:val="TableContents"/>
              <w:bidi w:val="0"/>
              <w:spacing w:before="0" w:after="283"/>
              <w:ind w:left="157"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560" w:type="dxa"/>
            <w:tcBorders/>
            <w:shd w:fill="CCCCCC" w:val="clear"/>
            <w:vAlign w:val="center"/>
          </w:tcPr>
          <w:p>
            <w:pPr>
              <w:pStyle w:val="TableContents"/>
              <w:bidi w:val="0"/>
              <w:spacing w:before="0" w:after="283"/>
              <w:ind w:left="129"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15" w:type="dxa"/>
            <w:tcBorders/>
            <w:shd w:fill="CCCCCC" w:val="clear"/>
            <w:vAlign w:val="center"/>
          </w:tcPr>
          <w:p>
            <w:pPr>
              <w:pStyle w:val="TableContents"/>
              <w:bidi w:val="0"/>
              <w:spacing w:before="0" w:after="283"/>
              <w:ind w:left="140"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680" w:type="dxa"/>
            <w:tcBorders/>
            <w:shd w:fill="CCCCCC" w:val="clear"/>
            <w:vAlign w:val="center"/>
          </w:tcPr>
          <w:p>
            <w:pPr>
              <w:pStyle w:val="TableContents"/>
              <w:bidi w:val="0"/>
              <w:spacing w:before="0" w:after="283"/>
              <w:ind w:left="135" w:right="0" w:hanging="0"/>
              <w:jc w:val="left"/>
              <w:rPr>
                <w:rFonts w:ascii="Arial;Helvetica;sans-serif" w:hAnsi="Arial;Helvetica;sans-serif"/>
                <w:color w:val="000000"/>
                <w:sz w:val="15"/>
              </w:rPr>
            </w:pPr>
            <w:r>
              <w:rPr>
                <w:rFonts w:ascii="Arial;Helvetica;sans-serif" w:hAnsi="Arial;Helvetica;sans-serif"/>
                <w:color w:val="000000"/>
                <w:sz w:val="15"/>
              </w:rPr>
              <w:t>29,933</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283"/>
              <w:ind w:left="176" w:right="0" w:hanging="0"/>
              <w:jc w:val="left"/>
              <w:rPr>
                <w:rFonts w:ascii="Arial;Helvetica;sans-serif" w:hAnsi="Arial;Helvetica;sans-serif"/>
                <w:color w:val="000000"/>
                <w:sz w:val="15"/>
              </w:rPr>
            </w:pPr>
            <w:r>
              <w:rPr>
                <w:rFonts w:ascii="Arial;Helvetica;sans-serif" w:hAnsi="Arial;Helvetica;sans-serif"/>
                <w:color w:val="000000"/>
                <w:sz w:val="15"/>
              </w:rPr>
              <w:t xml:space="preserve">1,875,003 </w:t>
            </w:r>
          </w:p>
        </w:tc>
        <w:tc>
          <w:tcPr>
            <w:tcW w:w="215" w:type="dxa"/>
            <w:tcBorders/>
            <w:shd w:fill="CCCCCC" w:val="clear"/>
            <w:vAlign w:val="center"/>
          </w:tcPr>
          <w:p>
            <w:pPr>
              <w:pStyle w:val="TableContents"/>
              <w:bidi w:val="0"/>
              <w:spacing w:before="0" w:after="0"/>
              <w:jc w:val="left"/>
              <w:rPr/>
            </w:pPr>
            <w:r>
              <w:rPr/>
              <w:t> </w:t>
            </w:r>
          </w:p>
        </w:tc>
      </w:tr>
      <w:tr>
        <w:trPr/>
        <w:tc>
          <w:tcPr>
            <w:tcW w:w="185" w:type="dxa"/>
            <w:vMerge w:val="continue"/>
            <w:tcBorders>
              <w:bottom w:val="single" w:sz="8" w:space="0" w:color="000000"/>
            </w:tcBorders>
            <w:shd w:fill="CCCCCC" w:val="clear"/>
            <w:tcMar>
              <w:bottom w:w="28" w:type="dxa"/>
            </w:tcMar>
            <w:vAlign w:val="center"/>
          </w:tcPr>
          <w:p>
            <w:pPr>
              <w:pStyle w:val="Normal"/>
              <w:bidi w:val="0"/>
              <w:jc w:val="left"/>
              <w:rPr/>
            </w:pPr>
            <w:r>
              <w:rPr/>
            </w:r>
          </w:p>
        </w:tc>
        <w:tc>
          <w:tcPr>
            <w:tcW w:w="1295" w:type="dxa"/>
            <w:vMerge w:val="continue"/>
            <w:tcBorders>
              <w:bottom w:val="single" w:sz="8" w:space="0" w:color="000000"/>
            </w:tcBorders>
            <w:shd w:fill="CCCCCC" w:val="clear"/>
            <w:tcMar>
              <w:bottom w:w="28" w:type="dxa"/>
            </w:tcMar>
            <w:vAlign w:val="center"/>
          </w:tcPr>
          <w:p>
            <w:pPr>
              <w:pStyle w:val="Normal"/>
              <w:bidi w:val="0"/>
              <w:jc w:val="left"/>
              <w:rPr/>
            </w:pPr>
            <w:r>
              <w:rPr/>
            </w:r>
          </w:p>
        </w:tc>
        <w:tc>
          <w:tcPr>
            <w:tcW w:w="170" w:type="dxa"/>
            <w:vMerge w:val="continue"/>
            <w:tcBorders>
              <w:bottom w:val="single" w:sz="8" w:space="0" w:color="000000"/>
            </w:tcBorders>
            <w:shd w:fill="CCCCCC" w:val="clear"/>
            <w:tcMar>
              <w:bottom w:w="28" w:type="dxa"/>
            </w:tcMar>
            <w:vAlign w:val="center"/>
          </w:tcPr>
          <w:p>
            <w:pPr>
              <w:pStyle w:val="Normal"/>
              <w:bidi w:val="0"/>
              <w:jc w:val="left"/>
              <w:rPr/>
            </w:pPr>
            <w:r>
              <w:rPr/>
            </w:r>
          </w:p>
        </w:tc>
        <w:tc>
          <w:tcPr>
            <w:tcW w:w="170" w:type="dxa"/>
            <w:tcBorders/>
            <w:shd w:fill="CCCCCC" w:val="clear"/>
            <w:vAlign w:val="center"/>
          </w:tcPr>
          <w:p>
            <w:pPr>
              <w:pStyle w:val="TableContents"/>
              <w:bidi w:val="0"/>
              <w:spacing w:before="0" w:after="0"/>
              <w:jc w:val="left"/>
              <w:rPr/>
            </w:pPr>
            <w:r>
              <w:rPr/>
              <w:t> </w:t>
            </w:r>
          </w:p>
        </w:tc>
        <w:tc>
          <w:tcPr>
            <w:tcW w:w="755" w:type="dxa"/>
            <w:tcBorders/>
            <w:shd w:fill="CCCCCC" w:val="cle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PSU – Tranche A</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283"/>
              <w:ind w:left="13" w:right="0" w:hanging="0"/>
              <w:jc w:val="left"/>
              <w:rPr>
                <w:rFonts w:ascii="Arial;Helvetica;sans-serif" w:hAnsi="Arial;Helvetica;sans-serif"/>
                <w:color w:val="000000"/>
                <w:sz w:val="15"/>
              </w:rPr>
            </w:pPr>
            <w:r>
              <w:rPr>
                <w:rFonts w:ascii="Arial;Helvetica;sans-serif" w:hAnsi="Arial;Helvetica;sans-serif"/>
                <w:color w:val="000000"/>
                <w:sz w:val="15"/>
              </w:rPr>
              <w:t>3/12/2025</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60" w:type="dxa"/>
            <w:tcBorders/>
            <w:shd w:fill="CCCCCC" w:val="clear"/>
            <w:vAlign w:val="center"/>
          </w:tcPr>
          <w:p>
            <w:pPr>
              <w:pStyle w:val="TableContents"/>
              <w:bidi w:val="0"/>
              <w:spacing w:before="0" w:after="283"/>
              <w:ind w:left="116"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15" w:type="dxa"/>
            <w:tcBorders/>
            <w:shd w:fill="CCCCCC" w:val="clear"/>
            <w:vAlign w:val="center"/>
          </w:tcPr>
          <w:p>
            <w:pPr>
              <w:pStyle w:val="TableContents"/>
              <w:bidi w:val="0"/>
              <w:spacing w:before="0" w:after="283"/>
              <w:ind w:left="35"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60" w:type="dxa"/>
            <w:tcBorders/>
            <w:shd w:fill="CCCCCC" w:val="clear"/>
            <w:vAlign w:val="center"/>
          </w:tcPr>
          <w:p>
            <w:pPr>
              <w:pStyle w:val="TableContents"/>
              <w:bidi w:val="0"/>
              <w:spacing w:before="0" w:after="283"/>
              <w:ind w:left="157" w:right="0" w:hanging="0"/>
              <w:jc w:val="left"/>
              <w:rPr>
                <w:rFonts w:ascii="Arial;Helvetica;sans-serif" w:hAnsi="Arial;Helvetica;sans-serif"/>
                <w:color w:val="000000"/>
                <w:sz w:val="15"/>
              </w:rPr>
            </w:pPr>
            <w:r>
              <w:rPr>
                <w:rFonts w:ascii="Arial;Helvetica;sans-serif" w:hAnsi="Arial;Helvetica;sans-serif"/>
                <w:color w:val="000000"/>
                <w:sz w:val="15"/>
              </w:rPr>
              <w:t>14,967</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560" w:type="dxa"/>
            <w:tcBorders/>
            <w:shd w:fill="CCCCCC" w:val="clear"/>
            <w:vAlign w:val="center"/>
          </w:tcPr>
          <w:p>
            <w:pPr>
              <w:pStyle w:val="TableContents"/>
              <w:bidi w:val="0"/>
              <w:spacing w:before="0" w:after="283"/>
              <w:ind w:left="129" w:right="0" w:hanging="0"/>
              <w:jc w:val="left"/>
              <w:rPr>
                <w:rFonts w:ascii="Arial;Helvetica;sans-serif" w:hAnsi="Arial;Helvetica;sans-serif"/>
                <w:color w:val="000000"/>
                <w:sz w:val="15"/>
              </w:rPr>
            </w:pPr>
            <w:r>
              <w:rPr>
                <w:rFonts w:ascii="Arial;Helvetica;sans-serif" w:hAnsi="Arial;Helvetica;sans-serif"/>
                <w:color w:val="000000"/>
                <w:sz w:val="15"/>
              </w:rPr>
              <w:t>29,933</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15" w:type="dxa"/>
            <w:tcBorders/>
            <w:shd w:fill="CCCCCC" w:val="clear"/>
            <w:vAlign w:val="center"/>
          </w:tcPr>
          <w:p>
            <w:pPr>
              <w:pStyle w:val="TableContents"/>
              <w:bidi w:val="0"/>
              <w:spacing w:before="0" w:after="283"/>
              <w:ind w:left="140" w:right="0" w:hanging="0"/>
              <w:jc w:val="left"/>
              <w:rPr>
                <w:rFonts w:ascii="Arial;Helvetica;sans-serif" w:hAnsi="Arial;Helvetica;sans-serif"/>
                <w:color w:val="000000"/>
                <w:sz w:val="15"/>
              </w:rPr>
            </w:pPr>
            <w:r>
              <w:rPr>
                <w:rFonts w:ascii="Arial;Helvetica;sans-serif" w:hAnsi="Arial;Helvetica;sans-serif"/>
                <w:color w:val="000000"/>
                <w:sz w:val="15"/>
              </w:rPr>
              <w:t>44,900</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680" w:type="dxa"/>
            <w:tcBorders/>
            <w:shd w:fill="CCCCCC" w:val="clear"/>
            <w:vAlign w:val="center"/>
          </w:tcPr>
          <w:p>
            <w:pPr>
              <w:pStyle w:val="TableContents"/>
              <w:bidi w:val="0"/>
              <w:spacing w:before="0" w:after="283"/>
              <w:ind w:left="135"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283"/>
              <w:ind w:left="176" w:right="0" w:hanging="0"/>
              <w:jc w:val="left"/>
              <w:rPr>
                <w:rFonts w:ascii="Arial;Helvetica;sans-serif" w:hAnsi="Arial;Helvetica;sans-serif"/>
                <w:color w:val="000000"/>
                <w:sz w:val="15"/>
              </w:rPr>
            </w:pPr>
            <w:r>
              <w:rPr>
                <w:rFonts w:ascii="Arial;Helvetica;sans-serif" w:hAnsi="Arial;Helvetica;sans-serif"/>
                <w:color w:val="000000"/>
                <w:sz w:val="15"/>
              </w:rPr>
              <w:t xml:space="preserve">1,875,003 </w:t>
            </w:r>
          </w:p>
        </w:tc>
        <w:tc>
          <w:tcPr>
            <w:tcW w:w="215" w:type="dxa"/>
            <w:tcBorders/>
            <w:shd w:fill="CCCCCC" w:val="clear"/>
            <w:vAlign w:val="center"/>
          </w:tcPr>
          <w:p>
            <w:pPr>
              <w:pStyle w:val="TableContents"/>
              <w:bidi w:val="0"/>
              <w:spacing w:before="0" w:after="0"/>
              <w:jc w:val="left"/>
              <w:rPr/>
            </w:pPr>
            <w:r>
              <w:rPr/>
              <w:t> </w:t>
            </w:r>
          </w:p>
        </w:tc>
      </w:tr>
      <w:tr>
        <w:trPr/>
        <w:tc>
          <w:tcPr>
            <w:tcW w:w="185" w:type="dxa"/>
            <w:vMerge w:val="continue"/>
            <w:tcBorders>
              <w:bottom w:val="single" w:sz="8" w:space="0" w:color="000000"/>
            </w:tcBorders>
            <w:shd w:fill="CCCCCC" w:val="clear"/>
            <w:tcMar>
              <w:bottom w:w="28" w:type="dxa"/>
            </w:tcMar>
            <w:vAlign w:val="center"/>
          </w:tcPr>
          <w:p>
            <w:pPr>
              <w:pStyle w:val="Normal"/>
              <w:bidi w:val="0"/>
              <w:jc w:val="left"/>
              <w:rPr/>
            </w:pPr>
            <w:r>
              <w:rPr/>
            </w:r>
          </w:p>
        </w:tc>
        <w:tc>
          <w:tcPr>
            <w:tcW w:w="1295" w:type="dxa"/>
            <w:vMerge w:val="continue"/>
            <w:tcBorders>
              <w:bottom w:val="single" w:sz="8" w:space="0" w:color="000000"/>
            </w:tcBorders>
            <w:shd w:fill="CCCCCC" w:val="clear"/>
            <w:tcMar>
              <w:bottom w:w="28" w:type="dxa"/>
            </w:tcMar>
            <w:vAlign w:val="center"/>
          </w:tcPr>
          <w:p>
            <w:pPr>
              <w:pStyle w:val="Normal"/>
              <w:bidi w:val="0"/>
              <w:jc w:val="left"/>
              <w:rPr/>
            </w:pPr>
            <w:r>
              <w:rPr/>
            </w:r>
          </w:p>
        </w:tc>
        <w:tc>
          <w:tcPr>
            <w:tcW w:w="170" w:type="dxa"/>
            <w:vMerge w:val="continue"/>
            <w:tcBorders>
              <w:bottom w:val="single" w:sz="8" w:space="0" w:color="000000"/>
            </w:tcBorders>
            <w:shd w:fill="CCCCCC" w:val="clear"/>
            <w:tcMar>
              <w:bottom w:w="28" w:type="dxa"/>
            </w:tcMar>
            <w:vAlign w:val="center"/>
          </w:tcPr>
          <w:p>
            <w:pPr>
              <w:pStyle w:val="Normal"/>
              <w:bidi w:val="0"/>
              <w:jc w:val="left"/>
              <w:rPr/>
            </w:pPr>
            <w:r>
              <w:rPr/>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CCCCCC" w:val="clear"/>
            <w:tcMar>
              <w:bottom w:w="28"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PSU – Tranche B</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770" w:type="dxa"/>
            <w:tcBorders>
              <w:bottom w:val="single" w:sz="8" w:space="0" w:color="000000"/>
            </w:tcBorders>
            <w:shd w:fill="CCCCCC" w:val="clear"/>
            <w:tcMar>
              <w:bottom w:w="28" w:type="dxa"/>
            </w:tcMar>
            <w:vAlign w:val="center"/>
          </w:tcPr>
          <w:p>
            <w:pPr>
              <w:pStyle w:val="TableContents"/>
              <w:bidi w:val="0"/>
              <w:spacing w:before="0" w:after="283"/>
              <w:ind w:left="13" w:right="0" w:hanging="0"/>
              <w:jc w:val="left"/>
              <w:rPr>
                <w:rFonts w:ascii="Arial;Helvetica;sans-serif" w:hAnsi="Arial;Helvetica;sans-serif"/>
                <w:color w:val="000000"/>
                <w:sz w:val="15"/>
              </w:rPr>
            </w:pPr>
            <w:r>
              <w:rPr>
                <w:rFonts w:ascii="Arial;Helvetica;sans-serif" w:hAnsi="Arial;Helvetica;sans-serif"/>
                <w:color w:val="000000"/>
                <w:sz w:val="15"/>
              </w:rPr>
              <w:t>3/12/2025</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860" w:type="dxa"/>
            <w:tcBorders>
              <w:bottom w:val="single" w:sz="8" w:space="0" w:color="000000"/>
            </w:tcBorders>
            <w:shd w:fill="CCCCCC" w:val="clear"/>
            <w:tcMar>
              <w:bottom w:w="28" w:type="dxa"/>
            </w:tcMar>
            <w:vAlign w:val="center"/>
          </w:tcPr>
          <w:p>
            <w:pPr>
              <w:pStyle w:val="TableContents"/>
              <w:bidi w:val="0"/>
              <w:spacing w:before="0" w:after="283"/>
              <w:ind w:left="116" w:right="0" w:hanging="0"/>
              <w:jc w:val="left"/>
              <w:rPr>
                <w:color w:val="000000"/>
              </w:rPr>
            </w:pPr>
            <w:r>
              <w:rPr>
                <w:color w:val="000000"/>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770" w:type="dxa"/>
            <w:tcBorders>
              <w:bottom w:val="single" w:sz="8" w:space="0" w:color="000000"/>
            </w:tcBorders>
            <w:shd w:fill="CCCCCC" w:val="clear"/>
            <w:tcMar>
              <w:bottom w:w="2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815" w:type="dxa"/>
            <w:tcBorders>
              <w:bottom w:val="single" w:sz="8" w:space="0" w:color="000000"/>
            </w:tcBorders>
            <w:shd w:fill="CCCCCC" w:val="clear"/>
            <w:tcMar>
              <w:bottom w:w="28" w:type="dxa"/>
            </w:tcMar>
            <w:vAlign w:val="center"/>
          </w:tcPr>
          <w:p>
            <w:pPr>
              <w:pStyle w:val="TableContents"/>
              <w:bidi w:val="0"/>
              <w:spacing w:before="0" w:after="283"/>
              <w:ind w:left="35" w:right="0" w:hanging="0"/>
              <w:jc w:val="left"/>
              <w:rPr>
                <w:color w:val="000000"/>
              </w:rPr>
            </w:pPr>
            <w:r>
              <w:rPr>
                <w:color w:val="000000"/>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860" w:type="dxa"/>
            <w:tcBorders>
              <w:bottom w:val="single" w:sz="8" w:space="0" w:color="000000"/>
            </w:tcBorders>
            <w:shd w:fill="CCCCCC" w:val="clear"/>
            <w:tcMar>
              <w:bottom w:w="28" w:type="dxa"/>
            </w:tcMar>
            <w:vAlign w:val="center"/>
          </w:tcPr>
          <w:p>
            <w:pPr>
              <w:pStyle w:val="TableContents"/>
              <w:bidi w:val="0"/>
              <w:spacing w:before="0" w:after="283"/>
              <w:ind w:left="157" w:right="0" w:hanging="0"/>
              <w:jc w:val="left"/>
              <w:rPr>
                <w:rFonts w:ascii="Arial;Helvetica;sans-serif" w:hAnsi="Arial;Helvetica;sans-serif"/>
                <w:color w:val="000000"/>
                <w:sz w:val="15"/>
              </w:rPr>
            </w:pPr>
            <w:r>
              <w:rPr>
                <w:rFonts w:ascii="Arial;Helvetica;sans-serif" w:hAnsi="Arial;Helvetica;sans-serif"/>
                <w:color w:val="000000"/>
                <w:sz w:val="15"/>
              </w:rPr>
              <w:t>4,271</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560" w:type="dxa"/>
            <w:tcBorders>
              <w:bottom w:val="single" w:sz="8" w:space="0" w:color="000000"/>
            </w:tcBorders>
            <w:shd w:fill="CCCCCC" w:val="clear"/>
            <w:tcMar>
              <w:bottom w:w="28" w:type="dxa"/>
            </w:tcMar>
            <w:vAlign w:val="center"/>
          </w:tcPr>
          <w:p>
            <w:pPr>
              <w:pStyle w:val="TableContents"/>
              <w:bidi w:val="0"/>
              <w:spacing w:before="0" w:after="283"/>
              <w:ind w:left="129" w:right="0" w:hanging="0"/>
              <w:jc w:val="left"/>
              <w:rPr>
                <w:rFonts w:ascii="Arial;Helvetica;sans-serif" w:hAnsi="Arial;Helvetica;sans-serif"/>
                <w:color w:val="000000"/>
                <w:sz w:val="15"/>
              </w:rPr>
            </w:pPr>
            <w:r>
              <w:rPr>
                <w:rFonts w:ascii="Arial;Helvetica;sans-serif" w:hAnsi="Arial;Helvetica;sans-serif"/>
                <w:color w:val="000000"/>
                <w:sz w:val="15"/>
              </w:rPr>
              <w:t>8,541</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815" w:type="dxa"/>
            <w:tcBorders>
              <w:bottom w:val="single" w:sz="8" w:space="0" w:color="000000"/>
            </w:tcBorders>
            <w:shd w:fill="CCCCCC" w:val="clear"/>
            <w:tcMar>
              <w:bottom w:w="28" w:type="dxa"/>
            </w:tcMar>
            <w:vAlign w:val="center"/>
          </w:tcPr>
          <w:p>
            <w:pPr>
              <w:pStyle w:val="TableContents"/>
              <w:bidi w:val="0"/>
              <w:spacing w:before="0" w:after="283"/>
              <w:ind w:left="140" w:right="0" w:hanging="0"/>
              <w:jc w:val="left"/>
              <w:rPr>
                <w:rFonts w:ascii="Arial;Helvetica;sans-serif" w:hAnsi="Arial;Helvetica;sans-serif"/>
                <w:color w:val="000000"/>
                <w:sz w:val="15"/>
              </w:rPr>
            </w:pPr>
            <w:r>
              <w:rPr>
                <w:rFonts w:ascii="Arial;Helvetica;sans-serif" w:hAnsi="Arial;Helvetica;sans-serif"/>
                <w:color w:val="000000"/>
                <w:sz w:val="15"/>
              </w:rPr>
              <w:t>8,541</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680" w:type="dxa"/>
            <w:tcBorders>
              <w:bottom w:val="single" w:sz="8" w:space="0" w:color="000000"/>
            </w:tcBorders>
            <w:shd w:fill="CCCCCC" w:val="clear"/>
            <w:tcMar>
              <w:bottom w:w="28" w:type="dxa"/>
            </w:tcMar>
            <w:vAlign w:val="center"/>
          </w:tcPr>
          <w:p>
            <w:pPr>
              <w:pStyle w:val="TableContents"/>
              <w:bidi w:val="0"/>
              <w:spacing w:before="0" w:after="283"/>
              <w:ind w:left="135" w:right="0" w:hanging="0"/>
              <w:jc w:val="left"/>
              <w:rPr>
                <w:color w:val="000000"/>
              </w:rPr>
            </w:pPr>
            <w:r>
              <w:rPr>
                <w:color w:val="000000"/>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770" w:type="dxa"/>
            <w:tcBorders>
              <w:bottom w:val="single" w:sz="8" w:space="0" w:color="000000"/>
            </w:tcBorders>
            <w:shd w:fill="CCCCCC" w:val="clear"/>
            <w:tcMar>
              <w:bottom w:w="28" w:type="dxa"/>
            </w:tcMar>
            <w:vAlign w:val="center"/>
          </w:tcPr>
          <w:p>
            <w:pPr>
              <w:pStyle w:val="TableContents"/>
              <w:bidi w:val="0"/>
              <w:spacing w:before="0" w:after="283"/>
              <w:ind w:left="176" w:right="0" w:hanging="0"/>
              <w:jc w:val="left"/>
              <w:rPr>
                <w:rFonts w:ascii="Arial;Helvetica;sans-serif" w:hAnsi="Arial;Helvetica;sans-serif"/>
                <w:color w:val="000000"/>
                <w:sz w:val="15"/>
              </w:rPr>
            </w:pPr>
            <w:r>
              <w:rPr>
                <w:rFonts w:ascii="Arial;Helvetica;sans-serif" w:hAnsi="Arial;Helvetica;sans-serif"/>
                <w:color w:val="000000"/>
                <w:sz w:val="15"/>
              </w:rPr>
              <w:t xml:space="preserve">535,008 </w:t>
            </w:r>
          </w:p>
        </w:tc>
        <w:tc>
          <w:tcPr>
            <w:tcW w:w="21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1295" w:type="dxa"/>
            <w:vMerge w:val="restart"/>
            <w:tcBorders>
              <w:bottom w:val="single" w:sz="8" w:space="0" w:color="000000"/>
            </w:tcBorders>
            <w:tcMar>
              <w:bottom w:w="28" w:type="dxa"/>
            </w:tcMar>
            <w:vAlign w:val="center"/>
          </w:tcPr>
          <w:p>
            <w:pPr>
              <w:pStyle w:val="TableContents"/>
              <w:bidi w:val="0"/>
              <w:spacing w:before="0" w:after="283"/>
              <w:ind w:left="30" w:right="0" w:hanging="0"/>
              <w:jc w:val="left"/>
              <w:rPr>
                <w:rFonts w:ascii="Arial;Helvetica;sans-serif" w:hAnsi="Arial;Helvetica;sans-serif"/>
                <w:color w:val="000000"/>
                <w:sz w:val="15"/>
              </w:rPr>
            </w:pPr>
            <w:r>
              <w:rPr>
                <w:rFonts w:ascii="Arial;Helvetica;sans-serif" w:hAnsi="Arial;Helvetica;sans-serif"/>
                <w:color w:val="000000"/>
                <w:sz w:val="15"/>
              </w:rPr>
              <w:t>Mr. Cunha</w:t>
            </w:r>
          </w:p>
        </w:tc>
        <w:tc>
          <w:tcPr>
            <w:tcW w:w="170"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Annual Incentive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16" w:right="0" w:hanging="0"/>
              <w:jc w:val="left"/>
              <w:rPr>
                <w:rFonts w:ascii="Arial;Helvetica;sans-serif" w:hAnsi="Arial;Helvetica;sans-serif"/>
                <w:color w:val="000000"/>
                <w:sz w:val="15"/>
              </w:rPr>
            </w:pPr>
            <w:r>
              <w:rPr>
                <w:rFonts w:ascii="Arial;Helvetica;sans-serif" w:hAnsi="Arial;Helvetica;sans-serif"/>
                <w:color w:val="000000"/>
                <w:sz w:val="15"/>
              </w:rPr>
              <w:t>204,795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409,589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35" w:right="0" w:hanging="0"/>
              <w:jc w:val="left"/>
              <w:rPr>
                <w:rFonts w:ascii="Arial;Helvetica;sans-serif" w:hAnsi="Arial;Helvetica;sans-serif"/>
                <w:color w:val="000000"/>
                <w:sz w:val="15"/>
              </w:rPr>
            </w:pPr>
            <w:r>
              <w:rPr>
                <w:rFonts w:ascii="Arial;Helvetica;sans-serif" w:hAnsi="Arial;Helvetica;sans-serif"/>
                <w:color w:val="000000"/>
                <w:sz w:val="15"/>
              </w:rPr>
              <w:t>614,384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5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12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4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35"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76"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000000"/>
            </w:tcBorders>
            <w:tcMar>
              <w:bottom w:w="28" w:type="dxa"/>
            </w:tcMar>
            <w:vAlign w:val="center"/>
          </w:tcPr>
          <w:p>
            <w:pPr>
              <w:pStyle w:val="Normal"/>
              <w:bidi w:val="0"/>
              <w:jc w:val="left"/>
              <w:rPr/>
            </w:pPr>
            <w:r>
              <w:rPr/>
            </w:r>
          </w:p>
        </w:tc>
        <w:tc>
          <w:tcPr>
            <w:tcW w:w="1295" w:type="dxa"/>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bottom w:val="single" w:sz="8" w:space="0" w:color="000000"/>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RSU</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3" w:right="0" w:hanging="0"/>
              <w:jc w:val="left"/>
              <w:rPr>
                <w:rFonts w:ascii="Arial;Helvetica;sans-serif" w:hAnsi="Arial;Helvetica;sans-serif"/>
                <w:color w:val="000000"/>
                <w:sz w:val="15"/>
              </w:rPr>
            </w:pPr>
            <w:r>
              <w:rPr>
                <w:rFonts w:ascii="Arial;Helvetica;sans-serif" w:hAnsi="Arial;Helvetica;sans-serif"/>
                <w:color w:val="000000"/>
                <w:sz w:val="15"/>
              </w:rPr>
              <w:t>7/23/2025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1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3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5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12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4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35" w:right="0" w:hanging="0"/>
              <w:jc w:val="left"/>
              <w:rPr>
                <w:rFonts w:ascii="Arial;Helvetica;sans-serif" w:hAnsi="Arial;Helvetica;sans-serif"/>
                <w:color w:val="000000"/>
                <w:sz w:val="15"/>
              </w:rPr>
            </w:pPr>
            <w:r>
              <w:rPr>
                <w:rFonts w:ascii="Arial;Helvetica;sans-serif" w:hAnsi="Arial;Helvetica;sans-serif"/>
                <w:color w:val="000000"/>
                <w:sz w:val="15"/>
              </w:rPr>
              <w:t xml:space="preserve">2,909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76" w:right="0" w:hanging="0"/>
              <w:jc w:val="left"/>
              <w:rPr>
                <w:rFonts w:ascii="Arial;Helvetica;sans-serif" w:hAnsi="Arial;Helvetica;sans-serif"/>
                <w:color w:val="000000"/>
                <w:sz w:val="15"/>
              </w:rPr>
            </w:pPr>
            <w:r>
              <w:rPr>
                <w:rFonts w:ascii="Arial;Helvetica;sans-serif" w:hAnsi="Arial;Helvetica;sans-serif"/>
                <w:color w:val="000000"/>
                <w:sz w:val="15"/>
              </w:rPr>
              <w:t xml:space="preserve">603,588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000000"/>
            </w:tcBorders>
            <w:tcMar>
              <w:bottom w:w="28" w:type="dxa"/>
            </w:tcMar>
            <w:vAlign w:val="center"/>
          </w:tcPr>
          <w:p>
            <w:pPr>
              <w:pStyle w:val="Normal"/>
              <w:bidi w:val="0"/>
              <w:jc w:val="left"/>
              <w:rPr/>
            </w:pPr>
            <w:r>
              <w:rPr/>
            </w:r>
          </w:p>
        </w:tc>
        <w:tc>
          <w:tcPr>
            <w:tcW w:w="1295" w:type="dxa"/>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bottom w:val="single" w:sz="8" w:space="0" w:color="000000"/>
            </w:tcBorders>
            <w:tcMar>
              <w:bottom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PSU – Tranche A</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28" w:type="dxa"/>
            </w:tcMar>
            <w:vAlign w:val="center"/>
          </w:tcPr>
          <w:p>
            <w:pPr>
              <w:pStyle w:val="TableContents"/>
              <w:bidi w:val="0"/>
              <w:spacing w:before="0" w:after="283"/>
              <w:ind w:left="13" w:right="0" w:hanging="0"/>
              <w:jc w:val="left"/>
              <w:rPr>
                <w:rFonts w:ascii="Arial;Helvetica;sans-serif" w:hAnsi="Arial;Helvetica;sans-serif"/>
                <w:color w:val="000000"/>
                <w:sz w:val="15"/>
              </w:rPr>
            </w:pPr>
            <w:r>
              <w:rPr>
                <w:rFonts w:ascii="Arial;Helvetica;sans-serif" w:hAnsi="Arial;Helvetica;sans-serif"/>
                <w:color w:val="000000"/>
                <w:sz w:val="15"/>
              </w:rPr>
              <w:t>7/23/2025</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60" w:type="dxa"/>
            <w:tcBorders>
              <w:bottom w:val="single" w:sz="8" w:space="0" w:color="000000"/>
            </w:tcBorders>
            <w:tcMar>
              <w:bottom w:w="28" w:type="dxa"/>
            </w:tcMar>
            <w:vAlign w:val="center"/>
          </w:tcPr>
          <w:p>
            <w:pPr>
              <w:pStyle w:val="TableContents"/>
              <w:bidi w:val="0"/>
              <w:spacing w:before="0" w:after="283"/>
              <w:ind w:left="116"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2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15" w:type="dxa"/>
            <w:tcBorders>
              <w:bottom w:val="single" w:sz="8" w:space="0" w:color="000000"/>
            </w:tcBorders>
            <w:tcMar>
              <w:bottom w:w="28" w:type="dxa"/>
            </w:tcMar>
            <w:vAlign w:val="center"/>
          </w:tcPr>
          <w:p>
            <w:pPr>
              <w:pStyle w:val="TableContents"/>
              <w:bidi w:val="0"/>
              <w:spacing w:before="0" w:after="283"/>
              <w:ind w:left="35"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60" w:type="dxa"/>
            <w:tcBorders>
              <w:bottom w:val="single" w:sz="8" w:space="0" w:color="000000"/>
            </w:tcBorders>
            <w:tcMar>
              <w:bottom w:w="28" w:type="dxa"/>
            </w:tcMar>
            <w:vAlign w:val="center"/>
          </w:tcPr>
          <w:p>
            <w:pPr>
              <w:pStyle w:val="TableContents"/>
              <w:bidi w:val="0"/>
              <w:spacing w:before="0" w:after="283"/>
              <w:ind w:left="157" w:right="0" w:hanging="0"/>
              <w:jc w:val="left"/>
              <w:rPr>
                <w:rFonts w:ascii="Arial;Helvetica;sans-serif" w:hAnsi="Arial;Helvetica;sans-serif"/>
                <w:color w:val="000000"/>
                <w:sz w:val="15"/>
              </w:rPr>
            </w:pPr>
            <w:r>
              <w:rPr>
                <w:rFonts w:ascii="Arial;Helvetica;sans-serif" w:hAnsi="Arial;Helvetica;sans-serif"/>
                <w:color w:val="000000"/>
                <w:sz w:val="15"/>
              </w:rPr>
              <w:t>1,455</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60" w:type="dxa"/>
            <w:tcBorders>
              <w:bottom w:val="single" w:sz="8" w:space="0" w:color="000000"/>
            </w:tcBorders>
            <w:tcMar>
              <w:bottom w:w="28" w:type="dxa"/>
            </w:tcMar>
            <w:vAlign w:val="center"/>
          </w:tcPr>
          <w:p>
            <w:pPr>
              <w:pStyle w:val="TableContents"/>
              <w:bidi w:val="0"/>
              <w:spacing w:before="0" w:after="283"/>
              <w:ind w:left="129" w:right="0" w:hanging="0"/>
              <w:jc w:val="left"/>
              <w:rPr>
                <w:rFonts w:ascii="Arial;Helvetica;sans-serif" w:hAnsi="Arial;Helvetica;sans-serif"/>
                <w:color w:val="000000"/>
                <w:sz w:val="15"/>
              </w:rPr>
            </w:pPr>
            <w:r>
              <w:rPr>
                <w:rFonts w:ascii="Arial;Helvetica;sans-serif" w:hAnsi="Arial;Helvetica;sans-serif"/>
                <w:color w:val="000000"/>
                <w:sz w:val="15"/>
              </w:rPr>
              <w:t>2,909</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15" w:type="dxa"/>
            <w:tcBorders>
              <w:bottom w:val="single" w:sz="8" w:space="0" w:color="000000"/>
            </w:tcBorders>
            <w:tcMar>
              <w:bottom w:w="28" w:type="dxa"/>
            </w:tcMar>
            <w:vAlign w:val="center"/>
          </w:tcPr>
          <w:p>
            <w:pPr>
              <w:pStyle w:val="TableContents"/>
              <w:bidi w:val="0"/>
              <w:spacing w:before="0" w:after="283"/>
              <w:ind w:left="140" w:right="0" w:hanging="0"/>
              <w:jc w:val="left"/>
              <w:rPr>
                <w:rFonts w:ascii="Arial;Helvetica;sans-serif" w:hAnsi="Arial;Helvetica;sans-serif"/>
                <w:color w:val="000000"/>
                <w:sz w:val="15"/>
              </w:rPr>
            </w:pPr>
            <w:r>
              <w:rPr>
                <w:rFonts w:ascii="Arial;Helvetica;sans-serif" w:hAnsi="Arial;Helvetica;sans-serif"/>
                <w:color w:val="000000"/>
                <w:sz w:val="15"/>
              </w:rPr>
              <w:t>4,364</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ind w:left="135"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28" w:type="dxa"/>
            </w:tcMar>
            <w:vAlign w:val="center"/>
          </w:tcPr>
          <w:p>
            <w:pPr>
              <w:pStyle w:val="TableContents"/>
              <w:bidi w:val="0"/>
              <w:spacing w:before="0" w:after="283"/>
              <w:ind w:left="176" w:right="0" w:hanging="0"/>
              <w:jc w:val="left"/>
              <w:rPr>
                <w:rFonts w:ascii="Arial;Helvetica;sans-serif" w:hAnsi="Arial;Helvetica;sans-serif"/>
                <w:color w:val="000000"/>
                <w:sz w:val="15"/>
              </w:rPr>
            </w:pPr>
            <w:r>
              <w:rPr>
                <w:rFonts w:ascii="Arial;Helvetica;sans-serif" w:hAnsi="Arial;Helvetica;sans-serif"/>
                <w:color w:val="000000"/>
                <w:sz w:val="15"/>
              </w:rPr>
              <w:t xml:space="preserve">603,588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295" w:type="dxa"/>
            <w:vMerge w:val="restart"/>
            <w:tcBorders>
              <w:bottom w:val="single" w:sz="8" w:space="0" w:color="000000"/>
            </w:tcBorders>
            <w:shd w:fill="CCCCCC" w:val="clear"/>
            <w:tcMar>
              <w:bottom w:w="28" w:type="dxa"/>
            </w:tcMar>
            <w:vAlign w:val="center"/>
          </w:tcPr>
          <w:p>
            <w:pPr>
              <w:pStyle w:val="TableContents"/>
              <w:bidi w:val="0"/>
              <w:spacing w:before="0" w:after="283"/>
              <w:ind w:left="30" w:right="0" w:hanging="0"/>
              <w:jc w:val="left"/>
              <w:rPr>
                <w:rFonts w:ascii="Arial;Helvetica;sans-serif" w:hAnsi="Arial;Helvetica;sans-serif"/>
                <w:color w:val="000000"/>
                <w:sz w:val="15"/>
              </w:rPr>
            </w:pPr>
            <w:r>
              <w:rPr>
                <w:rFonts w:ascii="Arial;Helvetica;sans-serif" w:hAnsi="Arial;Helvetica;sans-serif"/>
                <w:color w:val="000000"/>
                <w:sz w:val="15"/>
              </w:rPr>
              <w:t>Mr. Pahwa</w:t>
            </w:r>
          </w:p>
        </w:tc>
        <w:tc>
          <w:tcPr>
            <w:tcW w:w="170" w:type="dxa"/>
            <w:vMerge w:val="restart"/>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55" w:type="dxa"/>
            <w:tcBorders/>
            <w:shd w:fill="CCCCCC" w:val="cle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Annual Incentive</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283"/>
              <w:ind w:left="13"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60" w:type="dxa"/>
            <w:tcBorders/>
            <w:shd w:fill="CCCCCC" w:val="clear"/>
            <w:vAlign w:val="center"/>
          </w:tcPr>
          <w:p>
            <w:pPr>
              <w:pStyle w:val="TableContents"/>
              <w:bidi w:val="0"/>
              <w:spacing w:before="0" w:after="283"/>
              <w:ind w:left="116"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15" w:type="dxa"/>
            <w:tcBorders/>
            <w:shd w:fill="CCCCCC" w:val="clear"/>
            <w:vAlign w:val="center"/>
          </w:tcPr>
          <w:p>
            <w:pPr>
              <w:pStyle w:val="TableContents"/>
              <w:bidi w:val="0"/>
              <w:spacing w:before="0" w:after="283"/>
              <w:ind w:left="35"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60" w:type="dxa"/>
            <w:tcBorders/>
            <w:shd w:fill="CCCCCC" w:val="clear"/>
            <w:vAlign w:val="center"/>
          </w:tcPr>
          <w:p>
            <w:pPr>
              <w:pStyle w:val="TableContents"/>
              <w:bidi w:val="0"/>
              <w:spacing w:before="0" w:after="283"/>
              <w:ind w:left="157"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560" w:type="dxa"/>
            <w:tcBorders/>
            <w:shd w:fill="CCCCCC" w:val="clear"/>
            <w:vAlign w:val="center"/>
          </w:tcPr>
          <w:p>
            <w:pPr>
              <w:pStyle w:val="TableContents"/>
              <w:bidi w:val="0"/>
              <w:spacing w:before="0" w:after="283"/>
              <w:ind w:left="129"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15" w:type="dxa"/>
            <w:tcBorders/>
            <w:shd w:fill="CCCCCC" w:val="clear"/>
            <w:vAlign w:val="center"/>
          </w:tcPr>
          <w:p>
            <w:pPr>
              <w:pStyle w:val="TableContents"/>
              <w:bidi w:val="0"/>
              <w:spacing w:before="0" w:after="283"/>
              <w:ind w:left="140"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680" w:type="dxa"/>
            <w:tcBorders/>
            <w:shd w:fill="CCCCCC" w:val="clear"/>
            <w:vAlign w:val="center"/>
          </w:tcPr>
          <w:p>
            <w:pPr>
              <w:pStyle w:val="TableContents"/>
              <w:bidi w:val="0"/>
              <w:spacing w:before="0" w:after="283"/>
              <w:ind w:left="135"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283"/>
              <w:ind w:left="176" w:right="0" w:hanging="0"/>
              <w:jc w:val="left"/>
              <w:rPr>
                <w:color w:val="000000"/>
              </w:rPr>
            </w:pPr>
            <w:r>
              <w:rPr>
                <w:color w:val="000000"/>
              </w:rPr>
              <w:t xml:space="preserve">— </w:t>
            </w:r>
          </w:p>
        </w:tc>
        <w:tc>
          <w:tcPr>
            <w:tcW w:w="215" w:type="dxa"/>
            <w:tcBorders/>
            <w:shd w:fill="CCCCCC" w:val="clear"/>
            <w:vAlign w:val="center"/>
          </w:tcPr>
          <w:p>
            <w:pPr>
              <w:pStyle w:val="TableContents"/>
              <w:bidi w:val="0"/>
              <w:spacing w:before="0" w:after="0"/>
              <w:jc w:val="left"/>
              <w:rPr/>
            </w:pPr>
            <w:r>
              <w:rPr/>
              <w:t> </w:t>
            </w:r>
          </w:p>
        </w:tc>
      </w:tr>
      <w:tr>
        <w:trPr/>
        <w:tc>
          <w:tcPr>
            <w:tcW w:w="185" w:type="dxa"/>
            <w:vMerge w:val="continue"/>
            <w:tcBorders>
              <w:bottom w:val="single" w:sz="8" w:space="0" w:color="000000"/>
            </w:tcBorders>
            <w:shd w:fill="CCCCCC" w:val="clear"/>
            <w:tcMar>
              <w:bottom w:w="28" w:type="dxa"/>
            </w:tcMar>
            <w:vAlign w:val="center"/>
          </w:tcPr>
          <w:p>
            <w:pPr>
              <w:pStyle w:val="Normal"/>
              <w:bidi w:val="0"/>
              <w:jc w:val="left"/>
              <w:rPr/>
            </w:pPr>
            <w:r>
              <w:rPr/>
            </w:r>
          </w:p>
        </w:tc>
        <w:tc>
          <w:tcPr>
            <w:tcW w:w="1295" w:type="dxa"/>
            <w:vMerge w:val="continue"/>
            <w:tcBorders>
              <w:bottom w:val="single" w:sz="8" w:space="0" w:color="000000"/>
            </w:tcBorders>
            <w:shd w:fill="CCCCCC" w:val="clear"/>
            <w:tcMar>
              <w:bottom w:w="28" w:type="dxa"/>
            </w:tcMar>
            <w:vAlign w:val="center"/>
          </w:tcPr>
          <w:p>
            <w:pPr>
              <w:pStyle w:val="Normal"/>
              <w:bidi w:val="0"/>
              <w:jc w:val="left"/>
              <w:rPr/>
            </w:pPr>
            <w:r>
              <w:rPr/>
            </w:r>
          </w:p>
        </w:tc>
        <w:tc>
          <w:tcPr>
            <w:tcW w:w="170" w:type="dxa"/>
            <w:vMerge w:val="continue"/>
            <w:tcBorders>
              <w:bottom w:val="single" w:sz="8" w:space="0" w:color="000000"/>
            </w:tcBorders>
            <w:shd w:fill="CCCCCC" w:val="clear"/>
            <w:tcMar>
              <w:bottom w:w="28" w:type="dxa"/>
            </w:tcMar>
            <w:vAlign w:val="center"/>
          </w:tcPr>
          <w:p>
            <w:pPr>
              <w:pStyle w:val="Normal"/>
              <w:bidi w:val="0"/>
              <w:jc w:val="left"/>
              <w:rPr/>
            </w:pPr>
            <w:r>
              <w:rPr/>
            </w:r>
          </w:p>
        </w:tc>
        <w:tc>
          <w:tcPr>
            <w:tcW w:w="170" w:type="dxa"/>
            <w:tcBorders/>
            <w:shd w:fill="CCCCCC" w:val="clear"/>
            <w:vAlign w:val="center"/>
          </w:tcPr>
          <w:p>
            <w:pPr>
              <w:pStyle w:val="TableContents"/>
              <w:bidi w:val="0"/>
              <w:spacing w:before="0" w:after="0"/>
              <w:jc w:val="left"/>
              <w:rPr/>
            </w:pPr>
            <w:r>
              <w:rPr/>
              <w:t> </w:t>
            </w:r>
          </w:p>
        </w:tc>
        <w:tc>
          <w:tcPr>
            <w:tcW w:w="755" w:type="dxa"/>
            <w:tcBorders/>
            <w:shd w:fill="CCCCCC" w:val="cle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RSU</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283"/>
              <w:ind w:left="13" w:right="0" w:hanging="0"/>
              <w:jc w:val="left"/>
              <w:rPr>
                <w:rFonts w:ascii="Arial;Helvetica;sans-serif" w:hAnsi="Arial;Helvetica;sans-serif"/>
                <w:color w:val="000000"/>
                <w:sz w:val="15"/>
              </w:rPr>
            </w:pPr>
            <w:r>
              <w:rPr>
                <w:rFonts w:ascii="Arial;Helvetica;sans-serif" w:hAnsi="Arial;Helvetica;sans-serif"/>
                <w:color w:val="000000"/>
                <w:sz w:val="15"/>
              </w:rPr>
              <w:t>3/12/2025</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60" w:type="dxa"/>
            <w:tcBorders/>
            <w:shd w:fill="CCCCCC" w:val="clear"/>
            <w:vAlign w:val="center"/>
          </w:tcPr>
          <w:p>
            <w:pPr>
              <w:pStyle w:val="TableContents"/>
              <w:bidi w:val="0"/>
              <w:spacing w:before="0" w:after="283"/>
              <w:ind w:left="116"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15" w:type="dxa"/>
            <w:tcBorders/>
            <w:shd w:fill="CCCCCC" w:val="clear"/>
            <w:vAlign w:val="center"/>
          </w:tcPr>
          <w:p>
            <w:pPr>
              <w:pStyle w:val="TableContents"/>
              <w:bidi w:val="0"/>
              <w:spacing w:before="0" w:after="283"/>
              <w:ind w:left="35"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60" w:type="dxa"/>
            <w:tcBorders/>
            <w:shd w:fill="CCCCCC" w:val="clear"/>
            <w:vAlign w:val="center"/>
          </w:tcPr>
          <w:p>
            <w:pPr>
              <w:pStyle w:val="TableContents"/>
              <w:bidi w:val="0"/>
              <w:spacing w:before="0" w:after="283"/>
              <w:ind w:left="157"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560" w:type="dxa"/>
            <w:tcBorders/>
            <w:shd w:fill="CCCCCC" w:val="clear"/>
            <w:vAlign w:val="center"/>
          </w:tcPr>
          <w:p>
            <w:pPr>
              <w:pStyle w:val="TableContents"/>
              <w:bidi w:val="0"/>
              <w:spacing w:before="0" w:after="283"/>
              <w:ind w:left="129"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15" w:type="dxa"/>
            <w:tcBorders/>
            <w:shd w:fill="CCCCCC" w:val="clear"/>
            <w:vAlign w:val="center"/>
          </w:tcPr>
          <w:p>
            <w:pPr>
              <w:pStyle w:val="TableContents"/>
              <w:bidi w:val="0"/>
              <w:spacing w:before="0" w:after="283"/>
              <w:ind w:left="140"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680" w:type="dxa"/>
            <w:tcBorders/>
            <w:shd w:fill="CCCCCC" w:val="clear"/>
            <w:vAlign w:val="center"/>
          </w:tcPr>
          <w:p>
            <w:pPr>
              <w:pStyle w:val="TableContents"/>
              <w:bidi w:val="0"/>
              <w:spacing w:before="0" w:after="283"/>
              <w:ind w:left="135" w:right="0" w:hanging="0"/>
              <w:jc w:val="left"/>
              <w:rPr>
                <w:rFonts w:ascii="Arial;Helvetica;sans-serif" w:hAnsi="Arial;Helvetica;sans-serif"/>
                <w:color w:val="000000"/>
                <w:sz w:val="15"/>
              </w:rPr>
            </w:pPr>
            <w:r>
              <w:rPr>
                <w:rFonts w:ascii="Arial;Helvetica;sans-serif" w:hAnsi="Arial;Helvetica;sans-serif"/>
                <w:color w:val="000000"/>
                <w:sz w:val="15"/>
              </w:rPr>
              <w:t>39,911</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283"/>
              <w:ind w:left="176" w:right="0" w:hanging="0"/>
              <w:jc w:val="left"/>
              <w:rPr>
                <w:rFonts w:ascii="Arial;Helvetica;sans-serif" w:hAnsi="Arial;Helvetica;sans-serif"/>
                <w:color w:val="000000"/>
                <w:sz w:val="15"/>
              </w:rPr>
            </w:pPr>
            <w:r>
              <w:rPr>
                <w:rFonts w:ascii="Arial;Helvetica;sans-serif" w:hAnsi="Arial;Helvetica;sans-serif"/>
                <w:color w:val="000000"/>
                <w:sz w:val="15"/>
              </w:rPr>
              <w:t xml:space="preserve">2,500,025 </w:t>
            </w:r>
          </w:p>
        </w:tc>
        <w:tc>
          <w:tcPr>
            <w:tcW w:w="215" w:type="dxa"/>
            <w:tcBorders/>
            <w:shd w:fill="CCCCCC" w:val="clear"/>
            <w:vAlign w:val="center"/>
          </w:tcPr>
          <w:p>
            <w:pPr>
              <w:pStyle w:val="TableContents"/>
              <w:bidi w:val="0"/>
              <w:spacing w:before="0" w:after="0"/>
              <w:jc w:val="left"/>
              <w:rPr/>
            </w:pPr>
            <w:r>
              <w:rPr/>
              <w:t> </w:t>
            </w:r>
          </w:p>
        </w:tc>
      </w:tr>
      <w:tr>
        <w:trPr/>
        <w:tc>
          <w:tcPr>
            <w:tcW w:w="185" w:type="dxa"/>
            <w:vMerge w:val="continue"/>
            <w:tcBorders>
              <w:bottom w:val="single" w:sz="8" w:space="0" w:color="000000"/>
            </w:tcBorders>
            <w:shd w:fill="CCCCCC" w:val="clear"/>
            <w:tcMar>
              <w:bottom w:w="28" w:type="dxa"/>
            </w:tcMar>
            <w:vAlign w:val="center"/>
          </w:tcPr>
          <w:p>
            <w:pPr>
              <w:pStyle w:val="Normal"/>
              <w:bidi w:val="0"/>
              <w:jc w:val="left"/>
              <w:rPr/>
            </w:pPr>
            <w:r>
              <w:rPr/>
            </w:r>
          </w:p>
        </w:tc>
        <w:tc>
          <w:tcPr>
            <w:tcW w:w="1295" w:type="dxa"/>
            <w:vMerge w:val="continue"/>
            <w:tcBorders>
              <w:bottom w:val="single" w:sz="8" w:space="0" w:color="000000"/>
            </w:tcBorders>
            <w:shd w:fill="CCCCCC" w:val="clear"/>
            <w:tcMar>
              <w:bottom w:w="28" w:type="dxa"/>
            </w:tcMar>
            <w:vAlign w:val="center"/>
          </w:tcPr>
          <w:p>
            <w:pPr>
              <w:pStyle w:val="Normal"/>
              <w:bidi w:val="0"/>
              <w:jc w:val="left"/>
              <w:rPr/>
            </w:pPr>
            <w:r>
              <w:rPr/>
            </w:r>
          </w:p>
        </w:tc>
        <w:tc>
          <w:tcPr>
            <w:tcW w:w="170" w:type="dxa"/>
            <w:vMerge w:val="continue"/>
            <w:tcBorders>
              <w:bottom w:val="single" w:sz="8" w:space="0" w:color="000000"/>
            </w:tcBorders>
            <w:shd w:fill="CCCCCC" w:val="clear"/>
            <w:tcMar>
              <w:bottom w:w="28" w:type="dxa"/>
            </w:tcMar>
            <w:vAlign w:val="center"/>
          </w:tcPr>
          <w:p>
            <w:pPr>
              <w:pStyle w:val="Normal"/>
              <w:bidi w:val="0"/>
              <w:jc w:val="left"/>
              <w:rPr/>
            </w:pPr>
            <w:r>
              <w:rPr/>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CCCCCC" w:val="clear"/>
            <w:tcMar>
              <w:bottom w:w="28"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PSU – Tranche A</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770" w:type="dxa"/>
            <w:tcBorders>
              <w:bottom w:val="single" w:sz="8" w:space="0" w:color="000000"/>
            </w:tcBorders>
            <w:shd w:fill="CCCCCC" w:val="clear"/>
            <w:tcMar>
              <w:bottom w:w="28" w:type="dxa"/>
            </w:tcMar>
            <w:vAlign w:val="center"/>
          </w:tcPr>
          <w:p>
            <w:pPr>
              <w:pStyle w:val="TableContents"/>
              <w:bidi w:val="0"/>
              <w:spacing w:before="0" w:after="283"/>
              <w:ind w:left="13" w:right="0" w:hanging="0"/>
              <w:jc w:val="left"/>
              <w:rPr>
                <w:rFonts w:ascii="Arial;Helvetica;sans-serif" w:hAnsi="Arial;Helvetica;sans-serif"/>
                <w:color w:val="000000"/>
                <w:sz w:val="15"/>
              </w:rPr>
            </w:pPr>
            <w:r>
              <w:rPr>
                <w:rFonts w:ascii="Arial;Helvetica;sans-serif" w:hAnsi="Arial;Helvetica;sans-serif"/>
                <w:color w:val="000000"/>
                <w:sz w:val="15"/>
              </w:rPr>
              <w:t>3/12/2025</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860" w:type="dxa"/>
            <w:tcBorders>
              <w:bottom w:val="single" w:sz="8" w:space="0" w:color="000000"/>
            </w:tcBorders>
            <w:shd w:fill="CCCCCC" w:val="clear"/>
            <w:tcMar>
              <w:bottom w:w="28" w:type="dxa"/>
            </w:tcMar>
            <w:vAlign w:val="center"/>
          </w:tcPr>
          <w:p>
            <w:pPr>
              <w:pStyle w:val="TableContents"/>
              <w:bidi w:val="0"/>
              <w:spacing w:before="0" w:after="283"/>
              <w:ind w:left="116" w:right="0" w:hanging="0"/>
              <w:jc w:val="left"/>
              <w:rPr>
                <w:color w:val="000000"/>
              </w:rPr>
            </w:pPr>
            <w:r>
              <w:rPr>
                <w:color w:val="000000"/>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770" w:type="dxa"/>
            <w:tcBorders>
              <w:bottom w:val="single" w:sz="8" w:space="0" w:color="000000"/>
            </w:tcBorders>
            <w:shd w:fill="CCCCCC" w:val="clear"/>
            <w:tcMar>
              <w:bottom w:w="2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815" w:type="dxa"/>
            <w:tcBorders>
              <w:bottom w:val="single" w:sz="8" w:space="0" w:color="000000"/>
            </w:tcBorders>
            <w:shd w:fill="CCCCCC" w:val="clear"/>
            <w:tcMar>
              <w:bottom w:w="28" w:type="dxa"/>
            </w:tcMar>
            <w:vAlign w:val="center"/>
          </w:tcPr>
          <w:p>
            <w:pPr>
              <w:pStyle w:val="TableContents"/>
              <w:bidi w:val="0"/>
              <w:spacing w:before="0" w:after="283"/>
              <w:ind w:left="35" w:right="0" w:hanging="0"/>
              <w:jc w:val="left"/>
              <w:rPr>
                <w:color w:val="000000"/>
              </w:rPr>
            </w:pPr>
            <w:r>
              <w:rPr>
                <w:color w:val="000000"/>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860" w:type="dxa"/>
            <w:tcBorders>
              <w:bottom w:val="single" w:sz="8" w:space="0" w:color="000000"/>
            </w:tcBorders>
            <w:shd w:fill="CCCCCC" w:val="clear"/>
            <w:tcMar>
              <w:bottom w:w="28" w:type="dxa"/>
            </w:tcMar>
            <w:vAlign w:val="center"/>
          </w:tcPr>
          <w:p>
            <w:pPr>
              <w:pStyle w:val="TableContents"/>
              <w:bidi w:val="0"/>
              <w:spacing w:before="0" w:after="283"/>
              <w:ind w:left="157" w:right="0" w:hanging="0"/>
              <w:jc w:val="left"/>
              <w:rPr>
                <w:rFonts w:ascii="Arial;Helvetica;sans-serif" w:hAnsi="Arial;Helvetica;sans-serif"/>
                <w:color w:val="000000"/>
                <w:sz w:val="15"/>
              </w:rPr>
            </w:pPr>
            <w:r>
              <w:rPr>
                <w:rFonts w:ascii="Arial;Helvetica;sans-serif" w:hAnsi="Arial;Helvetica;sans-serif"/>
                <w:color w:val="000000"/>
                <w:sz w:val="15"/>
              </w:rPr>
              <w:t>19,956</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560" w:type="dxa"/>
            <w:tcBorders>
              <w:bottom w:val="single" w:sz="8" w:space="0" w:color="000000"/>
            </w:tcBorders>
            <w:shd w:fill="CCCCCC" w:val="clear"/>
            <w:tcMar>
              <w:bottom w:w="28" w:type="dxa"/>
            </w:tcMar>
            <w:vAlign w:val="center"/>
          </w:tcPr>
          <w:p>
            <w:pPr>
              <w:pStyle w:val="TableContents"/>
              <w:bidi w:val="0"/>
              <w:spacing w:before="0" w:after="283"/>
              <w:ind w:left="129" w:right="0" w:hanging="0"/>
              <w:jc w:val="left"/>
              <w:rPr>
                <w:rFonts w:ascii="Arial;Helvetica;sans-serif" w:hAnsi="Arial;Helvetica;sans-serif"/>
                <w:color w:val="000000"/>
                <w:sz w:val="15"/>
              </w:rPr>
            </w:pPr>
            <w:r>
              <w:rPr>
                <w:rFonts w:ascii="Arial;Helvetica;sans-serif" w:hAnsi="Arial;Helvetica;sans-serif"/>
                <w:color w:val="000000"/>
                <w:sz w:val="15"/>
              </w:rPr>
              <w:t>39,911</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815" w:type="dxa"/>
            <w:tcBorders>
              <w:bottom w:val="single" w:sz="8" w:space="0" w:color="000000"/>
            </w:tcBorders>
            <w:shd w:fill="CCCCCC" w:val="clear"/>
            <w:tcMar>
              <w:bottom w:w="28" w:type="dxa"/>
            </w:tcMar>
            <w:vAlign w:val="center"/>
          </w:tcPr>
          <w:p>
            <w:pPr>
              <w:pStyle w:val="TableContents"/>
              <w:bidi w:val="0"/>
              <w:spacing w:before="0" w:after="283"/>
              <w:ind w:left="140" w:right="0" w:hanging="0"/>
              <w:jc w:val="left"/>
              <w:rPr>
                <w:rFonts w:ascii="Arial;Helvetica;sans-serif" w:hAnsi="Arial;Helvetica;sans-serif"/>
                <w:color w:val="000000"/>
                <w:sz w:val="15"/>
              </w:rPr>
            </w:pPr>
            <w:r>
              <w:rPr>
                <w:rFonts w:ascii="Arial;Helvetica;sans-serif" w:hAnsi="Arial;Helvetica;sans-serif"/>
                <w:color w:val="000000"/>
                <w:sz w:val="15"/>
              </w:rPr>
              <w:t>59,867</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680" w:type="dxa"/>
            <w:tcBorders>
              <w:bottom w:val="single" w:sz="8" w:space="0" w:color="000000"/>
            </w:tcBorders>
            <w:shd w:fill="CCCCCC" w:val="clear"/>
            <w:tcMar>
              <w:bottom w:w="28" w:type="dxa"/>
            </w:tcMar>
            <w:vAlign w:val="center"/>
          </w:tcPr>
          <w:p>
            <w:pPr>
              <w:pStyle w:val="TableContents"/>
              <w:bidi w:val="0"/>
              <w:spacing w:before="0" w:after="283"/>
              <w:ind w:left="135" w:right="0" w:hanging="0"/>
              <w:jc w:val="left"/>
              <w:rPr>
                <w:color w:val="000000"/>
              </w:rPr>
            </w:pPr>
            <w:r>
              <w:rPr>
                <w:color w:val="000000"/>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770" w:type="dxa"/>
            <w:tcBorders>
              <w:bottom w:val="single" w:sz="8" w:space="0" w:color="000000"/>
            </w:tcBorders>
            <w:shd w:fill="CCCCCC" w:val="clear"/>
            <w:tcMar>
              <w:bottom w:w="28" w:type="dxa"/>
            </w:tcMar>
            <w:vAlign w:val="center"/>
          </w:tcPr>
          <w:p>
            <w:pPr>
              <w:pStyle w:val="TableContents"/>
              <w:bidi w:val="0"/>
              <w:spacing w:before="0" w:after="283"/>
              <w:ind w:left="176" w:right="0" w:hanging="0"/>
              <w:jc w:val="left"/>
              <w:rPr>
                <w:rFonts w:ascii="Arial;Helvetica;sans-serif" w:hAnsi="Arial;Helvetica;sans-serif"/>
                <w:color w:val="000000"/>
                <w:sz w:val="15"/>
              </w:rPr>
            </w:pPr>
            <w:r>
              <w:rPr>
                <w:rFonts w:ascii="Arial;Helvetica;sans-serif" w:hAnsi="Arial;Helvetica;sans-serif"/>
                <w:color w:val="000000"/>
                <w:sz w:val="15"/>
              </w:rPr>
              <w:t xml:space="preserve">2,500,025 </w:t>
            </w:r>
          </w:p>
        </w:tc>
        <w:tc>
          <w:tcPr>
            <w:tcW w:w="21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1295" w:type="dxa"/>
            <w:vMerge w:val="restart"/>
            <w:tcBorders>
              <w:bottom w:val="single" w:sz="8" w:space="0" w:color="000000"/>
            </w:tcBorders>
            <w:tcMar>
              <w:bottom w:w="28" w:type="dxa"/>
            </w:tcMar>
            <w:vAlign w:val="center"/>
          </w:tcPr>
          <w:p>
            <w:pPr>
              <w:pStyle w:val="TableContents"/>
              <w:bidi w:val="0"/>
              <w:spacing w:before="0" w:after="283"/>
              <w:ind w:left="30" w:right="0" w:hanging="0"/>
              <w:jc w:val="left"/>
              <w:rPr>
                <w:rFonts w:ascii="Arial;Helvetica;sans-serif" w:hAnsi="Arial;Helvetica;sans-serif"/>
                <w:color w:val="000000"/>
                <w:sz w:val="15"/>
              </w:rPr>
            </w:pPr>
            <w:r>
              <w:rPr>
                <w:rFonts w:ascii="Arial;Helvetica;sans-serif" w:hAnsi="Arial;Helvetica;sans-serif"/>
                <w:color w:val="000000"/>
                <w:sz w:val="15"/>
              </w:rPr>
              <w:t>Mr. Simhambhatla</w:t>
            </w:r>
          </w:p>
        </w:tc>
        <w:tc>
          <w:tcPr>
            <w:tcW w:w="170"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Annual Incentive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3"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16" w:right="0" w:hanging="0"/>
              <w:jc w:val="left"/>
              <w:rPr>
                <w:rFonts w:ascii="Arial;Helvetica;sans-serif" w:hAnsi="Arial;Helvetica;sans-serif"/>
                <w:color w:val="000000"/>
                <w:sz w:val="15"/>
              </w:rPr>
            </w:pPr>
            <w:r>
              <w:rPr>
                <w:rFonts w:ascii="Arial;Helvetica;sans-serif" w:hAnsi="Arial;Helvetica;sans-serif"/>
                <w:color w:val="000000"/>
                <w:sz w:val="15"/>
              </w:rPr>
              <w:t>300,000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600,000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35" w:right="0" w:hanging="0"/>
              <w:jc w:val="left"/>
              <w:rPr>
                <w:rFonts w:ascii="Arial;Helvetica;sans-serif" w:hAnsi="Arial;Helvetica;sans-serif"/>
                <w:color w:val="000000"/>
                <w:sz w:val="15"/>
              </w:rPr>
            </w:pPr>
            <w:r>
              <w:rPr>
                <w:rFonts w:ascii="Arial;Helvetica;sans-serif" w:hAnsi="Arial;Helvetica;sans-serif"/>
                <w:color w:val="000000"/>
                <w:sz w:val="15"/>
              </w:rPr>
              <w:t>900,000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5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12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4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35"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76"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000000"/>
            </w:tcBorders>
            <w:tcMar>
              <w:bottom w:w="28" w:type="dxa"/>
            </w:tcMar>
            <w:vAlign w:val="center"/>
          </w:tcPr>
          <w:p>
            <w:pPr>
              <w:pStyle w:val="Normal"/>
              <w:bidi w:val="0"/>
              <w:jc w:val="left"/>
              <w:rPr/>
            </w:pPr>
            <w:r>
              <w:rPr/>
            </w:r>
          </w:p>
        </w:tc>
        <w:tc>
          <w:tcPr>
            <w:tcW w:w="1295" w:type="dxa"/>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bottom w:val="single" w:sz="8" w:space="0" w:color="000000"/>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RSU</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3" w:right="0" w:hanging="0"/>
              <w:jc w:val="left"/>
              <w:rPr>
                <w:rFonts w:ascii="Arial;Helvetica;sans-serif" w:hAnsi="Arial;Helvetica;sans-serif"/>
                <w:color w:val="000000"/>
                <w:sz w:val="15"/>
              </w:rPr>
            </w:pPr>
            <w:r>
              <w:rPr>
                <w:rFonts w:ascii="Arial;Helvetica;sans-serif" w:hAnsi="Arial;Helvetica;sans-serif"/>
                <w:color w:val="000000"/>
                <w:sz w:val="15"/>
              </w:rPr>
              <w:t>3/12/2025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1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3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5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12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4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35" w:right="0" w:hanging="0"/>
              <w:jc w:val="left"/>
              <w:rPr>
                <w:rFonts w:ascii="Arial;Helvetica;sans-serif" w:hAnsi="Arial;Helvetica;sans-serif"/>
                <w:color w:val="000000"/>
                <w:sz w:val="15"/>
              </w:rPr>
            </w:pPr>
            <w:r>
              <w:rPr>
                <w:rFonts w:ascii="Arial;Helvetica;sans-serif" w:hAnsi="Arial;Helvetica;sans-serif"/>
                <w:color w:val="000000"/>
                <w:sz w:val="15"/>
              </w:rPr>
              <w:t>7,184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76" w:right="0" w:hanging="0"/>
              <w:jc w:val="left"/>
              <w:rPr>
                <w:rFonts w:ascii="Arial;Helvetica;sans-serif" w:hAnsi="Arial;Helvetica;sans-serif"/>
                <w:color w:val="000000"/>
                <w:sz w:val="15"/>
              </w:rPr>
            </w:pPr>
            <w:r>
              <w:rPr>
                <w:rFonts w:ascii="Arial;Helvetica;sans-serif" w:hAnsi="Arial;Helvetica;sans-serif"/>
                <w:color w:val="000000"/>
                <w:sz w:val="15"/>
              </w:rPr>
              <w:t xml:space="preserve">450,006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000000"/>
            </w:tcBorders>
            <w:tcMar>
              <w:bottom w:w="28" w:type="dxa"/>
            </w:tcMar>
            <w:vAlign w:val="center"/>
          </w:tcPr>
          <w:p>
            <w:pPr>
              <w:pStyle w:val="Normal"/>
              <w:bidi w:val="0"/>
              <w:jc w:val="left"/>
              <w:rPr/>
            </w:pPr>
            <w:r>
              <w:rPr/>
            </w:r>
          </w:p>
        </w:tc>
        <w:tc>
          <w:tcPr>
            <w:tcW w:w="1295" w:type="dxa"/>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bottom w:val="single" w:sz="8" w:space="0" w:color="000000"/>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PSU – Tranche 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3" w:right="0" w:hanging="0"/>
              <w:jc w:val="left"/>
              <w:rPr>
                <w:rFonts w:ascii="Arial;Helvetica;sans-serif" w:hAnsi="Arial;Helvetica;sans-serif"/>
                <w:color w:val="000000"/>
                <w:sz w:val="15"/>
              </w:rPr>
            </w:pPr>
            <w:r>
              <w:rPr>
                <w:rFonts w:ascii="Arial;Helvetica;sans-serif" w:hAnsi="Arial;Helvetica;sans-serif"/>
                <w:color w:val="000000"/>
                <w:sz w:val="15"/>
              </w:rPr>
              <w:t>3/12/2025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1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3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57" w:right="0" w:hanging="0"/>
              <w:jc w:val="left"/>
              <w:rPr>
                <w:rFonts w:ascii="Arial;Helvetica;sans-serif" w:hAnsi="Arial;Helvetica;sans-serif"/>
                <w:color w:val="000000"/>
                <w:sz w:val="15"/>
              </w:rPr>
            </w:pPr>
            <w:r>
              <w:rPr>
                <w:rFonts w:ascii="Arial;Helvetica;sans-serif" w:hAnsi="Arial;Helvetica;sans-serif"/>
                <w:color w:val="000000"/>
                <w:sz w:val="15"/>
              </w:rPr>
              <w:t>3,592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129" w:right="0" w:hanging="0"/>
              <w:jc w:val="left"/>
              <w:rPr>
                <w:rFonts w:ascii="Arial;Helvetica;sans-serif" w:hAnsi="Arial;Helvetica;sans-serif"/>
                <w:color w:val="000000"/>
                <w:sz w:val="15"/>
              </w:rPr>
            </w:pPr>
            <w:r>
              <w:rPr>
                <w:rFonts w:ascii="Arial;Helvetica;sans-serif" w:hAnsi="Arial;Helvetica;sans-serif"/>
                <w:color w:val="000000"/>
                <w:sz w:val="15"/>
              </w:rPr>
              <w:t>7,184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40" w:right="0" w:hanging="0"/>
              <w:jc w:val="left"/>
              <w:rPr>
                <w:rFonts w:ascii="Arial;Helvetica;sans-serif" w:hAnsi="Arial;Helvetica;sans-serif"/>
                <w:color w:val="000000"/>
                <w:sz w:val="15"/>
              </w:rPr>
            </w:pPr>
            <w:r>
              <w:rPr>
                <w:rFonts w:ascii="Arial;Helvetica;sans-serif" w:hAnsi="Arial;Helvetica;sans-serif"/>
                <w:color w:val="000000"/>
                <w:sz w:val="15"/>
              </w:rPr>
              <w:t>10,776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3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76" w:right="0" w:hanging="0"/>
              <w:jc w:val="left"/>
              <w:rPr>
                <w:rFonts w:ascii="Arial;Helvetica;sans-serif" w:hAnsi="Arial;Helvetica;sans-serif"/>
                <w:color w:val="000000"/>
                <w:sz w:val="15"/>
              </w:rPr>
            </w:pPr>
            <w:r>
              <w:rPr>
                <w:rFonts w:ascii="Arial;Helvetica;sans-serif" w:hAnsi="Arial;Helvetica;sans-serif"/>
                <w:color w:val="000000"/>
                <w:sz w:val="15"/>
              </w:rPr>
              <w:t xml:space="preserve">450,006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000000"/>
            </w:tcBorders>
            <w:tcMar>
              <w:bottom w:w="28" w:type="dxa"/>
            </w:tcMar>
            <w:vAlign w:val="center"/>
          </w:tcPr>
          <w:p>
            <w:pPr>
              <w:pStyle w:val="Normal"/>
              <w:bidi w:val="0"/>
              <w:jc w:val="left"/>
              <w:rPr/>
            </w:pPr>
            <w:r>
              <w:rPr/>
            </w:r>
          </w:p>
        </w:tc>
        <w:tc>
          <w:tcPr>
            <w:tcW w:w="1295" w:type="dxa"/>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bottom w:val="single" w:sz="8" w:space="0" w:color="000000"/>
            </w:tcBorders>
            <w:tcMar>
              <w:bottom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PSU – Tranche B</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28" w:type="dxa"/>
            </w:tcMar>
            <w:vAlign w:val="center"/>
          </w:tcPr>
          <w:p>
            <w:pPr>
              <w:pStyle w:val="TableContents"/>
              <w:bidi w:val="0"/>
              <w:spacing w:before="0" w:after="283"/>
              <w:ind w:left="13" w:right="0" w:hanging="0"/>
              <w:jc w:val="left"/>
              <w:rPr>
                <w:rFonts w:ascii="Arial;Helvetica;sans-serif" w:hAnsi="Arial;Helvetica;sans-serif"/>
                <w:color w:val="000000"/>
                <w:sz w:val="15"/>
              </w:rPr>
            </w:pPr>
            <w:r>
              <w:rPr>
                <w:rFonts w:ascii="Arial;Helvetica;sans-serif" w:hAnsi="Arial;Helvetica;sans-serif"/>
                <w:color w:val="000000"/>
                <w:sz w:val="15"/>
              </w:rPr>
              <w:t>3/12/2025</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60" w:type="dxa"/>
            <w:tcBorders>
              <w:bottom w:val="single" w:sz="8" w:space="0" w:color="000000"/>
            </w:tcBorders>
            <w:tcMar>
              <w:bottom w:w="28" w:type="dxa"/>
            </w:tcMar>
            <w:vAlign w:val="center"/>
          </w:tcPr>
          <w:p>
            <w:pPr>
              <w:pStyle w:val="TableContents"/>
              <w:bidi w:val="0"/>
              <w:spacing w:before="0" w:after="283"/>
              <w:ind w:left="116"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2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15" w:type="dxa"/>
            <w:tcBorders>
              <w:bottom w:val="single" w:sz="8" w:space="0" w:color="000000"/>
            </w:tcBorders>
            <w:tcMar>
              <w:bottom w:w="28" w:type="dxa"/>
            </w:tcMar>
            <w:vAlign w:val="center"/>
          </w:tcPr>
          <w:p>
            <w:pPr>
              <w:pStyle w:val="TableContents"/>
              <w:bidi w:val="0"/>
              <w:spacing w:before="0" w:after="283"/>
              <w:ind w:left="35"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60" w:type="dxa"/>
            <w:tcBorders>
              <w:bottom w:val="single" w:sz="8" w:space="0" w:color="000000"/>
            </w:tcBorders>
            <w:tcMar>
              <w:bottom w:w="28" w:type="dxa"/>
            </w:tcMar>
            <w:vAlign w:val="center"/>
          </w:tcPr>
          <w:p>
            <w:pPr>
              <w:pStyle w:val="TableContents"/>
              <w:bidi w:val="0"/>
              <w:spacing w:before="0" w:after="283"/>
              <w:ind w:left="157" w:right="0" w:hanging="0"/>
              <w:jc w:val="left"/>
              <w:rPr>
                <w:rFonts w:ascii="Arial;Helvetica;sans-serif" w:hAnsi="Arial;Helvetica;sans-serif"/>
                <w:color w:val="000000"/>
                <w:sz w:val="15"/>
              </w:rPr>
            </w:pPr>
            <w:r>
              <w:rPr>
                <w:rFonts w:ascii="Arial;Helvetica;sans-serif" w:hAnsi="Arial;Helvetica;sans-serif"/>
                <w:color w:val="000000"/>
                <w:sz w:val="15"/>
              </w:rPr>
              <w:t>1,996</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60" w:type="dxa"/>
            <w:tcBorders>
              <w:bottom w:val="single" w:sz="8" w:space="0" w:color="000000"/>
            </w:tcBorders>
            <w:tcMar>
              <w:bottom w:w="28" w:type="dxa"/>
            </w:tcMar>
            <w:vAlign w:val="center"/>
          </w:tcPr>
          <w:p>
            <w:pPr>
              <w:pStyle w:val="TableContents"/>
              <w:bidi w:val="0"/>
              <w:spacing w:before="0" w:after="283"/>
              <w:ind w:left="129" w:right="0" w:hanging="0"/>
              <w:jc w:val="left"/>
              <w:rPr>
                <w:rFonts w:ascii="Arial;Helvetica;sans-serif" w:hAnsi="Arial;Helvetica;sans-serif"/>
                <w:color w:val="000000"/>
                <w:sz w:val="15"/>
              </w:rPr>
            </w:pPr>
            <w:r>
              <w:rPr>
                <w:rFonts w:ascii="Arial;Helvetica;sans-serif" w:hAnsi="Arial;Helvetica;sans-serif"/>
                <w:color w:val="000000"/>
                <w:sz w:val="15"/>
              </w:rPr>
              <w:t>3,991</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15" w:type="dxa"/>
            <w:tcBorders>
              <w:bottom w:val="single" w:sz="8" w:space="0" w:color="000000"/>
            </w:tcBorders>
            <w:tcMar>
              <w:bottom w:w="28" w:type="dxa"/>
            </w:tcMar>
            <w:vAlign w:val="center"/>
          </w:tcPr>
          <w:p>
            <w:pPr>
              <w:pStyle w:val="TableContents"/>
              <w:bidi w:val="0"/>
              <w:spacing w:before="0" w:after="283"/>
              <w:ind w:left="140" w:right="0" w:hanging="0"/>
              <w:jc w:val="left"/>
              <w:rPr>
                <w:rFonts w:ascii="Arial;Helvetica;sans-serif" w:hAnsi="Arial;Helvetica;sans-serif"/>
                <w:color w:val="000000"/>
                <w:sz w:val="15"/>
              </w:rPr>
            </w:pPr>
            <w:r>
              <w:rPr>
                <w:rFonts w:ascii="Arial;Helvetica;sans-serif" w:hAnsi="Arial;Helvetica;sans-serif"/>
                <w:color w:val="000000"/>
                <w:sz w:val="15"/>
              </w:rPr>
              <w:t>3,991</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ind w:left="135" w:right="0" w:hanging="0"/>
              <w:jc w:val="lef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28" w:type="dxa"/>
            </w:tcMar>
            <w:vAlign w:val="center"/>
          </w:tcPr>
          <w:p>
            <w:pPr>
              <w:pStyle w:val="TableContents"/>
              <w:bidi w:val="0"/>
              <w:spacing w:before="0" w:after="283"/>
              <w:ind w:left="176" w:right="0" w:hanging="0"/>
              <w:jc w:val="left"/>
              <w:rPr>
                <w:rFonts w:ascii="Arial;Helvetica;sans-serif" w:hAnsi="Arial;Helvetica;sans-serif"/>
                <w:color w:val="000000"/>
                <w:sz w:val="15"/>
              </w:rPr>
            </w:pPr>
            <w:r>
              <w:rPr>
                <w:rFonts w:ascii="Arial;Helvetica;sans-serif" w:hAnsi="Arial;Helvetica;sans-serif"/>
                <w:color w:val="000000"/>
                <w:sz w:val="15"/>
              </w:rPr>
              <w:t xml:space="preserve">249,996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295" w:type="dxa"/>
            <w:vMerge w:val="restart"/>
            <w:tcBorders>
              <w:bottom w:val="single" w:sz="8" w:space="0" w:color="000000"/>
            </w:tcBorders>
            <w:shd w:fill="CCCCCC" w:val="clear"/>
            <w:tcMar>
              <w:bottom w:w="28" w:type="dxa"/>
            </w:tcMar>
            <w:vAlign w:val="center"/>
          </w:tcPr>
          <w:p>
            <w:pPr>
              <w:pStyle w:val="TableContents"/>
              <w:bidi w:val="0"/>
              <w:spacing w:before="0" w:after="283"/>
              <w:ind w:left="30" w:right="0" w:hanging="0"/>
              <w:jc w:val="left"/>
              <w:rPr>
                <w:rFonts w:ascii="Arial;Helvetica;sans-serif" w:hAnsi="Arial;Helvetica;sans-serif"/>
                <w:color w:val="000000"/>
                <w:sz w:val="15"/>
              </w:rPr>
            </w:pPr>
            <w:r>
              <w:rPr>
                <w:rFonts w:ascii="Arial;Helvetica;sans-serif" w:hAnsi="Arial;Helvetica;sans-serif"/>
                <w:color w:val="000000"/>
                <w:sz w:val="15"/>
              </w:rPr>
              <w:t>Mr. Linnen</w:t>
            </w:r>
          </w:p>
        </w:tc>
        <w:tc>
          <w:tcPr>
            <w:tcW w:w="170" w:type="dxa"/>
            <w:vMerge w:val="restart"/>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55" w:type="dxa"/>
            <w:tcBorders/>
            <w:shd w:fill="CCCCCC" w:val="cle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Annual Incentive</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283"/>
              <w:ind w:left="13" w:right="0" w:hanging="0"/>
              <w:jc w:val="left"/>
              <w:rPr>
                <w:color w:val="000000"/>
              </w:rPr>
            </w:pPr>
            <w:r>
              <w:rPr>
                <w:color w:val="000000"/>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60" w:type="dxa"/>
            <w:tcBorders/>
            <w:shd w:fill="CCCCCC" w:val="clear"/>
            <w:vAlign w:val="center"/>
          </w:tcPr>
          <w:p>
            <w:pPr>
              <w:pStyle w:val="TableContents"/>
              <w:bidi w:val="0"/>
              <w:spacing w:before="0" w:after="283"/>
              <w:ind w:left="116" w:right="0" w:hanging="0"/>
              <w:jc w:val="left"/>
              <w:rPr>
                <w:rFonts w:ascii="Arial;Helvetica;sans-serif" w:hAnsi="Arial;Helvetica;sans-serif"/>
                <w:color w:val="000000"/>
                <w:sz w:val="15"/>
              </w:rPr>
            </w:pPr>
            <w:r>
              <w:rPr>
                <w:rFonts w:ascii="Arial;Helvetica;sans-serif" w:hAnsi="Arial;Helvetica;sans-serif"/>
                <w:color w:val="000000"/>
                <w:sz w:val="15"/>
              </w:rPr>
              <w:t>300,000</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600,000</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15" w:type="dxa"/>
            <w:tcBorders/>
            <w:shd w:fill="CCCCCC" w:val="clear"/>
            <w:vAlign w:val="center"/>
          </w:tcPr>
          <w:p>
            <w:pPr>
              <w:pStyle w:val="TableContents"/>
              <w:bidi w:val="0"/>
              <w:spacing w:before="0" w:after="283"/>
              <w:ind w:left="35" w:right="0" w:hanging="0"/>
              <w:jc w:val="left"/>
              <w:rPr>
                <w:rFonts w:ascii="Arial;Helvetica;sans-serif" w:hAnsi="Arial;Helvetica;sans-serif"/>
                <w:color w:val="000000"/>
                <w:sz w:val="15"/>
              </w:rPr>
            </w:pPr>
            <w:r>
              <w:rPr>
                <w:rFonts w:ascii="Arial;Helvetica;sans-serif" w:hAnsi="Arial;Helvetica;sans-serif"/>
                <w:color w:val="000000"/>
                <w:sz w:val="15"/>
              </w:rPr>
              <w:t>900,000</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60" w:type="dxa"/>
            <w:tcBorders/>
            <w:shd w:fill="CCCCCC" w:val="clear"/>
            <w:vAlign w:val="center"/>
          </w:tcPr>
          <w:p>
            <w:pPr>
              <w:pStyle w:val="TableContents"/>
              <w:bidi w:val="0"/>
              <w:spacing w:before="0" w:after="283"/>
              <w:ind w:left="157"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560" w:type="dxa"/>
            <w:tcBorders/>
            <w:shd w:fill="CCCCCC" w:val="clear"/>
            <w:vAlign w:val="center"/>
          </w:tcPr>
          <w:p>
            <w:pPr>
              <w:pStyle w:val="TableContents"/>
              <w:bidi w:val="0"/>
              <w:spacing w:before="0" w:after="283"/>
              <w:ind w:left="129"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15" w:type="dxa"/>
            <w:tcBorders/>
            <w:shd w:fill="CCCCCC" w:val="clear"/>
            <w:vAlign w:val="center"/>
          </w:tcPr>
          <w:p>
            <w:pPr>
              <w:pStyle w:val="TableContents"/>
              <w:bidi w:val="0"/>
              <w:spacing w:before="0" w:after="283"/>
              <w:ind w:left="140"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680" w:type="dxa"/>
            <w:tcBorders/>
            <w:shd w:fill="CCCCCC" w:val="clear"/>
            <w:vAlign w:val="center"/>
          </w:tcPr>
          <w:p>
            <w:pPr>
              <w:pStyle w:val="TableContents"/>
              <w:bidi w:val="0"/>
              <w:spacing w:before="0" w:after="283"/>
              <w:ind w:left="135"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283"/>
              <w:ind w:left="176" w:right="0" w:hanging="0"/>
              <w:jc w:val="left"/>
              <w:rPr>
                <w:color w:val="000000"/>
              </w:rPr>
            </w:pPr>
            <w:r>
              <w:rPr>
                <w:color w:val="000000"/>
              </w:rPr>
              <w:t xml:space="preserve">— </w:t>
            </w:r>
          </w:p>
        </w:tc>
        <w:tc>
          <w:tcPr>
            <w:tcW w:w="215" w:type="dxa"/>
            <w:tcBorders/>
            <w:shd w:fill="CCCCCC" w:val="clear"/>
            <w:vAlign w:val="center"/>
          </w:tcPr>
          <w:p>
            <w:pPr>
              <w:pStyle w:val="TableContents"/>
              <w:bidi w:val="0"/>
              <w:spacing w:before="0" w:after="0"/>
              <w:jc w:val="left"/>
              <w:rPr/>
            </w:pPr>
            <w:r>
              <w:rPr/>
              <w:t> </w:t>
            </w:r>
          </w:p>
        </w:tc>
      </w:tr>
      <w:tr>
        <w:trPr/>
        <w:tc>
          <w:tcPr>
            <w:tcW w:w="185" w:type="dxa"/>
            <w:vMerge w:val="continue"/>
            <w:tcBorders>
              <w:bottom w:val="single" w:sz="8" w:space="0" w:color="000000"/>
            </w:tcBorders>
            <w:shd w:fill="CCCCCC" w:val="clear"/>
            <w:tcMar>
              <w:bottom w:w="28" w:type="dxa"/>
            </w:tcMar>
            <w:vAlign w:val="center"/>
          </w:tcPr>
          <w:p>
            <w:pPr>
              <w:pStyle w:val="Normal"/>
              <w:bidi w:val="0"/>
              <w:jc w:val="left"/>
              <w:rPr/>
            </w:pPr>
            <w:r>
              <w:rPr/>
            </w:r>
          </w:p>
        </w:tc>
        <w:tc>
          <w:tcPr>
            <w:tcW w:w="1295" w:type="dxa"/>
            <w:vMerge w:val="continue"/>
            <w:tcBorders>
              <w:bottom w:val="single" w:sz="8" w:space="0" w:color="000000"/>
            </w:tcBorders>
            <w:shd w:fill="CCCCCC" w:val="clear"/>
            <w:tcMar>
              <w:bottom w:w="28" w:type="dxa"/>
            </w:tcMar>
            <w:vAlign w:val="center"/>
          </w:tcPr>
          <w:p>
            <w:pPr>
              <w:pStyle w:val="Normal"/>
              <w:bidi w:val="0"/>
              <w:jc w:val="left"/>
              <w:rPr/>
            </w:pPr>
            <w:r>
              <w:rPr/>
            </w:r>
          </w:p>
        </w:tc>
        <w:tc>
          <w:tcPr>
            <w:tcW w:w="170" w:type="dxa"/>
            <w:vMerge w:val="continue"/>
            <w:tcBorders>
              <w:bottom w:val="single" w:sz="8" w:space="0" w:color="000000"/>
            </w:tcBorders>
            <w:shd w:fill="CCCCCC" w:val="clear"/>
            <w:tcMar>
              <w:bottom w:w="28" w:type="dxa"/>
            </w:tcMar>
            <w:vAlign w:val="center"/>
          </w:tcPr>
          <w:p>
            <w:pPr>
              <w:pStyle w:val="Normal"/>
              <w:bidi w:val="0"/>
              <w:jc w:val="left"/>
              <w:rPr/>
            </w:pPr>
            <w:r>
              <w:rPr/>
            </w:r>
          </w:p>
        </w:tc>
        <w:tc>
          <w:tcPr>
            <w:tcW w:w="170" w:type="dxa"/>
            <w:tcBorders/>
            <w:shd w:fill="CCCCCC" w:val="clear"/>
            <w:vAlign w:val="center"/>
          </w:tcPr>
          <w:p>
            <w:pPr>
              <w:pStyle w:val="TableContents"/>
              <w:bidi w:val="0"/>
              <w:spacing w:before="0" w:after="0"/>
              <w:jc w:val="left"/>
              <w:rPr/>
            </w:pPr>
            <w:r>
              <w:rPr/>
              <w:t> </w:t>
            </w:r>
          </w:p>
        </w:tc>
        <w:tc>
          <w:tcPr>
            <w:tcW w:w="755" w:type="dxa"/>
            <w:tcBorders/>
            <w:shd w:fill="CCCCCC" w:val="cle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RSU</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283"/>
              <w:ind w:left="13" w:right="0" w:hanging="0"/>
              <w:jc w:val="left"/>
              <w:rPr>
                <w:rFonts w:ascii="Arial;Helvetica;sans-serif" w:hAnsi="Arial;Helvetica;sans-serif"/>
                <w:color w:val="000000"/>
                <w:sz w:val="15"/>
              </w:rPr>
            </w:pPr>
            <w:r>
              <w:rPr>
                <w:rFonts w:ascii="Arial;Helvetica;sans-serif" w:hAnsi="Arial;Helvetica;sans-serif"/>
                <w:color w:val="000000"/>
                <w:sz w:val="15"/>
              </w:rPr>
              <w:t>3/12/2025</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60" w:type="dxa"/>
            <w:tcBorders/>
            <w:shd w:fill="CCCCCC" w:val="clear"/>
            <w:vAlign w:val="center"/>
          </w:tcPr>
          <w:p>
            <w:pPr>
              <w:pStyle w:val="TableContents"/>
              <w:bidi w:val="0"/>
              <w:spacing w:before="0" w:after="283"/>
              <w:ind w:left="116"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15" w:type="dxa"/>
            <w:tcBorders/>
            <w:shd w:fill="CCCCCC" w:val="clear"/>
            <w:vAlign w:val="center"/>
          </w:tcPr>
          <w:p>
            <w:pPr>
              <w:pStyle w:val="TableContents"/>
              <w:bidi w:val="0"/>
              <w:spacing w:before="0" w:after="283"/>
              <w:ind w:left="35"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60" w:type="dxa"/>
            <w:tcBorders/>
            <w:shd w:fill="CCCCCC" w:val="clear"/>
            <w:vAlign w:val="center"/>
          </w:tcPr>
          <w:p>
            <w:pPr>
              <w:pStyle w:val="TableContents"/>
              <w:bidi w:val="0"/>
              <w:spacing w:before="0" w:after="283"/>
              <w:ind w:left="157" w:right="0" w:hanging="0"/>
              <w:jc w:val="left"/>
              <w:rPr>
                <w:color w:val="000000"/>
              </w:rPr>
            </w:pPr>
            <w:r>
              <w:rPr>
                <w:color w:val="000000"/>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560" w:type="dxa"/>
            <w:tcBorders/>
            <w:shd w:fill="CCCCCC" w:val="clear"/>
            <w:vAlign w:val="center"/>
          </w:tcPr>
          <w:p>
            <w:pPr>
              <w:pStyle w:val="TableContents"/>
              <w:bidi w:val="0"/>
              <w:spacing w:before="0" w:after="283"/>
              <w:ind w:left="129" w:right="0" w:hanging="0"/>
              <w:jc w:val="left"/>
              <w:rPr>
                <w:color w:val="000000"/>
              </w:rPr>
            </w:pPr>
            <w:r>
              <w:rPr>
                <w:color w:val="000000"/>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15" w:type="dxa"/>
            <w:tcBorders/>
            <w:shd w:fill="CCCCCC" w:val="clear"/>
            <w:vAlign w:val="center"/>
          </w:tcPr>
          <w:p>
            <w:pPr>
              <w:pStyle w:val="TableContents"/>
              <w:bidi w:val="0"/>
              <w:spacing w:before="0" w:after="283"/>
              <w:ind w:left="140" w:right="0" w:hanging="0"/>
              <w:jc w:val="left"/>
              <w:rPr>
                <w:color w:val="000000"/>
              </w:rPr>
            </w:pPr>
            <w:r>
              <w:rPr>
                <w:color w:val="000000"/>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680" w:type="dxa"/>
            <w:tcBorders/>
            <w:shd w:fill="CCCCCC" w:val="clear"/>
            <w:vAlign w:val="center"/>
          </w:tcPr>
          <w:p>
            <w:pPr>
              <w:pStyle w:val="TableContents"/>
              <w:bidi w:val="0"/>
              <w:spacing w:before="0" w:after="283"/>
              <w:ind w:left="135" w:right="0" w:hanging="0"/>
              <w:jc w:val="left"/>
              <w:rPr>
                <w:rFonts w:ascii="Arial;Helvetica;sans-serif" w:hAnsi="Arial;Helvetica;sans-serif"/>
                <w:color w:val="000000"/>
                <w:sz w:val="15"/>
              </w:rPr>
            </w:pPr>
            <w:r>
              <w:rPr>
                <w:rFonts w:ascii="Arial;Helvetica;sans-serif" w:hAnsi="Arial;Helvetica;sans-serif"/>
                <w:color w:val="000000"/>
                <w:sz w:val="15"/>
              </w:rPr>
              <w:t>5,188</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283"/>
              <w:ind w:left="176" w:right="0" w:hanging="0"/>
              <w:jc w:val="left"/>
              <w:rPr>
                <w:rFonts w:ascii="Arial;Helvetica;sans-serif" w:hAnsi="Arial;Helvetica;sans-serif"/>
                <w:color w:val="000000"/>
                <w:sz w:val="15"/>
              </w:rPr>
            </w:pPr>
            <w:r>
              <w:rPr>
                <w:rFonts w:ascii="Arial;Helvetica;sans-serif" w:hAnsi="Arial;Helvetica;sans-serif"/>
                <w:color w:val="000000"/>
                <w:sz w:val="15"/>
              </w:rPr>
              <w:t xml:space="preserve">324,976 </w:t>
            </w:r>
          </w:p>
        </w:tc>
        <w:tc>
          <w:tcPr>
            <w:tcW w:w="215" w:type="dxa"/>
            <w:tcBorders/>
            <w:shd w:fill="CCCCCC" w:val="clear"/>
            <w:vAlign w:val="center"/>
          </w:tcPr>
          <w:p>
            <w:pPr>
              <w:pStyle w:val="TableContents"/>
              <w:bidi w:val="0"/>
              <w:spacing w:before="0" w:after="0"/>
              <w:jc w:val="left"/>
              <w:rPr/>
            </w:pPr>
            <w:r>
              <w:rPr/>
              <w:t> </w:t>
            </w:r>
          </w:p>
        </w:tc>
      </w:tr>
      <w:tr>
        <w:trPr/>
        <w:tc>
          <w:tcPr>
            <w:tcW w:w="185" w:type="dxa"/>
            <w:vMerge w:val="continue"/>
            <w:tcBorders>
              <w:bottom w:val="single" w:sz="8" w:space="0" w:color="000000"/>
            </w:tcBorders>
            <w:shd w:fill="CCCCCC" w:val="clear"/>
            <w:tcMar>
              <w:bottom w:w="28" w:type="dxa"/>
            </w:tcMar>
            <w:vAlign w:val="center"/>
          </w:tcPr>
          <w:p>
            <w:pPr>
              <w:pStyle w:val="Normal"/>
              <w:bidi w:val="0"/>
              <w:jc w:val="left"/>
              <w:rPr/>
            </w:pPr>
            <w:r>
              <w:rPr/>
            </w:r>
          </w:p>
        </w:tc>
        <w:tc>
          <w:tcPr>
            <w:tcW w:w="1295" w:type="dxa"/>
            <w:vMerge w:val="continue"/>
            <w:tcBorders>
              <w:bottom w:val="single" w:sz="8" w:space="0" w:color="000000"/>
            </w:tcBorders>
            <w:shd w:fill="CCCCCC" w:val="clear"/>
            <w:tcMar>
              <w:bottom w:w="28" w:type="dxa"/>
            </w:tcMar>
            <w:vAlign w:val="center"/>
          </w:tcPr>
          <w:p>
            <w:pPr>
              <w:pStyle w:val="Normal"/>
              <w:bidi w:val="0"/>
              <w:jc w:val="left"/>
              <w:rPr/>
            </w:pPr>
            <w:r>
              <w:rPr/>
            </w:r>
          </w:p>
        </w:tc>
        <w:tc>
          <w:tcPr>
            <w:tcW w:w="170" w:type="dxa"/>
            <w:vMerge w:val="continue"/>
            <w:tcBorders>
              <w:bottom w:val="single" w:sz="8" w:space="0" w:color="000000"/>
            </w:tcBorders>
            <w:shd w:fill="CCCCCC" w:val="clear"/>
            <w:tcMar>
              <w:bottom w:w="28" w:type="dxa"/>
            </w:tcMar>
            <w:vAlign w:val="center"/>
          </w:tcPr>
          <w:p>
            <w:pPr>
              <w:pStyle w:val="Normal"/>
              <w:bidi w:val="0"/>
              <w:jc w:val="left"/>
              <w:rPr/>
            </w:pPr>
            <w:r>
              <w:rPr/>
            </w:r>
          </w:p>
        </w:tc>
        <w:tc>
          <w:tcPr>
            <w:tcW w:w="170" w:type="dxa"/>
            <w:tcBorders/>
            <w:shd w:fill="CCCCCC" w:val="clear"/>
            <w:vAlign w:val="center"/>
          </w:tcPr>
          <w:p>
            <w:pPr>
              <w:pStyle w:val="TableContents"/>
              <w:bidi w:val="0"/>
              <w:spacing w:before="0" w:after="0"/>
              <w:jc w:val="left"/>
              <w:rPr/>
            </w:pPr>
            <w:r>
              <w:rPr/>
              <w:t> </w:t>
            </w:r>
          </w:p>
        </w:tc>
        <w:tc>
          <w:tcPr>
            <w:tcW w:w="755" w:type="dxa"/>
            <w:tcBorders/>
            <w:shd w:fill="CCCCCC" w:val="cle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PSU – Tranche A</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283"/>
              <w:ind w:left="13" w:right="0" w:hanging="0"/>
              <w:jc w:val="left"/>
              <w:rPr>
                <w:rFonts w:ascii="Arial;Helvetica;sans-serif" w:hAnsi="Arial;Helvetica;sans-serif"/>
                <w:color w:val="000000"/>
                <w:sz w:val="15"/>
              </w:rPr>
            </w:pPr>
            <w:r>
              <w:rPr>
                <w:rFonts w:ascii="Arial;Helvetica;sans-serif" w:hAnsi="Arial;Helvetica;sans-serif"/>
                <w:color w:val="000000"/>
                <w:sz w:val="15"/>
              </w:rPr>
              <w:t>3/12/2025</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60" w:type="dxa"/>
            <w:tcBorders/>
            <w:shd w:fill="CCCCCC" w:val="clear"/>
            <w:vAlign w:val="center"/>
          </w:tcPr>
          <w:p>
            <w:pPr>
              <w:pStyle w:val="TableContents"/>
              <w:bidi w:val="0"/>
              <w:spacing w:before="0" w:after="283"/>
              <w:ind w:left="116"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15" w:type="dxa"/>
            <w:tcBorders/>
            <w:shd w:fill="CCCCCC" w:val="clear"/>
            <w:vAlign w:val="center"/>
          </w:tcPr>
          <w:p>
            <w:pPr>
              <w:pStyle w:val="TableContents"/>
              <w:bidi w:val="0"/>
              <w:spacing w:before="0" w:after="283"/>
              <w:ind w:left="35"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60" w:type="dxa"/>
            <w:tcBorders/>
            <w:shd w:fill="CCCCCC" w:val="clear"/>
            <w:vAlign w:val="center"/>
          </w:tcPr>
          <w:p>
            <w:pPr>
              <w:pStyle w:val="TableContents"/>
              <w:bidi w:val="0"/>
              <w:spacing w:before="0" w:after="283"/>
              <w:ind w:left="157" w:right="0" w:hanging="0"/>
              <w:jc w:val="left"/>
              <w:rPr>
                <w:rFonts w:ascii="Arial;Helvetica;sans-serif" w:hAnsi="Arial;Helvetica;sans-serif"/>
                <w:color w:val="000000"/>
                <w:sz w:val="15"/>
              </w:rPr>
            </w:pPr>
            <w:r>
              <w:rPr>
                <w:rFonts w:ascii="Arial;Helvetica;sans-serif" w:hAnsi="Arial;Helvetica;sans-serif"/>
                <w:color w:val="000000"/>
                <w:sz w:val="15"/>
              </w:rPr>
              <w:t>2,594</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560" w:type="dxa"/>
            <w:tcBorders/>
            <w:shd w:fill="CCCCCC" w:val="clear"/>
            <w:vAlign w:val="center"/>
          </w:tcPr>
          <w:p>
            <w:pPr>
              <w:pStyle w:val="TableContents"/>
              <w:bidi w:val="0"/>
              <w:spacing w:before="0" w:after="283"/>
              <w:ind w:left="129" w:right="0" w:hanging="0"/>
              <w:jc w:val="left"/>
              <w:rPr>
                <w:rFonts w:ascii="Arial;Helvetica;sans-serif" w:hAnsi="Arial;Helvetica;sans-serif"/>
                <w:color w:val="000000"/>
                <w:sz w:val="15"/>
              </w:rPr>
            </w:pPr>
            <w:r>
              <w:rPr>
                <w:rFonts w:ascii="Arial;Helvetica;sans-serif" w:hAnsi="Arial;Helvetica;sans-serif"/>
                <w:color w:val="000000"/>
                <w:sz w:val="15"/>
              </w:rPr>
              <w:t>5,188</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15" w:type="dxa"/>
            <w:tcBorders/>
            <w:shd w:fill="CCCCCC" w:val="clear"/>
            <w:vAlign w:val="center"/>
          </w:tcPr>
          <w:p>
            <w:pPr>
              <w:pStyle w:val="TableContents"/>
              <w:bidi w:val="0"/>
              <w:spacing w:before="0" w:after="283"/>
              <w:ind w:left="140" w:right="0" w:hanging="0"/>
              <w:jc w:val="left"/>
              <w:rPr>
                <w:rFonts w:ascii="Arial;Helvetica;sans-serif" w:hAnsi="Arial;Helvetica;sans-serif"/>
                <w:color w:val="000000"/>
                <w:sz w:val="15"/>
              </w:rPr>
            </w:pPr>
            <w:r>
              <w:rPr>
                <w:rFonts w:ascii="Arial;Helvetica;sans-serif" w:hAnsi="Arial;Helvetica;sans-serif"/>
                <w:color w:val="000000"/>
                <w:sz w:val="15"/>
              </w:rPr>
              <w:t>7,782</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680" w:type="dxa"/>
            <w:tcBorders/>
            <w:shd w:fill="CCCCCC" w:val="clear"/>
            <w:vAlign w:val="center"/>
          </w:tcPr>
          <w:p>
            <w:pPr>
              <w:pStyle w:val="TableContents"/>
              <w:bidi w:val="0"/>
              <w:spacing w:before="0" w:after="283"/>
              <w:ind w:left="135"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283"/>
              <w:ind w:left="176" w:right="0" w:hanging="0"/>
              <w:jc w:val="left"/>
              <w:rPr>
                <w:rFonts w:ascii="Arial;Helvetica;sans-serif" w:hAnsi="Arial;Helvetica;sans-serif"/>
                <w:color w:val="000000"/>
                <w:sz w:val="15"/>
              </w:rPr>
            </w:pPr>
            <w:r>
              <w:rPr>
                <w:rFonts w:ascii="Arial;Helvetica;sans-serif" w:hAnsi="Arial;Helvetica;sans-serif"/>
                <w:color w:val="000000"/>
                <w:sz w:val="15"/>
              </w:rPr>
              <w:t xml:space="preserve">324,976 </w:t>
            </w:r>
          </w:p>
        </w:tc>
        <w:tc>
          <w:tcPr>
            <w:tcW w:w="215" w:type="dxa"/>
            <w:tcBorders/>
            <w:shd w:fill="CCCCCC" w:val="clear"/>
            <w:vAlign w:val="center"/>
          </w:tcPr>
          <w:p>
            <w:pPr>
              <w:pStyle w:val="TableContents"/>
              <w:bidi w:val="0"/>
              <w:spacing w:before="0" w:after="0"/>
              <w:jc w:val="left"/>
              <w:rPr/>
            </w:pPr>
            <w:r>
              <w:rPr/>
              <w:t> </w:t>
            </w:r>
          </w:p>
        </w:tc>
      </w:tr>
      <w:tr>
        <w:trPr/>
        <w:tc>
          <w:tcPr>
            <w:tcW w:w="185" w:type="dxa"/>
            <w:vMerge w:val="continue"/>
            <w:tcBorders>
              <w:bottom w:val="single" w:sz="8" w:space="0" w:color="000000"/>
            </w:tcBorders>
            <w:shd w:fill="CCCCCC" w:val="clear"/>
            <w:tcMar>
              <w:bottom w:w="28" w:type="dxa"/>
            </w:tcMar>
            <w:vAlign w:val="center"/>
          </w:tcPr>
          <w:p>
            <w:pPr>
              <w:pStyle w:val="Normal"/>
              <w:bidi w:val="0"/>
              <w:jc w:val="left"/>
              <w:rPr/>
            </w:pPr>
            <w:r>
              <w:rPr/>
            </w:r>
          </w:p>
        </w:tc>
        <w:tc>
          <w:tcPr>
            <w:tcW w:w="1295" w:type="dxa"/>
            <w:vMerge w:val="continue"/>
            <w:tcBorders>
              <w:bottom w:val="single" w:sz="8" w:space="0" w:color="000000"/>
            </w:tcBorders>
            <w:shd w:fill="CCCCCC" w:val="clear"/>
            <w:tcMar>
              <w:bottom w:w="28" w:type="dxa"/>
            </w:tcMar>
            <w:vAlign w:val="center"/>
          </w:tcPr>
          <w:p>
            <w:pPr>
              <w:pStyle w:val="Normal"/>
              <w:bidi w:val="0"/>
              <w:jc w:val="left"/>
              <w:rPr/>
            </w:pPr>
            <w:r>
              <w:rPr/>
            </w:r>
          </w:p>
        </w:tc>
        <w:tc>
          <w:tcPr>
            <w:tcW w:w="170" w:type="dxa"/>
            <w:vMerge w:val="continue"/>
            <w:tcBorders>
              <w:bottom w:val="single" w:sz="8" w:space="0" w:color="000000"/>
            </w:tcBorders>
            <w:shd w:fill="CCCCCC" w:val="clear"/>
            <w:tcMar>
              <w:bottom w:w="28" w:type="dxa"/>
            </w:tcMar>
            <w:vAlign w:val="center"/>
          </w:tcPr>
          <w:p>
            <w:pPr>
              <w:pStyle w:val="Normal"/>
              <w:bidi w:val="0"/>
              <w:jc w:val="left"/>
              <w:rPr/>
            </w:pPr>
            <w:r>
              <w:rPr/>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CCCCCC" w:val="clear"/>
            <w:tcMar>
              <w:bottom w:w="28"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PSU – Tranche B</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770" w:type="dxa"/>
            <w:tcBorders>
              <w:bottom w:val="single" w:sz="8" w:space="0" w:color="000000"/>
            </w:tcBorders>
            <w:shd w:fill="CCCCCC" w:val="clear"/>
            <w:tcMar>
              <w:bottom w:w="28" w:type="dxa"/>
            </w:tcMar>
            <w:vAlign w:val="center"/>
          </w:tcPr>
          <w:p>
            <w:pPr>
              <w:pStyle w:val="TableContents"/>
              <w:bidi w:val="0"/>
              <w:spacing w:before="0" w:after="283"/>
              <w:ind w:left="13" w:right="0" w:hanging="0"/>
              <w:jc w:val="left"/>
              <w:rPr>
                <w:rFonts w:ascii="Arial;Helvetica;sans-serif" w:hAnsi="Arial;Helvetica;sans-serif"/>
                <w:color w:val="000000"/>
                <w:sz w:val="15"/>
              </w:rPr>
            </w:pPr>
            <w:r>
              <w:rPr>
                <w:rFonts w:ascii="Arial;Helvetica;sans-serif" w:hAnsi="Arial;Helvetica;sans-serif"/>
                <w:color w:val="000000"/>
                <w:sz w:val="15"/>
              </w:rPr>
              <w:t>3/12/2025</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860" w:type="dxa"/>
            <w:tcBorders>
              <w:bottom w:val="single" w:sz="8" w:space="0" w:color="000000"/>
            </w:tcBorders>
            <w:shd w:fill="CCCCCC" w:val="clear"/>
            <w:tcMar>
              <w:bottom w:w="28" w:type="dxa"/>
            </w:tcMar>
            <w:vAlign w:val="center"/>
          </w:tcPr>
          <w:p>
            <w:pPr>
              <w:pStyle w:val="TableContents"/>
              <w:bidi w:val="0"/>
              <w:spacing w:before="0" w:after="283"/>
              <w:ind w:left="116" w:right="0" w:hanging="0"/>
              <w:jc w:val="left"/>
              <w:rPr>
                <w:color w:val="000000"/>
              </w:rPr>
            </w:pPr>
            <w:r>
              <w:rPr>
                <w:color w:val="000000"/>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770" w:type="dxa"/>
            <w:tcBorders>
              <w:bottom w:val="single" w:sz="8" w:space="0" w:color="000000"/>
            </w:tcBorders>
            <w:shd w:fill="CCCCCC" w:val="clear"/>
            <w:tcMar>
              <w:bottom w:w="2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815" w:type="dxa"/>
            <w:tcBorders>
              <w:bottom w:val="single" w:sz="8" w:space="0" w:color="000000"/>
            </w:tcBorders>
            <w:shd w:fill="CCCCCC" w:val="clear"/>
            <w:tcMar>
              <w:bottom w:w="28" w:type="dxa"/>
            </w:tcMar>
            <w:vAlign w:val="center"/>
          </w:tcPr>
          <w:p>
            <w:pPr>
              <w:pStyle w:val="TableContents"/>
              <w:bidi w:val="0"/>
              <w:spacing w:before="0" w:after="283"/>
              <w:ind w:left="35" w:right="0" w:hanging="0"/>
              <w:jc w:val="left"/>
              <w:rPr>
                <w:color w:val="000000"/>
              </w:rPr>
            </w:pPr>
            <w:r>
              <w:rPr>
                <w:color w:val="000000"/>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860" w:type="dxa"/>
            <w:tcBorders>
              <w:bottom w:val="single" w:sz="8" w:space="0" w:color="000000"/>
            </w:tcBorders>
            <w:shd w:fill="CCCCCC" w:val="clear"/>
            <w:tcMar>
              <w:bottom w:w="28" w:type="dxa"/>
            </w:tcMar>
            <w:vAlign w:val="center"/>
          </w:tcPr>
          <w:p>
            <w:pPr>
              <w:pStyle w:val="TableContents"/>
              <w:bidi w:val="0"/>
              <w:spacing w:before="0" w:after="283"/>
              <w:ind w:left="157" w:right="0" w:hanging="0"/>
              <w:jc w:val="left"/>
              <w:rPr>
                <w:rFonts w:ascii="Arial;Helvetica;sans-serif" w:hAnsi="Arial;Helvetica;sans-serif"/>
                <w:color w:val="000000"/>
                <w:sz w:val="15"/>
              </w:rPr>
            </w:pPr>
            <w:r>
              <w:rPr>
                <w:rFonts w:ascii="Arial;Helvetica;sans-serif" w:hAnsi="Arial;Helvetica;sans-serif"/>
                <w:color w:val="000000"/>
                <w:sz w:val="15"/>
              </w:rPr>
              <w:t>1,437</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560" w:type="dxa"/>
            <w:tcBorders>
              <w:bottom w:val="single" w:sz="8" w:space="0" w:color="000000"/>
            </w:tcBorders>
            <w:shd w:fill="CCCCCC" w:val="clear"/>
            <w:tcMar>
              <w:bottom w:w="28" w:type="dxa"/>
            </w:tcMar>
            <w:vAlign w:val="center"/>
          </w:tcPr>
          <w:p>
            <w:pPr>
              <w:pStyle w:val="TableContents"/>
              <w:bidi w:val="0"/>
              <w:spacing w:before="0" w:after="283"/>
              <w:ind w:left="129" w:right="0" w:hanging="0"/>
              <w:jc w:val="left"/>
              <w:rPr>
                <w:rFonts w:ascii="Arial;Helvetica;sans-serif" w:hAnsi="Arial;Helvetica;sans-serif"/>
                <w:color w:val="000000"/>
                <w:sz w:val="15"/>
              </w:rPr>
            </w:pPr>
            <w:r>
              <w:rPr>
                <w:rFonts w:ascii="Arial;Helvetica;sans-serif" w:hAnsi="Arial;Helvetica;sans-serif"/>
                <w:color w:val="000000"/>
                <w:sz w:val="15"/>
              </w:rPr>
              <w:t>2,874</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815" w:type="dxa"/>
            <w:tcBorders>
              <w:bottom w:val="single" w:sz="8" w:space="0" w:color="000000"/>
            </w:tcBorders>
            <w:shd w:fill="CCCCCC" w:val="clear"/>
            <w:tcMar>
              <w:bottom w:w="28" w:type="dxa"/>
            </w:tcMar>
            <w:vAlign w:val="center"/>
          </w:tcPr>
          <w:p>
            <w:pPr>
              <w:pStyle w:val="TableContents"/>
              <w:bidi w:val="0"/>
              <w:spacing w:before="0" w:after="283"/>
              <w:ind w:left="140" w:right="0" w:hanging="0"/>
              <w:jc w:val="left"/>
              <w:rPr>
                <w:rFonts w:ascii="Arial;Helvetica;sans-serif" w:hAnsi="Arial;Helvetica;sans-serif"/>
                <w:color w:val="000000"/>
                <w:sz w:val="15"/>
              </w:rPr>
            </w:pPr>
            <w:r>
              <w:rPr>
                <w:rFonts w:ascii="Arial;Helvetica;sans-serif" w:hAnsi="Arial;Helvetica;sans-serif"/>
                <w:color w:val="000000"/>
                <w:sz w:val="15"/>
              </w:rPr>
              <w:t>2,874</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680" w:type="dxa"/>
            <w:tcBorders>
              <w:bottom w:val="single" w:sz="8" w:space="0" w:color="000000"/>
            </w:tcBorders>
            <w:shd w:fill="CCCCCC" w:val="clear"/>
            <w:tcMar>
              <w:bottom w:w="28" w:type="dxa"/>
            </w:tcMar>
            <w:vAlign w:val="center"/>
          </w:tcPr>
          <w:p>
            <w:pPr>
              <w:pStyle w:val="TableContents"/>
              <w:bidi w:val="0"/>
              <w:spacing w:before="0" w:after="283"/>
              <w:ind w:left="135" w:right="0" w:hanging="0"/>
              <w:jc w:val="left"/>
              <w:rPr>
                <w:color w:val="000000"/>
              </w:rPr>
            </w:pPr>
            <w:r>
              <w:rPr>
                <w:color w:val="000000"/>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770" w:type="dxa"/>
            <w:tcBorders>
              <w:bottom w:val="single" w:sz="8" w:space="0" w:color="000000"/>
            </w:tcBorders>
            <w:shd w:fill="CCCCCC" w:val="clear"/>
            <w:tcMar>
              <w:bottom w:w="28" w:type="dxa"/>
            </w:tcMar>
            <w:vAlign w:val="center"/>
          </w:tcPr>
          <w:p>
            <w:pPr>
              <w:pStyle w:val="TableContents"/>
              <w:bidi w:val="0"/>
              <w:spacing w:before="0" w:after="283"/>
              <w:ind w:left="176" w:right="0" w:hanging="0"/>
              <w:jc w:val="left"/>
              <w:rPr>
                <w:rFonts w:ascii="Arial;Helvetica;sans-serif" w:hAnsi="Arial;Helvetica;sans-serif"/>
                <w:color w:val="000000"/>
                <w:sz w:val="15"/>
              </w:rPr>
            </w:pPr>
            <w:r>
              <w:rPr>
                <w:rFonts w:ascii="Arial;Helvetica;sans-serif" w:hAnsi="Arial;Helvetica;sans-serif"/>
                <w:color w:val="000000"/>
                <w:sz w:val="15"/>
              </w:rPr>
              <w:t xml:space="preserve">180,027 </w:t>
            </w:r>
          </w:p>
        </w:tc>
        <w:tc>
          <w:tcPr>
            <w:tcW w:w="21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1295" w:type="dxa"/>
            <w:vMerge w:val="restart"/>
            <w:tcBorders>
              <w:bottom w:val="single" w:sz="8" w:space="0" w:color="000000"/>
            </w:tcBorders>
            <w:tcMar>
              <w:bottom w:w="28" w:type="dxa"/>
            </w:tcMar>
            <w:vAlign w:val="center"/>
          </w:tcPr>
          <w:p>
            <w:pPr>
              <w:pStyle w:val="TableContents"/>
              <w:bidi w:val="0"/>
              <w:spacing w:before="0" w:after="283"/>
              <w:ind w:left="30" w:right="0" w:hanging="0"/>
              <w:jc w:val="left"/>
              <w:rPr>
                <w:rFonts w:ascii="Arial;Helvetica;sans-serif" w:hAnsi="Arial;Helvetica;sans-serif"/>
                <w:color w:val="000000"/>
                <w:sz w:val="15"/>
              </w:rPr>
            </w:pPr>
            <w:r>
              <w:rPr>
                <w:rFonts w:ascii="Arial;Helvetica;sans-serif" w:hAnsi="Arial;Helvetica;sans-serif"/>
                <w:color w:val="000000"/>
                <w:sz w:val="15"/>
              </w:rPr>
              <w:t>Mr. Ferraro</w:t>
            </w:r>
          </w:p>
        </w:tc>
        <w:tc>
          <w:tcPr>
            <w:tcW w:w="170"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Annual Incentive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16" w:right="0" w:hanging="0"/>
              <w:jc w:val="left"/>
              <w:rPr>
                <w:rFonts w:ascii="Arial;Helvetica;sans-serif" w:hAnsi="Arial;Helvetica;sans-serif"/>
                <w:color w:val="000000"/>
                <w:sz w:val="15"/>
              </w:rPr>
            </w:pPr>
            <w:r>
              <w:rPr>
                <w:rFonts w:ascii="Arial;Helvetica;sans-serif" w:hAnsi="Arial;Helvetica;sans-serif"/>
                <w:color w:val="000000"/>
                <w:sz w:val="15"/>
              </w:rPr>
              <w:t>650,000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1,300,000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35" w:right="0" w:hanging="0"/>
              <w:jc w:val="left"/>
              <w:rPr>
                <w:rFonts w:ascii="Arial;Helvetica;sans-serif" w:hAnsi="Arial;Helvetica;sans-serif"/>
                <w:color w:val="000000"/>
                <w:sz w:val="15"/>
              </w:rPr>
            </w:pPr>
            <w:r>
              <w:rPr>
                <w:rFonts w:ascii="Arial;Helvetica;sans-serif" w:hAnsi="Arial;Helvetica;sans-serif"/>
                <w:color w:val="000000"/>
                <w:sz w:val="15"/>
              </w:rPr>
              <w:t>1,950,000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5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12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4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3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76"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000000"/>
            </w:tcBorders>
            <w:tcMar>
              <w:bottom w:w="28" w:type="dxa"/>
            </w:tcMar>
            <w:vAlign w:val="center"/>
          </w:tcPr>
          <w:p>
            <w:pPr>
              <w:pStyle w:val="Normal"/>
              <w:bidi w:val="0"/>
              <w:jc w:val="left"/>
              <w:rPr/>
            </w:pPr>
            <w:r>
              <w:rPr/>
            </w:r>
          </w:p>
        </w:tc>
        <w:tc>
          <w:tcPr>
            <w:tcW w:w="1295" w:type="dxa"/>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bottom w:val="single" w:sz="8" w:space="0" w:color="000000"/>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RSU</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3" w:right="0" w:hanging="0"/>
              <w:jc w:val="left"/>
              <w:rPr>
                <w:rFonts w:ascii="Arial;Helvetica;sans-serif" w:hAnsi="Arial;Helvetica;sans-serif"/>
                <w:color w:val="000000"/>
                <w:sz w:val="15"/>
              </w:rPr>
            </w:pPr>
            <w:r>
              <w:rPr>
                <w:rFonts w:ascii="Arial;Helvetica;sans-serif" w:hAnsi="Arial;Helvetica;sans-serif"/>
                <w:color w:val="000000"/>
                <w:sz w:val="15"/>
              </w:rPr>
              <w:t>3/12/2025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1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3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5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129"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14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135" w:right="0" w:hanging="0"/>
              <w:jc w:val="left"/>
              <w:rPr>
                <w:rFonts w:ascii="Arial;Helvetica;sans-serif" w:hAnsi="Arial;Helvetica;sans-serif"/>
                <w:color w:val="000000"/>
                <w:sz w:val="15"/>
              </w:rPr>
            </w:pPr>
            <w:r>
              <w:rPr>
                <w:rFonts w:ascii="Arial;Helvetica;sans-serif" w:hAnsi="Arial;Helvetica;sans-serif"/>
                <w:color w:val="000000"/>
                <w:sz w:val="15"/>
              </w:rPr>
              <w:t>28,438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76" w:right="0" w:hanging="0"/>
              <w:jc w:val="left"/>
              <w:rPr>
                <w:rFonts w:ascii="Arial;Helvetica;sans-serif" w:hAnsi="Arial;Helvetica;sans-serif"/>
                <w:color w:val="000000"/>
                <w:sz w:val="15"/>
              </w:rPr>
            </w:pPr>
            <w:r>
              <w:rPr>
                <w:rFonts w:ascii="Arial;Helvetica;sans-serif" w:hAnsi="Arial;Helvetica;sans-serif"/>
                <w:color w:val="000000"/>
                <w:sz w:val="15"/>
              </w:rPr>
              <w:t xml:space="preserve">1,781,356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000000"/>
            </w:tcBorders>
            <w:tcMar>
              <w:bottom w:w="28" w:type="dxa"/>
            </w:tcMar>
            <w:vAlign w:val="center"/>
          </w:tcPr>
          <w:p>
            <w:pPr>
              <w:pStyle w:val="Normal"/>
              <w:bidi w:val="0"/>
              <w:jc w:val="left"/>
              <w:rPr/>
            </w:pPr>
            <w:r>
              <w:rPr/>
            </w:r>
          </w:p>
        </w:tc>
        <w:tc>
          <w:tcPr>
            <w:tcW w:w="1295" w:type="dxa"/>
            <w:vMerge w:val="continue"/>
            <w:tcBorders>
              <w:bottom w:val="single" w:sz="8" w:space="0" w:color="000000"/>
            </w:tcBorders>
            <w:tcMar>
              <w:bottom w:w="28" w:type="dxa"/>
            </w:tcMar>
            <w:vAlign w:val="center"/>
          </w:tcPr>
          <w:p>
            <w:pPr>
              <w:pStyle w:val="Normal"/>
              <w:bidi w:val="0"/>
              <w:jc w:val="left"/>
              <w:rPr/>
            </w:pPr>
            <w:r>
              <w:rPr/>
            </w:r>
          </w:p>
        </w:tc>
        <w:tc>
          <w:tcPr>
            <w:tcW w:w="170" w:type="dxa"/>
            <w:vMerge w:val="continue"/>
            <w:tcBorders>
              <w:bottom w:val="single" w:sz="8" w:space="0" w:color="000000"/>
            </w:tcBorders>
            <w:tcMar>
              <w:bottom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PSU</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28" w:type="dxa"/>
            </w:tcMar>
            <w:vAlign w:val="center"/>
          </w:tcPr>
          <w:p>
            <w:pPr>
              <w:pStyle w:val="TableContents"/>
              <w:bidi w:val="0"/>
              <w:spacing w:before="0" w:after="283"/>
              <w:ind w:left="13" w:right="0" w:hanging="0"/>
              <w:jc w:val="left"/>
              <w:rPr>
                <w:rFonts w:ascii="Arial;Helvetica;sans-serif" w:hAnsi="Arial;Helvetica;sans-serif"/>
                <w:color w:val="000000"/>
                <w:sz w:val="15"/>
              </w:rPr>
            </w:pPr>
            <w:r>
              <w:rPr>
                <w:rFonts w:ascii="Arial;Helvetica;sans-serif" w:hAnsi="Arial;Helvetica;sans-serif"/>
                <w:color w:val="000000"/>
                <w:sz w:val="15"/>
              </w:rPr>
              <w:t>3/12/2025</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60" w:type="dxa"/>
            <w:tcBorders>
              <w:bottom w:val="single" w:sz="8" w:space="0" w:color="000000"/>
            </w:tcBorders>
            <w:tcMar>
              <w:bottom w:w="28" w:type="dxa"/>
            </w:tcMar>
            <w:vAlign w:val="center"/>
          </w:tcPr>
          <w:p>
            <w:pPr>
              <w:pStyle w:val="TableContents"/>
              <w:bidi w:val="0"/>
              <w:spacing w:before="0" w:after="283"/>
              <w:ind w:left="116"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28" w:type="dxa"/>
            </w:tcMar>
            <w:vAlign w:val="center"/>
          </w:tcPr>
          <w:p>
            <w:pPr>
              <w:pStyle w:val="TableContents"/>
              <w:bidi w:val="0"/>
              <w:spacing w:before="0" w:after="283"/>
              <w:ind w:left="0"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15" w:type="dxa"/>
            <w:tcBorders>
              <w:bottom w:val="single" w:sz="8" w:space="0" w:color="000000"/>
            </w:tcBorders>
            <w:tcMar>
              <w:bottom w:w="28" w:type="dxa"/>
            </w:tcMar>
            <w:vAlign w:val="center"/>
          </w:tcPr>
          <w:p>
            <w:pPr>
              <w:pStyle w:val="TableContents"/>
              <w:bidi w:val="0"/>
              <w:spacing w:before="0" w:after="283"/>
              <w:ind w:left="35"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60" w:type="dxa"/>
            <w:tcBorders>
              <w:bottom w:val="single" w:sz="8" w:space="0" w:color="000000"/>
            </w:tcBorders>
            <w:tcMar>
              <w:bottom w:w="28" w:type="dxa"/>
            </w:tcMar>
            <w:vAlign w:val="center"/>
          </w:tcPr>
          <w:p>
            <w:pPr>
              <w:pStyle w:val="TableContents"/>
              <w:bidi w:val="0"/>
              <w:spacing w:before="0" w:after="283"/>
              <w:ind w:left="157" w:right="0" w:hanging="0"/>
              <w:jc w:val="left"/>
              <w:rPr>
                <w:rFonts w:ascii="Arial;Helvetica;sans-serif" w:hAnsi="Arial;Helvetica;sans-serif"/>
                <w:color w:val="000000"/>
                <w:sz w:val="15"/>
              </w:rPr>
            </w:pPr>
            <w:r>
              <w:rPr>
                <w:rFonts w:ascii="Arial;Helvetica;sans-serif" w:hAnsi="Arial;Helvetica;sans-serif"/>
                <w:color w:val="000000"/>
                <w:sz w:val="15"/>
              </w:rPr>
              <w:t>30,215</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60" w:type="dxa"/>
            <w:tcBorders>
              <w:bottom w:val="single" w:sz="8" w:space="0" w:color="000000"/>
            </w:tcBorders>
            <w:tcMar>
              <w:bottom w:w="28" w:type="dxa"/>
            </w:tcMar>
            <w:vAlign w:val="center"/>
          </w:tcPr>
          <w:p>
            <w:pPr>
              <w:pStyle w:val="TableContents"/>
              <w:bidi w:val="0"/>
              <w:spacing w:before="0" w:after="283"/>
              <w:ind w:left="129" w:right="0" w:hanging="0"/>
              <w:jc w:val="left"/>
              <w:rPr>
                <w:rFonts w:ascii="Arial;Helvetica;sans-serif" w:hAnsi="Arial;Helvetica;sans-serif"/>
                <w:color w:val="000000"/>
                <w:sz w:val="15"/>
              </w:rPr>
            </w:pPr>
            <w:r>
              <w:rPr>
                <w:rFonts w:ascii="Arial;Helvetica;sans-serif" w:hAnsi="Arial;Helvetica;sans-serif"/>
                <w:color w:val="000000"/>
                <w:sz w:val="15"/>
              </w:rPr>
              <w:t>60,430</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15" w:type="dxa"/>
            <w:tcBorders>
              <w:bottom w:val="single" w:sz="8" w:space="0" w:color="000000"/>
            </w:tcBorders>
            <w:tcMar>
              <w:bottom w:w="28" w:type="dxa"/>
            </w:tcMar>
            <w:vAlign w:val="center"/>
          </w:tcPr>
          <w:p>
            <w:pPr>
              <w:pStyle w:val="TableContents"/>
              <w:bidi w:val="0"/>
              <w:spacing w:before="0" w:after="283"/>
              <w:ind w:left="140" w:right="0" w:hanging="0"/>
              <w:jc w:val="left"/>
              <w:rPr>
                <w:rFonts w:ascii="Arial;Helvetica;sans-serif" w:hAnsi="Arial;Helvetica;sans-serif"/>
                <w:color w:val="000000"/>
                <w:sz w:val="15"/>
              </w:rPr>
            </w:pPr>
            <w:r>
              <w:rPr>
                <w:rFonts w:ascii="Arial;Helvetica;sans-serif" w:hAnsi="Arial;Helvetica;sans-serif"/>
                <w:color w:val="000000"/>
                <w:sz w:val="15"/>
              </w:rPr>
              <w:t>90,645</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ind w:left="135"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28" w:type="dxa"/>
            </w:tcMar>
            <w:vAlign w:val="center"/>
          </w:tcPr>
          <w:p>
            <w:pPr>
              <w:pStyle w:val="TableContents"/>
              <w:bidi w:val="0"/>
              <w:spacing w:before="0" w:after="283"/>
              <w:ind w:left="176" w:right="0" w:hanging="0"/>
              <w:jc w:val="left"/>
              <w:rPr>
                <w:rFonts w:ascii="Arial;Helvetica;sans-serif" w:hAnsi="Arial;Helvetica;sans-serif"/>
                <w:color w:val="000000"/>
                <w:sz w:val="15"/>
              </w:rPr>
            </w:pPr>
            <w:r>
              <w:rPr>
                <w:rFonts w:ascii="Arial;Helvetica;sans-serif" w:hAnsi="Arial;Helvetica;sans-serif"/>
                <w:color w:val="000000"/>
                <w:sz w:val="15"/>
              </w:rPr>
              <w:t xml:space="preserve">3,785,335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vMerge w:val="restart"/>
            <w:tcBorders/>
            <w:shd w:fill="CCCCCC" w:val="clear"/>
            <w:vAlign w:val="center"/>
          </w:tcPr>
          <w:p>
            <w:pPr>
              <w:pStyle w:val="TableContents"/>
              <w:bidi w:val="0"/>
              <w:spacing w:before="0" w:after="0"/>
              <w:jc w:val="left"/>
              <w:rPr/>
            </w:pPr>
            <w:r>
              <w:rPr/>
              <w:t> </w:t>
            </w:r>
          </w:p>
        </w:tc>
        <w:tc>
          <w:tcPr>
            <w:tcW w:w="1295" w:type="dxa"/>
            <w:vMerge w:val="restart"/>
            <w:tcBorders/>
            <w:shd w:fill="CCCCCC" w:val="clear"/>
            <w:vAlign w:val="center"/>
          </w:tcPr>
          <w:p>
            <w:pPr>
              <w:pStyle w:val="TableContents"/>
              <w:bidi w:val="0"/>
              <w:spacing w:before="0" w:after="283"/>
              <w:ind w:left="30" w:right="0" w:hanging="0"/>
              <w:jc w:val="left"/>
              <w:rPr>
                <w:rFonts w:ascii="Arial;Helvetica;sans-serif" w:hAnsi="Arial;Helvetica;sans-serif"/>
                <w:color w:val="000000"/>
                <w:sz w:val="15"/>
              </w:rPr>
            </w:pPr>
            <w:r>
              <w:rPr>
                <w:rFonts w:ascii="Arial;Helvetica;sans-serif" w:hAnsi="Arial;Helvetica;sans-serif"/>
                <w:color w:val="000000"/>
                <w:sz w:val="15"/>
              </w:rPr>
              <w:t xml:space="preserve">Ms. Martins </w:t>
            </w:r>
          </w:p>
        </w:tc>
        <w:tc>
          <w:tcPr>
            <w:tcW w:w="170" w:type="dxa"/>
            <w:vMerge w:val="restart"/>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55" w:type="dxa"/>
            <w:tcBorders/>
            <w:shd w:fill="CCCCCC" w:val="cle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Annual Incentive</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283"/>
              <w:ind w:left="13"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60" w:type="dxa"/>
            <w:tcBorders/>
            <w:shd w:fill="CCCCCC" w:val="clear"/>
            <w:vAlign w:val="center"/>
          </w:tcPr>
          <w:p>
            <w:pPr>
              <w:pStyle w:val="TableContents"/>
              <w:bidi w:val="0"/>
              <w:spacing w:before="0" w:after="283"/>
              <w:ind w:left="116" w:right="0" w:hanging="0"/>
              <w:jc w:val="left"/>
              <w:rPr>
                <w:rFonts w:ascii="Arial;Helvetica;sans-serif" w:hAnsi="Arial;Helvetica;sans-serif"/>
                <w:color w:val="000000"/>
                <w:sz w:val="15"/>
              </w:rPr>
            </w:pPr>
            <w:r>
              <w:rPr>
                <w:rFonts w:ascii="Arial;Helvetica;sans-serif" w:hAnsi="Arial;Helvetica;sans-serif"/>
                <w:color w:val="000000"/>
                <w:sz w:val="15"/>
              </w:rPr>
              <w:t>437,500</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875,000</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15" w:type="dxa"/>
            <w:tcBorders/>
            <w:shd w:fill="CCCCCC" w:val="clear"/>
            <w:vAlign w:val="center"/>
          </w:tcPr>
          <w:p>
            <w:pPr>
              <w:pStyle w:val="TableContents"/>
              <w:bidi w:val="0"/>
              <w:spacing w:before="0" w:after="283"/>
              <w:ind w:left="35" w:right="0" w:hanging="0"/>
              <w:jc w:val="left"/>
              <w:rPr>
                <w:rFonts w:ascii="Arial;Helvetica;sans-serif" w:hAnsi="Arial;Helvetica;sans-serif"/>
                <w:color w:val="000000"/>
                <w:sz w:val="15"/>
              </w:rPr>
            </w:pPr>
            <w:r>
              <w:rPr>
                <w:rFonts w:ascii="Arial;Helvetica;sans-serif" w:hAnsi="Arial;Helvetica;sans-serif"/>
                <w:color w:val="000000"/>
                <w:sz w:val="15"/>
              </w:rPr>
              <w:t>1,312,500</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60" w:type="dxa"/>
            <w:tcBorders/>
            <w:shd w:fill="CCCCCC" w:val="clear"/>
            <w:vAlign w:val="center"/>
          </w:tcPr>
          <w:p>
            <w:pPr>
              <w:pStyle w:val="TableContents"/>
              <w:bidi w:val="0"/>
              <w:spacing w:before="0" w:after="283"/>
              <w:ind w:left="157"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560" w:type="dxa"/>
            <w:tcBorders/>
            <w:shd w:fill="CCCCCC" w:val="clear"/>
            <w:vAlign w:val="center"/>
          </w:tcPr>
          <w:p>
            <w:pPr>
              <w:pStyle w:val="TableContents"/>
              <w:bidi w:val="0"/>
              <w:spacing w:before="0" w:after="283"/>
              <w:ind w:left="129"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15" w:type="dxa"/>
            <w:tcBorders/>
            <w:shd w:fill="CCCCCC" w:val="clear"/>
            <w:vAlign w:val="center"/>
          </w:tcPr>
          <w:p>
            <w:pPr>
              <w:pStyle w:val="TableContents"/>
              <w:bidi w:val="0"/>
              <w:spacing w:before="0" w:after="283"/>
              <w:ind w:left="140"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680" w:type="dxa"/>
            <w:tcBorders/>
            <w:shd w:fill="CCCCCC" w:val="clear"/>
            <w:vAlign w:val="center"/>
          </w:tcPr>
          <w:p>
            <w:pPr>
              <w:pStyle w:val="TableContents"/>
              <w:bidi w:val="0"/>
              <w:spacing w:before="0" w:after="283"/>
              <w:ind w:left="135"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283"/>
              <w:ind w:left="176" w:right="0" w:hanging="0"/>
              <w:jc w:val="left"/>
              <w:rPr>
                <w:color w:val="000000"/>
              </w:rPr>
            </w:pPr>
            <w:r>
              <w:rPr>
                <w:color w:val="000000"/>
              </w:rPr>
              <w:t xml:space="preserve">— </w:t>
            </w:r>
          </w:p>
        </w:tc>
        <w:tc>
          <w:tcPr>
            <w:tcW w:w="215" w:type="dxa"/>
            <w:tcBorders/>
            <w:shd w:fill="CCCCCC" w:val="clear"/>
            <w:vAlign w:val="center"/>
          </w:tcPr>
          <w:p>
            <w:pPr>
              <w:pStyle w:val="TableContents"/>
              <w:bidi w:val="0"/>
              <w:spacing w:before="0" w:after="0"/>
              <w:jc w:val="left"/>
              <w:rPr/>
            </w:pPr>
            <w:r>
              <w:rPr/>
              <w:t> </w:t>
            </w:r>
          </w:p>
        </w:tc>
      </w:tr>
      <w:tr>
        <w:trPr/>
        <w:tc>
          <w:tcPr>
            <w:tcW w:w="185" w:type="dxa"/>
            <w:vMerge w:val="continue"/>
            <w:tcBorders/>
            <w:shd w:fill="CCCCCC" w:val="clear"/>
            <w:vAlign w:val="center"/>
          </w:tcPr>
          <w:p>
            <w:pPr>
              <w:pStyle w:val="Normal"/>
              <w:bidi w:val="0"/>
              <w:jc w:val="left"/>
              <w:rPr/>
            </w:pPr>
            <w:r>
              <w:rPr/>
            </w:r>
          </w:p>
        </w:tc>
        <w:tc>
          <w:tcPr>
            <w:tcW w:w="1295" w:type="dxa"/>
            <w:vMerge w:val="continue"/>
            <w:tcBorders/>
            <w:shd w:fill="CCCCCC" w:val="clear"/>
            <w:vAlign w:val="center"/>
          </w:tcPr>
          <w:p>
            <w:pPr>
              <w:pStyle w:val="Normal"/>
              <w:bidi w:val="0"/>
              <w:jc w:val="left"/>
              <w:rPr/>
            </w:pPr>
            <w:r>
              <w:rPr/>
            </w:r>
          </w:p>
        </w:tc>
        <w:tc>
          <w:tcPr>
            <w:tcW w:w="170" w:type="dxa"/>
            <w:vMerge w:val="continue"/>
            <w:tcBorders/>
            <w:shd w:fill="CCCCCC" w:val="clear"/>
            <w:vAlign w:val="center"/>
          </w:tcPr>
          <w:p>
            <w:pPr>
              <w:pStyle w:val="Normal"/>
              <w:bidi w:val="0"/>
              <w:jc w:val="left"/>
              <w:rPr/>
            </w:pPr>
            <w:r>
              <w:rPr/>
            </w:r>
          </w:p>
        </w:tc>
        <w:tc>
          <w:tcPr>
            <w:tcW w:w="170" w:type="dxa"/>
            <w:tcBorders/>
            <w:shd w:fill="CCCCCC" w:val="clear"/>
            <w:vAlign w:val="center"/>
          </w:tcPr>
          <w:p>
            <w:pPr>
              <w:pStyle w:val="TableContents"/>
              <w:bidi w:val="0"/>
              <w:spacing w:before="0" w:after="0"/>
              <w:jc w:val="left"/>
              <w:rPr/>
            </w:pPr>
            <w:r>
              <w:rPr/>
              <w:t> </w:t>
            </w:r>
          </w:p>
        </w:tc>
        <w:tc>
          <w:tcPr>
            <w:tcW w:w="755" w:type="dxa"/>
            <w:tcBorders/>
            <w:shd w:fill="CCCCCC" w:val="cle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RSU</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283"/>
              <w:ind w:left="13" w:right="0" w:hanging="0"/>
              <w:jc w:val="left"/>
              <w:rPr>
                <w:rFonts w:ascii="Arial;Helvetica;sans-serif" w:hAnsi="Arial;Helvetica;sans-serif"/>
                <w:color w:val="000000"/>
                <w:sz w:val="15"/>
              </w:rPr>
            </w:pPr>
            <w:r>
              <w:rPr>
                <w:rFonts w:ascii="Arial;Helvetica;sans-serif" w:hAnsi="Arial;Helvetica;sans-serif"/>
                <w:color w:val="000000"/>
                <w:sz w:val="15"/>
              </w:rPr>
              <w:t>3/12/2025</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60" w:type="dxa"/>
            <w:tcBorders/>
            <w:shd w:fill="CCCCCC" w:val="clear"/>
            <w:vAlign w:val="center"/>
          </w:tcPr>
          <w:p>
            <w:pPr>
              <w:pStyle w:val="TableContents"/>
              <w:bidi w:val="0"/>
              <w:spacing w:before="0" w:after="283"/>
              <w:ind w:left="116"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15" w:type="dxa"/>
            <w:tcBorders/>
            <w:shd w:fill="CCCCCC" w:val="clear"/>
            <w:vAlign w:val="center"/>
          </w:tcPr>
          <w:p>
            <w:pPr>
              <w:pStyle w:val="TableContents"/>
              <w:bidi w:val="0"/>
              <w:spacing w:before="0" w:after="283"/>
              <w:ind w:left="35"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60" w:type="dxa"/>
            <w:tcBorders/>
            <w:shd w:fill="CCCCCC" w:val="clear"/>
            <w:vAlign w:val="center"/>
          </w:tcPr>
          <w:p>
            <w:pPr>
              <w:pStyle w:val="TableContents"/>
              <w:bidi w:val="0"/>
              <w:spacing w:before="0" w:after="283"/>
              <w:ind w:left="157"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560" w:type="dxa"/>
            <w:tcBorders/>
            <w:shd w:fill="CCCCCC" w:val="clear"/>
            <w:vAlign w:val="center"/>
          </w:tcPr>
          <w:p>
            <w:pPr>
              <w:pStyle w:val="TableContents"/>
              <w:bidi w:val="0"/>
              <w:spacing w:before="0" w:after="283"/>
              <w:ind w:left="129"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15" w:type="dxa"/>
            <w:tcBorders/>
            <w:shd w:fill="CCCCCC" w:val="clear"/>
            <w:vAlign w:val="center"/>
          </w:tcPr>
          <w:p>
            <w:pPr>
              <w:pStyle w:val="TableContents"/>
              <w:bidi w:val="0"/>
              <w:spacing w:before="0" w:after="283"/>
              <w:ind w:left="140"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680" w:type="dxa"/>
            <w:tcBorders/>
            <w:shd w:fill="CCCCCC" w:val="clear"/>
            <w:vAlign w:val="center"/>
          </w:tcPr>
          <w:p>
            <w:pPr>
              <w:pStyle w:val="TableContents"/>
              <w:bidi w:val="0"/>
              <w:spacing w:before="0" w:after="283"/>
              <w:ind w:left="135" w:right="0" w:hanging="0"/>
              <w:jc w:val="left"/>
              <w:rPr>
                <w:rFonts w:ascii="Arial;Helvetica;sans-serif" w:hAnsi="Arial;Helvetica;sans-serif"/>
                <w:color w:val="000000"/>
                <w:sz w:val="15"/>
              </w:rPr>
            </w:pPr>
            <w:r>
              <w:rPr>
                <w:rFonts w:ascii="Arial;Helvetica;sans-serif" w:hAnsi="Arial;Helvetica;sans-serif"/>
                <w:color w:val="000000"/>
                <w:sz w:val="15"/>
              </w:rPr>
              <w:t xml:space="preserve">13,769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283"/>
              <w:ind w:left="176" w:right="0" w:hanging="0"/>
              <w:jc w:val="left"/>
              <w:rPr>
                <w:rFonts w:ascii="Arial;Helvetica;sans-serif" w:hAnsi="Arial;Helvetica;sans-serif"/>
                <w:color w:val="000000"/>
                <w:sz w:val="15"/>
              </w:rPr>
            </w:pPr>
            <w:r>
              <w:rPr>
                <w:rFonts w:ascii="Arial;Helvetica;sans-serif" w:hAnsi="Arial;Helvetica;sans-serif"/>
                <w:color w:val="000000"/>
                <w:sz w:val="15"/>
              </w:rPr>
              <w:t xml:space="preserve">862,490 </w:t>
            </w:r>
          </w:p>
        </w:tc>
        <w:tc>
          <w:tcPr>
            <w:tcW w:w="215" w:type="dxa"/>
            <w:tcBorders/>
            <w:shd w:fill="CCCCCC" w:val="clear"/>
            <w:vAlign w:val="center"/>
          </w:tcPr>
          <w:p>
            <w:pPr>
              <w:pStyle w:val="TableContents"/>
              <w:bidi w:val="0"/>
              <w:spacing w:before="0" w:after="0"/>
              <w:jc w:val="left"/>
              <w:rPr/>
            </w:pPr>
            <w:r>
              <w:rPr/>
              <w:t> </w:t>
            </w:r>
          </w:p>
        </w:tc>
      </w:tr>
      <w:tr>
        <w:trPr/>
        <w:tc>
          <w:tcPr>
            <w:tcW w:w="185" w:type="dxa"/>
            <w:vMerge w:val="continue"/>
            <w:tcBorders/>
            <w:shd w:fill="CCCCCC" w:val="clear"/>
            <w:vAlign w:val="center"/>
          </w:tcPr>
          <w:p>
            <w:pPr>
              <w:pStyle w:val="Normal"/>
              <w:bidi w:val="0"/>
              <w:jc w:val="left"/>
              <w:rPr/>
            </w:pPr>
            <w:r>
              <w:rPr/>
            </w:r>
          </w:p>
        </w:tc>
        <w:tc>
          <w:tcPr>
            <w:tcW w:w="1295" w:type="dxa"/>
            <w:vMerge w:val="continue"/>
            <w:tcBorders/>
            <w:shd w:fill="CCCCCC" w:val="clear"/>
            <w:vAlign w:val="center"/>
          </w:tcPr>
          <w:p>
            <w:pPr>
              <w:pStyle w:val="Normal"/>
              <w:bidi w:val="0"/>
              <w:jc w:val="left"/>
              <w:rPr/>
            </w:pPr>
            <w:r>
              <w:rPr/>
            </w:r>
          </w:p>
        </w:tc>
        <w:tc>
          <w:tcPr>
            <w:tcW w:w="170" w:type="dxa"/>
            <w:vMerge w:val="continue"/>
            <w:tcBorders/>
            <w:shd w:fill="CCCCCC" w:val="clear"/>
            <w:vAlign w:val="center"/>
          </w:tcPr>
          <w:p>
            <w:pPr>
              <w:pStyle w:val="Normal"/>
              <w:bidi w:val="0"/>
              <w:jc w:val="left"/>
              <w:rPr/>
            </w:pPr>
            <w:r>
              <w:rPr/>
            </w:r>
          </w:p>
        </w:tc>
        <w:tc>
          <w:tcPr>
            <w:tcW w:w="170" w:type="dxa"/>
            <w:tcBorders/>
            <w:shd w:fill="CCCCCC" w:val="clear"/>
            <w:vAlign w:val="center"/>
          </w:tcPr>
          <w:p>
            <w:pPr>
              <w:pStyle w:val="TableContents"/>
              <w:bidi w:val="0"/>
              <w:spacing w:before="0" w:after="0"/>
              <w:jc w:val="left"/>
              <w:rPr/>
            </w:pPr>
            <w:r>
              <w:rPr/>
              <w:t> </w:t>
            </w:r>
          </w:p>
        </w:tc>
        <w:tc>
          <w:tcPr>
            <w:tcW w:w="755" w:type="dxa"/>
            <w:tcBorders/>
            <w:shd w:fill="CCCCCC" w:val="cle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PSU – Tranche A</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283"/>
              <w:ind w:left="13" w:right="0" w:hanging="0"/>
              <w:jc w:val="left"/>
              <w:rPr>
                <w:rFonts w:ascii="Arial;Helvetica;sans-serif" w:hAnsi="Arial;Helvetica;sans-serif"/>
                <w:color w:val="000000"/>
                <w:sz w:val="15"/>
              </w:rPr>
            </w:pPr>
            <w:r>
              <w:rPr>
                <w:rFonts w:ascii="Arial;Helvetica;sans-serif" w:hAnsi="Arial;Helvetica;sans-serif"/>
                <w:color w:val="000000"/>
                <w:sz w:val="15"/>
              </w:rPr>
              <w:t>3/12/2025</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60" w:type="dxa"/>
            <w:tcBorders/>
            <w:shd w:fill="CCCCCC" w:val="clear"/>
            <w:vAlign w:val="center"/>
          </w:tcPr>
          <w:p>
            <w:pPr>
              <w:pStyle w:val="TableContents"/>
              <w:bidi w:val="0"/>
              <w:spacing w:before="0" w:after="283"/>
              <w:ind w:left="116" w:right="0" w:hanging="0"/>
              <w:jc w:val="left"/>
              <w:rPr>
                <w:color w:val="000000"/>
              </w:rPr>
            </w:pPr>
            <w:r>
              <w:rPr>
                <w:color w:val="000000"/>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15" w:type="dxa"/>
            <w:tcBorders/>
            <w:shd w:fill="CCCCCC" w:val="clear"/>
            <w:vAlign w:val="center"/>
          </w:tcPr>
          <w:p>
            <w:pPr>
              <w:pStyle w:val="TableContents"/>
              <w:bidi w:val="0"/>
              <w:spacing w:before="0" w:after="283"/>
              <w:ind w:left="35" w:right="0" w:hanging="0"/>
              <w:jc w:val="left"/>
              <w:rPr>
                <w:color w:val="000000"/>
              </w:rPr>
            </w:pPr>
            <w:r>
              <w:rPr>
                <w:color w:val="000000"/>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60" w:type="dxa"/>
            <w:tcBorders/>
            <w:shd w:fill="CCCCCC" w:val="clear"/>
            <w:vAlign w:val="center"/>
          </w:tcPr>
          <w:p>
            <w:pPr>
              <w:pStyle w:val="TableContents"/>
              <w:bidi w:val="0"/>
              <w:spacing w:before="0" w:after="283"/>
              <w:ind w:left="157" w:right="0" w:hanging="0"/>
              <w:jc w:val="left"/>
              <w:rPr>
                <w:rFonts w:ascii="Arial;Helvetica;sans-serif" w:hAnsi="Arial;Helvetica;sans-serif"/>
                <w:color w:val="000000"/>
                <w:sz w:val="15"/>
              </w:rPr>
            </w:pPr>
            <w:r>
              <w:rPr>
                <w:rFonts w:ascii="Arial;Helvetica;sans-serif" w:hAnsi="Arial;Helvetica;sans-serif"/>
                <w:color w:val="000000"/>
                <w:sz w:val="15"/>
              </w:rPr>
              <w:t>6,885</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560" w:type="dxa"/>
            <w:tcBorders/>
            <w:shd w:fill="CCCCCC" w:val="clear"/>
            <w:vAlign w:val="center"/>
          </w:tcPr>
          <w:p>
            <w:pPr>
              <w:pStyle w:val="TableContents"/>
              <w:bidi w:val="0"/>
              <w:spacing w:before="0" w:after="283"/>
              <w:ind w:left="129" w:right="0" w:hanging="0"/>
              <w:jc w:val="left"/>
              <w:rPr>
                <w:rFonts w:ascii="Arial;Helvetica;sans-serif" w:hAnsi="Arial;Helvetica;sans-serif"/>
                <w:color w:val="000000"/>
                <w:sz w:val="15"/>
              </w:rPr>
            </w:pPr>
            <w:r>
              <w:rPr>
                <w:rFonts w:ascii="Arial;Helvetica;sans-serif" w:hAnsi="Arial;Helvetica;sans-serif"/>
                <w:color w:val="000000"/>
                <w:sz w:val="15"/>
              </w:rPr>
              <w:t>13,769</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15" w:type="dxa"/>
            <w:tcBorders/>
            <w:shd w:fill="CCCCCC" w:val="clear"/>
            <w:vAlign w:val="center"/>
          </w:tcPr>
          <w:p>
            <w:pPr>
              <w:pStyle w:val="TableContents"/>
              <w:bidi w:val="0"/>
              <w:spacing w:before="0" w:after="283"/>
              <w:ind w:left="140" w:right="0" w:hanging="0"/>
              <w:jc w:val="left"/>
              <w:rPr>
                <w:rFonts w:ascii="Arial;Helvetica;sans-serif" w:hAnsi="Arial;Helvetica;sans-serif"/>
                <w:color w:val="000000"/>
                <w:sz w:val="15"/>
              </w:rPr>
            </w:pPr>
            <w:r>
              <w:rPr>
                <w:rFonts w:ascii="Arial;Helvetica;sans-serif" w:hAnsi="Arial;Helvetica;sans-serif"/>
                <w:color w:val="000000"/>
                <w:sz w:val="15"/>
              </w:rPr>
              <w:t>20,654</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680" w:type="dxa"/>
            <w:tcBorders/>
            <w:shd w:fill="CCCCCC" w:val="clear"/>
            <w:vAlign w:val="center"/>
          </w:tcPr>
          <w:p>
            <w:pPr>
              <w:pStyle w:val="TableContents"/>
              <w:bidi w:val="0"/>
              <w:spacing w:before="0" w:after="283"/>
              <w:ind w:left="135" w:right="0" w:hanging="0"/>
              <w:jc w:val="left"/>
              <w:rPr>
                <w:color w:val="000000"/>
              </w:rPr>
            </w:pPr>
            <w:r>
              <w:rPr>
                <w:color w:val="000000"/>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283"/>
              <w:ind w:left="176" w:right="0" w:hanging="0"/>
              <w:jc w:val="left"/>
              <w:rPr>
                <w:rFonts w:ascii="Arial;Helvetica;sans-serif" w:hAnsi="Arial;Helvetica;sans-serif"/>
                <w:color w:val="000000"/>
                <w:sz w:val="15"/>
              </w:rPr>
            </w:pPr>
            <w:r>
              <w:rPr>
                <w:rFonts w:ascii="Arial;Helvetica;sans-serif" w:hAnsi="Arial;Helvetica;sans-serif"/>
                <w:color w:val="000000"/>
                <w:sz w:val="15"/>
              </w:rPr>
              <w:t xml:space="preserve">862,490 </w:t>
            </w:r>
          </w:p>
        </w:tc>
        <w:tc>
          <w:tcPr>
            <w:tcW w:w="215" w:type="dxa"/>
            <w:tcBorders/>
            <w:shd w:fill="CCCCCC" w:val="clear"/>
            <w:vAlign w:val="center"/>
          </w:tcPr>
          <w:p>
            <w:pPr>
              <w:pStyle w:val="TableContents"/>
              <w:bidi w:val="0"/>
              <w:spacing w:before="0" w:after="0"/>
              <w:jc w:val="left"/>
              <w:rPr/>
            </w:pPr>
            <w:r>
              <w:rPr/>
              <w:t> </w:t>
            </w:r>
          </w:p>
        </w:tc>
      </w:tr>
      <w:tr>
        <w:trPr/>
        <w:tc>
          <w:tcPr>
            <w:tcW w:w="185" w:type="dxa"/>
            <w:vMerge w:val="continue"/>
            <w:tcBorders/>
            <w:shd w:fill="CCCCCC" w:val="clear"/>
            <w:vAlign w:val="center"/>
          </w:tcPr>
          <w:p>
            <w:pPr>
              <w:pStyle w:val="Normal"/>
              <w:bidi w:val="0"/>
              <w:jc w:val="left"/>
              <w:rPr/>
            </w:pPr>
            <w:r>
              <w:rPr/>
            </w:r>
          </w:p>
        </w:tc>
        <w:tc>
          <w:tcPr>
            <w:tcW w:w="1295" w:type="dxa"/>
            <w:vMerge w:val="continue"/>
            <w:tcBorders/>
            <w:shd w:fill="CCCCCC" w:val="clear"/>
            <w:vAlign w:val="center"/>
          </w:tcPr>
          <w:p>
            <w:pPr>
              <w:pStyle w:val="Normal"/>
              <w:bidi w:val="0"/>
              <w:jc w:val="left"/>
              <w:rPr/>
            </w:pPr>
            <w:r>
              <w:rPr/>
            </w:r>
          </w:p>
        </w:tc>
        <w:tc>
          <w:tcPr>
            <w:tcW w:w="170" w:type="dxa"/>
            <w:vMerge w:val="continue"/>
            <w:tcBorders/>
            <w:shd w:fill="CCCCCC" w:val="clear"/>
            <w:vAlign w:val="center"/>
          </w:tcPr>
          <w:p>
            <w:pPr>
              <w:pStyle w:val="Normal"/>
              <w:bidi w:val="0"/>
              <w:jc w:val="left"/>
              <w:rPr/>
            </w:pPr>
            <w:r>
              <w:rPr/>
            </w:r>
          </w:p>
        </w:tc>
        <w:tc>
          <w:tcPr>
            <w:tcW w:w="170" w:type="dxa"/>
            <w:tcBorders/>
            <w:shd w:fill="CCCCCC" w:val="clear"/>
            <w:vAlign w:val="center"/>
          </w:tcPr>
          <w:p>
            <w:pPr>
              <w:pStyle w:val="TableContents"/>
              <w:bidi w:val="0"/>
              <w:spacing w:before="0" w:after="0"/>
              <w:jc w:val="left"/>
              <w:rPr/>
            </w:pPr>
            <w:r>
              <w:rPr/>
              <w:t> </w:t>
            </w:r>
          </w:p>
        </w:tc>
        <w:tc>
          <w:tcPr>
            <w:tcW w:w="755" w:type="dxa"/>
            <w:tcBorders/>
            <w:shd w:fill="CCCCCC" w:val="cle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PSU – Tranche B</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283"/>
              <w:ind w:left="13" w:right="0" w:hanging="0"/>
              <w:jc w:val="left"/>
              <w:rPr>
                <w:rFonts w:ascii="Arial;Helvetica;sans-serif" w:hAnsi="Arial;Helvetica;sans-serif"/>
                <w:color w:val="000000"/>
                <w:sz w:val="15"/>
              </w:rPr>
            </w:pPr>
            <w:r>
              <w:rPr>
                <w:rFonts w:ascii="Arial;Helvetica;sans-serif" w:hAnsi="Arial;Helvetica;sans-serif"/>
                <w:color w:val="000000"/>
                <w:sz w:val="15"/>
              </w:rPr>
              <w:t>3/12/2025</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60" w:type="dxa"/>
            <w:tcBorders/>
            <w:shd w:fill="CCCCCC" w:val="clear"/>
            <w:vAlign w:val="center"/>
          </w:tcPr>
          <w:p>
            <w:pPr>
              <w:pStyle w:val="TableContents"/>
              <w:bidi w:val="0"/>
              <w:spacing w:before="0" w:after="283"/>
              <w:ind w:left="116"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15" w:type="dxa"/>
            <w:tcBorders/>
            <w:shd w:fill="CCCCCC" w:val="clear"/>
            <w:vAlign w:val="center"/>
          </w:tcPr>
          <w:p>
            <w:pPr>
              <w:pStyle w:val="TableContents"/>
              <w:bidi w:val="0"/>
              <w:spacing w:before="0" w:after="283"/>
              <w:ind w:left="35"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60" w:type="dxa"/>
            <w:tcBorders/>
            <w:shd w:fill="CCCCCC" w:val="clear"/>
            <w:vAlign w:val="center"/>
          </w:tcPr>
          <w:p>
            <w:pPr>
              <w:pStyle w:val="TableContents"/>
              <w:bidi w:val="0"/>
              <w:spacing w:before="0" w:after="283"/>
              <w:ind w:left="157" w:right="0" w:hanging="0"/>
              <w:jc w:val="left"/>
              <w:rPr>
                <w:rFonts w:ascii="Arial;Helvetica;sans-serif" w:hAnsi="Arial;Helvetica;sans-serif"/>
                <w:color w:val="000000"/>
                <w:sz w:val="15"/>
              </w:rPr>
            </w:pPr>
            <w:r>
              <w:rPr>
                <w:rFonts w:ascii="Arial;Helvetica;sans-serif" w:hAnsi="Arial;Helvetica;sans-serif"/>
                <w:color w:val="000000"/>
                <w:sz w:val="15"/>
              </w:rPr>
              <w:t>3,153</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560" w:type="dxa"/>
            <w:tcBorders/>
            <w:shd w:fill="CCCCCC" w:val="clear"/>
            <w:vAlign w:val="center"/>
          </w:tcPr>
          <w:p>
            <w:pPr>
              <w:pStyle w:val="TableContents"/>
              <w:bidi w:val="0"/>
              <w:spacing w:before="0" w:after="283"/>
              <w:ind w:left="129" w:right="0" w:hanging="0"/>
              <w:jc w:val="left"/>
              <w:rPr>
                <w:rFonts w:ascii="Arial;Helvetica;sans-serif" w:hAnsi="Arial;Helvetica;sans-serif"/>
                <w:color w:val="000000"/>
                <w:sz w:val="15"/>
              </w:rPr>
            </w:pPr>
            <w:r>
              <w:rPr>
                <w:rFonts w:ascii="Arial;Helvetica;sans-serif" w:hAnsi="Arial;Helvetica;sans-serif"/>
                <w:color w:val="000000"/>
                <w:sz w:val="15"/>
              </w:rPr>
              <w:t>6,306</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15" w:type="dxa"/>
            <w:tcBorders/>
            <w:shd w:fill="CCCCCC" w:val="clear"/>
            <w:vAlign w:val="center"/>
          </w:tcPr>
          <w:p>
            <w:pPr>
              <w:pStyle w:val="TableContents"/>
              <w:bidi w:val="0"/>
              <w:spacing w:before="0" w:after="283"/>
              <w:ind w:left="140" w:right="0" w:hanging="0"/>
              <w:jc w:val="left"/>
              <w:rPr>
                <w:rFonts w:ascii="Arial;Helvetica;sans-serif" w:hAnsi="Arial;Helvetica;sans-serif"/>
                <w:color w:val="000000"/>
                <w:sz w:val="15"/>
              </w:rPr>
            </w:pPr>
            <w:r>
              <w:rPr>
                <w:rFonts w:ascii="Arial;Helvetica;sans-serif" w:hAnsi="Arial;Helvetica;sans-serif"/>
                <w:color w:val="000000"/>
                <w:sz w:val="15"/>
              </w:rPr>
              <w:t>6,306</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680" w:type="dxa"/>
            <w:tcBorders/>
            <w:shd w:fill="CCCCCC" w:val="clear"/>
            <w:vAlign w:val="center"/>
          </w:tcPr>
          <w:p>
            <w:pPr>
              <w:pStyle w:val="TableContents"/>
              <w:bidi w:val="0"/>
              <w:spacing w:before="0" w:after="283"/>
              <w:ind w:left="135"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283"/>
              <w:ind w:left="176" w:right="0" w:hanging="0"/>
              <w:jc w:val="left"/>
              <w:rPr>
                <w:rFonts w:ascii="Arial;Helvetica;sans-serif" w:hAnsi="Arial;Helvetica;sans-serif"/>
                <w:color w:val="000000"/>
                <w:sz w:val="15"/>
              </w:rPr>
            </w:pPr>
            <w:r>
              <w:rPr>
                <w:rFonts w:ascii="Arial;Helvetica;sans-serif" w:hAnsi="Arial;Helvetica;sans-serif"/>
                <w:color w:val="000000"/>
                <w:sz w:val="15"/>
              </w:rPr>
              <w:t>395,008</w:t>
            </w:r>
          </w:p>
        </w:tc>
        <w:tc>
          <w:tcPr>
            <w:tcW w:w="215" w:type="dxa"/>
            <w:tcBorders/>
            <w:shd w:fill="CCCCCC" w:val="clear"/>
            <w:vAlign w:val="center"/>
          </w:tcPr>
          <w:p>
            <w:pPr>
              <w:pStyle w:val="TableContents"/>
              <w:bidi w:val="0"/>
              <w:spacing w:before="0" w:after="0"/>
              <w:jc w:val="left"/>
              <w:rPr/>
            </w:pPr>
            <w:r>
              <w:rPr/>
              <w:t> </w:t>
            </w:r>
          </w:p>
        </w:tc>
      </w:tr>
      <w:tr>
        <w:trPr/>
        <w:tc>
          <w:tcPr>
            <w:tcW w:w="185" w:type="dxa"/>
            <w:tcBorders/>
            <w:shd w:fill="CCCCCC" w:val="clear"/>
            <w:vAlign w:val="center"/>
          </w:tcPr>
          <w:p>
            <w:pPr>
              <w:pStyle w:val="TableContents"/>
              <w:bidi w:val="0"/>
              <w:spacing w:before="0" w:after="0"/>
              <w:jc w:val="left"/>
              <w:rPr/>
            </w:pPr>
            <w:r>
              <w:rPr/>
              <w:t> </w:t>
            </w:r>
          </w:p>
        </w:tc>
        <w:tc>
          <w:tcPr>
            <w:tcW w:w="1295"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55"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6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15"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6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56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15"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68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0"/>
              <w:jc w:val="left"/>
              <w:rPr/>
            </w:pPr>
            <w:r>
              <w:rPr/>
              <w:t> </w:t>
            </w:r>
          </w:p>
        </w:tc>
        <w:tc>
          <w:tcPr>
            <w:tcW w:w="215" w:type="dxa"/>
            <w:tcBorders/>
            <w:shd w:fill="CCCCCC"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(a)</w:t>
            </w:r>
          </w:p>
        </w:tc>
        <w:tc>
          <w:tcPr>
            <w:tcW w:w="9976"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Reflects pay opportunity under the 2025 AIP, which is discussed in the CD&amp;A. Amounts actually earned and paid for 2025 performance are reflected in the Summary Compensation Table. Reflects pro-rated amounts for the CEO and CFO transitions as applicable. </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(b)</w:t>
            </w:r>
          </w:p>
        </w:tc>
        <w:tc>
          <w:tcPr>
            <w:tcW w:w="9994"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For Mr. Ferraro, represents an award of PSUs which were eligible to vest in March 2026, but did not achieve the minimum level of performance for payout. For the other executives, Tranche A represents awards of PSUs which are scheduled to vest in March 2028, subject to both continued service through the vesting date and attainment of performance goals. Tranche B represents awards of PSUs which are scheduled to vest in March 2027, subject to both continued service through the vesting date and attainment of performance goals. The PSU awards are further described in the CD&amp;A under “2025 Long-Term Incentive Awards”.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(c)</w:t>
            </w:r>
          </w:p>
        </w:tc>
        <w:tc>
          <w:tcPr>
            <w:tcW w:w="9977"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Generally represents RSUs which are scheduled to vest in equal installments on each of the first three anniversaries of the date of grant, subject to continued service through each vesting date. For Mr. Ferraro, represents RSUs granted with a vesting date on March 12, 2026.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(d)</w:t>
            </w:r>
          </w:p>
        </w:tc>
        <w:tc>
          <w:tcPr>
            <w:tcW w:w="9966"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Represents the aggregate grant date fair value computed by multiplying the number of shares (in the case of PSUs, based on target level as the probable outcome) by the closing price on the grant date.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36</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8" w:name="ny20066167x1_def14a_107-summary_pg5"/>
        <w:bookmarkEnd w:id="78"/>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000000"/>
          <w:sz w:val="28"/>
        </w:rPr>
      </w:pPr>
      <w:bookmarkStart w:id="79" w:name="tOEA"/>
      <w:bookmarkEnd w:id="79"/>
      <w:r>
        <w:rPr>
          <w:rFonts w:ascii="Arial;Helvetica;sans-serif" w:hAnsi="Arial;Helvetica;sans-serif"/>
          <w:b/>
          <w:color w:val="000000"/>
          <w:sz w:val="28"/>
        </w:rPr>
        <w:t xml:space="preserve">Outstanding Equity Awards at Fiscal Year-End Table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The following table reflects information regarding our outstanding stock awards at December 31, 2025. There were no stock options outstanding. </w:t>
      </w:r>
    </w:p>
    <w:tbl>
      <w:tblPr>
        <w:tblW w:w="9000" w:type="dxa"/>
        <w:jc w:val="left"/>
        <w:tblInd w:w="0" w:type="dxa"/>
        <w:tblLayout w:type="fixed"/>
        <w:tblCellMar>
          <w:top w:w="0" w:type="dxa"/>
          <w:left w:w="0" w:type="dxa"/>
          <w:bottom w:w="0" w:type="dxa"/>
          <w:right w:w="0" w:type="dxa"/>
        </w:tblCellMar>
      </w:tblPr>
      <w:tblGrid>
        <w:gridCol w:w="185"/>
        <w:gridCol w:w="1145"/>
        <w:gridCol w:w="170"/>
        <w:gridCol w:w="170"/>
        <w:gridCol w:w="905"/>
        <w:gridCol w:w="170"/>
        <w:gridCol w:w="170"/>
        <w:gridCol w:w="1220"/>
        <w:gridCol w:w="170"/>
        <w:gridCol w:w="170"/>
        <w:gridCol w:w="1220"/>
        <w:gridCol w:w="170"/>
        <w:gridCol w:w="170"/>
        <w:gridCol w:w="1205"/>
        <w:gridCol w:w="170"/>
        <w:gridCol w:w="170"/>
        <w:gridCol w:w="1205"/>
        <w:gridCol w:w="215"/>
      </w:tblGrid>
      <w:tr>
        <w:trPr/>
        <w:tc>
          <w:tcPr>
            <w:tcW w:w="185"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870" w:type="dxa"/>
            <w:gridSpan w:val="10"/>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870" w:type="dxa"/>
            <w:gridSpan w:val="10"/>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Stock Awards (a)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145" w:type="dxa"/>
            <w:tcBorders>
              <w:bottom w:val="single" w:sz="8" w:space="0" w:color="000000"/>
            </w:tcBorders>
            <w:tcMar>
              <w:bottom w:w="43" w:type="dxa"/>
            </w:tcM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Name</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05"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Grant Date</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20"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Number of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Shares or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Units of Stock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That Have Not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Vested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20"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Market Value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of Shares or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Units of Stock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That Have Not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Vested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05"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Equity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Incentive Plan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Awards: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Number of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Unearned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Shares, Units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or Other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Rights That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Have Not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Vested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05"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Equity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Incentive Plan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Awards: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Market or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Payout Value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of Unearned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Shares, Units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or Other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Rights That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Have Not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Vested ($)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145" w:type="dxa"/>
            <w:vMerge w:val="restart"/>
            <w:tcBorders>
              <w:bottom w:val="single" w:sz="8" w:space="0" w:color="000000"/>
            </w:tcBorders>
            <w:shd w:fill="CCCCCC" w:val="clear"/>
            <w:tcMar>
              <w:bottom w:w="38" w:type="dxa"/>
            </w:tcMar>
            <w:vAlign w:val="center"/>
          </w:tcPr>
          <w:p>
            <w:pPr>
              <w:pStyle w:val="TableContents"/>
              <w:bidi w:val="0"/>
              <w:spacing w:before="0" w:after="283"/>
              <w:ind w:left="30" w:right="0" w:hanging="0"/>
              <w:jc w:val="left"/>
              <w:rPr>
                <w:rFonts w:ascii="Arial;Helvetica;sans-serif" w:hAnsi="Arial;Helvetica;sans-serif"/>
                <w:color w:val="000000"/>
                <w:sz w:val="14"/>
              </w:rPr>
            </w:pPr>
            <w:r>
              <w:rPr>
                <w:rFonts w:ascii="Arial;Helvetica;sans-serif" w:hAnsi="Arial;Helvetica;sans-serif"/>
                <w:color w:val="000000"/>
                <w:sz w:val="14"/>
              </w:rPr>
              <w:t>Mr. Choi</w:t>
            </w:r>
          </w:p>
        </w:tc>
        <w:tc>
          <w:tcPr>
            <w:tcW w:w="170" w:type="dxa"/>
            <w:vMerge w:val="restart"/>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905" w:type="dxa"/>
            <w:tcBorders/>
            <w:shd w:fill="CCCCCC" w:val="clear"/>
            <w:vAlign w:val="center"/>
          </w:tcPr>
          <w:p>
            <w:pPr>
              <w:pStyle w:val="TableContents"/>
              <w:bidi w:val="0"/>
              <w:spacing w:before="0" w:after="283"/>
              <w:ind w:left="98" w:right="0" w:hanging="0"/>
              <w:jc w:val="left"/>
              <w:rPr>
                <w:rFonts w:ascii="Arial;Helvetica;sans-serif" w:hAnsi="Arial;Helvetica;sans-serif"/>
                <w:color w:val="000000"/>
                <w:sz w:val="14"/>
              </w:rPr>
            </w:pPr>
            <w:r>
              <w:rPr>
                <w:rFonts w:ascii="Arial;Helvetica;sans-serif" w:hAnsi="Arial;Helvetica;sans-serif"/>
                <w:color w:val="000000"/>
                <w:sz w:val="14"/>
              </w:rPr>
              <w:t>3/12/2025</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20" w:type="dxa"/>
            <w:tcBorders/>
            <w:shd w:fill="CCCCCC" w:val="clear"/>
            <w:vAlign w:val="center"/>
          </w:tcPr>
          <w:p>
            <w:pPr>
              <w:pStyle w:val="TableContents"/>
              <w:bidi w:val="0"/>
              <w:spacing w:before="0" w:after="283"/>
              <w:ind w:left="300" w:right="0" w:hanging="0"/>
              <w:jc w:val="left"/>
              <w:rPr>
                <w:rFonts w:ascii="Arial;Helvetica;sans-serif" w:hAnsi="Arial;Helvetica;sans-serif"/>
                <w:color w:val="000000"/>
                <w:sz w:val="14"/>
              </w:rPr>
            </w:pPr>
            <w:r>
              <w:rPr>
                <w:rFonts w:ascii="Arial;Helvetica;sans-serif" w:hAnsi="Arial;Helvetica;sans-serif"/>
                <w:color w:val="000000"/>
                <w:sz w:val="14"/>
              </w:rPr>
              <w:t>29,933(e)</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20" w:type="dxa"/>
            <w:tcBorders/>
            <w:shd w:fill="CCCCCC" w:val="clear"/>
            <w:vAlign w:val="center"/>
          </w:tcPr>
          <w:p>
            <w:pPr>
              <w:pStyle w:val="TableContents"/>
              <w:bidi w:val="0"/>
              <w:spacing w:before="0" w:after="283"/>
              <w:ind w:left="226" w:right="0" w:hanging="0"/>
              <w:jc w:val="left"/>
              <w:rPr>
                <w:rFonts w:ascii="Arial;Helvetica;sans-serif" w:hAnsi="Arial;Helvetica;sans-serif"/>
                <w:color w:val="000000"/>
                <w:sz w:val="14"/>
              </w:rPr>
            </w:pPr>
            <w:r>
              <w:rPr>
                <w:rFonts w:ascii="Arial;Helvetica;sans-serif" w:hAnsi="Arial;Helvetica;sans-serif"/>
                <w:color w:val="000000"/>
                <w:sz w:val="14"/>
              </w:rPr>
              <w:t>3,841,003</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05" w:type="dxa"/>
            <w:tcBorders/>
            <w:shd w:fill="CCCCCC" w:val="clear"/>
            <w:vAlign w:val="center"/>
          </w:tcPr>
          <w:p>
            <w:pPr>
              <w:pStyle w:val="TableContents"/>
              <w:bidi w:val="0"/>
              <w:spacing w:before="0" w:after="283"/>
              <w:ind w:left="301" w:right="0" w:hanging="0"/>
              <w:jc w:val="left"/>
              <w:rPr>
                <w:rFonts w:ascii="Arial;Helvetica;sans-serif" w:hAnsi="Arial;Helvetica;sans-serif"/>
                <w:color w:val="000000"/>
                <w:sz w:val="14"/>
              </w:rPr>
            </w:pPr>
            <w:r>
              <w:rPr>
                <w:rFonts w:ascii="Arial;Helvetica;sans-serif" w:hAnsi="Arial;Helvetica;sans-serif"/>
                <w:color w:val="000000"/>
                <w:sz w:val="14"/>
              </w:rPr>
              <w:t>16,463(k)</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05" w:type="dxa"/>
            <w:tcBorders/>
            <w:shd w:fill="CCCCCC" w:val="clear"/>
            <w:vAlign w:val="center"/>
          </w:tcPr>
          <w:p>
            <w:pPr>
              <w:pStyle w:val="TableContents"/>
              <w:bidi w:val="0"/>
              <w:spacing w:before="0" w:after="283"/>
              <w:ind w:left="227" w:right="0" w:hanging="0"/>
              <w:jc w:val="left"/>
              <w:rPr>
                <w:rFonts w:ascii="Arial;Helvetica;sans-serif" w:hAnsi="Arial;Helvetica;sans-serif"/>
                <w:color w:val="000000"/>
                <w:sz w:val="14"/>
              </w:rPr>
            </w:pPr>
            <w:r>
              <w:rPr>
                <w:rFonts w:ascii="Arial;Helvetica;sans-serif" w:hAnsi="Arial;Helvetica;sans-serif"/>
                <w:color w:val="000000"/>
                <w:sz w:val="14"/>
              </w:rPr>
              <w:t xml:space="preserve">2,112,532 </w:t>
            </w:r>
          </w:p>
        </w:tc>
        <w:tc>
          <w:tcPr>
            <w:tcW w:w="215" w:type="dxa"/>
            <w:tcBorders/>
            <w:shd w:fill="CCCCCC" w:val="clear"/>
            <w:vAlign w:val="center"/>
          </w:tcPr>
          <w:p>
            <w:pPr>
              <w:pStyle w:val="TableContents"/>
              <w:bidi w:val="0"/>
              <w:spacing w:before="0" w:after="0"/>
              <w:jc w:val="left"/>
              <w:rPr/>
            </w:pPr>
            <w:r>
              <w:rPr/>
              <w:t> </w:t>
            </w:r>
          </w:p>
        </w:tc>
      </w:tr>
      <w:tr>
        <w:trPr/>
        <w:tc>
          <w:tcPr>
            <w:tcW w:w="185" w:type="dxa"/>
            <w:vMerge w:val="continue"/>
            <w:tcBorders>
              <w:bottom w:val="single" w:sz="8" w:space="0" w:color="000000"/>
            </w:tcBorders>
            <w:shd w:fill="CCCCCC" w:val="clear"/>
            <w:tcMar>
              <w:bottom w:w="28" w:type="dxa"/>
            </w:tcMar>
            <w:vAlign w:val="center"/>
          </w:tcPr>
          <w:p>
            <w:pPr>
              <w:pStyle w:val="Normal"/>
              <w:bidi w:val="0"/>
              <w:jc w:val="left"/>
              <w:rPr/>
            </w:pPr>
            <w:r>
              <w:rPr/>
            </w:r>
          </w:p>
        </w:tc>
        <w:tc>
          <w:tcPr>
            <w:tcW w:w="1145" w:type="dxa"/>
            <w:vMerge w:val="continue"/>
            <w:tcBorders>
              <w:bottom w:val="single" w:sz="8" w:space="0" w:color="000000"/>
            </w:tcBorders>
            <w:shd w:fill="CCCCCC" w:val="clear"/>
            <w:tcMar>
              <w:bottom w:w="38" w:type="dxa"/>
            </w:tcMar>
            <w:vAlign w:val="center"/>
          </w:tcPr>
          <w:p>
            <w:pPr>
              <w:pStyle w:val="Normal"/>
              <w:bidi w:val="0"/>
              <w:jc w:val="left"/>
              <w:rPr/>
            </w:pPr>
            <w:r>
              <w:rPr/>
            </w:r>
          </w:p>
        </w:tc>
        <w:tc>
          <w:tcPr>
            <w:tcW w:w="170" w:type="dxa"/>
            <w:vMerge w:val="continue"/>
            <w:tcBorders>
              <w:bottom w:val="single" w:sz="8" w:space="0" w:color="000000"/>
            </w:tcBorders>
            <w:shd w:fill="CCCCCC" w:val="clear"/>
            <w:tcMar>
              <w:bottom w:w="28" w:type="dxa"/>
            </w:tcMar>
            <w:vAlign w:val="center"/>
          </w:tcPr>
          <w:p>
            <w:pPr>
              <w:pStyle w:val="Normal"/>
              <w:bidi w:val="0"/>
              <w:jc w:val="left"/>
              <w:rPr/>
            </w:pPr>
            <w:r>
              <w:rPr/>
            </w:r>
          </w:p>
        </w:tc>
        <w:tc>
          <w:tcPr>
            <w:tcW w:w="170" w:type="dxa"/>
            <w:tcBorders/>
            <w:shd w:fill="CCCCCC" w:val="clear"/>
            <w:vAlign w:val="center"/>
          </w:tcPr>
          <w:p>
            <w:pPr>
              <w:pStyle w:val="TableContents"/>
              <w:bidi w:val="0"/>
              <w:spacing w:before="0" w:after="0"/>
              <w:jc w:val="left"/>
              <w:rPr/>
            </w:pPr>
            <w:r>
              <w:rPr/>
              <w:t> </w:t>
            </w:r>
          </w:p>
        </w:tc>
        <w:tc>
          <w:tcPr>
            <w:tcW w:w="905" w:type="dxa"/>
            <w:tcBorders/>
            <w:shd w:fill="CCCCCC" w:val="clear"/>
            <w:vAlign w:val="center"/>
          </w:tcPr>
          <w:p>
            <w:pPr>
              <w:pStyle w:val="TableContents"/>
              <w:bidi w:val="0"/>
              <w:spacing w:before="0" w:after="283"/>
              <w:ind w:left="98" w:right="0" w:hanging="0"/>
              <w:jc w:val="left"/>
              <w:rPr>
                <w:rFonts w:ascii="Arial;Helvetica;sans-serif" w:hAnsi="Arial;Helvetica;sans-serif"/>
                <w:color w:val="000000"/>
                <w:sz w:val="14"/>
              </w:rPr>
            </w:pPr>
            <w:r>
              <w:rPr>
                <w:rFonts w:ascii="Arial;Helvetica;sans-serif" w:hAnsi="Arial;Helvetica;sans-serif"/>
                <w:color w:val="000000"/>
                <w:sz w:val="14"/>
              </w:rPr>
              <w:t>3/12/2025</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20" w:type="dxa"/>
            <w:tcBorders/>
            <w:shd w:fill="CCCCCC" w:val="clear"/>
            <w:vAlign w:val="center"/>
          </w:tcPr>
          <w:p>
            <w:pPr>
              <w:pStyle w:val="TableContents"/>
              <w:bidi w:val="0"/>
              <w:spacing w:before="0" w:after="283"/>
              <w:ind w:left="300"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20" w:type="dxa"/>
            <w:tcBorders/>
            <w:shd w:fill="CCCCCC" w:val="clear"/>
            <w:vAlign w:val="center"/>
          </w:tcPr>
          <w:p>
            <w:pPr>
              <w:pStyle w:val="TableContents"/>
              <w:bidi w:val="0"/>
              <w:spacing w:before="0" w:after="283"/>
              <w:ind w:left="226"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05" w:type="dxa"/>
            <w:tcBorders/>
            <w:shd w:fill="CCCCCC" w:val="clear"/>
            <w:vAlign w:val="center"/>
          </w:tcPr>
          <w:p>
            <w:pPr>
              <w:pStyle w:val="TableContents"/>
              <w:bidi w:val="0"/>
              <w:spacing w:before="0" w:after="283"/>
              <w:ind w:left="301" w:right="0" w:hanging="0"/>
              <w:jc w:val="left"/>
              <w:rPr>
                <w:rFonts w:ascii="Arial;Helvetica;sans-serif" w:hAnsi="Arial;Helvetica;sans-serif"/>
                <w:color w:val="000000"/>
                <w:sz w:val="14"/>
              </w:rPr>
            </w:pPr>
            <w:r>
              <w:rPr>
                <w:rFonts w:ascii="Arial;Helvetica;sans-serif" w:hAnsi="Arial;Helvetica;sans-serif"/>
                <w:color w:val="000000"/>
                <w:sz w:val="14"/>
              </w:rPr>
              <w:t>4,271(l)</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05" w:type="dxa"/>
            <w:tcBorders/>
            <w:shd w:fill="CCCCCC" w:val="clear"/>
            <w:vAlign w:val="center"/>
          </w:tcPr>
          <w:p>
            <w:pPr>
              <w:pStyle w:val="TableContents"/>
              <w:bidi w:val="0"/>
              <w:spacing w:before="0" w:after="283"/>
              <w:ind w:left="227" w:right="0" w:hanging="0"/>
              <w:jc w:val="left"/>
              <w:rPr>
                <w:rFonts w:ascii="Arial;Helvetica;sans-serif" w:hAnsi="Arial;Helvetica;sans-serif"/>
                <w:color w:val="000000"/>
                <w:sz w:val="14"/>
              </w:rPr>
            </w:pPr>
            <w:r>
              <w:rPr>
                <w:rFonts w:ascii="Arial;Helvetica;sans-serif" w:hAnsi="Arial;Helvetica;sans-serif"/>
                <w:color w:val="000000"/>
                <w:sz w:val="14"/>
              </w:rPr>
              <w:t xml:space="preserve">548,055 </w:t>
            </w:r>
          </w:p>
        </w:tc>
        <w:tc>
          <w:tcPr>
            <w:tcW w:w="215" w:type="dxa"/>
            <w:tcBorders/>
            <w:shd w:fill="CCCCCC" w:val="clear"/>
            <w:vAlign w:val="center"/>
          </w:tcPr>
          <w:p>
            <w:pPr>
              <w:pStyle w:val="TableContents"/>
              <w:bidi w:val="0"/>
              <w:spacing w:before="0" w:after="0"/>
              <w:jc w:val="left"/>
              <w:rPr/>
            </w:pPr>
            <w:r>
              <w:rPr/>
              <w:t> </w:t>
            </w:r>
          </w:p>
        </w:tc>
      </w:tr>
      <w:tr>
        <w:trPr/>
        <w:tc>
          <w:tcPr>
            <w:tcW w:w="185" w:type="dxa"/>
            <w:vMerge w:val="continue"/>
            <w:tcBorders>
              <w:bottom w:val="single" w:sz="8" w:space="0" w:color="000000"/>
            </w:tcBorders>
            <w:shd w:fill="CCCCCC" w:val="clear"/>
            <w:tcMar>
              <w:bottom w:w="28" w:type="dxa"/>
            </w:tcMar>
            <w:vAlign w:val="center"/>
          </w:tcPr>
          <w:p>
            <w:pPr>
              <w:pStyle w:val="Normal"/>
              <w:bidi w:val="0"/>
              <w:jc w:val="left"/>
              <w:rPr/>
            </w:pPr>
            <w:r>
              <w:rPr/>
            </w:r>
          </w:p>
        </w:tc>
        <w:tc>
          <w:tcPr>
            <w:tcW w:w="1145" w:type="dxa"/>
            <w:vMerge w:val="continue"/>
            <w:tcBorders>
              <w:bottom w:val="single" w:sz="8" w:space="0" w:color="000000"/>
            </w:tcBorders>
            <w:shd w:fill="CCCCCC" w:val="clear"/>
            <w:tcMar>
              <w:bottom w:w="38" w:type="dxa"/>
            </w:tcMar>
            <w:vAlign w:val="center"/>
          </w:tcPr>
          <w:p>
            <w:pPr>
              <w:pStyle w:val="Normal"/>
              <w:bidi w:val="0"/>
              <w:jc w:val="left"/>
              <w:rPr/>
            </w:pPr>
            <w:r>
              <w:rPr/>
            </w:r>
          </w:p>
        </w:tc>
        <w:tc>
          <w:tcPr>
            <w:tcW w:w="170" w:type="dxa"/>
            <w:vMerge w:val="continue"/>
            <w:tcBorders>
              <w:bottom w:val="single" w:sz="8" w:space="0" w:color="000000"/>
            </w:tcBorders>
            <w:shd w:fill="CCCCCC" w:val="clear"/>
            <w:tcMar>
              <w:bottom w:w="28" w:type="dxa"/>
            </w:tcMar>
            <w:vAlign w:val="center"/>
          </w:tcPr>
          <w:p>
            <w:pPr>
              <w:pStyle w:val="Normal"/>
              <w:bidi w:val="0"/>
              <w:jc w:val="left"/>
              <w:rPr/>
            </w:pPr>
            <w:r>
              <w:rPr/>
            </w:r>
          </w:p>
        </w:tc>
        <w:tc>
          <w:tcPr>
            <w:tcW w:w="170" w:type="dxa"/>
            <w:tcBorders/>
            <w:shd w:fill="CCCCCC" w:val="clear"/>
            <w:vAlign w:val="center"/>
          </w:tcPr>
          <w:p>
            <w:pPr>
              <w:pStyle w:val="TableContents"/>
              <w:bidi w:val="0"/>
              <w:spacing w:before="0" w:after="0"/>
              <w:jc w:val="left"/>
              <w:rPr/>
            </w:pPr>
            <w:r>
              <w:rPr/>
              <w:t> </w:t>
            </w:r>
          </w:p>
        </w:tc>
        <w:tc>
          <w:tcPr>
            <w:tcW w:w="905" w:type="dxa"/>
            <w:tcBorders/>
            <w:shd w:fill="CCCCCC" w:val="clear"/>
            <w:vAlign w:val="center"/>
          </w:tcPr>
          <w:p>
            <w:pPr>
              <w:pStyle w:val="TableContents"/>
              <w:bidi w:val="0"/>
              <w:spacing w:before="0" w:after="283"/>
              <w:ind w:left="98" w:right="0" w:hanging="0"/>
              <w:jc w:val="left"/>
              <w:rPr>
                <w:rFonts w:ascii="Arial;Helvetica;sans-serif" w:hAnsi="Arial;Helvetica;sans-serif"/>
                <w:color w:val="000000"/>
                <w:sz w:val="14"/>
              </w:rPr>
            </w:pPr>
            <w:r>
              <w:rPr>
                <w:rFonts w:ascii="Arial;Helvetica;sans-serif" w:hAnsi="Arial;Helvetica;sans-serif"/>
                <w:color w:val="000000"/>
                <w:sz w:val="14"/>
              </w:rPr>
              <w:t>3/13/2024</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20" w:type="dxa"/>
            <w:tcBorders/>
            <w:shd w:fill="CCCCCC" w:val="clear"/>
            <w:vAlign w:val="center"/>
          </w:tcPr>
          <w:p>
            <w:pPr>
              <w:pStyle w:val="TableContents"/>
              <w:bidi w:val="0"/>
              <w:spacing w:before="0" w:after="283"/>
              <w:ind w:left="300" w:right="0" w:hanging="0"/>
              <w:jc w:val="left"/>
              <w:rPr>
                <w:rFonts w:ascii="Arial;Helvetica;sans-serif" w:hAnsi="Arial;Helvetica;sans-serif"/>
                <w:color w:val="000000"/>
                <w:sz w:val="14"/>
              </w:rPr>
            </w:pPr>
            <w:r>
              <w:rPr>
                <w:rFonts w:ascii="Arial;Helvetica;sans-serif" w:hAnsi="Arial;Helvetica;sans-serif"/>
                <w:color w:val="000000"/>
                <w:sz w:val="14"/>
              </w:rPr>
              <w:t>5,895(c)</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20" w:type="dxa"/>
            <w:tcBorders/>
            <w:shd w:fill="CCCCCC" w:val="clear"/>
            <w:vAlign w:val="center"/>
          </w:tcPr>
          <w:p>
            <w:pPr>
              <w:pStyle w:val="TableContents"/>
              <w:bidi w:val="0"/>
              <w:spacing w:before="0" w:after="283"/>
              <w:ind w:left="226" w:right="0" w:hanging="0"/>
              <w:jc w:val="left"/>
              <w:rPr>
                <w:rFonts w:ascii="Arial;Helvetica;sans-serif" w:hAnsi="Arial;Helvetica;sans-serif"/>
                <w:color w:val="000000"/>
                <w:sz w:val="14"/>
              </w:rPr>
            </w:pPr>
            <w:r>
              <w:rPr>
                <w:rFonts w:ascii="Arial;Helvetica;sans-serif" w:hAnsi="Arial;Helvetica;sans-serif"/>
                <w:color w:val="000000"/>
                <w:sz w:val="14"/>
              </w:rPr>
              <w:t>756,446</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05" w:type="dxa"/>
            <w:tcBorders/>
            <w:shd w:fill="CCCCCC" w:val="clear"/>
            <w:vAlign w:val="center"/>
          </w:tcPr>
          <w:p>
            <w:pPr>
              <w:pStyle w:val="TableContents"/>
              <w:bidi w:val="0"/>
              <w:spacing w:before="0" w:after="283"/>
              <w:ind w:left="301" w:right="0" w:hanging="0"/>
              <w:jc w:val="left"/>
              <w:rPr>
                <w:rFonts w:ascii="Arial;Helvetica;sans-serif" w:hAnsi="Arial;Helvetica;sans-serif"/>
                <w:color w:val="000000"/>
                <w:sz w:val="14"/>
              </w:rPr>
            </w:pPr>
            <w:r>
              <w:rPr>
                <w:rFonts w:ascii="Arial;Helvetica;sans-serif" w:hAnsi="Arial;Helvetica;sans-serif"/>
                <w:color w:val="000000"/>
                <w:sz w:val="14"/>
              </w:rPr>
              <w:t>4,421(i)</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05" w:type="dxa"/>
            <w:tcBorders/>
            <w:shd w:fill="CCCCCC" w:val="clear"/>
            <w:vAlign w:val="center"/>
          </w:tcPr>
          <w:p>
            <w:pPr>
              <w:pStyle w:val="TableContents"/>
              <w:bidi w:val="0"/>
              <w:spacing w:before="0" w:after="283"/>
              <w:ind w:left="227" w:right="0" w:hanging="0"/>
              <w:jc w:val="left"/>
              <w:rPr>
                <w:rFonts w:ascii="Arial;Helvetica;sans-serif" w:hAnsi="Arial;Helvetica;sans-serif"/>
                <w:color w:val="000000"/>
                <w:sz w:val="14"/>
              </w:rPr>
            </w:pPr>
            <w:r>
              <w:rPr>
                <w:rFonts w:ascii="Arial;Helvetica;sans-serif" w:hAnsi="Arial;Helvetica;sans-serif"/>
                <w:color w:val="000000"/>
                <w:sz w:val="14"/>
              </w:rPr>
              <w:t xml:space="preserve">567,303 </w:t>
            </w:r>
          </w:p>
        </w:tc>
        <w:tc>
          <w:tcPr>
            <w:tcW w:w="215" w:type="dxa"/>
            <w:tcBorders/>
            <w:shd w:fill="CCCCCC" w:val="clear"/>
            <w:vAlign w:val="center"/>
          </w:tcPr>
          <w:p>
            <w:pPr>
              <w:pStyle w:val="TableContents"/>
              <w:bidi w:val="0"/>
              <w:spacing w:before="0" w:after="0"/>
              <w:jc w:val="left"/>
              <w:rPr/>
            </w:pPr>
            <w:r>
              <w:rPr/>
              <w:t> </w:t>
            </w:r>
          </w:p>
        </w:tc>
      </w:tr>
      <w:tr>
        <w:trPr/>
        <w:tc>
          <w:tcPr>
            <w:tcW w:w="185" w:type="dxa"/>
            <w:vMerge w:val="continue"/>
            <w:tcBorders>
              <w:bottom w:val="single" w:sz="8" w:space="0" w:color="000000"/>
            </w:tcBorders>
            <w:shd w:fill="CCCCCC" w:val="clear"/>
            <w:tcMar>
              <w:bottom w:w="28" w:type="dxa"/>
            </w:tcMar>
            <w:vAlign w:val="center"/>
          </w:tcPr>
          <w:p>
            <w:pPr>
              <w:pStyle w:val="Normal"/>
              <w:bidi w:val="0"/>
              <w:jc w:val="left"/>
              <w:rPr/>
            </w:pPr>
            <w:r>
              <w:rPr/>
            </w:r>
          </w:p>
        </w:tc>
        <w:tc>
          <w:tcPr>
            <w:tcW w:w="1145" w:type="dxa"/>
            <w:vMerge w:val="continue"/>
            <w:tcBorders>
              <w:bottom w:val="single" w:sz="8" w:space="0" w:color="000000"/>
            </w:tcBorders>
            <w:shd w:fill="CCCCCC" w:val="clear"/>
            <w:tcMar>
              <w:bottom w:w="38" w:type="dxa"/>
            </w:tcMar>
            <w:vAlign w:val="center"/>
          </w:tcPr>
          <w:p>
            <w:pPr>
              <w:pStyle w:val="Normal"/>
              <w:bidi w:val="0"/>
              <w:jc w:val="left"/>
              <w:rPr/>
            </w:pPr>
            <w:r>
              <w:rPr/>
            </w:r>
          </w:p>
        </w:tc>
        <w:tc>
          <w:tcPr>
            <w:tcW w:w="170" w:type="dxa"/>
            <w:vMerge w:val="continue"/>
            <w:tcBorders>
              <w:bottom w:val="single" w:sz="8" w:space="0" w:color="000000"/>
            </w:tcBorders>
            <w:shd w:fill="CCCCCC" w:val="clear"/>
            <w:tcMar>
              <w:bottom w:w="28" w:type="dxa"/>
            </w:tcMar>
            <w:vAlign w:val="center"/>
          </w:tcPr>
          <w:p>
            <w:pPr>
              <w:pStyle w:val="Normal"/>
              <w:bidi w:val="0"/>
              <w:jc w:val="left"/>
              <w:rPr/>
            </w:pPr>
            <w:r>
              <w:rPr/>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905" w:type="dxa"/>
            <w:tcBorders>
              <w:bottom w:val="single" w:sz="8" w:space="0" w:color="000000"/>
            </w:tcBorders>
            <w:shd w:fill="CCCCCC" w:val="clear"/>
            <w:tcMar>
              <w:bottom w:w="38" w:type="dxa"/>
            </w:tcMar>
            <w:vAlign w:val="center"/>
          </w:tcPr>
          <w:p>
            <w:pPr>
              <w:pStyle w:val="TableContents"/>
              <w:bidi w:val="0"/>
              <w:spacing w:before="0" w:after="283"/>
              <w:ind w:left="98" w:right="0" w:hanging="0"/>
              <w:jc w:val="left"/>
              <w:rPr>
                <w:rFonts w:ascii="Arial;Helvetica;sans-serif" w:hAnsi="Arial;Helvetica;sans-serif"/>
                <w:color w:val="000000"/>
                <w:sz w:val="14"/>
              </w:rPr>
            </w:pPr>
            <w:r>
              <w:rPr>
                <w:rFonts w:ascii="Arial;Helvetica;sans-serif" w:hAnsi="Arial;Helvetica;sans-serif"/>
                <w:color w:val="000000"/>
                <w:sz w:val="14"/>
              </w:rPr>
              <w:t>3/9/2023</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220" w:type="dxa"/>
            <w:tcBorders>
              <w:bottom w:val="single" w:sz="8" w:space="0" w:color="000000"/>
            </w:tcBorders>
            <w:shd w:fill="CCCCCC" w:val="clear"/>
            <w:tcMar>
              <w:bottom w:w="38" w:type="dxa"/>
            </w:tcMar>
            <w:vAlign w:val="center"/>
          </w:tcPr>
          <w:p>
            <w:pPr>
              <w:pStyle w:val="TableContents"/>
              <w:bidi w:val="0"/>
              <w:spacing w:before="0" w:after="283"/>
              <w:ind w:left="300" w:right="0" w:hanging="0"/>
              <w:jc w:val="left"/>
              <w:rPr>
                <w:rFonts w:ascii="Arial;Helvetica;sans-serif" w:hAnsi="Arial;Helvetica;sans-serif"/>
                <w:color w:val="000000"/>
                <w:sz w:val="14"/>
              </w:rPr>
            </w:pPr>
            <w:r>
              <w:rPr>
                <w:rFonts w:ascii="Arial;Helvetica;sans-serif" w:hAnsi="Arial;Helvetica;sans-serif"/>
                <w:color w:val="000000"/>
                <w:sz w:val="14"/>
              </w:rPr>
              <w:t>1,515(d)</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220" w:type="dxa"/>
            <w:tcBorders>
              <w:bottom w:val="single" w:sz="8" w:space="0" w:color="000000"/>
            </w:tcBorders>
            <w:shd w:fill="CCCCCC" w:val="clear"/>
            <w:tcMar>
              <w:bottom w:w="38" w:type="dxa"/>
            </w:tcMar>
            <w:vAlign w:val="center"/>
          </w:tcPr>
          <w:p>
            <w:pPr>
              <w:pStyle w:val="TableContents"/>
              <w:bidi w:val="0"/>
              <w:spacing w:before="0" w:after="283"/>
              <w:ind w:left="226" w:right="0" w:hanging="0"/>
              <w:jc w:val="left"/>
              <w:rPr>
                <w:rFonts w:ascii="Arial;Helvetica;sans-serif" w:hAnsi="Arial;Helvetica;sans-serif"/>
                <w:color w:val="000000"/>
                <w:sz w:val="14"/>
              </w:rPr>
            </w:pPr>
            <w:r>
              <w:rPr>
                <w:rFonts w:ascii="Arial;Helvetica;sans-serif" w:hAnsi="Arial;Helvetica;sans-serif"/>
                <w:color w:val="000000"/>
                <w:sz w:val="14"/>
              </w:rPr>
              <w:t>194,405</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205" w:type="dxa"/>
            <w:tcBorders>
              <w:bottom w:val="single" w:sz="8" w:space="0" w:color="000000"/>
            </w:tcBorders>
            <w:shd w:fill="CCCCCC" w:val="clear"/>
            <w:tcMar>
              <w:bottom w:w="38" w:type="dxa"/>
            </w:tcMar>
            <w:vAlign w:val="center"/>
          </w:tcPr>
          <w:p>
            <w:pPr>
              <w:pStyle w:val="TableContents"/>
              <w:bidi w:val="0"/>
              <w:spacing w:before="0" w:after="283"/>
              <w:ind w:left="301" w:right="0" w:hanging="0"/>
              <w:jc w:val="left"/>
              <w:rPr>
                <w:color w:val="000000"/>
              </w:rPr>
            </w:pPr>
            <w:r>
              <w:rPr>
                <w:color w:val="000000"/>
              </w:rPr>
              <w:t>—</w:t>
            </w:r>
            <w:r>
              <w:rPr>
                <w:rFonts w:ascii="Arial;Helvetica;sans-serif" w:hAnsi="Arial;Helvetica;sans-serif"/>
                <w:color w:val="000000"/>
                <w:sz w:val="14"/>
              </w:rPr>
              <w:t>(j)</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205" w:type="dxa"/>
            <w:tcBorders>
              <w:bottom w:val="single" w:sz="8" w:space="0" w:color="000000"/>
            </w:tcBorders>
            <w:shd w:fill="CCCCCC" w:val="clear"/>
            <w:tcMar>
              <w:bottom w:w="38" w:type="dxa"/>
            </w:tcMar>
            <w:vAlign w:val="center"/>
          </w:tcPr>
          <w:p>
            <w:pPr>
              <w:pStyle w:val="TableContents"/>
              <w:bidi w:val="0"/>
              <w:spacing w:before="0" w:after="283"/>
              <w:ind w:left="227" w:right="0" w:hanging="0"/>
              <w:jc w:val="left"/>
              <w:rPr>
                <w:color w:val="000000"/>
              </w:rPr>
            </w:pPr>
            <w:r>
              <w:rPr>
                <w:color w:val="000000"/>
              </w:rPr>
              <w:t xml:space="preserve">— </w:t>
            </w:r>
          </w:p>
        </w:tc>
        <w:tc>
          <w:tcPr>
            <w:tcW w:w="21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145" w:type="dxa"/>
            <w:tcBorders>
              <w:bottom w:val="single" w:sz="8" w:space="0" w:color="000000"/>
            </w:tcBorders>
            <w:tcMar>
              <w:bottom w:w="38" w:type="dxa"/>
            </w:tcMar>
            <w:vAlign w:val="center"/>
          </w:tcPr>
          <w:p>
            <w:pPr>
              <w:pStyle w:val="TableContents"/>
              <w:bidi w:val="0"/>
              <w:spacing w:before="0" w:after="283"/>
              <w:ind w:left="30" w:right="0" w:hanging="0"/>
              <w:jc w:val="left"/>
              <w:rPr>
                <w:rFonts w:ascii="Arial;Helvetica;sans-serif" w:hAnsi="Arial;Helvetica;sans-serif"/>
                <w:color w:val="000000"/>
                <w:sz w:val="14"/>
              </w:rPr>
            </w:pPr>
            <w:r>
              <w:rPr>
                <w:rFonts w:ascii="Arial;Helvetica;sans-serif" w:hAnsi="Arial;Helvetica;sans-serif"/>
                <w:color w:val="000000"/>
                <w:sz w:val="14"/>
              </w:rPr>
              <w:t>Mr. Cunha</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05" w:type="dxa"/>
            <w:tcBorders>
              <w:bottom w:val="single" w:sz="8" w:space="0" w:color="000000"/>
            </w:tcBorders>
            <w:tcMar>
              <w:bottom w:w="38" w:type="dxa"/>
            </w:tcMar>
            <w:vAlign w:val="center"/>
          </w:tcPr>
          <w:p>
            <w:pPr>
              <w:pStyle w:val="TableContents"/>
              <w:bidi w:val="0"/>
              <w:spacing w:before="0" w:after="283"/>
              <w:ind w:left="98" w:right="0" w:hanging="0"/>
              <w:jc w:val="left"/>
              <w:rPr>
                <w:rFonts w:ascii="Arial;Helvetica;sans-serif" w:hAnsi="Arial;Helvetica;sans-serif"/>
                <w:color w:val="000000"/>
                <w:sz w:val="14"/>
              </w:rPr>
            </w:pPr>
            <w:r>
              <w:rPr>
                <w:rFonts w:ascii="Arial;Helvetica;sans-serif" w:hAnsi="Arial;Helvetica;sans-serif"/>
                <w:color w:val="000000"/>
                <w:sz w:val="14"/>
              </w:rPr>
              <w:t>7/23/2025</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20" w:type="dxa"/>
            <w:tcBorders>
              <w:bottom w:val="single" w:sz="8" w:space="0" w:color="000000"/>
            </w:tcBorders>
            <w:tcMar>
              <w:bottom w:w="38" w:type="dxa"/>
            </w:tcMar>
            <w:vAlign w:val="center"/>
          </w:tcPr>
          <w:p>
            <w:pPr>
              <w:pStyle w:val="TableContents"/>
              <w:bidi w:val="0"/>
              <w:spacing w:before="0" w:after="283"/>
              <w:ind w:left="300" w:right="0" w:hanging="0"/>
              <w:jc w:val="left"/>
              <w:rPr>
                <w:rFonts w:ascii="Arial;Helvetica;sans-serif" w:hAnsi="Arial;Helvetica;sans-serif"/>
                <w:color w:val="000000"/>
                <w:sz w:val="14"/>
              </w:rPr>
            </w:pPr>
            <w:r>
              <w:rPr>
                <w:rFonts w:ascii="Arial;Helvetica;sans-serif" w:hAnsi="Arial;Helvetica;sans-serif"/>
                <w:color w:val="000000"/>
                <w:sz w:val="14"/>
              </w:rPr>
              <w:t>2,909(f)</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20" w:type="dxa"/>
            <w:tcBorders>
              <w:bottom w:val="single" w:sz="8" w:space="0" w:color="000000"/>
            </w:tcBorders>
            <w:tcMar>
              <w:bottom w:w="38" w:type="dxa"/>
            </w:tcMar>
            <w:vAlign w:val="center"/>
          </w:tcPr>
          <w:p>
            <w:pPr>
              <w:pStyle w:val="TableContents"/>
              <w:bidi w:val="0"/>
              <w:spacing w:before="0" w:after="283"/>
              <w:ind w:left="226" w:right="0" w:hanging="0"/>
              <w:jc w:val="left"/>
              <w:rPr>
                <w:rFonts w:ascii="Arial;Helvetica;sans-serif" w:hAnsi="Arial;Helvetica;sans-serif"/>
                <w:color w:val="000000"/>
                <w:sz w:val="14"/>
              </w:rPr>
            </w:pPr>
            <w:r>
              <w:rPr>
                <w:rFonts w:ascii="Arial;Helvetica;sans-serif" w:hAnsi="Arial;Helvetica;sans-serif"/>
                <w:color w:val="000000"/>
                <w:sz w:val="14"/>
              </w:rPr>
              <w:t>373,283</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05" w:type="dxa"/>
            <w:tcBorders>
              <w:bottom w:val="single" w:sz="8" w:space="0" w:color="000000"/>
            </w:tcBorders>
            <w:tcMar>
              <w:bottom w:w="38" w:type="dxa"/>
            </w:tcMar>
            <w:vAlign w:val="center"/>
          </w:tcPr>
          <w:p>
            <w:pPr>
              <w:pStyle w:val="TableContents"/>
              <w:bidi w:val="0"/>
              <w:spacing w:before="0" w:after="283"/>
              <w:ind w:left="301" w:right="0" w:hanging="0"/>
              <w:jc w:val="left"/>
              <w:rPr>
                <w:rFonts w:ascii="Arial;Helvetica;sans-serif" w:hAnsi="Arial;Helvetica;sans-serif"/>
                <w:color w:val="000000"/>
                <w:sz w:val="14"/>
              </w:rPr>
            </w:pPr>
            <w:r>
              <w:rPr>
                <w:rFonts w:ascii="Arial;Helvetica;sans-serif" w:hAnsi="Arial;Helvetica;sans-serif"/>
                <w:color w:val="000000"/>
                <w:sz w:val="14"/>
              </w:rPr>
              <w:t>1,600(k)</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05" w:type="dxa"/>
            <w:tcBorders>
              <w:bottom w:val="single" w:sz="8" w:space="0" w:color="000000"/>
            </w:tcBorders>
            <w:tcMar>
              <w:bottom w:w="38" w:type="dxa"/>
            </w:tcMar>
            <w:vAlign w:val="center"/>
          </w:tcPr>
          <w:p>
            <w:pPr>
              <w:pStyle w:val="TableContents"/>
              <w:bidi w:val="0"/>
              <w:spacing w:before="0" w:after="283"/>
              <w:ind w:left="227" w:right="0" w:hanging="0"/>
              <w:jc w:val="left"/>
              <w:rPr>
                <w:rFonts w:ascii="Arial;Helvetica;sans-serif" w:hAnsi="Arial;Helvetica;sans-serif"/>
                <w:color w:val="000000"/>
                <w:sz w:val="14"/>
              </w:rPr>
            </w:pPr>
            <w:r>
              <w:rPr>
                <w:rFonts w:ascii="Arial;Helvetica;sans-serif" w:hAnsi="Arial;Helvetica;sans-serif"/>
                <w:color w:val="000000"/>
                <w:sz w:val="14"/>
              </w:rPr>
              <w:t xml:space="preserve">205,312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145" w:type="dxa"/>
            <w:tcBorders>
              <w:bottom w:val="single" w:sz="8" w:space="0" w:color="000000"/>
            </w:tcBorders>
            <w:shd w:fill="CCCCCC" w:val="clear"/>
            <w:tcMar>
              <w:bottom w:w="38" w:type="dxa"/>
            </w:tcMar>
            <w:vAlign w:val="center"/>
          </w:tcPr>
          <w:p>
            <w:pPr>
              <w:pStyle w:val="TableContents"/>
              <w:bidi w:val="0"/>
              <w:spacing w:before="0" w:after="283"/>
              <w:ind w:left="30" w:right="0" w:hanging="0"/>
              <w:jc w:val="left"/>
              <w:rPr>
                <w:rFonts w:ascii="Arial;Helvetica;sans-serif" w:hAnsi="Arial;Helvetica;sans-serif"/>
                <w:color w:val="000000"/>
                <w:sz w:val="14"/>
              </w:rPr>
            </w:pPr>
            <w:r>
              <w:rPr>
                <w:rFonts w:ascii="Arial;Helvetica;sans-serif" w:hAnsi="Arial;Helvetica;sans-serif"/>
                <w:color w:val="000000"/>
                <w:sz w:val="14"/>
              </w:rPr>
              <w:t>Mr. Pahwa</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905" w:type="dxa"/>
            <w:tcBorders>
              <w:bottom w:val="single" w:sz="8" w:space="0" w:color="000000"/>
            </w:tcBorders>
            <w:shd w:fill="CCCCCC" w:val="clear"/>
            <w:tcMar>
              <w:bottom w:w="38" w:type="dxa"/>
            </w:tcMar>
            <w:vAlign w:val="center"/>
          </w:tcPr>
          <w:p>
            <w:pPr>
              <w:pStyle w:val="TableContents"/>
              <w:bidi w:val="0"/>
              <w:spacing w:before="0" w:after="283"/>
              <w:ind w:left="98" w:right="0" w:hanging="0"/>
              <w:jc w:val="left"/>
              <w:rPr>
                <w:rFonts w:ascii="Arial;Helvetica;sans-serif" w:hAnsi="Arial;Helvetica;sans-serif"/>
                <w:color w:val="000000"/>
                <w:sz w:val="14"/>
              </w:rPr>
            </w:pPr>
            <w:r>
              <w:rPr>
                <w:rFonts w:ascii="Arial;Helvetica;sans-serif" w:hAnsi="Arial;Helvetica;sans-serif"/>
                <w:color w:val="000000"/>
                <w:sz w:val="14"/>
              </w:rPr>
              <w:t>3/12/2025</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220" w:type="dxa"/>
            <w:tcBorders>
              <w:bottom w:val="single" w:sz="8" w:space="0" w:color="000000"/>
            </w:tcBorders>
            <w:shd w:fill="CCCCCC" w:val="clear"/>
            <w:tcMar>
              <w:bottom w:w="38" w:type="dxa"/>
            </w:tcMar>
            <w:vAlign w:val="center"/>
          </w:tcPr>
          <w:p>
            <w:pPr>
              <w:pStyle w:val="TableContents"/>
              <w:bidi w:val="0"/>
              <w:spacing w:before="0" w:after="283"/>
              <w:ind w:left="300" w:right="0" w:hanging="0"/>
              <w:jc w:val="left"/>
              <w:rPr>
                <w:rFonts w:ascii="Arial;Helvetica;sans-serif" w:hAnsi="Arial;Helvetica;sans-serif"/>
                <w:color w:val="000000"/>
                <w:sz w:val="14"/>
              </w:rPr>
            </w:pPr>
            <w:r>
              <w:rPr>
                <w:rFonts w:ascii="Arial;Helvetica;sans-serif" w:hAnsi="Arial;Helvetica;sans-serif"/>
                <w:color w:val="000000"/>
                <w:sz w:val="14"/>
              </w:rPr>
              <w:t>39,911(e)</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220" w:type="dxa"/>
            <w:tcBorders>
              <w:bottom w:val="single" w:sz="8" w:space="0" w:color="000000"/>
            </w:tcBorders>
            <w:shd w:fill="CCCCCC" w:val="clear"/>
            <w:tcMar>
              <w:bottom w:w="38" w:type="dxa"/>
            </w:tcMar>
            <w:vAlign w:val="center"/>
          </w:tcPr>
          <w:p>
            <w:pPr>
              <w:pStyle w:val="TableContents"/>
              <w:bidi w:val="0"/>
              <w:spacing w:before="0" w:after="283"/>
              <w:ind w:left="226" w:right="0" w:hanging="0"/>
              <w:jc w:val="left"/>
              <w:rPr>
                <w:rFonts w:ascii="Arial;Helvetica;sans-serif" w:hAnsi="Arial;Helvetica;sans-serif"/>
                <w:color w:val="000000"/>
                <w:sz w:val="14"/>
              </w:rPr>
            </w:pPr>
            <w:r>
              <w:rPr>
                <w:rFonts w:ascii="Arial;Helvetica;sans-serif" w:hAnsi="Arial;Helvetica;sans-serif"/>
                <w:color w:val="000000"/>
                <w:sz w:val="14"/>
              </w:rPr>
              <w:t>5,121,380</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205" w:type="dxa"/>
            <w:tcBorders>
              <w:bottom w:val="single" w:sz="8" w:space="0" w:color="000000"/>
            </w:tcBorders>
            <w:shd w:fill="CCCCCC" w:val="clear"/>
            <w:tcMar>
              <w:bottom w:w="38" w:type="dxa"/>
            </w:tcMar>
            <w:vAlign w:val="center"/>
          </w:tcPr>
          <w:p>
            <w:pPr>
              <w:pStyle w:val="TableContents"/>
              <w:bidi w:val="0"/>
              <w:spacing w:before="0" w:after="283"/>
              <w:ind w:left="301" w:right="0" w:hanging="0"/>
              <w:jc w:val="left"/>
              <w:rPr>
                <w:rFonts w:ascii="Arial;Helvetica;sans-serif" w:hAnsi="Arial;Helvetica;sans-serif"/>
                <w:color w:val="000000"/>
                <w:sz w:val="14"/>
              </w:rPr>
            </w:pPr>
            <w:r>
              <w:rPr>
                <w:rFonts w:ascii="Arial;Helvetica;sans-serif" w:hAnsi="Arial;Helvetica;sans-serif"/>
                <w:color w:val="000000"/>
                <w:sz w:val="14"/>
              </w:rPr>
              <w:t>21,951(k)</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205" w:type="dxa"/>
            <w:tcBorders>
              <w:bottom w:val="single" w:sz="8" w:space="0" w:color="000000"/>
            </w:tcBorders>
            <w:shd w:fill="CCCCCC" w:val="clear"/>
            <w:tcMar>
              <w:bottom w:w="38" w:type="dxa"/>
            </w:tcMar>
            <w:vAlign w:val="center"/>
          </w:tcPr>
          <w:p>
            <w:pPr>
              <w:pStyle w:val="TableContents"/>
              <w:bidi w:val="0"/>
              <w:spacing w:before="0" w:after="283"/>
              <w:ind w:left="227" w:right="0" w:hanging="0"/>
              <w:jc w:val="left"/>
              <w:rPr>
                <w:rFonts w:ascii="Arial;Helvetica;sans-serif" w:hAnsi="Arial;Helvetica;sans-serif"/>
                <w:color w:val="000000"/>
                <w:sz w:val="14"/>
              </w:rPr>
            </w:pPr>
            <w:r>
              <w:rPr>
                <w:rFonts w:ascii="Arial;Helvetica;sans-serif" w:hAnsi="Arial;Helvetica;sans-serif"/>
                <w:color w:val="000000"/>
                <w:sz w:val="14"/>
              </w:rPr>
              <w:t xml:space="preserve">2,816,752 </w:t>
            </w:r>
          </w:p>
        </w:tc>
        <w:tc>
          <w:tcPr>
            <w:tcW w:w="21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1145" w:type="dxa"/>
            <w:vMerge w:val="restart"/>
            <w:tcBorders>
              <w:bottom w:val="single" w:sz="8" w:space="0" w:color="000000"/>
            </w:tcBorders>
            <w:tcMar>
              <w:bottom w:w="38" w:type="dxa"/>
            </w:tcMar>
            <w:vAlign w:val="center"/>
          </w:tcPr>
          <w:p>
            <w:pPr>
              <w:pStyle w:val="TableContents"/>
              <w:bidi w:val="0"/>
              <w:spacing w:before="0" w:after="283"/>
              <w:ind w:left="30" w:right="0" w:hanging="0"/>
              <w:jc w:val="left"/>
              <w:rPr>
                <w:rFonts w:ascii="Arial;Helvetica;sans-serif" w:hAnsi="Arial;Helvetica;sans-serif"/>
                <w:color w:val="000000"/>
                <w:sz w:val="14"/>
              </w:rPr>
            </w:pPr>
            <w:r>
              <w:rPr>
                <w:rFonts w:ascii="Arial;Helvetica;sans-serif" w:hAnsi="Arial;Helvetica;sans-serif"/>
                <w:color w:val="000000"/>
                <w:sz w:val="14"/>
              </w:rPr>
              <w:t>Mr. Simhambhatla</w:t>
            </w:r>
          </w:p>
        </w:tc>
        <w:tc>
          <w:tcPr>
            <w:tcW w:w="170" w:type="dxa"/>
            <w:vMerge w:val="restart"/>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98" w:right="0" w:hanging="0"/>
              <w:jc w:val="left"/>
              <w:rPr>
                <w:rFonts w:ascii="Arial;Helvetica;sans-serif" w:hAnsi="Arial;Helvetica;sans-serif"/>
                <w:color w:val="000000"/>
                <w:sz w:val="14"/>
              </w:rPr>
            </w:pPr>
            <w:r>
              <w:rPr>
                <w:rFonts w:ascii="Arial;Helvetica;sans-serif" w:hAnsi="Arial;Helvetica;sans-serif"/>
                <w:color w:val="000000"/>
                <w:sz w:val="14"/>
              </w:rPr>
              <w:t>3/12/2025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300" w:right="0" w:hanging="0"/>
              <w:jc w:val="left"/>
              <w:rPr>
                <w:rFonts w:ascii="Arial;Helvetica;sans-serif" w:hAnsi="Arial;Helvetica;sans-serif"/>
                <w:color w:val="000000"/>
                <w:sz w:val="14"/>
              </w:rPr>
            </w:pPr>
            <w:r>
              <w:rPr>
                <w:rFonts w:ascii="Arial;Helvetica;sans-serif" w:hAnsi="Arial;Helvetica;sans-serif"/>
                <w:color w:val="000000"/>
                <w:sz w:val="14"/>
              </w:rPr>
              <w:t>7,184(e)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226" w:right="0" w:hanging="0"/>
              <w:jc w:val="left"/>
              <w:rPr>
                <w:rFonts w:ascii="Arial;Helvetica;sans-serif" w:hAnsi="Arial;Helvetica;sans-serif"/>
                <w:color w:val="000000"/>
                <w:sz w:val="14"/>
              </w:rPr>
            </w:pPr>
            <w:r>
              <w:rPr>
                <w:rFonts w:ascii="Arial;Helvetica;sans-serif" w:hAnsi="Arial;Helvetica;sans-serif"/>
                <w:color w:val="000000"/>
                <w:sz w:val="14"/>
              </w:rPr>
              <w:t>921,851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301" w:right="0" w:hanging="0"/>
              <w:jc w:val="left"/>
              <w:rPr>
                <w:rFonts w:ascii="Arial;Helvetica;sans-serif" w:hAnsi="Arial;Helvetica;sans-serif"/>
                <w:color w:val="000000"/>
                <w:sz w:val="14"/>
              </w:rPr>
            </w:pPr>
            <w:r>
              <w:rPr>
                <w:rFonts w:ascii="Arial;Helvetica;sans-serif" w:hAnsi="Arial;Helvetica;sans-serif"/>
                <w:color w:val="000000"/>
                <w:sz w:val="14"/>
              </w:rPr>
              <w:t>3,951(k)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227" w:right="0" w:hanging="0"/>
              <w:jc w:val="left"/>
              <w:rPr>
                <w:rFonts w:ascii="Arial;Helvetica;sans-serif" w:hAnsi="Arial;Helvetica;sans-serif"/>
                <w:color w:val="000000"/>
                <w:sz w:val="14"/>
              </w:rPr>
            </w:pPr>
            <w:r>
              <w:rPr>
                <w:rFonts w:ascii="Arial;Helvetica;sans-serif" w:hAnsi="Arial;Helvetica;sans-serif"/>
                <w:color w:val="000000"/>
                <w:sz w:val="14"/>
              </w:rPr>
              <w:t xml:space="preserve">506,992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000000"/>
            </w:tcBorders>
            <w:tcMar>
              <w:bottom w:w="28" w:type="dxa"/>
            </w:tcMar>
            <w:vAlign w:val="center"/>
          </w:tcPr>
          <w:p>
            <w:pPr>
              <w:pStyle w:val="Normal"/>
              <w:bidi w:val="0"/>
              <w:jc w:val="left"/>
              <w:rPr/>
            </w:pPr>
            <w:r>
              <w:rPr/>
            </w:r>
          </w:p>
        </w:tc>
        <w:tc>
          <w:tcPr>
            <w:tcW w:w="1145" w:type="dxa"/>
            <w:vMerge w:val="continue"/>
            <w:tcBorders>
              <w:bottom w:val="single" w:sz="8" w:space="0" w:color="000000"/>
            </w:tcBorders>
            <w:tcMar>
              <w:bottom w:w="38" w:type="dxa"/>
            </w:tcMar>
            <w:vAlign w:val="center"/>
          </w:tcPr>
          <w:p>
            <w:pPr>
              <w:pStyle w:val="Normal"/>
              <w:bidi w:val="0"/>
              <w:jc w:val="left"/>
              <w:rPr/>
            </w:pPr>
            <w:r>
              <w:rPr/>
            </w:r>
          </w:p>
        </w:tc>
        <w:tc>
          <w:tcPr>
            <w:tcW w:w="170" w:type="dxa"/>
            <w:vMerge w:val="continue"/>
            <w:tcBorders>
              <w:bottom w:val="single" w:sz="8" w:space="0" w:color="000000"/>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98" w:right="0" w:hanging="0"/>
              <w:jc w:val="left"/>
              <w:rPr>
                <w:rFonts w:ascii="Arial;Helvetica;sans-serif" w:hAnsi="Arial;Helvetica;sans-serif"/>
                <w:color w:val="000000"/>
                <w:sz w:val="14"/>
              </w:rPr>
            </w:pPr>
            <w:r>
              <w:rPr>
                <w:rFonts w:ascii="Arial;Helvetica;sans-serif" w:hAnsi="Arial;Helvetica;sans-serif"/>
                <w:color w:val="000000"/>
                <w:sz w:val="14"/>
              </w:rPr>
              <w:t>3/12/2025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30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22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301" w:right="0" w:hanging="0"/>
              <w:jc w:val="left"/>
              <w:rPr>
                <w:rFonts w:ascii="Arial;Helvetica;sans-serif" w:hAnsi="Arial;Helvetica;sans-serif"/>
                <w:color w:val="000000"/>
                <w:sz w:val="14"/>
              </w:rPr>
            </w:pPr>
            <w:r>
              <w:rPr>
                <w:rFonts w:ascii="Arial;Helvetica;sans-serif" w:hAnsi="Arial;Helvetica;sans-serif"/>
                <w:color w:val="000000"/>
                <w:sz w:val="14"/>
              </w:rPr>
              <w:t>1,996(l)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227" w:right="0" w:hanging="0"/>
              <w:jc w:val="left"/>
              <w:rPr>
                <w:rFonts w:ascii="Arial;Helvetica;sans-serif" w:hAnsi="Arial;Helvetica;sans-serif"/>
                <w:color w:val="000000"/>
                <w:sz w:val="14"/>
              </w:rPr>
            </w:pPr>
            <w:r>
              <w:rPr>
                <w:rFonts w:ascii="Arial;Helvetica;sans-serif" w:hAnsi="Arial;Helvetica;sans-serif"/>
                <w:color w:val="000000"/>
                <w:sz w:val="14"/>
              </w:rPr>
              <w:t xml:space="preserve">256,127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000000"/>
            </w:tcBorders>
            <w:tcMar>
              <w:bottom w:w="28" w:type="dxa"/>
            </w:tcMar>
            <w:vAlign w:val="center"/>
          </w:tcPr>
          <w:p>
            <w:pPr>
              <w:pStyle w:val="Normal"/>
              <w:bidi w:val="0"/>
              <w:jc w:val="left"/>
              <w:rPr/>
            </w:pPr>
            <w:r>
              <w:rPr/>
            </w:r>
          </w:p>
        </w:tc>
        <w:tc>
          <w:tcPr>
            <w:tcW w:w="1145" w:type="dxa"/>
            <w:vMerge w:val="continue"/>
            <w:tcBorders>
              <w:bottom w:val="single" w:sz="8" w:space="0" w:color="000000"/>
            </w:tcBorders>
            <w:tcMar>
              <w:bottom w:w="38" w:type="dxa"/>
            </w:tcMar>
            <w:vAlign w:val="center"/>
          </w:tcPr>
          <w:p>
            <w:pPr>
              <w:pStyle w:val="Normal"/>
              <w:bidi w:val="0"/>
              <w:jc w:val="left"/>
              <w:rPr/>
            </w:pPr>
            <w:r>
              <w:rPr/>
            </w:r>
          </w:p>
        </w:tc>
        <w:tc>
          <w:tcPr>
            <w:tcW w:w="170" w:type="dxa"/>
            <w:vMerge w:val="continue"/>
            <w:tcBorders>
              <w:bottom w:val="single" w:sz="8" w:space="0" w:color="000000"/>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98" w:right="0" w:hanging="0"/>
              <w:jc w:val="left"/>
              <w:rPr>
                <w:rFonts w:ascii="Arial;Helvetica;sans-serif" w:hAnsi="Arial;Helvetica;sans-serif"/>
                <w:color w:val="000000"/>
                <w:sz w:val="14"/>
              </w:rPr>
            </w:pPr>
            <w:r>
              <w:rPr>
                <w:rFonts w:ascii="Arial;Helvetica;sans-serif" w:hAnsi="Arial;Helvetica;sans-serif"/>
                <w:color w:val="000000"/>
                <w:sz w:val="14"/>
              </w:rPr>
              <w:t>3/13/2024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300" w:right="0" w:hanging="0"/>
              <w:jc w:val="left"/>
              <w:rPr>
                <w:rFonts w:ascii="Arial;Helvetica;sans-serif" w:hAnsi="Arial;Helvetica;sans-serif"/>
                <w:color w:val="000000"/>
                <w:sz w:val="14"/>
              </w:rPr>
            </w:pPr>
            <w:r>
              <w:rPr>
                <w:rFonts w:ascii="Arial;Helvetica;sans-serif" w:hAnsi="Arial;Helvetica;sans-serif"/>
                <w:color w:val="000000"/>
                <w:sz w:val="14"/>
              </w:rPr>
              <w:t>2,653(c)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226" w:right="0" w:hanging="0"/>
              <w:jc w:val="left"/>
              <w:rPr>
                <w:rFonts w:ascii="Arial;Helvetica;sans-serif" w:hAnsi="Arial;Helvetica;sans-serif"/>
                <w:color w:val="000000"/>
                <w:sz w:val="14"/>
              </w:rPr>
            </w:pPr>
            <w:r>
              <w:rPr>
                <w:rFonts w:ascii="Arial;Helvetica;sans-serif" w:hAnsi="Arial;Helvetica;sans-serif"/>
                <w:color w:val="000000"/>
                <w:sz w:val="14"/>
              </w:rPr>
              <w:t>340,433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301" w:right="0" w:hanging="0"/>
              <w:jc w:val="left"/>
              <w:rPr>
                <w:rFonts w:ascii="Arial;Helvetica;sans-serif" w:hAnsi="Arial;Helvetica;sans-serif"/>
                <w:color w:val="000000"/>
                <w:sz w:val="14"/>
              </w:rPr>
            </w:pPr>
            <w:r>
              <w:rPr>
                <w:rFonts w:ascii="Arial;Helvetica;sans-serif" w:hAnsi="Arial;Helvetica;sans-serif"/>
                <w:color w:val="000000"/>
                <w:sz w:val="14"/>
              </w:rPr>
              <w:t>1,990(i)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227" w:right="0" w:hanging="0"/>
              <w:jc w:val="left"/>
              <w:rPr>
                <w:rFonts w:ascii="Arial;Helvetica;sans-serif" w:hAnsi="Arial;Helvetica;sans-serif"/>
                <w:color w:val="000000"/>
                <w:sz w:val="14"/>
              </w:rPr>
            </w:pPr>
            <w:r>
              <w:rPr>
                <w:rFonts w:ascii="Arial;Helvetica;sans-serif" w:hAnsi="Arial;Helvetica;sans-serif"/>
                <w:color w:val="000000"/>
                <w:sz w:val="14"/>
              </w:rPr>
              <w:t xml:space="preserve">255,357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000000"/>
            </w:tcBorders>
            <w:tcMar>
              <w:bottom w:w="28" w:type="dxa"/>
            </w:tcMar>
            <w:vAlign w:val="center"/>
          </w:tcPr>
          <w:p>
            <w:pPr>
              <w:pStyle w:val="Normal"/>
              <w:bidi w:val="0"/>
              <w:jc w:val="left"/>
              <w:rPr/>
            </w:pPr>
            <w:r>
              <w:rPr/>
            </w:r>
          </w:p>
        </w:tc>
        <w:tc>
          <w:tcPr>
            <w:tcW w:w="1145" w:type="dxa"/>
            <w:vMerge w:val="continue"/>
            <w:tcBorders>
              <w:bottom w:val="single" w:sz="8" w:space="0" w:color="000000"/>
            </w:tcBorders>
            <w:tcMar>
              <w:bottom w:w="38" w:type="dxa"/>
            </w:tcMar>
            <w:vAlign w:val="center"/>
          </w:tcPr>
          <w:p>
            <w:pPr>
              <w:pStyle w:val="Normal"/>
              <w:bidi w:val="0"/>
              <w:jc w:val="left"/>
              <w:rPr/>
            </w:pPr>
            <w:r>
              <w:rPr/>
            </w:r>
          </w:p>
        </w:tc>
        <w:tc>
          <w:tcPr>
            <w:tcW w:w="170" w:type="dxa"/>
            <w:vMerge w:val="continue"/>
            <w:tcBorders>
              <w:bottom w:val="single" w:sz="8" w:space="0" w:color="000000"/>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98" w:right="0" w:hanging="0"/>
              <w:jc w:val="left"/>
              <w:rPr>
                <w:rFonts w:ascii="Arial;Helvetica;sans-serif" w:hAnsi="Arial;Helvetica;sans-serif"/>
                <w:color w:val="000000"/>
                <w:sz w:val="14"/>
              </w:rPr>
            </w:pPr>
            <w:r>
              <w:rPr>
                <w:rFonts w:ascii="Arial;Helvetica;sans-serif" w:hAnsi="Arial;Helvetica;sans-serif"/>
                <w:color w:val="000000"/>
                <w:sz w:val="14"/>
              </w:rPr>
              <w:t>3/9/2023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300" w:right="0" w:hanging="0"/>
              <w:jc w:val="left"/>
              <w:rPr>
                <w:rFonts w:ascii="Arial;Helvetica;sans-serif" w:hAnsi="Arial;Helvetica;sans-serif"/>
                <w:color w:val="000000"/>
                <w:sz w:val="14"/>
              </w:rPr>
            </w:pPr>
            <w:r>
              <w:rPr>
                <w:rFonts w:ascii="Arial;Helvetica;sans-serif" w:hAnsi="Arial;Helvetica;sans-serif"/>
                <w:color w:val="000000"/>
                <w:sz w:val="14"/>
              </w:rPr>
              <w:t>758(d)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226" w:right="0" w:hanging="0"/>
              <w:jc w:val="left"/>
              <w:rPr>
                <w:rFonts w:ascii="Arial;Helvetica;sans-serif" w:hAnsi="Arial;Helvetica;sans-serif"/>
                <w:color w:val="000000"/>
                <w:sz w:val="14"/>
              </w:rPr>
            </w:pPr>
            <w:r>
              <w:rPr>
                <w:rFonts w:ascii="Arial;Helvetica;sans-serif" w:hAnsi="Arial;Helvetica;sans-serif"/>
                <w:color w:val="000000"/>
                <w:sz w:val="14"/>
              </w:rPr>
              <w:t>97,267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301" w:right="0" w:hanging="0"/>
              <w:jc w:val="left"/>
              <w:rPr>
                <w:color w:val="000000"/>
              </w:rPr>
            </w:pPr>
            <w:r>
              <w:rPr>
                <w:color w:val="000000"/>
              </w:rPr>
              <w:t>—</w:t>
            </w:r>
            <w:r>
              <w:rPr>
                <w:rFonts w:ascii="Arial;Helvetica;sans-serif" w:hAnsi="Arial;Helvetica;sans-serif"/>
                <w:color w:val="000000"/>
                <w:sz w:val="14"/>
              </w:rPr>
              <w:t>(j)</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227"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bottom w:val="single" w:sz="8" w:space="0" w:color="000000"/>
            </w:tcBorders>
            <w:tcMar>
              <w:bottom w:w="28" w:type="dxa"/>
            </w:tcMar>
            <w:vAlign w:val="center"/>
          </w:tcPr>
          <w:p>
            <w:pPr>
              <w:pStyle w:val="Normal"/>
              <w:bidi w:val="0"/>
              <w:jc w:val="left"/>
              <w:rPr/>
            </w:pPr>
            <w:r>
              <w:rPr/>
            </w:r>
          </w:p>
        </w:tc>
        <w:tc>
          <w:tcPr>
            <w:tcW w:w="1145" w:type="dxa"/>
            <w:vMerge w:val="continue"/>
            <w:tcBorders>
              <w:bottom w:val="single" w:sz="8" w:space="0" w:color="000000"/>
            </w:tcBorders>
            <w:tcMar>
              <w:bottom w:w="38" w:type="dxa"/>
            </w:tcMar>
            <w:vAlign w:val="center"/>
          </w:tcPr>
          <w:p>
            <w:pPr>
              <w:pStyle w:val="Normal"/>
              <w:bidi w:val="0"/>
              <w:jc w:val="left"/>
              <w:rPr/>
            </w:pPr>
            <w:r>
              <w:rPr/>
            </w:r>
          </w:p>
        </w:tc>
        <w:tc>
          <w:tcPr>
            <w:tcW w:w="170" w:type="dxa"/>
            <w:vMerge w:val="continue"/>
            <w:tcBorders>
              <w:bottom w:val="single" w:sz="8" w:space="0" w:color="000000"/>
            </w:tcBorders>
            <w:tcMar>
              <w:bottom w:w="28" w:type="dxa"/>
            </w:tcMar>
            <w:vAlign w:val="center"/>
          </w:tcPr>
          <w:p>
            <w:pPr>
              <w:pStyle w:val="Normal"/>
              <w:bidi w:val="0"/>
              <w:jc w:val="left"/>
              <w:rPr/>
            </w:pPr>
            <w:r>
              <w:rPr/>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05" w:type="dxa"/>
            <w:tcBorders>
              <w:bottom w:val="single" w:sz="8" w:space="0" w:color="000000"/>
            </w:tcBorders>
            <w:tcMar>
              <w:bottom w:w="38" w:type="dxa"/>
            </w:tcMar>
            <w:vAlign w:val="center"/>
          </w:tcPr>
          <w:p>
            <w:pPr>
              <w:pStyle w:val="TableContents"/>
              <w:bidi w:val="0"/>
              <w:spacing w:before="0" w:after="283"/>
              <w:ind w:left="98" w:right="0" w:hanging="0"/>
              <w:jc w:val="left"/>
              <w:rPr>
                <w:rFonts w:ascii="Arial;Helvetica;sans-serif" w:hAnsi="Arial;Helvetica;sans-serif"/>
                <w:color w:val="000000"/>
                <w:sz w:val="14"/>
              </w:rPr>
            </w:pPr>
            <w:r>
              <w:rPr>
                <w:rFonts w:ascii="Arial;Helvetica;sans-serif" w:hAnsi="Arial;Helvetica;sans-serif"/>
                <w:color w:val="000000"/>
                <w:sz w:val="14"/>
              </w:rPr>
              <w:t>7/26/2022</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20" w:type="dxa"/>
            <w:tcBorders>
              <w:bottom w:val="single" w:sz="8" w:space="0" w:color="000000"/>
            </w:tcBorders>
            <w:tcMar>
              <w:bottom w:w="38" w:type="dxa"/>
            </w:tcMar>
            <w:vAlign w:val="center"/>
          </w:tcPr>
          <w:p>
            <w:pPr>
              <w:pStyle w:val="TableContents"/>
              <w:bidi w:val="0"/>
              <w:spacing w:before="0" w:after="283"/>
              <w:ind w:left="300" w:right="0" w:hanging="0"/>
              <w:jc w:val="left"/>
              <w:rPr>
                <w:rFonts w:ascii="Arial;Helvetica;sans-serif" w:hAnsi="Arial;Helvetica;sans-serif"/>
                <w:color w:val="000000"/>
                <w:sz w:val="14"/>
              </w:rPr>
            </w:pPr>
            <w:r>
              <w:rPr>
                <w:rFonts w:ascii="Arial;Helvetica;sans-serif" w:hAnsi="Arial;Helvetica;sans-serif"/>
                <w:color w:val="000000"/>
                <w:sz w:val="14"/>
              </w:rPr>
              <w:t>17,791(g)</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20" w:type="dxa"/>
            <w:tcBorders>
              <w:bottom w:val="single" w:sz="8" w:space="0" w:color="000000"/>
            </w:tcBorders>
            <w:tcMar>
              <w:bottom w:w="38" w:type="dxa"/>
            </w:tcMar>
            <w:vAlign w:val="center"/>
          </w:tcPr>
          <w:p>
            <w:pPr>
              <w:pStyle w:val="TableContents"/>
              <w:bidi w:val="0"/>
              <w:spacing w:before="0" w:after="283"/>
              <w:ind w:left="226" w:right="0" w:hanging="0"/>
              <w:jc w:val="left"/>
              <w:rPr>
                <w:rFonts w:ascii="Arial;Helvetica;sans-serif" w:hAnsi="Arial;Helvetica;sans-serif"/>
                <w:color w:val="000000"/>
                <w:sz w:val="14"/>
              </w:rPr>
            </w:pPr>
            <w:r>
              <w:rPr>
                <w:rFonts w:ascii="Arial;Helvetica;sans-serif" w:hAnsi="Arial;Helvetica;sans-serif"/>
                <w:color w:val="000000"/>
                <w:sz w:val="14"/>
              </w:rPr>
              <w:t>2,282,941</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05" w:type="dxa"/>
            <w:tcBorders>
              <w:bottom w:val="single" w:sz="8" w:space="0" w:color="000000"/>
            </w:tcBorders>
            <w:tcMar>
              <w:bottom w:w="38" w:type="dxa"/>
            </w:tcMar>
            <w:vAlign w:val="center"/>
          </w:tcPr>
          <w:p>
            <w:pPr>
              <w:pStyle w:val="TableContents"/>
              <w:bidi w:val="0"/>
              <w:spacing w:before="0" w:after="283"/>
              <w:ind w:left="301" w:right="0" w:hanging="0"/>
              <w:jc w:val="left"/>
              <w:rPr>
                <w:color w:val="000000"/>
              </w:rPr>
            </w:pPr>
            <w:r>
              <w:rPr>
                <w:color w:val="000000"/>
              </w:rPr>
              <w:t xml:space="preserve">—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05" w:type="dxa"/>
            <w:tcBorders>
              <w:bottom w:val="single" w:sz="8" w:space="0" w:color="000000"/>
            </w:tcBorders>
            <w:tcMar>
              <w:bottom w:w="38" w:type="dxa"/>
            </w:tcMar>
            <w:vAlign w:val="center"/>
          </w:tcPr>
          <w:p>
            <w:pPr>
              <w:pStyle w:val="TableContents"/>
              <w:bidi w:val="0"/>
              <w:spacing w:before="0" w:after="283"/>
              <w:ind w:left="227" w:right="0" w:hanging="0"/>
              <w:jc w:val="left"/>
              <w:rPr>
                <w:color w:val="000000"/>
              </w:rPr>
            </w:pPr>
            <w:r>
              <w:rPr>
                <w:color w:val="000000"/>
              </w:rPr>
              <w:t xml:space="preserve">—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145" w:type="dxa"/>
            <w:vMerge w:val="restart"/>
            <w:tcBorders>
              <w:bottom w:val="single" w:sz="8" w:space="0" w:color="000000"/>
            </w:tcBorders>
            <w:shd w:fill="CCCCCC" w:val="clear"/>
            <w:tcMar>
              <w:bottom w:w="38" w:type="dxa"/>
            </w:tcMar>
            <w:vAlign w:val="center"/>
          </w:tcPr>
          <w:p>
            <w:pPr>
              <w:pStyle w:val="TableContents"/>
              <w:bidi w:val="0"/>
              <w:spacing w:before="0" w:after="283"/>
              <w:ind w:left="30" w:right="0" w:hanging="0"/>
              <w:jc w:val="left"/>
              <w:rPr>
                <w:rFonts w:ascii="Arial;Helvetica;sans-serif" w:hAnsi="Arial;Helvetica;sans-serif"/>
                <w:color w:val="000000"/>
                <w:sz w:val="14"/>
              </w:rPr>
            </w:pPr>
            <w:r>
              <w:rPr>
                <w:rFonts w:ascii="Arial;Helvetica;sans-serif" w:hAnsi="Arial;Helvetica;sans-serif"/>
                <w:color w:val="000000"/>
                <w:sz w:val="14"/>
              </w:rPr>
              <w:t>Mr. Linnen</w:t>
            </w:r>
          </w:p>
        </w:tc>
        <w:tc>
          <w:tcPr>
            <w:tcW w:w="170" w:type="dxa"/>
            <w:vMerge w:val="restart"/>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905" w:type="dxa"/>
            <w:tcBorders/>
            <w:shd w:fill="CCCCCC" w:val="clear"/>
            <w:vAlign w:val="center"/>
          </w:tcPr>
          <w:p>
            <w:pPr>
              <w:pStyle w:val="TableContents"/>
              <w:bidi w:val="0"/>
              <w:spacing w:before="0" w:after="283"/>
              <w:ind w:left="98" w:right="0" w:hanging="0"/>
              <w:jc w:val="left"/>
              <w:rPr>
                <w:rFonts w:ascii="Arial;Helvetica;sans-serif" w:hAnsi="Arial;Helvetica;sans-serif"/>
                <w:color w:val="000000"/>
                <w:sz w:val="14"/>
              </w:rPr>
            </w:pPr>
            <w:r>
              <w:rPr>
                <w:rFonts w:ascii="Arial;Helvetica;sans-serif" w:hAnsi="Arial;Helvetica;sans-serif"/>
                <w:color w:val="000000"/>
                <w:sz w:val="14"/>
              </w:rPr>
              <w:t>3/12/2025</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20" w:type="dxa"/>
            <w:tcBorders/>
            <w:shd w:fill="CCCCCC" w:val="clear"/>
            <w:vAlign w:val="center"/>
          </w:tcPr>
          <w:p>
            <w:pPr>
              <w:pStyle w:val="TableContents"/>
              <w:bidi w:val="0"/>
              <w:spacing w:before="0" w:after="283"/>
              <w:ind w:left="300" w:right="0" w:hanging="0"/>
              <w:jc w:val="left"/>
              <w:rPr>
                <w:rFonts w:ascii="Arial;Helvetica;sans-serif" w:hAnsi="Arial;Helvetica;sans-serif"/>
                <w:color w:val="000000"/>
                <w:sz w:val="14"/>
              </w:rPr>
            </w:pPr>
            <w:r>
              <w:rPr>
                <w:rFonts w:ascii="Arial;Helvetica;sans-serif" w:hAnsi="Arial;Helvetica;sans-serif"/>
                <w:color w:val="000000"/>
                <w:sz w:val="14"/>
              </w:rPr>
              <w:t>5,188(e)</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20" w:type="dxa"/>
            <w:tcBorders/>
            <w:shd w:fill="CCCCCC" w:val="clear"/>
            <w:vAlign w:val="center"/>
          </w:tcPr>
          <w:p>
            <w:pPr>
              <w:pStyle w:val="TableContents"/>
              <w:bidi w:val="0"/>
              <w:spacing w:before="0" w:after="283"/>
              <w:ind w:left="226" w:right="0" w:hanging="0"/>
              <w:jc w:val="left"/>
              <w:rPr>
                <w:rFonts w:ascii="Arial;Helvetica;sans-serif" w:hAnsi="Arial;Helvetica;sans-serif"/>
                <w:color w:val="000000"/>
                <w:sz w:val="14"/>
              </w:rPr>
            </w:pPr>
            <w:r>
              <w:rPr>
                <w:rFonts w:ascii="Arial;Helvetica;sans-serif" w:hAnsi="Arial;Helvetica;sans-serif"/>
                <w:color w:val="000000"/>
                <w:sz w:val="14"/>
              </w:rPr>
              <w:t>665,724</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05" w:type="dxa"/>
            <w:tcBorders/>
            <w:shd w:fill="CCCCCC" w:val="clear"/>
            <w:vAlign w:val="center"/>
          </w:tcPr>
          <w:p>
            <w:pPr>
              <w:pStyle w:val="TableContents"/>
              <w:bidi w:val="0"/>
              <w:spacing w:before="0" w:after="283"/>
              <w:ind w:left="301" w:right="0" w:hanging="0"/>
              <w:jc w:val="left"/>
              <w:rPr>
                <w:rFonts w:ascii="Arial;Helvetica;sans-serif" w:hAnsi="Arial;Helvetica;sans-serif"/>
                <w:color w:val="000000"/>
                <w:sz w:val="14"/>
              </w:rPr>
            </w:pPr>
            <w:r>
              <w:rPr>
                <w:rFonts w:ascii="Arial;Helvetica;sans-serif" w:hAnsi="Arial;Helvetica;sans-serif"/>
                <w:color w:val="000000"/>
                <w:sz w:val="14"/>
              </w:rPr>
              <w:t>2,853(k)</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05" w:type="dxa"/>
            <w:tcBorders/>
            <w:shd w:fill="CCCCCC" w:val="clear"/>
            <w:vAlign w:val="center"/>
          </w:tcPr>
          <w:p>
            <w:pPr>
              <w:pStyle w:val="TableContents"/>
              <w:bidi w:val="0"/>
              <w:spacing w:before="0" w:after="283"/>
              <w:ind w:left="227" w:right="0" w:hanging="0"/>
              <w:jc w:val="left"/>
              <w:rPr>
                <w:rFonts w:ascii="Arial;Helvetica;sans-serif" w:hAnsi="Arial;Helvetica;sans-serif"/>
                <w:color w:val="000000"/>
                <w:sz w:val="14"/>
              </w:rPr>
            </w:pPr>
            <w:r>
              <w:rPr>
                <w:rFonts w:ascii="Arial;Helvetica;sans-serif" w:hAnsi="Arial;Helvetica;sans-serif"/>
                <w:color w:val="000000"/>
                <w:sz w:val="14"/>
              </w:rPr>
              <w:t xml:space="preserve">366,097 </w:t>
            </w:r>
          </w:p>
        </w:tc>
        <w:tc>
          <w:tcPr>
            <w:tcW w:w="215" w:type="dxa"/>
            <w:tcBorders/>
            <w:shd w:fill="CCCCCC" w:val="clear"/>
            <w:vAlign w:val="center"/>
          </w:tcPr>
          <w:p>
            <w:pPr>
              <w:pStyle w:val="TableContents"/>
              <w:bidi w:val="0"/>
              <w:spacing w:before="0" w:after="0"/>
              <w:jc w:val="left"/>
              <w:rPr/>
            </w:pPr>
            <w:r>
              <w:rPr/>
              <w:t> </w:t>
            </w:r>
          </w:p>
        </w:tc>
      </w:tr>
      <w:tr>
        <w:trPr/>
        <w:tc>
          <w:tcPr>
            <w:tcW w:w="185" w:type="dxa"/>
            <w:vMerge w:val="continue"/>
            <w:tcBorders>
              <w:bottom w:val="single" w:sz="8" w:space="0" w:color="000000"/>
            </w:tcBorders>
            <w:shd w:fill="CCCCCC" w:val="clear"/>
            <w:tcMar>
              <w:bottom w:w="28" w:type="dxa"/>
            </w:tcMar>
            <w:vAlign w:val="center"/>
          </w:tcPr>
          <w:p>
            <w:pPr>
              <w:pStyle w:val="Normal"/>
              <w:bidi w:val="0"/>
              <w:jc w:val="left"/>
              <w:rPr/>
            </w:pPr>
            <w:r>
              <w:rPr/>
            </w:r>
          </w:p>
        </w:tc>
        <w:tc>
          <w:tcPr>
            <w:tcW w:w="1145" w:type="dxa"/>
            <w:vMerge w:val="continue"/>
            <w:tcBorders>
              <w:bottom w:val="single" w:sz="8" w:space="0" w:color="000000"/>
            </w:tcBorders>
            <w:shd w:fill="CCCCCC" w:val="clear"/>
            <w:tcMar>
              <w:bottom w:w="38" w:type="dxa"/>
            </w:tcMar>
            <w:vAlign w:val="center"/>
          </w:tcPr>
          <w:p>
            <w:pPr>
              <w:pStyle w:val="Normal"/>
              <w:bidi w:val="0"/>
              <w:jc w:val="left"/>
              <w:rPr/>
            </w:pPr>
            <w:r>
              <w:rPr/>
            </w:r>
          </w:p>
        </w:tc>
        <w:tc>
          <w:tcPr>
            <w:tcW w:w="170" w:type="dxa"/>
            <w:vMerge w:val="continue"/>
            <w:tcBorders>
              <w:bottom w:val="single" w:sz="8" w:space="0" w:color="000000"/>
            </w:tcBorders>
            <w:shd w:fill="CCCCCC" w:val="clear"/>
            <w:tcMar>
              <w:bottom w:w="28" w:type="dxa"/>
            </w:tcMar>
            <w:vAlign w:val="center"/>
          </w:tcPr>
          <w:p>
            <w:pPr>
              <w:pStyle w:val="Normal"/>
              <w:bidi w:val="0"/>
              <w:jc w:val="left"/>
              <w:rPr/>
            </w:pPr>
            <w:r>
              <w:rPr/>
            </w:r>
          </w:p>
        </w:tc>
        <w:tc>
          <w:tcPr>
            <w:tcW w:w="170" w:type="dxa"/>
            <w:tcBorders/>
            <w:shd w:fill="CCCCCC" w:val="clear"/>
            <w:vAlign w:val="center"/>
          </w:tcPr>
          <w:p>
            <w:pPr>
              <w:pStyle w:val="TableContents"/>
              <w:bidi w:val="0"/>
              <w:spacing w:before="0" w:after="0"/>
              <w:jc w:val="left"/>
              <w:rPr/>
            </w:pPr>
            <w:r>
              <w:rPr/>
              <w:t> </w:t>
            </w:r>
          </w:p>
        </w:tc>
        <w:tc>
          <w:tcPr>
            <w:tcW w:w="905" w:type="dxa"/>
            <w:tcBorders/>
            <w:shd w:fill="CCCCCC" w:val="clear"/>
            <w:vAlign w:val="center"/>
          </w:tcPr>
          <w:p>
            <w:pPr>
              <w:pStyle w:val="TableContents"/>
              <w:bidi w:val="0"/>
              <w:spacing w:before="0" w:after="283"/>
              <w:ind w:left="98" w:right="0" w:hanging="0"/>
              <w:jc w:val="left"/>
              <w:rPr>
                <w:rFonts w:ascii="Arial;Helvetica;sans-serif" w:hAnsi="Arial;Helvetica;sans-serif"/>
                <w:color w:val="000000"/>
                <w:sz w:val="14"/>
              </w:rPr>
            </w:pPr>
            <w:r>
              <w:rPr>
                <w:rFonts w:ascii="Arial;Helvetica;sans-serif" w:hAnsi="Arial;Helvetica;sans-serif"/>
                <w:color w:val="000000"/>
                <w:sz w:val="14"/>
              </w:rPr>
              <w:t>3/12/2025</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20" w:type="dxa"/>
            <w:tcBorders/>
            <w:shd w:fill="CCCCCC" w:val="clear"/>
            <w:vAlign w:val="center"/>
          </w:tcPr>
          <w:p>
            <w:pPr>
              <w:pStyle w:val="TableContents"/>
              <w:bidi w:val="0"/>
              <w:spacing w:before="0" w:after="283"/>
              <w:ind w:left="300" w:right="0" w:hanging="0"/>
              <w:jc w:val="left"/>
              <w:rPr>
                <w:color w:val="000000"/>
              </w:rPr>
            </w:pPr>
            <w:r>
              <w:rPr>
                <w:color w:val="000000"/>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20" w:type="dxa"/>
            <w:tcBorders/>
            <w:shd w:fill="CCCCCC" w:val="clear"/>
            <w:vAlign w:val="center"/>
          </w:tcPr>
          <w:p>
            <w:pPr>
              <w:pStyle w:val="TableContents"/>
              <w:bidi w:val="0"/>
              <w:spacing w:before="0" w:after="283"/>
              <w:ind w:left="226"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05" w:type="dxa"/>
            <w:tcBorders/>
            <w:shd w:fill="CCCCCC" w:val="clear"/>
            <w:vAlign w:val="center"/>
          </w:tcPr>
          <w:p>
            <w:pPr>
              <w:pStyle w:val="TableContents"/>
              <w:bidi w:val="0"/>
              <w:spacing w:before="0" w:after="283"/>
              <w:ind w:left="301" w:right="0" w:hanging="0"/>
              <w:jc w:val="left"/>
              <w:rPr>
                <w:rFonts w:ascii="Arial;Helvetica;sans-serif" w:hAnsi="Arial;Helvetica;sans-serif"/>
                <w:color w:val="000000"/>
                <w:sz w:val="14"/>
              </w:rPr>
            </w:pPr>
            <w:r>
              <w:rPr>
                <w:rFonts w:ascii="Arial;Helvetica;sans-serif" w:hAnsi="Arial;Helvetica;sans-serif"/>
                <w:color w:val="000000"/>
                <w:sz w:val="14"/>
              </w:rPr>
              <w:t>1,437(l)</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05" w:type="dxa"/>
            <w:tcBorders/>
            <w:shd w:fill="CCCCCC" w:val="clear"/>
            <w:vAlign w:val="center"/>
          </w:tcPr>
          <w:p>
            <w:pPr>
              <w:pStyle w:val="TableContents"/>
              <w:bidi w:val="0"/>
              <w:spacing w:before="0" w:after="283"/>
              <w:ind w:left="227" w:right="0" w:hanging="0"/>
              <w:jc w:val="left"/>
              <w:rPr>
                <w:rFonts w:ascii="Arial;Helvetica;sans-serif" w:hAnsi="Arial;Helvetica;sans-serif"/>
                <w:color w:val="000000"/>
                <w:sz w:val="14"/>
              </w:rPr>
            </w:pPr>
            <w:r>
              <w:rPr>
                <w:rFonts w:ascii="Arial;Helvetica;sans-serif" w:hAnsi="Arial;Helvetica;sans-serif"/>
                <w:color w:val="000000"/>
                <w:sz w:val="14"/>
              </w:rPr>
              <w:t xml:space="preserve">184,396 </w:t>
            </w:r>
          </w:p>
        </w:tc>
        <w:tc>
          <w:tcPr>
            <w:tcW w:w="215" w:type="dxa"/>
            <w:tcBorders/>
            <w:shd w:fill="CCCCCC" w:val="clear"/>
            <w:vAlign w:val="center"/>
          </w:tcPr>
          <w:p>
            <w:pPr>
              <w:pStyle w:val="TableContents"/>
              <w:bidi w:val="0"/>
              <w:spacing w:before="0" w:after="0"/>
              <w:jc w:val="left"/>
              <w:rPr/>
            </w:pPr>
            <w:r>
              <w:rPr/>
              <w:t> </w:t>
            </w:r>
          </w:p>
        </w:tc>
      </w:tr>
      <w:tr>
        <w:trPr/>
        <w:tc>
          <w:tcPr>
            <w:tcW w:w="185" w:type="dxa"/>
            <w:vMerge w:val="continue"/>
            <w:tcBorders>
              <w:bottom w:val="single" w:sz="8" w:space="0" w:color="000000"/>
            </w:tcBorders>
            <w:shd w:fill="CCCCCC" w:val="clear"/>
            <w:tcMar>
              <w:bottom w:w="28" w:type="dxa"/>
            </w:tcMar>
            <w:vAlign w:val="center"/>
          </w:tcPr>
          <w:p>
            <w:pPr>
              <w:pStyle w:val="Normal"/>
              <w:bidi w:val="0"/>
              <w:jc w:val="left"/>
              <w:rPr/>
            </w:pPr>
            <w:r>
              <w:rPr/>
            </w:r>
          </w:p>
        </w:tc>
        <w:tc>
          <w:tcPr>
            <w:tcW w:w="1145" w:type="dxa"/>
            <w:vMerge w:val="continue"/>
            <w:tcBorders>
              <w:bottom w:val="single" w:sz="8" w:space="0" w:color="000000"/>
            </w:tcBorders>
            <w:shd w:fill="CCCCCC" w:val="clear"/>
            <w:tcMar>
              <w:bottom w:w="38" w:type="dxa"/>
            </w:tcMar>
            <w:vAlign w:val="center"/>
          </w:tcPr>
          <w:p>
            <w:pPr>
              <w:pStyle w:val="Normal"/>
              <w:bidi w:val="0"/>
              <w:jc w:val="left"/>
              <w:rPr/>
            </w:pPr>
            <w:r>
              <w:rPr/>
            </w:r>
          </w:p>
        </w:tc>
        <w:tc>
          <w:tcPr>
            <w:tcW w:w="170" w:type="dxa"/>
            <w:vMerge w:val="continue"/>
            <w:tcBorders>
              <w:bottom w:val="single" w:sz="8" w:space="0" w:color="000000"/>
            </w:tcBorders>
            <w:shd w:fill="CCCCCC" w:val="clear"/>
            <w:tcMar>
              <w:bottom w:w="28" w:type="dxa"/>
            </w:tcMar>
            <w:vAlign w:val="center"/>
          </w:tcPr>
          <w:p>
            <w:pPr>
              <w:pStyle w:val="Normal"/>
              <w:bidi w:val="0"/>
              <w:jc w:val="left"/>
              <w:rPr/>
            </w:pPr>
            <w:r>
              <w:rPr/>
            </w:r>
          </w:p>
        </w:tc>
        <w:tc>
          <w:tcPr>
            <w:tcW w:w="170" w:type="dxa"/>
            <w:tcBorders/>
            <w:shd w:fill="CCCCCC" w:val="clear"/>
            <w:vAlign w:val="center"/>
          </w:tcPr>
          <w:p>
            <w:pPr>
              <w:pStyle w:val="TableContents"/>
              <w:bidi w:val="0"/>
              <w:spacing w:before="0" w:after="0"/>
              <w:jc w:val="left"/>
              <w:rPr/>
            </w:pPr>
            <w:r>
              <w:rPr/>
              <w:t> </w:t>
            </w:r>
          </w:p>
        </w:tc>
        <w:tc>
          <w:tcPr>
            <w:tcW w:w="905" w:type="dxa"/>
            <w:tcBorders/>
            <w:shd w:fill="CCCCCC" w:val="clear"/>
            <w:vAlign w:val="center"/>
          </w:tcPr>
          <w:p>
            <w:pPr>
              <w:pStyle w:val="TableContents"/>
              <w:bidi w:val="0"/>
              <w:spacing w:before="0" w:after="283"/>
              <w:ind w:left="98" w:right="0" w:hanging="0"/>
              <w:jc w:val="left"/>
              <w:rPr>
                <w:rFonts w:ascii="Arial;Helvetica;sans-serif" w:hAnsi="Arial;Helvetica;sans-serif"/>
                <w:color w:val="000000"/>
                <w:sz w:val="14"/>
              </w:rPr>
            </w:pPr>
            <w:r>
              <w:rPr>
                <w:rFonts w:ascii="Arial;Helvetica;sans-serif" w:hAnsi="Arial;Helvetica;sans-serif"/>
                <w:color w:val="000000"/>
                <w:sz w:val="14"/>
              </w:rPr>
              <w:t>3/13/2024</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20" w:type="dxa"/>
            <w:tcBorders/>
            <w:shd w:fill="CCCCCC" w:val="clear"/>
            <w:vAlign w:val="center"/>
          </w:tcPr>
          <w:p>
            <w:pPr>
              <w:pStyle w:val="TableContents"/>
              <w:bidi w:val="0"/>
              <w:spacing w:before="0" w:after="283"/>
              <w:ind w:left="300" w:right="0" w:hanging="0"/>
              <w:jc w:val="left"/>
              <w:rPr>
                <w:rFonts w:ascii="Arial;Helvetica;sans-serif" w:hAnsi="Arial;Helvetica;sans-serif"/>
                <w:color w:val="000000"/>
                <w:sz w:val="14"/>
              </w:rPr>
            </w:pPr>
            <w:r>
              <w:rPr>
                <w:rFonts w:ascii="Arial;Helvetica;sans-serif" w:hAnsi="Arial;Helvetica;sans-serif"/>
                <w:color w:val="000000"/>
                <w:sz w:val="14"/>
              </w:rPr>
              <w:t>1,916(c)</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20" w:type="dxa"/>
            <w:tcBorders/>
            <w:shd w:fill="CCCCCC" w:val="clear"/>
            <w:vAlign w:val="center"/>
          </w:tcPr>
          <w:p>
            <w:pPr>
              <w:pStyle w:val="TableContents"/>
              <w:bidi w:val="0"/>
              <w:spacing w:before="0" w:after="283"/>
              <w:ind w:left="226" w:right="0" w:hanging="0"/>
              <w:jc w:val="left"/>
              <w:rPr>
                <w:rFonts w:ascii="Arial;Helvetica;sans-serif" w:hAnsi="Arial;Helvetica;sans-serif"/>
                <w:color w:val="000000"/>
                <w:sz w:val="14"/>
              </w:rPr>
            </w:pPr>
            <w:r>
              <w:rPr>
                <w:rFonts w:ascii="Arial;Helvetica;sans-serif" w:hAnsi="Arial;Helvetica;sans-serif"/>
                <w:color w:val="000000"/>
                <w:sz w:val="14"/>
              </w:rPr>
              <w:t>245,861</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05" w:type="dxa"/>
            <w:tcBorders/>
            <w:shd w:fill="CCCCCC" w:val="clear"/>
            <w:vAlign w:val="center"/>
          </w:tcPr>
          <w:p>
            <w:pPr>
              <w:pStyle w:val="TableContents"/>
              <w:bidi w:val="0"/>
              <w:spacing w:before="0" w:after="283"/>
              <w:ind w:left="301" w:right="0" w:hanging="0"/>
              <w:jc w:val="left"/>
              <w:rPr>
                <w:rFonts w:ascii="Arial;Helvetica;sans-serif" w:hAnsi="Arial;Helvetica;sans-serif"/>
                <w:color w:val="000000"/>
                <w:sz w:val="14"/>
              </w:rPr>
            </w:pPr>
            <w:r>
              <w:rPr>
                <w:rFonts w:ascii="Arial;Helvetica;sans-serif" w:hAnsi="Arial;Helvetica;sans-serif"/>
                <w:color w:val="000000"/>
                <w:sz w:val="14"/>
              </w:rPr>
              <w:t>1,437(i)</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05" w:type="dxa"/>
            <w:tcBorders/>
            <w:shd w:fill="CCCCCC" w:val="clear"/>
            <w:vAlign w:val="center"/>
          </w:tcPr>
          <w:p>
            <w:pPr>
              <w:pStyle w:val="TableContents"/>
              <w:bidi w:val="0"/>
              <w:spacing w:before="0" w:after="283"/>
              <w:ind w:left="227" w:right="0" w:hanging="0"/>
              <w:jc w:val="left"/>
              <w:rPr>
                <w:rFonts w:ascii="Arial;Helvetica;sans-serif" w:hAnsi="Arial;Helvetica;sans-serif"/>
                <w:color w:val="000000"/>
                <w:sz w:val="14"/>
              </w:rPr>
            </w:pPr>
            <w:r>
              <w:rPr>
                <w:rFonts w:ascii="Arial;Helvetica;sans-serif" w:hAnsi="Arial;Helvetica;sans-serif"/>
                <w:color w:val="000000"/>
                <w:sz w:val="14"/>
              </w:rPr>
              <w:t xml:space="preserve">184,396 </w:t>
            </w:r>
          </w:p>
        </w:tc>
        <w:tc>
          <w:tcPr>
            <w:tcW w:w="215" w:type="dxa"/>
            <w:tcBorders/>
            <w:shd w:fill="CCCCCC" w:val="clear"/>
            <w:vAlign w:val="center"/>
          </w:tcPr>
          <w:p>
            <w:pPr>
              <w:pStyle w:val="TableContents"/>
              <w:bidi w:val="0"/>
              <w:spacing w:before="0" w:after="0"/>
              <w:jc w:val="left"/>
              <w:rPr/>
            </w:pPr>
            <w:r>
              <w:rPr/>
              <w:t> </w:t>
            </w:r>
          </w:p>
        </w:tc>
      </w:tr>
      <w:tr>
        <w:trPr/>
        <w:tc>
          <w:tcPr>
            <w:tcW w:w="185" w:type="dxa"/>
            <w:vMerge w:val="continue"/>
            <w:tcBorders>
              <w:bottom w:val="single" w:sz="8" w:space="0" w:color="000000"/>
            </w:tcBorders>
            <w:shd w:fill="CCCCCC" w:val="clear"/>
            <w:tcMar>
              <w:bottom w:w="28" w:type="dxa"/>
            </w:tcMar>
            <w:vAlign w:val="center"/>
          </w:tcPr>
          <w:p>
            <w:pPr>
              <w:pStyle w:val="Normal"/>
              <w:bidi w:val="0"/>
              <w:jc w:val="left"/>
              <w:rPr/>
            </w:pPr>
            <w:r>
              <w:rPr/>
            </w:r>
          </w:p>
        </w:tc>
        <w:tc>
          <w:tcPr>
            <w:tcW w:w="1145" w:type="dxa"/>
            <w:vMerge w:val="continue"/>
            <w:tcBorders>
              <w:bottom w:val="single" w:sz="8" w:space="0" w:color="000000"/>
            </w:tcBorders>
            <w:shd w:fill="CCCCCC" w:val="clear"/>
            <w:tcMar>
              <w:bottom w:w="38" w:type="dxa"/>
            </w:tcMar>
            <w:vAlign w:val="center"/>
          </w:tcPr>
          <w:p>
            <w:pPr>
              <w:pStyle w:val="Normal"/>
              <w:bidi w:val="0"/>
              <w:jc w:val="left"/>
              <w:rPr/>
            </w:pPr>
            <w:r>
              <w:rPr/>
            </w:r>
          </w:p>
        </w:tc>
        <w:tc>
          <w:tcPr>
            <w:tcW w:w="170" w:type="dxa"/>
            <w:vMerge w:val="continue"/>
            <w:tcBorders>
              <w:bottom w:val="single" w:sz="8" w:space="0" w:color="000000"/>
            </w:tcBorders>
            <w:shd w:fill="CCCCCC" w:val="clear"/>
            <w:tcMar>
              <w:bottom w:w="28" w:type="dxa"/>
            </w:tcMar>
            <w:vAlign w:val="center"/>
          </w:tcPr>
          <w:p>
            <w:pPr>
              <w:pStyle w:val="Normal"/>
              <w:bidi w:val="0"/>
              <w:jc w:val="left"/>
              <w:rPr/>
            </w:pPr>
            <w:r>
              <w:rPr/>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905" w:type="dxa"/>
            <w:tcBorders>
              <w:bottom w:val="single" w:sz="8" w:space="0" w:color="000000"/>
            </w:tcBorders>
            <w:shd w:fill="CCCCCC" w:val="clear"/>
            <w:tcMar>
              <w:bottom w:w="38" w:type="dxa"/>
            </w:tcMar>
            <w:vAlign w:val="center"/>
          </w:tcPr>
          <w:p>
            <w:pPr>
              <w:pStyle w:val="TableContents"/>
              <w:bidi w:val="0"/>
              <w:spacing w:before="0" w:after="283"/>
              <w:ind w:left="98" w:right="0" w:hanging="0"/>
              <w:jc w:val="left"/>
              <w:rPr>
                <w:rFonts w:ascii="Arial;Helvetica;sans-serif" w:hAnsi="Arial;Helvetica;sans-serif"/>
                <w:color w:val="000000"/>
                <w:sz w:val="14"/>
              </w:rPr>
            </w:pPr>
            <w:r>
              <w:rPr>
                <w:rFonts w:ascii="Arial;Helvetica;sans-serif" w:hAnsi="Arial;Helvetica;sans-serif"/>
                <w:color w:val="000000"/>
                <w:sz w:val="14"/>
              </w:rPr>
              <w:t>3/9/2023</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220" w:type="dxa"/>
            <w:tcBorders>
              <w:bottom w:val="single" w:sz="8" w:space="0" w:color="000000"/>
            </w:tcBorders>
            <w:shd w:fill="CCCCCC" w:val="clear"/>
            <w:tcMar>
              <w:bottom w:w="38" w:type="dxa"/>
            </w:tcMar>
            <w:vAlign w:val="center"/>
          </w:tcPr>
          <w:p>
            <w:pPr>
              <w:pStyle w:val="TableContents"/>
              <w:bidi w:val="0"/>
              <w:spacing w:before="0" w:after="283"/>
              <w:ind w:left="300" w:right="0" w:hanging="0"/>
              <w:jc w:val="left"/>
              <w:rPr>
                <w:rFonts w:ascii="Arial;Helvetica;sans-serif" w:hAnsi="Arial;Helvetica;sans-serif"/>
                <w:color w:val="000000"/>
                <w:sz w:val="14"/>
              </w:rPr>
            </w:pPr>
            <w:r>
              <w:rPr>
                <w:rFonts w:ascii="Arial;Helvetica;sans-serif" w:hAnsi="Arial;Helvetica;sans-serif"/>
                <w:color w:val="000000"/>
                <w:sz w:val="14"/>
              </w:rPr>
              <w:t>547(d)</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220" w:type="dxa"/>
            <w:tcBorders>
              <w:bottom w:val="single" w:sz="8" w:space="0" w:color="000000"/>
            </w:tcBorders>
            <w:shd w:fill="CCCCCC" w:val="clear"/>
            <w:tcMar>
              <w:bottom w:w="38" w:type="dxa"/>
            </w:tcMar>
            <w:vAlign w:val="center"/>
          </w:tcPr>
          <w:p>
            <w:pPr>
              <w:pStyle w:val="TableContents"/>
              <w:bidi w:val="0"/>
              <w:spacing w:before="0" w:after="283"/>
              <w:ind w:left="226" w:right="0" w:hanging="0"/>
              <w:jc w:val="left"/>
              <w:rPr>
                <w:rFonts w:ascii="Arial;Helvetica;sans-serif" w:hAnsi="Arial;Helvetica;sans-serif"/>
                <w:color w:val="000000"/>
                <w:sz w:val="14"/>
              </w:rPr>
            </w:pPr>
            <w:r>
              <w:rPr>
                <w:rFonts w:ascii="Arial;Helvetica;sans-serif" w:hAnsi="Arial;Helvetica;sans-serif"/>
                <w:color w:val="000000"/>
                <w:sz w:val="14"/>
              </w:rPr>
              <w:t>70,191</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205" w:type="dxa"/>
            <w:tcBorders>
              <w:bottom w:val="single" w:sz="8" w:space="0" w:color="000000"/>
            </w:tcBorders>
            <w:shd w:fill="CCCCCC" w:val="clear"/>
            <w:tcMar>
              <w:bottom w:w="38" w:type="dxa"/>
            </w:tcMar>
            <w:vAlign w:val="center"/>
          </w:tcPr>
          <w:p>
            <w:pPr>
              <w:pStyle w:val="TableContents"/>
              <w:bidi w:val="0"/>
              <w:spacing w:before="0" w:after="283"/>
              <w:ind w:left="301" w:right="0" w:hanging="0"/>
              <w:jc w:val="left"/>
              <w:rPr>
                <w:color w:val="000000"/>
              </w:rPr>
            </w:pPr>
            <w:r>
              <w:rPr>
                <w:color w:val="000000"/>
              </w:rPr>
              <w:t>—</w:t>
            </w:r>
            <w:r>
              <w:rPr>
                <w:rFonts w:ascii="Arial;Helvetica;sans-serif" w:hAnsi="Arial;Helvetica;sans-serif"/>
                <w:color w:val="000000"/>
                <w:sz w:val="14"/>
              </w:rPr>
              <w:t>(j)</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205" w:type="dxa"/>
            <w:tcBorders>
              <w:bottom w:val="single" w:sz="8" w:space="0" w:color="000000"/>
            </w:tcBorders>
            <w:shd w:fill="CCCCCC" w:val="clear"/>
            <w:tcMar>
              <w:bottom w:w="38" w:type="dxa"/>
            </w:tcMar>
            <w:vAlign w:val="center"/>
          </w:tcPr>
          <w:p>
            <w:pPr>
              <w:pStyle w:val="TableContents"/>
              <w:bidi w:val="0"/>
              <w:spacing w:before="0" w:after="283"/>
              <w:ind w:left="227" w:right="0" w:hanging="0"/>
              <w:jc w:val="left"/>
              <w:rPr>
                <w:color w:val="000000"/>
              </w:rPr>
            </w:pPr>
            <w:r>
              <w:rPr>
                <w:color w:val="000000"/>
              </w:rPr>
              <w:t xml:space="preserve">— </w:t>
            </w:r>
          </w:p>
        </w:tc>
        <w:tc>
          <w:tcPr>
            <w:tcW w:w="21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1145" w:type="dxa"/>
            <w:vMerge w:val="restart"/>
            <w:tcBorders/>
            <w:vAlign w:val="center"/>
          </w:tcPr>
          <w:p>
            <w:pPr>
              <w:pStyle w:val="TableContents"/>
              <w:bidi w:val="0"/>
              <w:spacing w:before="0" w:after="283"/>
              <w:ind w:left="30" w:right="0" w:hanging="0"/>
              <w:jc w:val="left"/>
              <w:rPr>
                <w:rFonts w:ascii="Arial;Helvetica;sans-serif" w:hAnsi="Arial;Helvetica;sans-serif"/>
                <w:color w:val="000000"/>
                <w:sz w:val="14"/>
              </w:rPr>
            </w:pPr>
            <w:r>
              <w:rPr>
                <w:rFonts w:ascii="Arial;Helvetica;sans-serif" w:hAnsi="Arial;Helvetica;sans-serif"/>
                <w:color w:val="000000"/>
                <w:sz w:val="14"/>
              </w:rPr>
              <w:t>Mr. Ferraro</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98" w:right="0" w:hanging="0"/>
              <w:jc w:val="left"/>
              <w:rPr>
                <w:rFonts w:ascii="Arial;Helvetica;sans-serif" w:hAnsi="Arial;Helvetica;sans-serif"/>
                <w:color w:val="000000"/>
                <w:sz w:val="14"/>
              </w:rPr>
            </w:pPr>
            <w:r>
              <w:rPr>
                <w:rFonts w:ascii="Arial;Helvetica;sans-serif" w:hAnsi="Arial;Helvetica;sans-serif"/>
                <w:color w:val="000000"/>
                <w:sz w:val="14"/>
              </w:rPr>
              <w:t>3/12/2025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300" w:right="0" w:hanging="0"/>
              <w:jc w:val="left"/>
              <w:rPr>
                <w:rFonts w:ascii="Arial;Helvetica;sans-serif" w:hAnsi="Arial;Helvetica;sans-serif"/>
                <w:color w:val="000000"/>
                <w:sz w:val="14"/>
              </w:rPr>
            </w:pPr>
            <w:r>
              <w:rPr>
                <w:rFonts w:ascii="Arial;Helvetica;sans-serif" w:hAnsi="Arial;Helvetica;sans-serif"/>
                <w:color w:val="000000"/>
                <w:sz w:val="14"/>
              </w:rPr>
              <w:t>28,438(b)</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226" w:right="0" w:hanging="0"/>
              <w:jc w:val="left"/>
              <w:rPr>
                <w:rFonts w:ascii="Arial;Helvetica;sans-serif" w:hAnsi="Arial;Helvetica;sans-serif"/>
                <w:color w:val="000000"/>
                <w:sz w:val="14"/>
              </w:rPr>
            </w:pPr>
            <w:r>
              <w:rPr>
                <w:rFonts w:ascii="Arial;Helvetica;sans-serif" w:hAnsi="Arial;Helvetica;sans-serif"/>
                <w:color w:val="000000"/>
                <w:sz w:val="14"/>
              </w:rPr>
              <w:t>3,649,164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301" w:right="0" w:hanging="0"/>
              <w:jc w:val="left"/>
              <w:rPr>
                <w:color w:val="000000"/>
              </w:rPr>
            </w:pPr>
            <w:r>
              <w:rPr>
                <w:color w:val="000000"/>
              </w:rPr>
              <w:t>—</w:t>
            </w:r>
            <w:r>
              <w:rPr>
                <w:rFonts w:ascii="Arial;Helvetica;sans-serif" w:hAnsi="Arial;Helvetica;sans-serif"/>
                <w:color w:val="000000"/>
                <w:sz w:val="14"/>
              </w:rPr>
              <w:t>(h)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227"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14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98" w:right="0" w:hanging="0"/>
              <w:jc w:val="left"/>
              <w:rPr>
                <w:rFonts w:ascii="Arial;Helvetica;sans-serif" w:hAnsi="Arial;Helvetica;sans-serif"/>
                <w:color w:val="000000"/>
                <w:sz w:val="14"/>
              </w:rPr>
            </w:pPr>
            <w:r>
              <w:rPr>
                <w:rFonts w:ascii="Arial;Helvetica;sans-serif" w:hAnsi="Arial;Helvetica;sans-serif"/>
                <w:color w:val="000000"/>
                <w:sz w:val="14"/>
              </w:rPr>
              <w:t>3/13/2024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300" w:right="0" w:hanging="0"/>
              <w:jc w:val="left"/>
              <w:rPr>
                <w:rFonts w:ascii="Arial;Helvetica;sans-serif" w:hAnsi="Arial;Helvetica;sans-serif"/>
                <w:color w:val="000000"/>
                <w:sz w:val="14"/>
              </w:rPr>
            </w:pPr>
            <w:r>
              <w:rPr>
                <w:rFonts w:ascii="Arial;Helvetica;sans-serif" w:hAnsi="Arial;Helvetica;sans-serif"/>
                <w:color w:val="000000"/>
                <w:sz w:val="14"/>
              </w:rPr>
              <w:t>15,768(c)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226" w:right="0" w:hanging="0"/>
              <w:jc w:val="left"/>
              <w:rPr>
                <w:rFonts w:ascii="Arial;Helvetica;sans-serif" w:hAnsi="Arial;Helvetica;sans-serif"/>
                <w:color w:val="000000"/>
                <w:sz w:val="14"/>
              </w:rPr>
            </w:pPr>
            <w:r>
              <w:rPr>
                <w:rFonts w:ascii="Arial;Helvetica;sans-serif" w:hAnsi="Arial;Helvetica;sans-serif"/>
                <w:color w:val="000000"/>
                <w:sz w:val="14"/>
              </w:rPr>
              <w:t>2,023,350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301" w:right="0" w:hanging="0"/>
              <w:jc w:val="left"/>
              <w:rPr>
                <w:color w:val="000000"/>
              </w:rPr>
            </w:pPr>
            <w:r>
              <w:rPr>
                <w:color w:val="000000"/>
              </w:rPr>
              <w:t>—</w:t>
            </w:r>
            <w:r>
              <w:rPr>
                <w:rFonts w:ascii="Arial;Helvetica;sans-serif" w:hAnsi="Arial;Helvetica;sans-serif"/>
                <w:color w:val="000000"/>
                <w:sz w:val="14"/>
              </w:rPr>
              <w:t>(i)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227"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14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98" w:right="0" w:hanging="0"/>
              <w:jc w:val="left"/>
              <w:rPr>
                <w:rFonts w:ascii="Arial;Helvetica;sans-serif" w:hAnsi="Arial;Helvetica;sans-serif"/>
                <w:color w:val="000000"/>
                <w:sz w:val="14"/>
              </w:rPr>
            </w:pPr>
            <w:r>
              <w:rPr>
                <w:rFonts w:ascii="Arial;Helvetica;sans-serif" w:hAnsi="Arial;Helvetica;sans-serif"/>
                <w:color w:val="000000"/>
                <w:sz w:val="14"/>
              </w:rPr>
              <w:t>3/9/2023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300" w:right="0" w:hanging="0"/>
              <w:jc w:val="left"/>
              <w:rPr>
                <w:rFonts w:ascii="Arial;Helvetica;sans-serif" w:hAnsi="Arial;Helvetica;sans-serif"/>
                <w:color w:val="000000"/>
                <w:sz w:val="14"/>
              </w:rPr>
            </w:pPr>
            <w:r>
              <w:rPr>
                <w:rFonts w:ascii="Arial;Helvetica;sans-serif" w:hAnsi="Arial;Helvetica;sans-serif"/>
                <w:color w:val="000000"/>
                <w:sz w:val="14"/>
              </w:rPr>
              <w:t>4,375(d)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226" w:right="0" w:hanging="0"/>
              <w:jc w:val="left"/>
              <w:rPr>
                <w:rFonts w:ascii="Arial;Helvetica;sans-serif" w:hAnsi="Arial;Helvetica;sans-serif"/>
                <w:color w:val="000000"/>
                <w:sz w:val="14"/>
              </w:rPr>
            </w:pPr>
            <w:r>
              <w:rPr>
                <w:rFonts w:ascii="Arial;Helvetica;sans-serif" w:hAnsi="Arial;Helvetica;sans-serif"/>
                <w:color w:val="000000"/>
                <w:sz w:val="14"/>
              </w:rPr>
              <w:t>561,400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301" w:right="0" w:hanging="0"/>
              <w:jc w:val="left"/>
              <w:rPr>
                <w:color w:val="000000"/>
              </w:rPr>
            </w:pPr>
            <w:r>
              <w:rPr>
                <w:color w:val="000000"/>
              </w:rPr>
              <w:t>—</w:t>
            </w:r>
            <w:r>
              <w:rPr>
                <w:rFonts w:ascii="Arial;Helvetica;sans-serif" w:hAnsi="Arial;Helvetica;sans-serif"/>
                <w:color w:val="000000"/>
                <w:sz w:val="14"/>
              </w:rPr>
              <w:t>(j)</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227" w:right="0" w:hanging="0"/>
              <w:jc w:val="left"/>
              <w:rPr>
                <w:color w:val="000000"/>
              </w:rPr>
            </w:pPr>
            <w:r>
              <w:rPr>
                <w:color w:val="000000"/>
              </w:rPr>
              <w:t>—</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(a)</w:t>
            </w:r>
          </w:p>
        </w:tc>
        <w:tc>
          <w:tcPr>
            <w:tcW w:w="9995"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Stock awards reflect RSUs and PSUs, together with the dividend equivalent stock units that accrued on such awards as a result of the special one-time cash dividend paid to stockholders in December 2023 that remain subject to the same vesting conditions as the underlying stock awards. Values are based on the closing price of our Common Stock on December 31, 2025 of $128.32. For PSUs where performance levels have been achieved but remained unvested as of December 31, 2025, the number of shares shown as outstanding reflect the actual achievement. Notes (b)-(l) are set forth below. Ms. Martins is not included because her equity awards were forfeited upon her departure in 2025. </w:t>
            </w:r>
          </w:p>
        </w:tc>
      </w:tr>
    </w:tbl>
    <w:tbl>
      <w:tblPr>
        <w:tblW w:w="10205" w:type="dxa"/>
        <w:jc w:val="left"/>
        <w:tblInd w:w="0" w:type="dxa"/>
        <w:tblLayout w:type="fixed"/>
        <w:tblCellMar>
          <w:top w:w="0" w:type="dxa"/>
          <w:left w:w="0" w:type="dxa"/>
          <w:bottom w:w="0" w:type="dxa"/>
          <w:right w:w="0" w:type="dxa"/>
        </w:tblCellMar>
      </w:tblPr>
      <w:tblGrid>
        <w:gridCol w:w="185"/>
        <w:gridCol w:w="223"/>
        <w:gridCol w:w="170"/>
        <w:gridCol w:w="170"/>
        <w:gridCol w:w="560"/>
        <w:gridCol w:w="170"/>
        <w:gridCol w:w="170"/>
        <w:gridCol w:w="8341"/>
        <w:gridCol w:w="216"/>
      </w:tblGrid>
      <w:tr>
        <w:trPr/>
        <w:tc>
          <w:tcPr>
            <w:tcW w:w="185"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41"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Award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41" w:type="dxa"/>
            <w:tcBorders/>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Scheduled Vesting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(b)</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RSUs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41"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March 12, 2026 subject to vesting under the terms of his Separation Agreement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RSUs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41"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Two equal installments on March 13, 2026 and 2027. Mr. Ferraro’s RSUs were subject to vesting under the terms of his Separation Agreement.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RSUs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41"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March 9, 2026. Mr. Ferraro’s RSUs were subject to vesting under the terms of his Separation Agreement.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RSUs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41"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Three equal installments on March 12, 2026, 2027, and 2028.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(f)</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RSUs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41"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Three equal installments on July 23, 2026, 2027, and 2028.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(g)</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RSUs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41"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July 26, 2026.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(h)</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PSUs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41"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March 12, 2026, based on one-year cumulative Adjusted EBITDA, as discussed in the CD&amp;A, and disclosed above at the actual achievement level. The threshold performance was not attained. For Mr. Ferraro, these PSUs were forfeited under his Separation Agreement.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PSUs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41"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March 13, 2027, based on three-year cumulative Adjusted EBITDA, and disclosed above at threshold achievement level. For Mr. Ferraro, these PSUs were forfeited under his Separation Agreement.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(j)</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PSUs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41"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March 9, 2026, based on three-year cumulative Adjusted EBITDA (75% weighting) and a variable cost metric (25% weighting), and disclosed above at the actual achievement level.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PSUs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41"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March 12, 2028 (or July 23, 2028 for Mr. Cunha), based on three-year cumulative Adjusted EBITDA, as discussed in the CD&amp;A, and disclosed above at projected vesting level of 55% as of year-end.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3"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PSUs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41"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March 12, 2027, based on two-year cumulative Adjusted EBITDA, as discussed in the CD&amp;A, and disclosed above at threshold achievement level.</w:t>
            </w:r>
          </w:p>
        </w:tc>
        <w:tc>
          <w:tcPr>
            <w:tcW w:w="216" w:type="dxa"/>
            <w:tcBorders/>
            <w:vAlign w:val="center"/>
          </w:tcPr>
          <w:p>
            <w:pPr>
              <w:pStyle w:val="TableContents"/>
              <w:bidi w:val="0"/>
              <w:spacing w:before="0" w:after="0"/>
              <w:jc w:val="left"/>
              <w:rPr/>
            </w:pPr>
            <w:r>
              <w:rPr/>
              <w:t>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37</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0" w:name="ny20066167x1_def14a_107-summary_pg6"/>
        <w:bookmarkEnd w:id="80"/>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000000"/>
          <w:sz w:val="28"/>
        </w:rPr>
      </w:pPr>
      <w:bookmarkStart w:id="81" w:name="t20OST"/>
      <w:bookmarkEnd w:id="81"/>
      <w:r>
        <w:rPr>
          <w:rFonts w:ascii="Arial;Helvetica;sans-serif" w:hAnsi="Arial;Helvetica;sans-serif"/>
          <w:b/>
          <w:color w:val="000000"/>
          <w:sz w:val="28"/>
        </w:rPr>
        <w:t xml:space="preserve">2025 Option Exercise and Stock Vested Table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following table reflects information regarding vesting of our stock awards during fiscal 2025. There were no stock options outstanding or exercised. </w:t>
      </w:r>
    </w:p>
    <w:tbl>
      <w:tblPr>
        <w:tblW w:w="4455" w:type="dxa"/>
        <w:jc w:val="left"/>
        <w:tblInd w:w="0" w:type="dxa"/>
        <w:tblLayout w:type="fixed"/>
        <w:tblCellMar>
          <w:top w:w="0" w:type="dxa"/>
          <w:left w:w="0" w:type="dxa"/>
          <w:bottom w:w="0" w:type="dxa"/>
          <w:right w:w="0" w:type="dxa"/>
        </w:tblCellMar>
      </w:tblPr>
      <w:tblGrid>
        <w:gridCol w:w="185"/>
        <w:gridCol w:w="1355"/>
        <w:gridCol w:w="170"/>
        <w:gridCol w:w="170"/>
        <w:gridCol w:w="1070"/>
        <w:gridCol w:w="170"/>
        <w:gridCol w:w="170"/>
        <w:gridCol w:w="950"/>
        <w:gridCol w:w="215"/>
      </w:tblGrid>
      <w:tr>
        <w:trPr/>
        <w:tc>
          <w:tcPr>
            <w:tcW w:w="185"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60" w:type="dxa"/>
            <w:gridSpan w:val="4"/>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60" w:type="dxa"/>
            <w:gridSpan w:val="4"/>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Stock Awards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355" w:type="dxa"/>
            <w:tcBorders>
              <w:bottom w:val="single" w:sz="8" w:space="0" w:color="000000"/>
            </w:tcBorders>
            <w:tcMar>
              <w:bottom w:w="28" w:type="dxa"/>
            </w:tcM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Name</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70"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Number of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Shares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Acquired on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Vesting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50"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Value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Realized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on Vesting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shd w:fill="CCCCCC" w:val="clear"/>
            <w:vAlign w:val="center"/>
          </w:tcPr>
          <w:p>
            <w:pPr>
              <w:pStyle w:val="TableContents"/>
              <w:bidi w:val="0"/>
              <w:spacing w:before="0" w:after="0"/>
              <w:jc w:val="left"/>
              <w:rPr/>
            </w:pPr>
            <w:r>
              <w:rPr/>
              <w:t> </w:t>
            </w:r>
          </w:p>
        </w:tc>
        <w:tc>
          <w:tcPr>
            <w:tcW w:w="1355" w:type="dxa"/>
            <w:tcBorders/>
            <w:shd w:fill="CCCCCC"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Mr. Choi</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070" w:type="dxa"/>
            <w:tcBorders/>
            <w:shd w:fill="CCCCCC" w:val="clear"/>
            <w:vAlign w:val="center"/>
          </w:tcPr>
          <w:p>
            <w:pPr>
              <w:pStyle w:val="TableContents"/>
              <w:bidi w:val="0"/>
              <w:spacing w:before="0" w:after="283"/>
              <w:ind w:left="355" w:right="0" w:hanging="0"/>
              <w:jc w:val="left"/>
              <w:rPr>
                <w:rFonts w:ascii="Arial;Helvetica;sans-serif" w:hAnsi="Arial;Helvetica;sans-serif"/>
                <w:color w:val="000000"/>
                <w:sz w:val="16"/>
              </w:rPr>
            </w:pPr>
            <w:r>
              <w:rPr>
                <w:rFonts w:ascii="Arial;Helvetica;sans-serif" w:hAnsi="Arial;Helvetica;sans-serif"/>
                <w:color w:val="000000"/>
                <w:sz w:val="16"/>
              </w:rPr>
              <w:t>21,212</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950" w:type="dxa"/>
            <w:tcBorders/>
            <w:shd w:fill="CCCCCC" w:val="clear"/>
            <w:vAlign w:val="center"/>
          </w:tcPr>
          <w:p>
            <w:pPr>
              <w:pStyle w:val="TableContents"/>
              <w:bidi w:val="0"/>
              <w:spacing w:before="0" w:after="283"/>
              <w:ind w:left="49" w:right="0" w:hanging="0"/>
              <w:jc w:val="left"/>
              <w:rPr>
                <w:rFonts w:ascii="Arial;Helvetica;sans-serif" w:hAnsi="Arial;Helvetica;sans-serif"/>
                <w:color w:val="000000"/>
                <w:sz w:val="16"/>
              </w:rPr>
            </w:pPr>
            <w:r>
              <w:rPr>
                <w:rFonts w:ascii="Arial;Helvetica;sans-serif" w:hAnsi="Arial;Helvetica;sans-serif"/>
                <w:color w:val="000000"/>
                <w:sz w:val="16"/>
              </w:rPr>
              <w:t xml:space="preserve">2,048,295 </w:t>
            </w:r>
          </w:p>
        </w:tc>
        <w:tc>
          <w:tcPr>
            <w:tcW w:w="215" w:type="dxa"/>
            <w:tcBorders/>
            <w:shd w:fill="CCCCCC"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Mr. Cunha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35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9" w:right="0" w:hanging="0"/>
              <w:jc w:val="left"/>
              <w:rPr>
                <w:color w:val="000000"/>
              </w:rPr>
            </w:pPr>
            <w:r>
              <w:rPr>
                <w:color w:val="00000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CCCCCC" w:val="clear"/>
            <w:vAlign w:val="center"/>
          </w:tcPr>
          <w:p>
            <w:pPr>
              <w:pStyle w:val="TableContents"/>
              <w:bidi w:val="0"/>
              <w:spacing w:before="0" w:after="0"/>
              <w:jc w:val="left"/>
              <w:rPr/>
            </w:pPr>
            <w:r>
              <w:rPr/>
              <w:t> </w:t>
            </w:r>
          </w:p>
        </w:tc>
        <w:tc>
          <w:tcPr>
            <w:tcW w:w="1355" w:type="dxa"/>
            <w:tcBorders/>
            <w:shd w:fill="CCCCCC"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Mr. Pahwa</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070" w:type="dxa"/>
            <w:tcBorders/>
            <w:shd w:fill="CCCCCC" w:val="clear"/>
            <w:vAlign w:val="center"/>
          </w:tcPr>
          <w:p>
            <w:pPr>
              <w:pStyle w:val="TableContents"/>
              <w:bidi w:val="0"/>
              <w:spacing w:before="0" w:after="283"/>
              <w:ind w:left="355"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950" w:type="dxa"/>
            <w:tcBorders/>
            <w:shd w:fill="CCCCCC" w:val="clear"/>
            <w:vAlign w:val="center"/>
          </w:tcPr>
          <w:p>
            <w:pPr>
              <w:pStyle w:val="TableContents"/>
              <w:bidi w:val="0"/>
              <w:spacing w:before="0" w:after="283"/>
              <w:ind w:left="49" w:right="0" w:hanging="0"/>
              <w:jc w:val="left"/>
              <w:rPr>
                <w:color w:val="000000"/>
              </w:rPr>
            </w:pPr>
            <w:r>
              <w:rPr>
                <w:color w:val="000000"/>
              </w:rPr>
              <w:t xml:space="preserve">— </w:t>
            </w:r>
          </w:p>
        </w:tc>
        <w:tc>
          <w:tcPr>
            <w:tcW w:w="215" w:type="dxa"/>
            <w:tcBorders/>
            <w:shd w:fill="CCCCCC"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Mr. Simhambhatla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355" w:right="0" w:hanging="0"/>
              <w:jc w:val="left"/>
              <w:rPr>
                <w:rFonts w:ascii="Arial;Helvetica;sans-serif" w:hAnsi="Arial;Helvetica;sans-serif"/>
                <w:color w:val="000000"/>
                <w:sz w:val="16"/>
              </w:rPr>
            </w:pPr>
            <w:r>
              <w:rPr>
                <w:rFonts w:ascii="Arial;Helvetica;sans-serif" w:hAnsi="Arial;Helvetica;sans-serif"/>
                <w:color w:val="000000"/>
                <w:sz w:val="16"/>
              </w:rPr>
              <w:t>4,418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9" w:right="0" w:hanging="0"/>
              <w:jc w:val="left"/>
              <w:rPr>
                <w:rFonts w:ascii="Arial;Helvetica;sans-serif" w:hAnsi="Arial;Helvetica;sans-serif"/>
                <w:color w:val="000000"/>
                <w:sz w:val="16"/>
              </w:rPr>
            </w:pPr>
            <w:r>
              <w:rPr>
                <w:rFonts w:ascii="Arial;Helvetica;sans-serif" w:hAnsi="Arial;Helvetica;sans-serif"/>
                <w:color w:val="000000"/>
                <w:sz w:val="16"/>
              </w:rPr>
              <w:t xml:space="preserve">612,823 </w:t>
            </w:r>
          </w:p>
        </w:tc>
        <w:tc>
          <w:tcPr>
            <w:tcW w:w="215" w:type="dxa"/>
            <w:tcBorders/>
            <w:vAlign w:val="center"/>
          </w:tcPr>
          <w:p>
            <w:pPr>
              <w:pStyle w:val="TableContents"/>
              <w:bidi w:val="0"/>
              <w:spacing w:before="0" w:after="0"/>
              <w:jc w:val="left"/>
              <w:rPr/>
            </w:pPr>
            <w:r>
              <w:rPr/>
              <w:t> </w:t>
            </w:r>
          </w:p>
        </w:tc>
      </w:tr>
      <w:tr>
        <w:trPr/>
        <w:tc>
          <w:tcPr>
            <w:tcW w:w="185" w:type="dxa"/>
            <w:tcBorders/>
            <w:shd w:fill="CCCCCC" w:val="clear"/>
            <w:vAlign w:val="center"/>
          </w:tcPr>
          <w:p>
            <w:pPr>
              <w:pStyle w:val="TableContents"/>
              <w:bidi w:val="0"/>
              <w:spacing w:before="0" w:after="0"/>
              <w:jc w:val="left"/>
              <w:rPr/>
            </w:pPr>
            <w:r>
              <w:rPr/>
              <w:t> </w:t>
            </w:r>
          </w:p>
        </w:tc>
        <w:tc>
          <w:tcPr>
            <w:tcW w:w="1355" w:type="dxa"/>
            <w:tcBorders/>
            <w:shd w:fill="CCCCCC"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Mr. Linnen</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070" w:type="dxa"/>
            <w:tcBorders/>
            <w:shd w:fill="CCCCCC" w:val="clear"/>
            <w:vAlign w:val="center"/>
          </w:tcPr>
          <w:p>
            <w:pPr>
              <w:pStyle w:val="TableContents"/>
              <w:bidi w:val="0"/>
              <w:spacing w:before="0" w:after="283"/>
              <w:ind w:left="355" w:right="0" w:hanging="0"/>
              <w:jc w:val="left"/>
              <w:rPr>
                <w:rFonts w:ascii="Arial;Helvetica;sans-serif" w:hAnsi="Arial;Helvetica;sans-serif"/>
                <w:color w:val="000000"/>
                <w:sz w:val="16"/>
              </w:rPr>
            </w:pPr>
            <w:r>
              <w:rPr>
                <w:rFonts w:ascii="Arial;Helvetica;sans-serif" w:hAnsi="Arial;Helvetica;sans-serif"/>
                <w:color w:val="000000"/>
                <w:sz w:val="16"/>
              </w:rPr>
              <w:t>10,501</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950" w:type="dxa"/>
            <w:tcBorders/>
            <w:shd w:fill="CCCCCC" w:val="clear"/>
            <w:vAlign w:val="center"/>
          </w:tcPr>
          <w:p>
            <w:pPr>
              <w:pStyle w:val="TableContents"/>
              <w:bidi w:val="0"/>
              <w:spacing w:before="0" w:after="283"/>
              <w:ind w:left="49" w:right="0" w:hanging="0"/>
              <w:jc w:val="left"/>
              <w:rPr>
                <w:rFonts w:ascii="Arial;Helvetica;sans-serif" w:hAnsi="Arial;Helvetica;sans-serif"/>
                <w:color w:val="000000"/>
                <w:sz w:val="16"/>
              </w:rPr>
            </w:pPr>
            <w:r>
              <w:rPr>
                <w:rFonts w:ascii="Arial;Helvetica;sans-serif" w:hAnsi="Arial;Helvetica;sans-serif"/>
                <w:color w:val="000000"/>
                <w:sz w:val="16"/>
              </w:rPr>
              <w:t xml:space="preserve">1,113,488 </w:t>
            </w:r>
          </w:p>
        </w:tc>
        <w:tc>
          <w:tcPr>
            <w:tcW w:w="215" w:type="dxa"/>
            <w:tcBorders/>
            <w:shd w:fill="CCCCCC"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Mr. Ferraro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70" w:type="dxa"/>
            <w:tcBorders/>
            <w:vAlign w:val="center"/>
          </w:tcPr>
          <w:p>
            <w:pPr>
              <w:pStyle w:val="TableContents"/>
              <w:bidi w:val="0"/>
              <w:spacing w:before="0" w:after="283"/>
              <w:ind w:left="355" w:right="0" w:hanging="0"/>
              <w:jc w:val="left"/>
              <w:rPr>
                <w:rFonts w:ascii="Arial;Helvetica;sans-serif" w:hAnsi="Arial;Helvetica;sans-serif"/>
                <w:color w:val="000000"/>
                <w:sz w:val="16"/>
              </w:rPr>
            </w:pPr>
            <w:r>
              <w:rPr>
                <w:rFonts w:ascii="Arial;Helvetica;sans-serif" w:hAnsi="Arial;Helvetica;sans-serif"/>
                <w:color w:val="000000"/>
                <w:sz w:val="16"/>
              </w:rPr>
              <w:t>52,072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50" w:type="dxa"/>
            <w:tcBorders/>
            <w:vAlign w:val="center"/>
          </w:tcPr>
          <w:p>
            <w:pPr>
              <w:pStyle w:val="TableContents"/>
              <w:bidi w:val="0"/>
              <w:spacing w:before="0" w:after="283"/>
              <w:ind w:left="49" w:right="0" w:hanging="0"/>
              <w:jc w:val="left"/>
              <w:rPr>
                <w:rFonts w:ascii="Arial;Helvetica;sans-serif" w:hAnsi="Arial;Helvetica;sans-serif"/>
                <w:color w:val="000000"/>
                <w:sz w:val="16"/>
              </w:rPr>
            </w:pPr>
            <w:r>
              <w:rPr>
                <w:rFonts w:ascii="Arial;Helvetica;sans-serif" w:hAnsi="Arial;Helvetica;sans-serif"/>
                <w:color w:val="000000"/>
                <w:sz w:val="16"/>
              </w:rPr>
              <w:t xml:space="preserve">4,777,459 </w:t>
            </w:r>
          </w:p>
        </w:tc>
        <w:tc>
          <w:tcPr>
            <w:tcW w:w="215" w:type="dxa"/>
            <w:tcBorders/>
            <w:vAlign w:val="center"/>
          </w:tcPr>
          <w:p>
            <w:pPr>
              <w:pStyle w:val="TableContents"/>
              <w:bidi w:val="0"/>
              <w:spacing w:before="0" w:after="0"/>
              <w:jc w:val="left"/>
              <w:rPr/>
            </w:pPr>
            <w:r>
              <w:rPr/>
              <w:t> </w:t>
            </w:r>
          </w:p>
        </w:tc>
      </w:tr>
      <w:tr>
        <w:trPr/>
        <w:tc>
          <w:tcPr>
            <w:tcW w:w="185" w:type="dxa"/>
            <w:tcBorders/>
            <w:shd w:fill="CCCCCC" w:val="clear"/>
            <w:vAlign w:val="center"/>
          </w:tcPr>
          <w:p>
            <w:pPr>
              <w:pStyle w:val="TableContents"/>
              <w:bidi w:val="0"/>
              <w:spacing w:before="0" w:after="0"/>
              <w:jc w:val="left"/>
              <w:rPr/>
            </w:pPr>
            <w:r>
              <w:rPr/>
              <w:t> </w:t>
            </w:r>
          </w:p>
        </w:tc>
        <w:tc>
          <w:tcPr>
            <w:tcW w:w="1355" w:type="dxa"/>
            <w:tcBorders/>
            <w:shd w:fill="CCCCCC"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Ms. Martins</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070" w:type="dxa"/>
            <w:tcBorders/>
            <w:shd w:fill="CCCCCC" w:val="clear"/>
            <w:vAlign w:val="center"/>
          </w:tcPr>
          <w:p>
            <w:pPr>
              <w:pStyle w:val="TableContents"/>
              <w:bidi w:val="0"/>
              <w:spacing w:before="0" w:after="283"/>
              <w:ind w:left="355" w:right="0" w:hanging="0"/>
              <w:jc w:val="left"/>
              <w:rPr>
                <w:rFonts w:ascii="Arial;Helvetica;sans-serif" w:hAnsi="Arial;Helvetica;sans-serif"/>
                <w:color w:val="000000"/>
                <w:sz w:val="16"/>
              </w:rPr>
            </w:pPr>
            <w:r>
              <w:rPr>
                <w:rFonts w:ascii="Arial;Helvetica;sans-serif" w:hAnsi="Arial;Helvetica;sans-serif"/>
                <w:color w:val="000000"/>
                <w:sz w:val="16"/>
              </w:rPr>
              <w:t>6,853</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950" w:type="dxa"/>
            <w:tcBorders/>
            <w:shd w:fill="CCCCCC" w:val="clear"/>
            <w:vAlign w:val="center"/>
          </w:tcPr>
          <w:p>
            <w:pPr>
              <w:pStyle w:val="TableContents"/>
              <w:bidi w:val="0"/>
              <w:spacing w:before="0" w:after="283"/>
              <w:ind w:left="49" w:right="0" w:hanging="0"/>
              <w:jc w:val="left"/>
              <w:rPr>
                <w:rFonts w:ascii="Arial;Helvetica;sans-serif" w:hAnsi="Arial;Helvetica;sans-serif"/>
                <w:color w:val="000000"/>
                <w:sz w:val="16"/>
              </w:rPr>
            </w:pPr>
            <w:r>
              <w:rPr>
                <w:rFonts w:ascii="Arial;Helvetica;sans-serif" w:hAnsi="Arial;Helvetica;sans-serif"/>
                <w:color w:val="000000"/>
                <w:sz w:val="16"/>
              </w:rPr>
              <w:t>462,182</w:t>
            </w:r>
          </w:p>
        </w:tc>
        <w:tc>
          <w:tcPr>
            <w:tcW w:w="215" w:type="dxa"/>
            <w:tcBorders/>
            <w:shd w:fill="CCCCCC" w:val="clear"/>
            <w:vAlign w:val="center"/>
          </w:tcPr>
          <w:p>
            <w:pPr>
              <w:pStyle w:val="TableContents"/>
              <w:bidi w:val="0"/>
              <w:spacing w:before="0" w:after="0"/>
              <w:jc w:val="left"/>
              <w:rPr/>
            </w:pPr>
            <w:r>
              <w:rPr/>
              <w:t> </w:t>
            </w:r>
          </w:p>
        </w:tc>
      </w:tr>
      <w:tr>
        <w:trPr/>
        <w:tc>
          <w:tcPr>
            <w:tcW w:w="185" w:type="dxa"/>
            <w:tcBorders/>
            <w:shd w:fill="CCCCCC" w:val="clear"/>
            <w:vAlign w:val="center"/>
          </w:tcPr>
          <w:p>
            <w:pPr>
              <w:pStyle w:val="TableContents"/>
              <w:bidi w:val="0"/>
              <w:spacing w:before="0" w:after="0"/>
              <w:jc w:val="left"/>
              <w:rPr/>
            </w:pPr>
            <w:r>
              <w:rPr/>
              <w:t> </w:t>
            </w:r>
          </w:p>
        </w:tc>
        <w:tc>
          <w:tcPr>
            <w:tcW w:w="1355"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0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950" w:type="dxa"/>
            <w:tcBorders/>
            <w:shd w:fill="CCCCCC" w:val="clear"/>
            <w:vAlign w:val="center"/>
          </w:tcPr>
          <w:p>
            <w:pPr>
              <w:pStyle w:val="TableContents"/>
              <w:bidi w:val="0"/>
              <w:spacing w:before="0" w:after="0"/>
              <w:jc w:val="left"/>
              <w:rPr/>
            </w:pPr>
            <w:r>
              <w:rPr/>
              <w:t> </w:t>
            </w:r>
          </w:p>
        </w:tc>
        <w:tc>
          <w:tcPr>
            <w:tcW w:w="215" w:type="dxa"/>
            <w:tcBorders/>
            <w:shd w:fill="CCCCCC" w:val="clear"/>
            <w:vAlign w:val="center"/>
          </w:tcPr>
          <w:p>
            <w:pPr>
              <w:pStyle w:val="TableContents"/>
              <w:bidi w:val="0"/>
              <w:spacing w:before="0" w:after="0"/>
              <w:jc w:val="left"/>
              <w:rPr/>
            </w:pPr>
            <w:r>
              <w:rPr/>
              <w:t> </w:t>
            </w:r>
          </w:p>
        </w:tc>
      </w:tr>
    </w:tbl>
    <w:tbl>
      <w:tblPr>
        <w:tblW w:w="8680" w:type="dxa"/>
        <w:jc w:val="left"/>
        <w:tblInd w:w="0" w:type="dxa"/>
        <w:tblLayout w:type="fixed"/>
        <w:tblCellMar>
          <w:top w:w="0" w:type="dxa"/>
          <w:left w:w="0" w:type="dxa"/>
          <w:bottom w:w="0" w:type="dxa"/>
          <w:right w:w="0" w:type="dxa"/>
        </w:tblCellMar>
      </w:tblPr>
      <w:tblGrid>
        <w:gridCol w:w="260"/>
        <w:gridCol w:w="8420"/>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(a)</w:t>
            </w:r>
          </w:p>
        </w:tc>
        <w:tc>
          <w:tcPr>
            <w:tcW w:w="842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The value realized on vesting reflects the market value of the shares (before taxes) on the applicable vesting date. </w:t>
            </w:r>
          </w:p>
        </w:tc>
      </w:tr>
    </w:tbl>
    <w:p>
      <w:pPr>
        <w:pStyle w:val="TextBody"/>
        <w:bidi w:val="0"/>
        <w:spacing w:before="230" w:after="283"/>
        <w:ind w:left="0" w:right="0" w:hanging="0"/>
        <w:jc w:val="left"/>
        <w:rPr>
          <w:rFonts w:ascii="Arial;Helvetica;sans-serif" w:hAnsi="Arial;Helvetica;sans-serif"/>
          <w:b/>
          <w:color w:val="000000"/>
          <w:sz w:val="28"/>
        </w:rPr>
      </w:pPr>
      <w:bookmarkStart w:id="82" w:name="tPBT"/>
      <w:bookmarkEnd w:id="82"/>
      <w:r>
        <w:rPr>
          <w:rFonts w:ascii="Arial;Helvetica;sans-serif" w:hAnsi="Arial;Helvetica;sans-serif"/>
          <w:b/>
          <w:color w:val="000000"/>
          <w:sz w:val="28"/>
        </w:rPr>
        <w:t xml:space="preserve">Pension Benefits Table </w:t>
      </w:r>
    </w:p>
    <w:tbl>
      <w:tblPr>
        <w:tblW w:w="9405" w:type="dxa"/>
        <w:jc w:val="left"/>
        <w:tblInd w:w="0" w:type="dxa"/>
        <w:tblLayout w:type="fixed"/>
        <w:tblCellMar>
          <w:top w:w="0" w:type="dxa"/>
          <w:left w:w="0" w:type="dxa"/>
          <w:bottom w:w="0" w:type="dxa"/>
          <w:right w:w="0" w:type="dxa"/>
        </w:tblCellMar>
      </w:tblPr>
      <w:tblGrid>
        <w:gridCol w:w="185"/>
        <w:gridCol w:w="890"/>
        <w:gridCol w:w="170"/>
        <w:gridCol w:w="170"/>
        <w:gridCol w:w="3200"/>
        <w:gridCol w:w="170"/>
        <w:gridCol w:w="170"/>
        <w:gridCol w:w="1385"/>
        <w:gridCol w:w="170"/>
        <w:gridCol w:w="170"/>
        <w:gridCol w:w="1145"/>
        <w:gridCol w:w="170"/>
        <w:gridCol w:w="170"/>
        <w:gridCol w:w="1025"/>
        <w:gridCol w:w="215"/>
      </w:tblGrid>
      <w:tr>
        <w:trPr/>
        <w:tc>
          <w:tcPr>
            <w:tcW w:w="185"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890" w:type="dxa"/>
            <w:tcBorders>
              <w:bottom w:val="single" w:sz="8" w:space="0" w:color="000000"/>
            </w:tcBorders>
            <w:tcMar>
              <w:bottom w:w="28" w:type="dxa"/>
            </w:tcM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Name</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200"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Plan Name (a)</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385"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Number of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Years of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Credited Service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45"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Present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Value of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Accumulated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Benefit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Payments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During Last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Fiscal Year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shd w:fill="CCCCCC" w:val="clear"/>
            <w:vAlign w:val="center"/>
          </w:tcPr>
          <w:p>
            <w:pPr>
              <w:pStyle w:val="TableContents"/>
              <w:bidi w:val="0"/>
              <w:spacing w:before="0" w:after="0"/>
              <w:jc w:val="left"/>
              <w:rPr/>
            </w:pPr>
            <w:r>
              <w:rPr/>
              <w:t> </w:t>
            </w:r>
          </w:p>
        </w:tc>
        <w:tc>
          <w:tcPr>
            <w:tcW w:w="890" w:type="dxa"/>
            <w:tcBorders/>
            <w:shd w:fill="CCCCCC"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Mr. Ferraro</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3200" w:type="dxa"/>
            <w:tcBorders/>
            <w:shd w:fill="CCCCCC"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Avis Rent A Car System, LLC Pension Plan</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385" w:type="dxa"/>
            <w:tcBorders/>
            <w:shd w:fill="CCCCCC"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21 years, 1 month</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145" w:type="dxa"/>
            <w:tcBorders/>
            <w:shd w:fill="CCCCCC"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350,483</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025" w:type="dxa"/>
            <w:tcBorders/>
            <w:shd w:fill="CCCCCC" w:val="clear"/>
            <w:vAlign w:val="center"/>
          </w:tcPr>
          <w:p>
            <w:pPr>
              <w:pStyle w:val="TableContents"/>
              <w:bidi w:val="0"/>
              <w:spacing w:before="0" w:after="283"/>
              <w:jc w:val="center"/>
              <w:rPr>
                <w:color w:val="000000"/>
              </w:rPr>
            </w:pPr>
            <w:r>
              <w:rPr>
                <w:color w:val="000000"/>
              </w:rPr>
              <w:t>—</w:t>
            </w:r>
          </w:p>
        </w:tc>
        <w:tc>
          <w:tcPr>
            <w:tcW w:w="215" w:type="dxa"/>
            <w:tcBorders/>
            <w:shd w:fill="CCCCCC" w:val="clear"/>
            <w:vAlign w:val="center"/>
          </w:tcPr>
          <w:p>
            <w:pPr>
              <w:pStyle w:val="TableContents"/>
              <w:bidi w:val="0"/>
              <w:spacing w:before="0" w:after="0"/>
              <w:jc w:val="left"/>
              <w:rPr/>
            </w:pPr>
            <w:r>
              <w:rPr/>
              <w:t> </w:t>
            </w:r>
          </w:p>
        </w:tc>
      </w:tr>
      <w:tr>
        <w:trPr/>
        <w:tc>
          <w:tcPr>
            <w:tcW w:w="185" w:type="dxa"/>
            <w:tcBorders/>
            <w:shd w:fill="CCCCCC" w:val="clear"/>
            <w:vAlign w:val="center"/>
          </w:tcPr>
          <w:p>
            <w:pPr>
              <w:pStyle w:val="TableContents"/>
              <w:bidi w:val="0"/>
              <w:spacing w:before="0" w:after="0"/>
              <w:jc w:val="left"/>
              <w:rPr/>
            </w:pPr>
            <w:r>
              <w:rPr/>
              <w:t> </w:t>
            </w:r>
          </w:p>
        </w:tc>
        <w:tc>
          <w:tcPr>
            <w:tcW w:w="89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320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385"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145"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025" w:type="dxa"/>
            <w:tcBorders/>
            <w:shd w:fill="CCCCCC" w:val="clear"/>
            <w:vAlign w:val="center"/>
          </w:tcPr>
          <w:p>
            <w:pPr>
              <w:pStyle w:val="TableContents"/>
              <w:bidi w:val="0"/>
              <w:spacing w:before="0" w:after="0"/>
              <w:jc w:val="left"/>
              <w:rPr/>
            </w:pPr>
            <w:r>
              <w:rPr/>
              <w:t> </w:t>
            </w:r>
          </w:p>
        </w:tc>
        <w:tc>
          <w:tcPr>
            <w:tcW w:w="215" w:type="dxa"/>
            <w:tcBorders/>
            <w:shd w:fill="CCCCCC"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(a)</w:t>
            </w:r>
          </w:p>
        </w:tc>
        <w:tc>
          <w:tcPr>
            <w:tcW w:w="9992"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Avis froze its qualified defined benefit pension plan to new participation and future benefit accruals as of December 31, 1998. Mr. Ferraro is the only NEO who participated in this plan. Prior to December 31, 1998, Mr. Ferraro earned the right to receive certain benefits upon retirement at the retirement age of 65 or upon early retirement on or after age 55. For a discussion of the calculation of retirement benefits, please see Note 19 to our audited financial statements for the fiscal year ended December 31, 2025, included in our 2025 Form 10-K. </w:t>
            </w:r>
          </w:p>
        </w:tc>
      </w:tr>
    </w:tbl>
    <w:p>
      <w:pPr>
        <w:pStyle w:val="TextBody"/>
        <w:bidi w:val="0"/>
        <w:spacing w:before="80" w:after="283"/>
        <w:ind w:left="400" w:right="0" w:hanging="0"/>
        <w:jc w:val="both"/>
        <w:rPr>
          <w:rFonts w:ascii="Arial;Helvetica;sans-serif" w:hAnsi="Arial;Helvetica;sans-serif"/>
          <w:color w:val="000000"/>
          <w:sz w:val="16"/>
        </w:rPr>
      </w:pPr>
      <w:r>
        <w:rPr>
          <w:rFonts w:ascii="Arial;Helvetica;sans-serif" w:hAnsi="Arial;Helvetica;sans-serif"/>
          <w:color w:val="000000"/>
          <w:sz w:val="16"/>
        </w:rPr>
        <w:t xml:space="preserve">The Avis Rent A Car System, LLC Pension Plan is a qualified, final average pay type of retirement plan that pays unreduced benefits upon attainment of age 65. The retirement benefit is calculated by multiplying years of credited service and final average pay (five highest consecutive years earnings in the ten years immediately preceding the December 31, 1998 plan freeze date) and reducing that amount by a portion of estimated Social Security old age benefits payable at age 65. The normal form of payment is a 50% joint and survivor annuity (assuming the participant is married at the time benefit payments commence). Alternate forms of annuity payments and a lump-sum option may be selected, if approved by the spouse. </w:t>
      </w:r>
    </w:p>
    <w:p>
      <w:pPr>
        <w:pStyle w:val="TextBody"/>
        <w:bidi w:val="0"/>
        <w:spacing w:before="230" w:after="283"/>
        <w:ind w:left="0" w:right="0" w:hanging="0"/>
        <w:jc w:val="left"/>
        <w:rPr>
          <w:rFonts w:ascii="Arial;Helvetica;sans-serif" w:hAnsi="Arial;Helvetica;sans-serif"/>
          <w:b/>
          <w:color w:val="000000"/>
          <w:sz w:val="28"/>
        </w:rPr>
      </w:pPr>
      <w:bookmarkStart w:id="83" w:name="tNQCT"/>
      <w:bookmarkEnd w:id="83"/>
      <w:r>
        <w:rPr>
          <w:rFonts w:ascii="Arial;Helvetica;sans-serif" w:hAnsi="Arial;Helvetica;sans-serif"/>
          <w:b/>
          <w:color w:val="000000"/>
          <w:sz w:val="28"/>
        </w:rPr>
        <w:t xml:space="preserve">Non-qualified Deferred Compensation Table </w:t>
      </w:r>
    </w:p>
    <w:tbl>
      <w:tblPr>
        <w:tblW w:w="8835" w:type="dxa"/>
        <w:jc w:val="left"/>
        <w:tblInd w:w="0" w:type="dxa"/>
        <w:tblLayout w:type="fixed"/>
        <w:tblCellMar>
          <w:top w:w="0" w:type="dxa"/>
          <w:left w:w="0" w:type="dxa"/>
          <w:bottom w:w="0" w:type="dxa"/>
          <w:right w:w="0" w:type="dxa"/>
        </w:tblCellMar>
      </w:tblPr>
      <w:tblGrid>
        <w:gridCol w:w="185"/>
        <w:gridCol w:w="1355"/>
        <w:gridCol w:w="170"/>
        <w:gridCol w:w="170"/>
        <w:gridCol w:w="1205"/>
        <w:gridCol w:w="170"/>
        <w:gridCol w:w="170"/>
        <w:gridCol w:w="1205"/>
        <w:gridCol w:w="170"/>
        <w:gridCol w:w="170"/>
        <w:gridCol w:w="920"/>
        <w:gridCol w:w="170"/>
        <w:gridCol w:w="170"/>
        <w:gridCol w:w="1130"/>
        <w:gridCol w:w="170"/>
        <w:gridCol w:w="170"/>
        <w:gridCol w:w="920"/>
        <w:gridCol w:w="215"/>
      </w:tblGrid>
      <w:tr>
        <w:trPr/>
        <w:tc>
          <w:tcPr>
            <w:tcW w:w="185" w:type="dxa"/>
            <w:tcBorders/>
            <w:vAlign w:val="center"/>
          </w:tcPr>
          <w:p>
            <w:pPr>
              <w:pStyle w:val="TableContents"/>
              <w:bidi w:val="0"/>
              <w:spacing w:before="0" w:after="0"/>
              <w:jc w:val="left"/>
              <w:rPr/>
            </w:pPr>
            <w:r>
              <w:rPr/>
              <w:t> </w:t>
            </w:r>
          </w:p>
        </w:tc>
        <w:tc>
          <w:tcPr>
            <w:tcW w:w="13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355" w:type="dxa"/>
            <w:tcBorders>
              <w:bottom w:val="single" w:sz="8" w:space="0" w:color="000000"/>
            </w:tcBorders>
            <w:tcMar>
              <w:bottom w:w="28" w:type="dxa"/>
            </w:tcM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Name</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Executive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Contributions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in Last FY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Registrant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Contributions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in Last FY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($)(b)</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20"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Aggregate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Earnings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in Last FY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($)(c)</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Aggregate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Withdrawals/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Distributions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($)(d)</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20"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Aggregate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Balance at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Last FYE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($)(e)(f)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355" w:type="dxa"/>
            <w:tcBorders>
              <w:bottom w:val="single" w:sz="8" w:space="0" w:color="000000"/>
            </w:tcBorders>
            <w:shd w:fill="CCCCCC" w:val="clear"/>
            <w:tcMar>
              <w:bottom w:w="2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Mr. Choi</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205" w:type="dxa"/>
            <w:tcBorders>
              <w:bottom w:val="single" w:sz="8" w:space="0" w:color="000000"/>
            </w:tcBorders>
            <w:shd w:fill="CCCCCC" w:val="clear"/>
            <w:tcMar>
              <w:bottom w:w="28" w:type="dxa"/>
            </w:tcMar>
            <w:vAlign w:val="center"/>
          </w:tcPr>
          <w:p>
            <w:pPr>
              <w:pStyle w:val="TableContents"/>
              <w:bidi w:val="0"/>
              <w:spacing w:before="0" w:after="283"/>
              <w:ind w:left="559" w:right="0" w:hanging="0"/>
              <w:jc w:val="left"/>
              <w:rPr>
                <w:color w:val="000000"/>
              </w:rPr>
            </w:pPr>
            <w:r>
              <w:rPr>
                <w:color w:val="000000"/>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205" w:type="dxa"/>
            <w:tcBorders>
              <w:bottom w:val="single" w:sz="8" w:space="0" w:color="000000"/>
            </w:tcBorders>
            <w:shd w:fill="CCCCCC" w:val="clear"/>
            <w:tcMar>
              <w:bottom w:w="28" w:type="dxa"/>
            </w:tcMar>
            <w:vAlign w:val="center"/>
          </w:tcPr>
          <w:p>
            <w:pPr>
              <w:pStyle w:val="TableContents"/>
              <w:bidi w:val="0"/>
              <w:spacing w:before="0" w:after="283"/>
              <w:ind w:left="559" w:right="0" w:hanging="0"/>
              <w:jc w:val="left"/>
              <w:rPr>
                <w:color w:val="000000"/>
              </w:rPr>
            </w:pPr>
            <w:r>
              <w:rPr>
                <w:color w:val="000000"/>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920" w:type="dxa"/>
            <w:tcBorders>
              <w:bottom w:val="single" w:sz="8" w:space="0" w:color="000000"/>
            </w:tcBorders>
            <w:shd w:fill="CCCCCC" w:val="clear"/>
            <w:tcMar>
              <w:bottom w:w="28" w:type="dxa"/>
            </w:tcMar>
            <w:vAlign w:val="center"/>
          </w:tcPr>
          <w:p>
            <w:pPr>
              <w:pStyle w:val="TableContents"/>
              <w:bidi w:val="0"/>
              <w:spacing w:before="0" w:after="283"/>
              <w:ind w:left="213" w:right="0" w:hanging="0"/>
              <w:jc w:val="left"/>
              <w:rPr>
                <w:color w:val="000000"/>
              </w:rPr>
            </w:pPr>
            <w:r>
              <w:rPr>
                <w:color w:val="000000"/>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shd w:fill="CCCCCC" w:val="clear"/>
            <w:tcMar>
              <w:bottom w:w="28" w:type="dxa"/>
            </w:tcMar>
            <w:vAlign w:val="center"/>
          </w:tcPr>
          <w:p>
            <w:pPr>
              <w:pStyle w:val="TableContents"/>
              <w:bidi w:val="0"/>
              <w:spacing w:before="0" w:after="283"/>
              <w:ind w:left="355" w:right="0" w:hanging="0"/>
              <w:jc w:val="left"/>
              <w:rPr>
                <w:color w:val="000000"/>
              </w:rPr>
            </w:pPr>
            <w:r>
              <w:rPr>
                <w:color w:val="000000"/>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920" w:type="dxa"/>
            <w:tcBorders>
              <w:bottom w:val="single" w:sz="8" w:space="0" w:color="000000"/>
            </w:tcBorders>
            <w:shd w:fill="CCCCCC" w:val="clear"/>
            <w:tcMar>
              <w:bottom w:w="28" w:type="dxa"/>
            </w:tcMar>
            <w:vAlign w:val="center"/>
          </w:tcPr>
          <w:p>
            <w:pPr>
              <w:pStyle w:val="TableContents"/>
              <w:bidi w:val="0"/>
              <w:spacing w:before="0" w:after="283"/>
              <w:ind w:left="89" w:right="0" w:hanging="0"/>
              <w:jc w:val="left"/>
              <w:rPr>
                <w:color w:val="000000"/>
              </w:rPr>
            </w:pPr>
            <w:r>
              <w:rPr>
                <w:color w:val="000000"/>
              </w:rPr>
              <w:t xml:space="preserve">— </w:t>
            </w:r>
          </w:p>
        </w:tc>
        <w:tc>
          <w:tcPr>
            <w:tcW w:w="21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355" w:type="dxa"/>
            <w:tcBorders>
              <w:bottom w:val="single" w:sz="8" w:space="0" w:color="000000"/>
            </w:tcBorders>
            <w:tcMar>
              <w:bottom w:w="2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Mr. Cunha</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ind w:left="559"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ind w:left="559"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20" w:type="dxa"/>
            <w:tcBorders>
              <w:bottom w:val="single" w:sz="8" w:space="0" w:color="000000"/>
            </w:tcBorders>
            <w:tcMar>
              <w:bottom w:w="28" w:type="dxa"/>
            </w:tcMar>
            <w:vAlign w:val="center"/>
          </w:tcPr>
          <w:p>
            <w:pPr>
              <w:pStyle w:val="TableContents"/>
              <w:bidi w:val="0"/>
              <w:spacing w:before="0" w:after="283"/>
              <w:ind w:left="213"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ind w:left="355"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20" w:type="dxa"/>
            <w:tcBorders>
              <w:bottom w:val="single" w:sz="8" w:space="0" w:color="000000"/>
            </w:tcBorders>
            <w:tcMar>
              <w:bottom w:w="28" w:type="dxa"/>
            </w:tcMar>
            <w:vAlign w:val="center"/>
          </w:tcPr>
          <w:p>
            <w:pPr>
              <w:pStyle w:val="TableContents"/>
              <w:bidi w:val="0"/>
              <w:spacing w:before="0" w:after="283"/>
              <w:ind w:left="89" w:right="0" w:hanging="0"/>
              <w:jc w:val="left"/>
              <w:rPr>
                <w:color w:val="000000"/>
              </w:rPr>
            </w:pPr>
            <w:r>
              <w:rPr>
                <w:color w:val="000000"/>
              </w:rPr>
              <w:t xml:space="preserve">—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355" w:type="dxa"/>
            <w:tcBorders>
              <w:bottom w:val="single" w:sz="8" w:space="0" w:color="000000"/>
            </w:tcBorders>
            <w:shd w:fill="CCCCCC" w:val="clear"/>
            <w:tcMar>
              <w:bottom w:w="2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Mr. Pahwa</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205" w:type="dxa"/>
            <w:tcBorders>
              <w:bottom w:val="single" w:sz="8" w:space="0" w:color="000000"/>
            </w:tcBorders>
            <w:shd w:fill="CCCCCC" w:val="clear"/>
            <w:tcMar>
              <w:bottom w:w="28" w:type="dxa"/>
            </w:tcMar>
            <w:vAlign w:val="center"/>
          </w:tcPr>
          <w:p>
            <w:pPr>
              <w:pStyle w:val="TableContents"/>
              <w:bidi w:val="0"/>
              <w:spacing w:before="0" w:after="283"/>
              <w:ind w:left="559" w:right="0" w:hanging="0"/>
              <w:jc w:val="left"/>
              <w:rPr>
                <w:color w:val="000000"/>
              </w:rPr>
            </w:pPr>
            <w:r>
              <w:rPr>
                <w:color w:val="000000"/>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205" w:type="dxa"/>
            <w:tcBorders>
              <w:bottom w:val="single" w:sz="8" w:space="0" w:color="000000"/>
            </w:tcBorders>
            <w:shd w:fill="CCCCCC" w:val="clear"/>
            <w:tcMar>
              <w:bottom w:w="28" w:type="dxa"/>
            </w:tcMar>
            <w:vAlign w:val="center"/>
          </w:tcPr>
          <w:p>
            <w:pPr>
              <w:pStyle w:val="TableContents"/>
              <w:bidi w:val="0"/>
              <w:spacing w:before="0" w:after="283"/>
              <w:ind w:left="559" w:right="0" w:hanging="0"/>
              <w:jc w:val="left"/>
              <w:rPr>
                <w:color w:val="000000"/>
              </w:rPr>
            </w:pPr>
            <w:r>
              <w:rPr>
                <w:color w:val="000000"/>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920" w:type="dxa"/>
            <w:tcBorders>
              <w:bottom w:val="single" w:sz="8" w:space="0" w:color="000000"/>
            </w:tcBorders>
            <w:shd w:fill="CCCCCC" w:val="clear"/>
            <w:tcMar>
              <w:bottom w:w="28" w:type="dxa"/>
            </w:tcMar>
            <w:vAlign w:val="center"/>
          </w:tcPr>
          <w:p>
            <w:pPr>
              <w:pStyle w:val="TableContents"/>
              <w:bidi w:val="0"/>
              <w:spacing w:before="0" w:after="283"/>
              <w:ind w:left="213" w:right="0" w:hanging="0"/>
              <w:jc w:val="left"/>
              <w:rPr>
                <w:color w:val="000000"/>
              </w:rPr>
            </w:pPr>
            <w:r>
              <w:rPr>
                <w:color w:val="000000"/>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shd w:fill="CCCCCC" w:val="clear"/>
            <w:tcMar>
              <w:bottom w:w="28" w:type="dxa"/>
            </w:tcMar>
            <w:vAlign w:val="center"/>
          </w:tcPr>
          <w:p>
            <w:pPr>
              <w:pStyle w:val="TableContents"/>
              <w:bidi w:val="0"/>
              <w:spacing w:before="0" w:after="283"/>
              <w:ind w:left="355" w:right="0" w:hanging="0"/>
              <w:jc w:val="left"/>
              <w:rPr>
                <w:color w:val="000000"/>
              </w:rPr>
            </w:pPr>
            <w:r>
              <w:rPr>
                <w:color w:val="000000"/>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920" w:type="dxa"/>
            <w:tcBorders>
              <w:bottom w:val="single" w:sz="8" w:space="0" w:color="000000"/>
            </w:tcBorders>
            <w:shd w:fill="CCCCCC" w:val="clear"/>
            <w:tcMar>
              <w:bottom w:w="28" w:type="dxa"/>
            </w:tcMar>
            <w:vAlign w:val="center"/>
          </w:tcPr>
          <w:p>
            <w:pPr>
              <w:pStyle w:val="TableContents"/>
              <w:bidi w:val="0"/>
              <w:spacing w:before="0" w:after="283"/>
              <w:ind w:left="89" w:right="0" w:hanging="0"/>
              <w:jc w:val="left"/>
              <w:rPr>
                <w:color w:val="000000"/>
              </w:rPr>
            </w:pPr>
            <w:r>
              <w:rPr>
                <w:color w:val="000000"/>
              </w:rPr>
              <w:t xml:space="preserve">— </w:t>
            </w:r>
          </w:p>
        </w:tc>
        <w:tc>
          <w:tcPr>
            <w:tcW w:w="21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355" w:type="dxa"/>
            <w:tcBorders>
              <w:bottom w:val="single" w:sz="8" w:space="0" w:color="000000"/>
            </w:tcBorders>
            <w:tcMar>
              <w:bottom w:w="2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Mr. Simhambhatla</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ind w:left="559"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ind w:left="559"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20" w:type="dxa"/>
            <w:tcBorders>
              <w:bottom w:val="single" w:sz="8" w:space="0" w:color="000000"/>
            </w:tcBorders>
            <w:tcMar>
              <w:bottom w:w="28" w:type="dxa"/>
            </w:tcMar>
            <w:vAlign w:val="center"/>
          </w:tcPr>
          <w:p>
            <w:pPr>
              <w:pStyle w:val="TableContents"/>
              <w:bidi w:val="0"/>
              <w:spacing w:before="0" w:after="283"/>
              <w:ind w:left="213"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ind w:left="355"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20" w:type="dxa"/>
            <w:tcBorders>
              <w:bottom w:val="single" w:sz="8" w:space="0" w:color="000000"/>
            </w:tcBorders>
            <w:tcMar>
              <w:bottom w:w="28" w:type="dxa"/>
            </w:tcMar>
            <w:vAlign w:val="center"/>
          </w:tcPr>
          <w:p>
            <w:pPr>
              <w:pStyle w:val="TableContents"/>
              <w:bidi w:val="0"/>
              <w:spacing w:before="0" w:after="283"/>
              <w:ind w:left="89" w:right="0" w:hanging="0"/>
              <w:jc w:val="left"/>
              <w:rPr>
                <w:color w:val="000000"/>
              </w:rPr>
            </w:pPr>
            <w:r>
              <w:rPr>
                <w:color w:val="000000"/>
              </w:rPr>
              <w:t xml:space="preserve">—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355" w:type="dxa"/>
            <w:tcBorders>
              <w:bottom w:val="single" w:sz="8" w:space="0" w:color="000000"/>
            </w:tcBorders>
            <w:shd w:fill="CCCCCC" w:val="clear"/>
            <w:tcMar>
              <w:bottom w:w="2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Mr. Linnen</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205" w:type="dxa"/>
            <w:tcBorders>
              <w:bottom w:val="single" w:sz="8" w:space="0" w:color="000000"/>
            </w:tcBorders>
            <w:shd w:fill="CCCCCC" w:val="clear"/>
            <w:tcMar>
              <w:bottom w:w="28" w:type="dxa"/>
            </w:tcMar>
            <w:vAlign w:val="center"/>
          </w:tcPr>
          <w:p>
            <w:pPr>
              <w:pStyle w:val="TableContents"/>
              <w:bidi w:val="0"/>
              <w:spacing w:before="0" w:after="283"/>
              <w:ind w:left="559" w:right="0" w:hanging="0"/>
              <w:jc w:val="left"/>
              <w:rPr>
                <w:rFonts w:ascii="Arial;Helvetica;sans-serif" w:hAnsi="Arial;Helvetica;sans-serif"/>
                <w:color w:val="000000"/>
                <w:sz w:val="16"/>
              </w:rPr>
            </w:pPr>
            <w:r>
              <w:rPr>
                <w:rFonts w:ascii="Arial;Helvetica;sans-serif" w:hAnsi="Arial;Helvetica;sans-serif"/>
                <w:color w:val="000000"/>
                <w:sz w:val="16"/>
              </w:rPr>
              <w:t>38,077</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205" w:type="dxa"/>
            <w:tcBorders>
              <w:bottom w:val="single" w:sz="8" w:space="0" w:color="000000"/>
            </w:tcBorders>
            <w:shd w:fill="CCCCCC" w:val="clear"/>
            <w:tcMar>
              <w:bottom w:w="28" w:type="dxa"/>
            </w:tcMar>
            <w:vAlign w:val="center"/>
          </w:tcPr>
          <w:p>
            <w:pPr>
              <w:pStyle w:val="TableContents"/>
              <w:bidi w:val="0"/>
              <w:spacing w:before="0" w:after="283"/>
              <w:ind w:left="559" w:right="0" w:hanging="0"/>
              <w:jc w:val="left"/>
              <w:rPr>
                <w:rFonts w:ascii="Arial;Helvetica;sans-serif" w:hAnsi="Arial;Helvetica;sans-serif"/>
                <w:color w:val="000000"/>
                <w:sz w:val="16"/>
              </w:rPr>
            </w:pPr>
            <w:r>
              <w:rPr>
                <w:rFonts w:ascii="Arial;Helvetica;sans-serif" w:hAnsi="Arial;Helvetica;sans-serif"/>
                <w:color w:val="000000"/>
                <w:sz w:val="16"/>
              </w:rPr>
              <w:t>15,231</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920" w:type="dxa"/>
            <w:tcBorders>
              <w:bottom w:val="single" w:sz="8" w:space="0" w:color="000000"/>
            </w:tcBorders>
            <w:shd w:fill="CCCCCC" w:val="clear"/>
            <w:tcMar>
              <w:bottom w:w="28" w:type="dxa"/>
            </w:tcMar>
            <w:vAlign w:val="center"/>
          </w:tcPr>
          <w:p>
            <w:pPr>
              <w:pStyle w:val="TableContents"/>
              <w:bidi w:val="0"/>
              <w:spacing w:before="0" w:after="283"/>
              <w:ind w:left="213" w:right="0" w:hanging="0"/>
              <w:jc w:val="left"/>
              <w:rPr>
                <w:rFonts w:ascii="Arial;Helvetica;sans-serif" w:hAnsi="Arial;Helvetica;sans-serif"/>
                <w:color w:val="000000"/>
                <w:sz w:val="16"/>
              </w:rPr>
            </w:pPr>
            <w:r>
              <w:rPr>
                <w:rFonts w:ascii="Arial;Helvetica;sans-serif" w:hAnsi="Arial;Helvetica;sans-serif"/>
                <w:color w:val="000000"/>
                <w:sz w:val="16"/>
              </w:rPr>
              <w:t>242,607</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shd w:fill="CCCCCC" w:val="clear"/>
            <w:tcMar>
              <w:bottom w:w="28" w:type="dxa"/>
            </w:tcMar>
            <w:vAlign w:val="center"/>
          </w:tcPr>
          <w:p>
            <w:pPr>
              <w:pStyle w:val="TableContents"/>
              <w:bidi w:val="0"/>
              <w:spacing w:before="0" w:after="283"/>
              <w:ind w:left="355" w:right="0" w:hanging="0"/>
              <w:jc w:val="left"/>
              <w:rPr>
                <w:color w:val="000000"/>
              </w:rPr>
            </w:pPr>
            <w:r>
              <w:rPr>
                <w:color w:val="000000"/>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920" w:type="dxa"/>
            <w:tcBorders>
              <w:bottom w:val="single" w:sz="8" w:space="0" w:color="000000"/>
            </w:tcBorders>
            <w:shd w:fill="CCCCCC" w:val="clear"/>
            <w:tcMar>
              <w:bottom w:w="28" w:type="dxa"/>
            </w:tcMar>
            <w:vAlign w:val="center"/>
          </w:tcPr>
          <w:p>
            <w:pPr>
              <w:pStyle w:val="TableContents"/>
              <w:bidi w:val="0"/>
              <w:spacing w:before="0" w:after="283"/>
              <w:ind w:left="89" w:right="0" w:hanging="0"/>
              <w:jc w:val="left"/>
              <w:rPr>
                <w:rFonts w:ascii="Arial;Helvetica;sans-serif" w:hAnsi="Arial;Helvetica;sans-serif"/>
                <w:color w:val="000000"/>
                <w:sz w:val="16"/>
              </w:rPr>
            </w:pPr>
            <w:r>
              <w:rPr>
                <w:rFonts w:ascii="Arial;Helvetica;sans-serif" w:hAnsi="Arial;Helvetica;sans-serif"/>
                <w:color w:val="000000"/>
                <w:sz w:val="16"/>
              </w:rPr>
              <w:t xml:space="preserve">1,654,070 </w:t>
            </w:r>
          </w:p>
        </w:tc>
        <w:tc>
          <w:tcPr>
            <w:tcW w:w="21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355" w:type="dxa"/>
            <w:tcBorders>
              <w:bottom w:val="single" w:sz="8" w:space="0" w:color="000000"/>
            </w:tcBorders>
            <w:tcMar>
              <w:bottom w:w="2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Mr. Ferraro</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ind w:left="559" w:right="0" w:hanging="0"/>
              <w:jc w:val="left"/>
              <w:rPr>
                <w:rFonts w:ascii="Arial;Helvetica;sans-serif" w:hAnsi="Arial;Helvetica;sans-serif"/>
                <w:color w:val="000000"/>
                <w:sz w:val="16"/>
              </w:rPr>
            </w:pPr>
            <w:r>
              <w:rPr>
                <w:rFonts w:ascii="Arial;Helvetica;sans-serif" w:hAnsi="Arial;Helvetica;sans-serif"/>
                <w:color w:val="000000"/>
                <w:sz w:val="16"/>
              </w:rPr>
              <w:t>73,527</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05" w:type="dxa"/>
            <w:tcBorders>
              <w:bottom w:val="single" w:sz="8" w:space="0" w:color="000000"/>
            </w:tcBorders>
            <w:tcMar>
              <w:bottom w:w="28" w:type="dxa"/>
            </w:tcMar>
            <w:vAlign w:val="center"/>
          </w:tcPr>
          <w:p>
            <w:pPr>
              <w:pStyle w:val="TableContents"/>
              <w:bidi w:val="0"/>
              <w:spacing w:before="0" w:after="283"/>
              <w:ind w:left="559" w:right="0" w:hanging="0"/>
              <w:jc w:val="left"/>
              <w:rPr>
                <w:rFonts w:ascii="Arial;Helvetica;sans-serif" w:hAnsi="Arial;Helvetica;sans-serif"/>
                <w:color w:val="000000"/>
                <w:sz w:val="16"/>
              </w:rPr>
            </w:pPr>
            <w:r>
              <w:rPr>
                <w:rFonts w:ascii="Arial;Helvetica;sans-serif" w:hAnsi="Arial;Helvetica;sans-serif"/>
                <w:color w:val="000000"/>
                <w:sz w:val="16"/>
              </w:rPr>
              <w:t>73,527</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20" w:type="dxa"/>
            <w:tcBorders>
              <w:bottom w:val="single" w:sz="8" w:space="0" w:color="000000"/>
            </w:tcBorders>
            <w:tcMar>
              <w:bottom w:w="28" w:type="dxa"/>
            </w:tcMar>
            <w:vAlign w:val="center"/>
          </w:tcPr>
          <w:p>
            <w:pPr>
              <w:pStyle w:val="TableContents"/>
              <w:bidi w:val="0"/>
              <w:spacing w:before="0" w:after="283"/>
              <w:ind w:left="213" w:right="0" w:hanging="0"/>
              <w:jc w:val="left"/>
              <w:rPr>
                <w:rFonts w:ascii="Arial;Helvetica;sans-serif" w:hAnsi="Arial;Helvetica;sans-serif"/>
                <w:color w:val="000000"/>
                <w:sz w:val="16"/>
              </w:rPr>
            </w:pPr>
            <w:r>
              <w:rPr>
                <w:rFonts w:ascii="Arial;Helvetica;sans-serif" w:hAnsi="Arial;Helvetica;sans-serif"/>
                <w:color w:val="000000"/>
                <w:sz w:val="16"/>
              </w:rPr>
              <w:t>874,568</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ind w:left="355"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20" w:type="dxa"/>
            <w:tcBorders>
              <w:bottom w:val="single" w:sz="8" w:space="0" w:color="000000"/>
            </w:tcBorders>
            <w:tcMar>
              <w:bottom w:w="28" w:type="dxa"/>
            </w:tcMar>
            <w:vAlign w:val="center"/>
          </w:tcPr>
          <w:p>
            <w:pPr>
              <w:pStyle w:val="TableContents"/>
              <w:bidi w:val="0"/>
              <w:spacing w:before="0" w:after="283"/>
              <w:ind w:left="89" w:right="0" w:hanging="0"/>
              <w:jc w:val="left"/>
              <w:rPr>
                <w:rFonts w:ascii="Arial;Helvetica;sans-serif" w:hAnsi="Arial;Helvetica;sans-serif"/>
                <w:color w:val="000000"/>
                <w:sz w:val="16"/>
              </w:rPr>
            </w:pPr>
            <w:r>
              <w:rPr>
                <w:rFonts w:ascii="Arial;Helvetica;sans-serif" w:hAnsi="Arial;Helvetica;sans-serif"/>
                <w:color w:val="000000"/>
                <w:sz w:val="16"/>
              </w:rPr>
              <w:t xml:space="preserve">5,886,106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shd w:fill="CCCCCC" w:val="clear"/>
            <w:vAlign w:val="center"/>
          </w:tcPr>
          <w:p>
            <w:pPr>
              <w:pStyle w:val="TableContents"/>
              <w:bidi w:val="0"/>
              <w:spacing w:before="0" w:after="0"/>
              <w:jc w:val="left"/>
              <w:rPr/>
            </w:pPr>
            <w:r>
              <w:rPr/>
              <w:t> </w:t>
            </w:r>
          </w:p>
        </w:tc>
        <w:tc>
          <w:tcPr>
            <w:tcW w:w="1355" w:type="dxa"/>
            <w:tcBorders/>
            <w:shd w:fill="CCCCCC"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Ms. Martins</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05" w:type="dxa"/>
            <w:tcBorders/>
            <w:shd w:fill="CCCCCC" w:val="clear"/>
            <w:vAlign w:val="center"/>
          </w:tcPr>
          <w:p>
            <w:pPr>
              <w:pStyle w:val="TableContents"/>
              <w:bidi w:val="0"/>
              <w:spacing w:before="0" w:after="283"/>
              <w:ind w:left="559"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05" w:type="dxa"/>
            <w:tcBorders/>
            <w:shd w:fill="CCCCCC" w:val="clear"/>
            <w:vAlign w:val="center"/>
          </w:tcPr>
          <w:p>
            <w:pPr>
              <w:pStyle w:val="TableContents"/>
              <w:bidi w:val="0"/>
              <w:spacing w:before="0" w:after="283"/>
              <w:ind w:left="559"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920" w:type="dxa"/>
            <w:tcBorders/>
            <w:shd w:fill="CCCCCC" w:val="clear"/>
            <w:vAlign w:val="center"/>
          </w:tcPr>
          <w:p>
            <w:pPr>
              <w:pStyle w:val="TableContents"/>
              <w:bidi w:val="0"/>
              <w:spacing w:before="0" w:after="283"/>
              <w:ind w:left="213" w:right="0" w:hanging="0"/>
              <w:jc w:val="left"/>
              <w:rPr>
                <w:rFonts w:ascii="Arial;Helvetica;sans-serif" w:hAnsi="Arial;Helvetica;sans-serif"/>
                <w:color w:val="000000"/>
                <w:sz w:val="16"/>
              </w:rPr>
            </w:pPr>
            <w:r>
              <w:rPr>
                <w:rFonts w:ascii="Arial;Helvetica;sans-serif" w:hAnsi="Arial;Helvetica;sans-serif"/>
                <w:color w:val="000000"/>
                <w:sz w:val="16"/>
              </w:rPr>
              <w:t>1,277</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130" w:type="dxa"/>
            <w:tcBorders/>
            <w:shd w:fill="CCCCCC" w:val="clear"/>
            <w:vAlign w:val="center"/>
          </w:tcPr>
          <w:p>
            <w:pPr>
              <w:pStyle w:val="TableContents"/>
              <w:bidi w:val="0"/>
              <w:spacing w:before="0" w:after="283"/>
              <w:ind w:left="355" w:right="0" w:hanging="0"/>
              <w:jc w:val="left"/>
              <w:rPr>
                <w:color w:val="000000"/>
              </w:rPr>
            </w:pPr>
            <w:r>
              <w:rPr>
                <w:color w:val="000000"/>
              </w:rPr>
              <w:t>​</w:t>
            </w:r>
            <w:r>
              <w:rPr>
                <w:rFonts w:ascii="Arial;Helvetica;sans-serif" w:hAnsi="Arial;Helvetica;sans-serif"/>
                <w:color w:val="000000"/>
                <w:sz w:val="16"/>
              </w:rPr>
              <w:t>(123,534)</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920" w:type="dxa"/>
            <w:tcBorders/>
            <w:shd w:fill="CCCCCC" w:val="clear"/>
            <w:vAlign w:val="center"/>
          </w:tcPr>
          <w:p>
            <w:pPr>
              <w:pStyle w:val="TableContents"/>
              <w:bidi w:val="0"/>
              <w:spacing w:before="0" w:after="283"/>
              <w:ind w:left="89" w:right="0" w:hanging="0"/>
              <w:jc w:val="left"/>
              <w:rPr>
                <w:color w:val="000000"/>
              </w:rPr>
            </w:pPr>
            <w:r>
              <w:rPr>
                <w:color w:val="000000"/>
              </w:rPr>
              <w:t>—</w:t>
            </w:r>
          </w:p>
        </w:tc>
        <w:tc>
          <w:tcPr>
            <w:tcW w:w="215" w:type="dxa"/>
            <w:tcBorders/>
            <w:shd w:fill="CCCCCC" w:val="clear"/>
            <w:vAlign w:val="center"/>
          </w:tcPr>
          <w:p>
            <w:pPr>
              <w:pStyle w:val="TableContents"/>
              <w:bidi w:val="0"/>
              <w:spacing w:before="0" w:after="0"/>
              <w:jc w:val="left"/>
              <w:rPr/>
            </w:pPr>
            <w:r>
              <w:rPr/>
              <w:t> </w:t>
            </w:r>
          </w:p>
        </w:tc>
      </w:tr>
      <w:tr>
        <w:trPr/>
        <w:tc>
          <w:tcPr>
            <w:tcW w:w="185" w:type="dxa"/>
            <w:tcBorders/>
            <w:shd w:fill="CCCCCC" w:val="clear"/>
            <w:vAlign w:val="center"/>
          </w:tcPr>
          <w:p>
            <w:pPr>
              <w:pStyle w:val="TableContents"/>
              <w:bidi w:val="0"/>
              <w:spacing w:before="0" w:after="0"/>
              <w:jc w:val="left"/>
              <w:rPr/>
            </w:pPr>
            <w:r>
              <w:rPr/>
              <w:t> </w:t>
            </w:r>
          </w:p>
        </w:tc>
        <w:tc>
          <w:tcPr>
            <w:tcW w:w="1355"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05"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05"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92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13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920" w:type="dxa"/>
            <w:tcBorders/>
            <w:shd w:fill="CCCCCC" w:val="clear"/>
            <w:vAlign w:val="center"/>
          </w:tcPr>
          <w:p>
            <w:pPr>
              <w:pStyle w:val="TableContents"/>
              <w:bidi w:val="0"/>
              <w:spacing w:before="0" w:after="0"/>
              <w:jc w:val="left"/>
              <w:rPr/>
            </w:pPr>
            <w:r>
              <w:rPr/>
              <w:t> </w:t>
            </w:r>
          </w:p>
        </w:tc>
        <w:tc>
          <w:tcPr>
            <w:tcW w:w="215" w:type="dxa"/>
            <w:tcBorders/>
            <w:shd w:fill="CCCCCC"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(a)</w:t>
            </w:r>
          </w:p>
        </w:tc>
        <w:tc>
          <w:tcPr>
            <w:tcW w:w="10000"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Under the deferred compensation plan as in effect during 2025, participants were able to elect to defer a maximum of 80% of base salary and 98% of annual cash incentives. The agreements between participants and the Company must provide that the deferrals under the plan are (1) irrevocable; (2) agreed to before the compensation is earned; and (3) for a specified length of time. Amounts deferred by participants, as well as any matching contributions made by the Company, are typically contributed to a rabbi trust established for the purpose of holding plan assets. Participants may allocate deferrals to one or more deemed investments under the plan. Matching contributions may be subject to such distribution provisions as determined from time to time; however, all of a participant’s account value as a result of plan contributions prior to the 2023 plan year will be distributed in the event of a change in control (as defined in the deferred compensation plan) or in the event that the participant’s service with us terminates as a result of death or disability. A participant in this plan may elect a single lump-sum payment of his or her account, or may elect installments over a period of up to 10 years; however, the participant’s entire account balance will be paid in a single lump-sum following a change in control. </w:t>
            </w:r>
          </w:p>
        </w:tc>
      </w:tr>
    </w:tbl>
    <w:tbl>
      <w:tblPr>
        <w:tblW w:w="9730" w:type="dxa"/>
        <w:jc w:val="left"/>
        <w:tblInd w:w="0" w:type="dxa"/>
        <w:tblLayout w:type="fixed"/>
        <w:tblCellMar>
          <w:top w:w="0" w:type="dxa"/>
          <w:left w:w="0" w:type="dxa"/>
          <w:bottom w:w="0" w:type="dxa"/>
          <w:right w:w="0" w:type="dxa"/>
        </w:tblCellMar>
      </w:tblPr>
      <w:tblGrid>
        <w:gridCol w:w="260"/>
        <w:gridCol w:w="9470"/>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(b)</w:t>
            </w:r>
          </w:p>
        </w:tc>
        <w:tc>
          <w:tcPr>
            <w:tcW w:w="947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The Company provides matching contributions for its NEOs up to a cap of 6% of base salary and annual incentive, as applicable. </w:t>
            </w:r>
          </w:p>
        </w:tc>
      </w:tr>
    </w:tbl>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(c)</w:t>
            </w:r>
          </w:p>
        </w:tc>
        <w:tc>
          <w:tcPr>
            <w:tcW w:w="9989"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All participant deferrals and matching contributions are immediately vested and are held in a grantor trust. Under this arrangement, the Company takes no tax deduction, and the beneficiaries pay no tax on contributions to the trust until amounts are paid. Although funds are potentially subject to the employer’s creditors, they are inaccessible to present and future management until payment is required to be made in accordance with the terms of the plan.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(d)</w:t>
            </w:r>
          </w:p>
        </w:tc>
        <w:tc>
          <w:tcPr>
            <w:tcW w:w="9969"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Amounts represent ordinary-course distributions pursuant to prior payment elections made by the NEOs in accordance with the terms and conditions of the applicable plan (as further discussed in note (a) above).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38</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4" w:name="ny20066167x1_def14a_107-summary_pg7"/>
        <w:bookmarkEnd w:id="8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(e)</w:t>
            </w:r>
          </w:p>
        </w:tc>
        <w:tc>
          <w:tcPr>
            <w:tcW w:w="9973"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Represents total trust assets accumulated for all periods of plan participation through the end of 2025. The aggregate balance is the sum of all participant and registrant contributions and investment earnings less any withdrawals or distributions.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(f)</w:t>
            </w:r>
          </w:p>
        </w:tc>
        <w:tc>
          <w:tcPr>
            <w:tcW w:w="10020"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As of 2025, our deferred compensation plan is the Supplemental Savings Plan which includes amounts previously under different plans that were merged together (the Supplemental Savings Plan, Deferred Compensation Plan and Savings Restoration Plan). </w:t>
            </w:r>
          </w:p>
        </w:tc>
      </w:tr>
    </w:tbl>
    <w:p>
      <w:pPr>
        <w:pStyle w:val="TextBody"/>
        <w:bidi w:val="0"/>
        <w:spacing w:before="240" w:after="283"/>
        <w:ind w:left="0" w:right="0" w:hanging="0"/>
        <w:jc w:val="left"/>
        <w:rPr>
          <w:rFonts w:ascii="Arial;Helvetica;sans-serif" w:hAnsi="Arial;Helvetica;sans-serif"/>
          <w:b/>
          <w:color w:val="000000"/>
          <w:sz w:val="28"/>
        </w:rPr>
      </w:pPr>
      <w:bookmarkStart w:id="85" w:name="tEAA"/>
      <w:bookmarkEnd w:id="85"/>
      <w:r>
        <w:rPr>
          <w:rFonts w:ascii="Arial;Helvetica;sans-serif" w:hAnsi="Arial;Helvetica;sans-serif"/>
          <w:b/>
          <w:color w:val="000000"/>
          <w:sz w:val="28"/>
        </w:rPr>
        <w:t xml:space="preserve">Employment Agreements and Other Arrangements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Each NEO has a written agreement with the Company or is eligible to participate in the Executive Severance Plan, as summarized below and discussed under “Employment and Change of Control Agreements; Severance Arrangements.” </w:t>
      </w:r>
    </w:p>
    <w:p>
      <w:pPr>
        <w:pStyle w:val="TextBody"/>
        <w:bidi w:val="0"/>
        <w:spacing w:before="41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Former CEO Arrangements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Our former CEO, Mr. Ferraro, was party to a pre-existing severance agreement entered into in 2015 with the Company. The agreement generally provided that if the executive’s employment was terminated by us other than for “Cause” (as defined below), disability or death, he will receive lump-sum severance equal to 200% of the sum of base salary plus target incentive bonus, and perquisites to include, if applicable, car usage and financial planning for a period of up to 24 months. In addition, in connection with any such termination, the agreement also provided for accelerated vesting on termination of the stock-based awards that would have vested in accordance with their original vesting schedule by the two-year anniversary of termination of employment. However, awards that vest based on the achievement of specified objective performance goals will remain outstanding following such termination and become vested or be forfeited based on actual achievement of the applicable performance goals during the two-year period following such termination. Severance was contingent upon the executive’s execution and non-revocation of a separation agreement containing a release of claims against the Company and non-competition covenants.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We entered into the Separation Agreement in order to comply with the terms of this pre-existing severance agreement due to his termination without cause, but also provide for compensation for an advisory period to ensure he would be engaged for a significant lead-in period to the CEO transition and would continue to provide assistance during a longer transition period, which the Committee believed was important given his long tenure and experience. As a result, on June 30, 2025, he transitioned from CEO to a non-executive role for six months, after which he agreed to remain as a part-time advisor until June 2026. His compensation for his post-CEO role was $150,000 per month for no more than 12 months. Upon his separation from employment, he received the benefits required upon a termination without cause under his pre-existing severance agreement, as described above. This resulted in a total severance payment of $7,800,000 to be paid in 2026, subject to continued compliance with restrictive covenants and other conditions, as well as vesting of outstanding RSUs (in the amounts set forth in the Outstanding Equity Awards table above). Notwithstanding the terms of his pre-existing severance agreement, he agreed to forfeit PSUs granted in prior years, and his 2025 PSUs were forfeited because the performance metrics were not met. </w:t>
      </w:r>
    </w:p>
    <w:p>
      <w:pPr>
        <w:pStyle w:val="TextBody"/>
        <w:bidi w:val="0"/>
        <w:spacing w:before="41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CHRO Agreement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Our CHRO is party to a severance agreement entered into in 2015 with the Company. The agreement generally provides that if the executive’s employment is terminated by us other than for “Cause” (as defined below), disability or death, he will receive lump-sum severance equal to 200% of the sum of base salary plus target incentive bonus, and perquisites to include, if applicable, car usage and financial planning for a period of up to 24 months. Severance is contingent upon each executive’s execution and non-revocation of a separation agreement containing a release of claims against the Company and non-competition covenants. </w:t>
      </w:r>
    </w:p>
    <w:p>
      <w:pPr>
        <w:pStyle w:val="TextBody"/>
        <w:bidi w:val="0"/>
        <w:spacing w:before="41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Severance Plan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Each of our other NEOs is eligible to participate in the Executive Severance Pay Plan adopted by the Board in December 2020 (the “Executive Severance Plan”). The Executive Severance Plan provides that if any of these executives is involuntarily terminated other than for cause and delivers an agreement and general release as set forth in the plan, such executive shall be entitled to: </w:t>
      </w:r>
    </w:p>
    <w:tbl>
      <w:tblPr>
        <w:tblW w:w="2260" w:type="dxa"/>
        <w:jc w:val="left"/>
        <w:tblInd w:w="0" w:type="dxa"/>
        <w:tblLayout w:type="fixed"/>
        <w:tblCellMar>
          <w:top w:w="0" w:type="dxa"/>
          <w:left w:w="0" w:type="dxa"/>
          <w:bottom w:w="0" w:type="dxa"/>
          <w:right w:w="0" w:type="dxa"/>
        </w:tblCellMar>
      </w:tblPr>
      <w:tblGrid>
        <w:gridCol w:w="140"/>
        <w:gridCol w:w="2120"/>
      </w:tblGrid>
      <w:tr>
        <w:trPr/>
        <w:tc>
          <w:tcPr>
            <w:tcW w:w="140" w:type="dxa"/>
            <w:tcBorders/>
            <w:vAlign w:val="center"/>
          </w:tcPr>
          <w:p>
            <w:pPr>
              <w:pStyle w:val="TableContents"/>
              <w:bidi w:val="0"/>
              <w:spacing w:before="0" w:after="0"/>
              <w:jc w:val="left"/>
              <w:rPr>
                <w:color w:val="000000"/>
              </w:rPr>
            </w:pPr>
            <w:r>
              <w:rPr>
                <w:color w:val="000000"/>
              </w:rPr>
              <w:t>•</w:t>
            </w:r>
          </w:p>
        </w:tc>
        <w:tc>
          <w:tcPr>
            <w:tcW w:w="21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two years of base pay;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payment under the short-term incentive plan in place in the year of termination, pro rata for the amount of time employed in that year, based on the extent to which performance goals are achieved, with any individual component computed as though the applicable target was reached;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39</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6" w:name="ny20066167x1_def14a_107-summary_pg8"/>
        <w:bookmarkEnd w:id="8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accelerated vesting of unvested RSUs scheduled to vest within one year of employment termination, and vesting of unvested PSUs scheduled to vest within one year of employment termination based on the extent to which the performance goals are achieved;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 lump-sum payment equal to the Company’s portion of certain health care premiums for one year of coverage, and perquisites to include, if applicable, car usage and financial planning for a period of up to 12 months. </w:t>
            </w:r>
          </w:p>
        </w:tc>
      </w:tr>
    </w:tbl>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As noted above, no NEO is entitled to any tax gross-up or other payments for any “golden parachute” excise taxes, interest or penalties.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In addition, our equity award agreements generally provide for potential vesting upon death or disability prior to the vesting date, and our annual incentive program provides for payments in the event of an executive’s death or disability prior to the payment date. </w:t>
      </w:r>
    </w:p>
    <w:p>
      <w:pPr>
        <w:pStyle w:val="TextBody"/>
        <w:bidi w:val="0"/>
        <w:spacing w:before="40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Definition of Cause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For all NEOs, “Cause” is defined to generally include the willful failure to substantially perform duties, any act of fraud, embezzlement or similar conduct and conviction of a felony. </w:t>
      </w:r>
    </w:p>
    <w:p>
      <w:pPr>
        <w:pStyle w:val="TextBody"/>
        <w:bidi w:val="0"/>
        <w:spacing w:before="40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Discussion of Change-in-Control Provisions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The Company’s Amended and Restated Equity and Incentive Plan (the “Equity Plan”) generally provides that equity awards accelerate following a Change in Control (as defined in the Equity Plan) of the Company only if a participant is also terminated without Cause or experiences a Constructive Discharge (as defined in the Equity Plan) within two years following a Change in Control. </w:t>
      </w:r>
    </w:p>
    <w:p>
      <w:pPr>
        <w:pStyle w:val="TextBody"/>
        <w:bidi w:val="0"/>
        <w:spacing w:before="120" w:after="283"/>
        <w:ind w:left="0" w:right="0" w:firstLine="400"/>
        <w:jc w:val="both"/>
        <w:rPr>
          <w:color w:val="000000"/>
        </w:rPr>
      </w:pPr>
      <w:r>
        <w:rPr>
          <w:color w:val="000000"/>
        </w:rPr>
        <w:t>“</w:t>
      </w:r>
      <w:r>
        <w:rPr>
          <w:rFonts w:ascii="Arial;Helvetica;sans-serif" w:hAnsi="Arial;Helvetica;sans-serif"/>
          <w:color w:val="000000"/>
          <w:sz w:val="20"/>
        </w:rPr>
        <w:t xml:space="preserve">Constructive Discharge” is generally defined as set forth in a grantee’s employment agreement, or if no agreement or definition exists it is defined as: (a) a material reduction in base compensation, (b) a material adverse change in the nature or status of duties or responsibilities, or (c) a relocation of more than 30 miles from the principal place of employment. </w:t>
      </w:r>
    </w:p>
    <w:p>
      <w:pPr>
        <w:pStyle w:val="TextBody"/>
        <w:bidi w:val="0"/>
        <w:spacing w:before="40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Potential Payments on Termination or Change of Control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The table below provides estimated potential severance payments for each NEO, as of December 31, 2025, under the circumstances described (excluding amounts accrued under the pension plan described above or other retirement plans, as applicable). Mr. Ferraro is not included because the amounts paid in connection with his termination of employment under his Separation Agreement are described above. Ms. Martins is not included because she left before year-end and did not receive severance. </w:t>
      </w:r>
    </w:p>
    <w:tbl>
      <w:tblPr>
        <w:tblW w:w="10205" w:type="dxa"/>
        <w:jc w:val="left"/>
        <w:tblInd w:w="0" w:type="dxa"/>
        <w:tblLayout w:type="fixed"/>
        <w:tblCellMar>
          <w:top w:w="0" w:type="dxa"/>
          <w:left w:w="0" w:type="dxa"/>
          <w:bottom w:w="0" w:type="dxa"/>
          <w:right w:w="0" w:type="dxa"/>
        </w:tblCellMar>
      </w:tblPr>
      <w:tblGrid>
        <w:gridCol w:w="185"/>
        <w:gridCol w:w="4547"/>
        <w:gridCol w:w="170"/>
        <w:gridCol w:w="170"/>
        <w:gridCol w:w="935"/>
        <w:gridCol w:w="170"/>
        <w:gridCol w:w="170"/>
        <w:gridCol w:w="980"/>
        <w:gridCol w:w="170"/>
        <w:gridCol w:w="170"/>
        <w:gridCol w:w="1100"/>
        <w:gridCol w:w="170"/>
        <w:gridCol w:w="170"/>
        <w:gridCol w:w="882"/>
        <w:gridCol w:w="216"/>
      </w:tblGrid>
      <w:tr>
        <w:trPr/>
        <w:tc>
          <w:tcPr>
            <w:tcW w:w="185" w:type="dxa"/>
            <w:tcBorders/>
            <w:vAlign w:val="center"/>
          </w:tcPr>
          <w:p>
            <w:pPr>
              <w:pStyle w:val="TableContents"/>
              <w:bidi w:val="0"/>
              <w:spacing w:before="0" w:after="0"/>
              <w:jc w:val="left"/>
              <w:rPr/>
            </w:pPr>
            <w:r>
              <w:rPr/>
              <w:t> </w:t>
            </w:r>
          </w:p>
        </w:tc>
        <w:tc>
          <w:tcPr>
            <w:tcW w:w="454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4547" w:type="dxa"/>
            <w:tcBorders>
              <w:bottom w:val="single" w:sz="8" w:space="0" w:color="000000"/>
            </w:tcBorders>
            <w:tcMar>
              <w:bottom w:w="28" w:type="dxa"/>
            </w:tcM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Name and Triggering Event (a)</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35"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Lump-Sum</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Severance</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Payment</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($)(b)</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Accelerated</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Vesting of</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Stock-</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Based</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Awards</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($)(c)</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Continuation</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of Benefits</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and</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Perquisites</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($)(d)</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82"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Total</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shd w:fill="CCCCCC" w:val="clear"/>
            <w:vAlign w:val="center"/>
          </w:tcPr>
          <w:p>
            <w:pPr>
              <w:pStyle w:val="TableContents"/>
              <w:bidi w:val="0"/>
              <w:spacing w:before="0" w:after="0"/>
              <w:jc w:val="left"/>
              <w:rPr/>
            </w:pPr>
            <w:r>
              <w:rPr/>
              <w:t> </w:t>
            </w:r>
          </w:p>
        </w:tc>
        <w:tc>
          <w:tcPr>
            <w:tcW w:w="4547" w:type="dxa"/>
            <w:tcBorders/>
            <w:shd w:fill="CCCCCC" w:val="cle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Mr. Choi</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935" w:type="dxa"/>
            <w:tcBorders/>
            <w:shd w:fill="CCCCCC" w:val="clear"/>
            <w:vAlign w:val="center"/>
          </w:tcPr>
          <w:p>
            <w:pPr>
              <w:pStyle w:val="TableContents"/>
              <w:bidi w:val="0"/>
              <w:spacing w:before="0" w:after="283"/>
              <w:ind w:left="62" w:right="0" w:hanging="0"/>
              <w:jc w:val="left"/>
              <w:rPr>
                <w:color w:val="000000"/>
              </w:rPr>
            </w:pPr>
            <w:r>
              <w:rPr>
                <w:color w:val="000000"/>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980" w:type="dxa"/>
            <w:tcBorders/>
            <w:shd w:fill="CCCCCC" w:val="clear"/>
            <w:vAlign w:val="center"/>
          </w:tcPr>
          <w:p>
            <w:pPr>
              <w:pStyle w:val="TableContents"/>
              <w:bidi w:val="0"/>
              <w:spacing w:before="0" w:after="283"/>
              <w:ind w:left="53" w:right="0" w:hanging="0"/>
              <w:jc w:val="left"/>
              <w:rPr>
                <w:color w:val="000000"/>
              </w:rPr>
            </w:pPr>
            <w:r>
              <w:rPr>
                <w:color w:val="000000"/>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100" w:type="dxa"/>
            <w:tcBorders/>
            <w:shd w:fill="CCCCCC" w:val="clear"/>
            <w:vAlign w:val="center"/>
          </w:tcPr>
          <w:p>
            <w:pPr>
              <w:pStyle w:val="TableContents"/>
              <w:bidi w:val="0"/>
              <w:spacing w:before="0" w:after="283"/>
              <w:ind w:left="249" w:right="0" w:hanging="0"/>
              <w:jc w:val="left"/>
              <w:rPr>
                <w:color w:val="000000"/>
              </w:rPr>
            </w:pPr>
            <w:r>
              <w:rPr>
                <w:color w:val="000000"/>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82" w:type="dxa"/>
            <w:tcBorders/>
            <w:shd w:fill="CCCCCC" w:val="clear"/>
            <w:vAlign w:val="center"/>
          </w:tcPr>
          <w:p>
            <w:pPr>
              <w:pStyle w:val="TableContents"/>
              <w:bidi w:val="0"/>
              <w:spacing w:before="0" w:after="283"/>
              <w:ind w:left="0" w:right="0" w:hanging="0"/>
              <w:jc w:val="left"/>
              <w:rPr>
                <w:color w:val="000000"/>
              </w:rPr>
            </w:pPr>
            <w:r>
              <w:rPr>
                <w:color w:val="000000"/>
              </w:rPr>
              <w:t> </w:t>
            </w:r>
          </w:p>
        </w:tc>
        <w:tc>
          <w:tcPr>
            <w:tcW w:w="216" w:type="dxa"/>
            <w:tcBorders/>
            <w:shd w:fill="CCCCCC" w:val="clear"/>
            <w:vAlign w:val="center"/>
          </w:tcPr>
          <w:p>
            <w:pPr>
              <w:pStyle w:val="TableContents"/>
              <w:bidi w:val="0"/>
              <w:spacing w:before="0" w:after="0"/>
              <w:jc w:val="left"/>
              <w:rPr/>
            </w:pPr>
            <w:r>
              <w:rPr/>
              <w:t> </w:t>
            </w:r>
          </w:p>
        </w:tc>
      </w:tr>
      <w:tr>
        <w:trPr/>
        <w:tc>
          <w:tcPr>
            <w:tcW w:w="185" w:type="dxa"/>
            <w:tcBorders/>
            <w:shd w:fill="CCCCCC" w:val="clear"/>
            <w:vAlign w:val="center"/>
          </w:tcPr>
          <w:p>
            <w:pPr>
              <w:pStyle w:val="TableContents"/>
              <w:bidi w:val="0"/>
              <w:spacing w:before="0" w:after="0"/>
              <w:jc w:val="left"/>
              <w:rPr/>
            </w:pPr>
            <w:r>
              <w:rPr/>
              <w:t> </w:t>
            </w:r>
          </w:p>
        </w:tc>
        <w:tc>
          <w:tcPr>
            <w:tcW w:w="4547" w:type="dxa"/>
            <w:tcBorders/>
            <w:shd w:fill="CCCCCC"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Resignation or Termination by Company for Cause</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935" w:type="dxa"/>
            <w:tcBorders/>
            <w:shd w:fill="CCCCCC" w:val="clear"/>
            <w:vAlign w:val="center"/>
          </w:tcPr>
          <w:p>
            <w:pPr>
              <w:pStyle w:val="TableContents"/>
              <w:bidi w:val="0"/>
              <w:spacing w:before="0" w:after="283"/>
              <w:ind w:left="124"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980" w:type="dxa"/>
            <w:tcBorders/>
            <w:shd w:fill="CCCCCC" w:val="clear"/>
            <w:vAlign w:val="center"/>
          </w:tcPr>
          <w:p>
            <w:pPr>
              <w:pStyle w:val="TableContents"/>
              <w:bidi w:val="0"/>
              <w:spacing w:before="0" w:after="283"/>
              <w:ind w:left="106"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100" w:type="dxa"/>
            <w:tcBorders/>
            <w:shd w:fill="CCCCCC" w:val="clear"/>
            <w:vAlign w:val="center"/>
          </w:tcPr>
          <w:p>
            <w:pPr>
              <w:pStyle w:val="TableContents"/>
              <w:bidi w:val="0"/>
              <w:spacing w:before="0" w:after="283"/>
              <w:ind w:left="497"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82" w:type="dxa"/>
            <w:tcBorders/>
            <w:shd w:fill="CCCCCC" w:val="clear"/>
            <w:vAlign w:val="center"/>
          </w:tcPr>
          <w:p>
            <w:pPr>
              <w:pStyle w:val="TableContents"/>
              <w:bidi w:val="0"/>
              <w:spacing w:before="0" w:after="283"/>
              <w:ind w:left="0" w:right="0" w:hanging="0"/>
              <w:jc w:val="left"/>
              <w:rPr>
                <w:color w:val="000000"/>
              </w:rPr>
            </w:pPr>
            <w:r>
              <w:rPr>
                <w:color w:val="000000"/>
              </w:rPr>
              <w:t xml:space="preserve">— </w:t>
            </w:r>
          </w:p>
        </w:tc>
        <w:tc>
          <w:tcPr>
            <w:tcW w:w="216" w:type="dxa"/>
            <w:tcBorders/>
            <w:shd w:fill="CCCCCC" w:val="clear"/>
            <w:vAlign w:val="center"/>
          </w:tcPr>
          <w:p>
            <w:pPr>
              <w:pStyle w:val="TableContents"/>
              <w:bidi w:val="0"/>
              <w:spacing w:before="0" w:after="0"/>
              <w:jc w:val="left"/>
              <w:rPr/>
            </w:pPr>
            <w:r>
              <w:rPr/>
              <w:t> </w:t>
            </w:r>
          </w:p>
        </w:tc>
      </w:tr>
      <w:tr>
        <w:trPr/>
        <w:tc>
          <w:tcPr>
            <w:tcW w:w="185" w:type="dxa"/>
            <w:tcBorders/>
            <w:shd w:fill="CCCCCC" w:val="clear"/>
            <w:vAlign w:val="center"/>
          </w:tcPr>
          <w:p>
            <w:pPr>
              <w:pStyle w:val="TableContents"/>
              <w:bidi w:val="0"/>
              <w:spacing w:before="0" w:after="0"/>
              <w:jc w:val="left"/>
              <w:rPr/>
            </w:pPr>
            <w:r>
              <w:rPr/>
              <w:t> </w:t>
            </w:r>
          </w:p>
        </w:tc>
        <w:tc>
          <w:tcPr>
            <w:tcW w:w="4547" w:type="dxa"/>
            <w:tcBorders/>
            <w:shd w:fill="CCCCCC"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Termination due to Death or Disability</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935" w:type="dxa"/>
            <w:tcBorders/>
            <w:shd w:fill="CCCCCC" w:val="clear"/>
            <w:vAlign w:val="center"/>
          </w:tcPr>
          <w:p>
            <w:pPr>
              <w:pStyle w:val="TableContents"/>
              <w:bidi w:val="0"/>
              <w:spacing w:before="0" w:after="283"/>
              <w:ind w:left="124" w:right="0" w:hanging="0"/>
              <w:jc w:val="left"/>
              <w:rPr>
                <w:rFonts w:ascii="Arial;Helvetica;sans-serif" w:hAnsi="Arial;Helvetica;sans-serif"/>
                <w:color w:val="000000"/>
                <w:sz w:val="16"/>
              </w:rPr>
            </w:pPr>
            <w:r>
              <w:rPr>
                <w:rFonts w:ascii="Arial;Helvetica;sans-serif" w:hAnsi="Arial;Helvetica;sans-serif"/>
                <w:color w:val="000000"/>
                <w:sz w:val="16"/>
              </w:rPr>
              <w:t>765,351</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980" w:type="dxa"/>
            <w:tcBorders/>
            <w:shd w:fill="CCCCCC" w:val="clear"/>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10,863,443</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100" w:type="dxa"/>
            <w:tcBorders/>
            <w:shd w:fill="CCCCCC" w:val="clear"/>
            <w:vAlign w:val="center"/>
          </w:tcPr>
          <w:p>
            <w:pPr>
              <w:pStyle w:val="TableContents"/>
              <w:bidi w:val="0"/>
              <w:spacing w:before="0" w:after="283"/>
              <w:ind w:left="497"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82" w:type="dxa"/>
            <w:tcBorders/>
            <w:shd w:fill="CCCCCC"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11,628,794 </w:t>
            </w:r>
          </w:p>
        </w:tc>
        <w:tc>
          <w:tcPr>
            <w:tcW w:w="216" w:type="dxa"/>
            <w:tcBorders/>
            <w:shd w:fill="CCCCCC" w:val="clear"/>
            <w:vAlign w:val="center"/>
          </w:tcPr>
          <w:p>
            <w:pPr>
              <w:pStyle w:val="TableContents"/>
              <w:bidi w:val="0"/>
              <w:spacing w:before="0" w:after="0"/>
              <w:jc w:val="left"/>
              <w:rPr/>
            </w:pPr>
            <w:r>
              <w:rPr/>
              <w:t> </w:t>
            </w:r>
          </w:p>
        </w:tc>
      </w:tr>
      <w:tr>
        <w:trPr/>
        <w:tc>
          <w:tcPr>
            <w:tcW w:w="185" w:type="dxa"/>
            <w:tcBorders/>
            <w:shd w:fill="CCCCCC" w:val="clear"/>
            <w:vAlign w:val="center"/>
          </w:tcPr>
          <w:p>
            <w:pPr>
              <w:pStyle w:val="TableContents"/>
              <w:bidi w:val="0"/>
              <w:spacing w:before="0" w:after="0"/>
              <w:jc w:val="left"/>
              <w:rPr/>
            </w:pPr>
            <w:r>
              <w:rPr/>
              <w:t> </w:t>
            </w:r>
          </w:p>
        </w:tc>
        <w:tc>
          <w:tcPr>
            <w:tcW w:w="4547" w:type="dxa"/>
            <w:tcBorders/>
            <w:shd w:fill="CCCCCC"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Termination by Company without Cause</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935" w:type="dxa"/>
            <w:tcBorders/>
            <w:shd w:fill="CCCCCC" w:val="clear"/>
            <w:vAlign w:val="center"/>
          </w:tcPr>
          <w:p>
            <w:pPr>
              <w:pStyle w:val="TableContents"/>
              <w:bidi w:val="0"/>
              <w:spacing w:before="0" w:after="283"/>
              <w:ind w:left="124" w:right="0" w:hanging="0"/>
              <w:jc w:val="left"/>
              <w:rPr>
                <w:rFonts w:ascii="Arial;Helvetica;sans-serif" w:hAnsi="Arial;Helvetica;sans-serif"/>
                <w:color w:val="000000"/>
                <w:sz w:val="16"/>
              </w:rPr>
            </w:pPr>
            <w:r>
              <w:rPr>
                <w:rFonts w:ascii="Arial;Helvetica;sans-serif" w:hAnsi="Arial;Helvetica;sans-serif"/>
                <w:color w:val="000000"/>
                <w:sz w:val="16"/>
              </w:rPr>
              <w:t>2,467,067</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980" w:type="dxa"/>
            <w:tcBorders/>
            <w:shd w:fill="CCCCCC" w:val="clear"/>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1,852,812</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100" w:type="dxa"/>
            <w:tcBorders/>
            <w:shd w:fill="CCCCCC" w:val="clear"/>
            <w:vAlign w:val="center"/>
          </w:tcPr>
          <w:p>
            <w:pPr>
              <w:pStyle w:val="TableContents"/>
              <w:bidi w:val="0"/>
              <w:spacing w:before="0" w:after="283"/>
              <w:ind w:left="497" w:right="0" w:hanging="0"/>
              <w:jc w:val="left"/>
              <w:rPr>
                <w:rFonts w:ascii="Arial;Helvetica;sans-serif" w:hAnsi="Arial;Helvetica;sans-serif"/>
                <w:color w:val="000000"/>
                <w:sz w:val="16"/>
              </w:rPr>
            </w:pPr>
            <w:r>
              <w:rPr>
                <w:rFonts w:ascii="Arial;Helvetica;sans-serif" w:hAnsi="Arial;Helvetica;sans-serif"/>
                <w:color w:val="000000"/>
                <w:sz w:val="16"/>
              </w:rPr>
              <w:t>22,669</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82" w:type="dxa"/>
            <w:tcBorders/>
            <w:shd w:fill="CCCCCC"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4,342,548 </w:t>
            </w:r>
          </w:p>
        </w:tc>
        <w:tc>
          <w:tcPr>
            <w:tcW w:w="216" w:type="dxa"/>
            <w:tcBorders/>
            <w:shd w:fill="CCCCCC" w:val="clear"/>
            <w:vAlign w:val="center"/>
          </w:tcPr>
          <w:p>
            <w:pPr>
              <w:pStyle w:val="TableContents"/>
              <w:bidi w:val="0"/>
              <w:spacing w:before="0" w:after="0"/>
              <w:jc w:val="left"/>
              <w:rPr/>
            </w:pPr>
            <w:r>
              <w:rPr/>
              <w:t> </w:t>
            </w:r>
          </w:p>
        </w:tc>
      </w:tr>
      <w:tr>
        <w:trPr/>
        <w:tc>
          <w:tcPr>
            <w:tcW w:w="185" w:type="dxa"/>
            <w:tcBorders/>
            <w:shd w:fill="CCCCCC" w:val="clear"/>
            <w:vAlign w:val="center"/>
          </w:tcPr>
          <w:p>
            <w:pPr>
              <w:pStyle w:val="TableContents"/>
              <w:bidi w:val="0"/>
              <w:spacing w:before="0" w:after="0"/>
              <w:jc w:val="left"/>
              <w:rPr/>
            </w:pPr>
            <w:r>
              <w:rPr/>
              <w:t> </w:t>
            </w:r>
          </w:p>
        </w:tc>
        <w:tc>
          <w:tcPr>
            <w:tcW w:w="4547" w:type="dxa"/>
            <w:tcBorders/>
            <w:shd w:fill="CCCCCC" w:val="clear"/>
            <w:vAlign w:val="center"/>
          </w:tcPr>
          <w:p>
            <w:pPr>
              <w:pStyle w:val="TableContents"/>
              <w:bidi w:val="0"/>
              <w:spacing w:before="0" w:after="283"/>
              <w:ind w:left="230" w:right="0" w:hanging="200"/>
              <w:jc w:val="left"/>
              <w:rPr>
                <w:rFonts w:ascii="Arial;Helvetica;sans-serif" w:hAnsi="Arial;Helvetica;sans-serif"/>
                <w:color w:val="000000"/>
                <w:sz w:val="16"/>
              </w:rPr>
            </w:pPr>
            <w:r>
              <w:rPr>
                <w:rFonts w:ascii="Arial;Helvetica;sans-serif" w:hAnsi="Arial;Helvetica;sans-serif"/>
                <w:color w:val="000000"/>
                <w:sz w:val="16"/>
              </w:rPr>
              <w:t>Change of Control Transaction and Termination by Company without Cause or due to a Constructive Discharge</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935" w:type="dxa"/>
            <w:tcBorders/>
            <w:shd w:fill="CCCCCC" w:val="clear"/>
            <w:vAlign w:val="center"/>
          </w:tcPr>
          <w:p>
            <w:pPr>
              <w:pStyle w:val="TableContents"/>
              <w:bidi w:val="0"/>
              <w:spacing w:before="0" w:after="283"/>
              <w:ind w:left="124" w:right="0" w:hanging="0"/>
              <w:jc w:val="left"/>
              <w:rPr>
                <w:rFonts w:ascii="Arial;Helvetica;sans-serif" w:hAnsi="Arial;Helvetica;sans-serif"/>
                <w:color w:val="000000"/>
                <w:sz w:val="16"/>
              </w:rPr>
            </w:pPr>
            <w:r>
              <w:rPr>
                <w:rFonts w:ascii="Arial;Helvetica;sans-serif" w:hAnsi="Arial;Helvetica;sans-serif"/>
                <w:color w:val="000000"/>
                <w:sz w:val="16"/>
              </w:rPr>
              <w:t>2,467,067</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980" w:type="dxa"/>
            <w:tcBorders/>
            <w:shd w:fill="CCCCCC" w:val="clear"/>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10,863,443</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100" w:type="dxa"/>
            <w:tcBorders/>
            <w:shd w:fill="CCCCCC" w:val="clear"/>
            <w:vAlign w:val="center"/>
          </w:tcPr>
          <w:p>
            <w:pPr>
              <w:pStyle w:val="TableContents"/>
              <w:bidi w:val="0"/>
              <w:spacing w:before="0" w:after="283"/>
              <w:ind w:left="497" w:right="0" w:hanging="0"/>
              <w:jc w:val="left"/>
              <w:rPr>
                <w:rFonts w:ascii="Arial;Helvetica;sans-serif" w:hAnsi="Arial;Helvetica;sans-serif"/>
                <w:color w:val="000000"/>
                <w:sz w:val="16"/>
              </w:rPr>
            </w:pPr>
            <w:r>
              <w:rPr>
                <w:rFonts w:ascii="Arial;Helvetica;sans-serif" w:hAnsi="Arial;Helvetica;sans-serif"/>
                <w:color w:val="000000"/>
                <w:sz w:val="16"/>
              </w:rPr>
              <w:t>22,669</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82" w:type="dxa"/>
            <w:tcBorders/>
            <w:shd w:fill="CCCCCC"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13,353,179 </w:t>
            </w:r>
          </w:p>
        </w:tc>
        <w:tc>
          <w:tcPr>
            <w:tcW w:w="216" w:type="dxa"/>
            <w:tcBorders/>
            <w:shd w:fill="CCCCCC" w:val="clear"/>
            <w:vAlign w:val="center"/>
          </w:tcPr>
          <w:p>
            <w:pPr>
              <w:pStyle w:val="TableContents"/>
              <w:bidi w:val="0"/>
              <w:spacing w:before="0" w:after="0"/>
              <w:jc w:val="left"/>
              <w:rPr/>
            </w:pPr>
            <w:r>
              <w:rPr/>
              <w:t> </w:t>
            </w:r>
          </w:p>
        </w:tc>
      </w:tr>
      <w:tr>
        <w:trPr/>
        <w:tc>
          <w:tcPr>
            <w:tcW w:w="18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4547" w:type="dxa"/>
            <w:tcBorders>
              <w:bottom w:val="single" w:sz="8" w:space="0" w:color="000000"/>
            </w:tcBorders>
            <w:shd w:fill="CCCCCC" w:val="clear"/>
            <w:tcMar>
              <w:bottom w:w="2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Change of Control Transaction without Termination</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935" w:type="dxa"/>
            <w:tcBorders>
              <w:bottom w:val="single" w:sz="8" w:space="0" w:color="000000"/>
            </w:tcBorders>
            <w:shd w:fill="CCCCCC" w:val="clear"/>
            <w:tcMar>
              <w:bottom w:w="28" w:type="dxa"/>
            </w:tcMar>
            <w:vAlign w:val="center"/>
          </w:tcPr>
          <w:p>
            <w:pPr>
              <w:pStyle w:val="TableContents"/>
              <w:bidi w:val="0"/>
              <w:spacing w:before="0" w:after="283"/>
              <w:ind w:left="124" w:right="0" w:hanging="0"/>
              <w:jc w:val="left"/>
              <w:rPr>
                <w:color w:val="000000"/>
              </w:rPr>
            </w:pPr>
            <w:r>
              <w:rPr>
                <w:color w:val="000000"/>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980" w:type="dxa"/>
            <w:tcBorders>
              <w:bottom w:val="single" w:sz="8" w:space="0" w:color="000000"/>
            </w:tcBorders>
            <w:shd w:fill="CCCCCC" w:val="clear"/>
            <w:tcMar>
              <w:bottom w:w="28" w:type="dxa"/>
            </w:tcMar>
            <w:vAlign w:val="center"/>
          </w:tcPr>
          <w:p>
            <w:pPr>
              <w:pStyle w:val="TableContents"/>
              <w:bidi w:val="0"/>
              <w:spacing w:before="0" w:after="283"/>
              <w:ind w:left="106" w:right="0" w:hanging="0"/>
              <w:jc w:val="left"/>
              <w:rPr>
                <w:color w:val="000000"/>
              </w:rPr>
            </w:pPr>
            <w:r>
              <w:rPr>
                <w:color w:val="000000"/>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100" w:type="dxa"/>
            <w:tcBorders>
              <w:bottom w:val="single" w:sz="8" w:space="0" w:color="000000"/>
            </w:tcBorders>
            <w:shd w:fill="CCCCCC" w:val="clear"/>
            <w:tcMar>
              <w:bottom w:w="28" w:type="dxa"/>
            </w:tcMar>
            <w:vAlign w:val="center"/>
          </w:tcPr>
          <w:p>
            <w:pPr>
              <w:pStyle w:val="TableContents"/>
              <w:bidi w:val="0"/>
              <w:spacing w:before="0" w:after="283"/>
              <w:ind w:left="497" w:right="0" w:hanging="0"/>
              <w:jc w:val="left"/>
              <w:rPr>
                <w:color w:val="000000"/>
              </w:rPr>
            </w:pPr>
            <w:r>
              <w:rPr>
                <w:color w:val="000000"/>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882" w:type="dxa"/>
            <w:tcBorders>
              <w:bottom w:val="single" w:sz="8" w:space="0" w:color="000000"/>
            </w:tcBorders>
            <w:shd w:fill="CCCCCC" w:val="clear"/>
            <w:tcMar>
              <w:bottom w:w="28" w:type="dxa"/>
            </w:tcMar>
            <w:vAlign w:val="center"/>
          </w:tcPr>
          <w:p>
            <w:pPr>
              <w:pStyle w:val="TableContents"/>
              <w:bidi w:val="0"/>
              <w:spacing w:before="0" w:after="283"/>
              <w:ind w:left="0" w:right="0" w:hanging="0"/>
              <w:jc w:val="left"/>
              <w:rPr>
                <w:color w:val="000000"/>
              </w:rPr>
            </w:pPr>
            <w:r>
              <w:rPr>
                <w:color w:val="000000"/>
              </w:rPr>
              <w:t xml:space="preserve">— </w:t>
            </w:r>
          </w:p>
        </w:tc>
        <w:tc>
          <w:tcPr>
            <w:tcW w:w="216"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547" w:type="dxa"/>
            <w:tcBorders/>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Mr. Cunha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24"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10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497"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283"/>
              <w:ind w:left="0" w:right="0" w:hanging="0"/>
              <w:jc w:val="left"/>
              <w:rPr>
                <w:color w:val="000000"/>
              </w:rPr>
            </w:pPr>
            <w:r>
              <w:rPr>
                <w:color w:val="000000"/>
              </w:rPr>
              <w:t>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547"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Resignation or Termination by Company for Cause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2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10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49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283"/>
              <w:ind w:left="0" w:right="0" w:hanging="0"/>
              <w:jc w:val="left"/>
              <w:rPr>
                <w:color w:val="000000"/>
              </w:rPr>
            </w:pPr>
            <w:r>
              <w:rPr>
                <w:color w:val="000000"/>
              </w:rPr>
              <w:t xml:space="preserve">—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547"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Termination due to Death or Disability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24" w:right="0" w:hanging="0"/>
              <w:jc w:val="left"/>
              <w:rPr>
                <w:rFonts w:ascii="Arial;Helvetica;sans-serif" w:hAnsi="Arial;Helvetica;sans-serif"/>
                <w:color w:val="000000"/>
                <w:sz w:val="16"/>
              </w:rPr>
            </w:pPr>
            <w:r>
              <w:rPr>
                <w:rFonts w:ascii="Arial;Helvetica;sans-serif" w:hAnsi="Arial;Helvetica;sans-serif"/>
                <w:color w:val="000000"/>
                <w:sz w:val="16"/>
              </w:rPr>
              <w:t>262,096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746,566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49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1,008,662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547"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Termination by Company without Cause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24" w:right="0" w:hanging="0"/>
              <w:jc w:val="left"/>
              <w:rPr>
                <w:rFonts w:ascii="Arial;Helvetica;sans-serif" w:hAnsi="Arial;Helvetica;sans-serif"/>
                <w:color w:val="000000"/>
                <w:sz w:val="16"/>
              </w:rPr>
            </w:pPr>
            <w:r>
              <w:rPr>
                <w:rFonts w:ascii="Arial;Helvetica;sans-serif" w:hAnsi="Arial;Helvetica;sans-serif"/>
                <w:color w:val="000000"/>
                <w:sz w:val="16"/>
              </w:rPr>
              <w:t>928,248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124,342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49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1,052,590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547" w:type="dxa"/>
            <w:tcBorders/>
            <w:vAlign w:val="center"/>
          </w:tcPr>
          <w:p>
            <w:pPr>
              <w:pStyle w:val="TableContents"/>
              <w:bidi w:val="0"/>
              <w:spacing w:before="0" w:after="283"/>
              <w:ind w:left="230" w:right="0" w:hanging="200"/>
              <w:jc w:val="left"/>
              <w:rPr>
                <w:rFonts w:ascii="Arial;Helvetica;sans-serif" w:hAnsi="Arial;Helvetica;sans-serif"/>
                <w:color w:val="000000"/>
                <w:sz w:val="16"/>
              </w:rPr>
            </w:pPr>
            <w:r>
              <w:rPr>
                <w:rFonts w:ascii="Arial;Helvetica;sans-serif" w:hAnsi="Arial;Helvetica;sans-serif"/>
                <w:color w:val="000000"/>
                <w:sz w:val="16"/>
              </w:rPr>
              <w:t>Change of Control Transaction and Termination by Company without Cause or due to a Constructive Discharge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24" w:right="0" w:hanging="0"/>
              <w:jc w:val="left"/>
              <w:rPr>
                <w:rFonts w:ascii="Arial;Helvetica;sans-serif" w:hAnsi="Arial;Helvetica;sans-serif"/>
                <w:color w:val="000000"/>
                <w:sz w:val="16"/>
              </w:rPr>
            </w:pPr>
            <w:r>
              <w:rPr>
                <w:rFonts w:ascii="Arial;Helvetica;sans-serif" w:hAnsi="Arial;Helvetica;sans-serif"/>
                <w:color w:val="000000"/>
                <w:sz w:val="16"/>
              </w:rPr>
              <w:t>928,248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746,566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49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1,674,814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547"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Change of Control Transaction without Termination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2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10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49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283"/>
              <w:ind w:left="0" w:right="0" w:hanging="0"/>
              <w:jc w:val="left"/>
              <w:rPr>
                <w:color w:val="000000"/>
              </w:rPr>
            </w:pPr>
            <w:r>
              <w:rPr>
                <w:color w:val="000000"/>
              </w:rPr>
              <w:t xml:space="preserve">—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54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2"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40</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7" w:name="ny20066167x1_def14a_107-summary_pg9"/>
        <w:bookmarkEnd w:id="8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85"/>
        <w:gridCol w:w="4549"/>
        <w:gridCol w:w="170"/>
        <w:gridCol w:w="170"/>
        <w:gridCol w:w="935"/>
        <w:gridCol w:w="170"/>
        <w:gridCol w:w="170"/>
        <w:gridCol w:w="980"/>
        <w:gridCol w:w="170"/>
        <w:gridCol w:w="170"/>
        <w:gridCol w:w="1100"/>
        <w:gridCol w:w="170"/>
        <w:gridCol w:w="170"/>
        <w:gridCol w:w="880"/>
        <w:gridCol w:w="216"/>
      </w:tblGrid>
      <w:tr>
        <w:trPr/>
        <w:tc>
          <w:tcPr>
            <w:tcW w:w="185" w:type="dxa"/>
            <w:tcBorders/>
            <w:vAlign w:val="center"/>
          </w:tcPr>
          <w:p>
            <w:pPr>
              <w:pStyle w:val="TableContents"/>
              <w:bidi w:val="0"/>
              <w:spacing w:before="0" w:after="0"/>
              <w:jc w:val="left"/>
              <w:rPr/>
            </w:pPr>
            <w:r>
              <w:rPr/>
              <w:t> </w:t>
            </w:r>
          </w:p>
        </w:tc>
        <w:tc>
          <w:tcPr>
            <w:tcW w:w="454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4549" w:type="dxa"/>
            <w:tcBorders>
              <w:bottom w:val="single" w:sz="8" w:space="0" w:color="000000"/>
            </w:tcBorders>
            <w:tcMar>
              <w:bottom w:w="28" w:type="dxa"/>
            </w:tcM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Name and Triggering Event (a)</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35"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Lump-Sum</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Severance</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Payment</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($)(b)</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Accelerated</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Vesting of</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Stock-</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Based</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Awards</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($)(c)</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Continuation</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of Benefits</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and</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Perquisites</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($)(d)</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80"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Total</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shd w:fill="CCCCCC" w:val="clear"/>
            <w:vAlign w:val="center"/>
          </w:tcPr>
          <w:p>
            <w:pPr>
              <w:pStyle w:val="TableContents"/>
              <w:bidi w:val="0"/>
              <w:spacing w:before="0" w:after="0"/>
              <w:jc w:val="left"/>
              <w:rPr/>
            </w:pPr>
            <w:r>
              <w:rPr/>
              <w:t> </w:t>
            </w:r>
          </w:p>
        </w:tc>
        <w:tc>
          <w:tcPr>
            <w:tcW w:w="4549" w:type="dxa"/>
            <w:tcBorders/>
            <w:shd w:fill="CCCCCC" w:val="cle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Mr. Pahwa</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935" w:type="dxa"/>
            <w:tcBorders/>
            <w:shd w:fill="CCCCCC" w:val="clear"/>
            <w:vAlign w:val="center"/>
          </w:tcPr>
          <w:p>
            <w:pPr>
              <w:pStyle w:val="TableContents"/>
              <w:bidi w:val="0"/>
              <w:spacing w:before="0" w:after="283"/>
              <w:ind w:left="124" w:right="0" w:hanging="0"/>
              <w:jc w:val="left"/>
              <w:rPr>
                <w:color w:val="000000"/>
              </w:rPr>
            </w:pPr>
            <w:r>
              <w:rPr>
                <w:color w:val="000000"/>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980" w:type="dxa"/>
            <w:tcBorders/>
            <w:shd w:fill="CCCCCC" w:val="clear"/>
            <w:vAlign w:val="center"/>
          </w:tcPr>
          <w:p>
            <w:pPr>
              <w:pStyle w:val="TableContents"/>
              <w:bidi w:val="0"/>
              <w:spacing w:before="0" w:after="283"/>
              <w:ind w:left="106" w:right="0" w:hanging="0"/>
              <w:jc w:val="left"/>
              <w:rPr>
                <w:color w:val="000000"/>
              </w:rPr>
            </w:pPr>
            <w:r>
              <w:rPr>
                <w:color w:val="000000"/>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100" w:type="dxa"/>
            <w:tcBorders/>
            <w:shd w:fill="CCCCCC" w:val="clear"/>
            <w:vAlign w:val="center"/>
          </w:tcPr>
          <w:p>
            <w:pPr>
              <w:pStyle w:val="TableContents"/>
              <w:bidi w:val="0"/>
              <w:spacing w:before="0" w:after="283"/>
              <w:ind w:left="497" w:right="0" w:hanging="0"/>
              <w:jc w:val="left"/>
              <w:rPr>
                <w:color w:val="000000"/>
              </w:rPr>
            </w:pPr>
            <w:r>
              <w:rPr>
                <w:color w:val="000000"/>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80" w:type="dxa"/>
            <w:tcBorders/>
            <w:shd w:fill="CCCCCC" w:val="clear"/>
            <w:vAlign w:val="center"/>
          </w:tcPr>
          <w:p>
            <w:pPr>
              <w:pStyle w:val="TableContents"/>
              <w:bidi w:val="0"/>
              <w:spacing w:before="0" w:after="283"/>
              <w:ind w:left="0" w:right="0" w:hanging="0"/>
              <w:jc w:val="left"/>
              <w:rPr>
                <w:color w:val="000000"/>
              </w:rPr>
            </w:pPr>
            <w:r>
              <w:rPr>
                <w:color w:val="000000"/>
              </w:rPr>
              <w:t> </w:t>
            </w:r>
          </w:p>
        </w:tc>
        <w:tc>
          <w:tcPr>
            <w:tcW w:w="216" w:type="dxa"/>
            <w:tcBorders/>
            <w:shd w:fill="CCCCCC" w:val="clear"/>
            <w:vAlign w:val="center"/>
          </w:tcPr>
          <w:p>
            <w:pPr>
              <w:pStyle w:val="TableContents"/>
              <w:bidi w:val="0"/>
              <w:spacing w:before="0" w:after="0"/>
              <w:jc w:val="left"/>
              <w:rPr/>
            </w:pPr>
            <w:r>
              <w:rPr/>
              <w:t> </w:t>
            </w:r>
          </w:p>
        </w:tc>
      </w:tr>
      <w:tr>
        <w:trPr/>
        <w:tc>
          <w:tcPr>
            <w:tcW w:w="185" w:type="dxa"/>
            <w:tcBorders/>
            <w:shd w:fill="CCCCCC" w:val="clear"/>
            <w:vAlign w:val="center"/>
          </w:tcPr>
          <w:p>
            <w:pPr>
              <w:pStyle w:val="TableContents"/>
              <w:bidi w:val="0"/>
              <w:spacing w:before="0" w:after="0"/>
              <w:jc w:val="left"/>
              <w:rPr/>
            </w:pPr>
            <w:r>
              <w:rPr/>
              <w:t> </w:t>
            </w:r>
          </w:p>
        </w:tc>
        <w:tc>
          <w:tcPr>
            <w:tcW w:w="4549" w:type="dxa"/>
            <w:tcBorders/>
            <w:shd w:fill="CCCCCC"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Resignation or Termination by Company for Cause</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935" w:type="dxa"/>
            <w:tcBorders/>
            <w:shd w:fill="CCCCCC" w:val="clear"/>
            <w:vAlign w:val="center"/>
          </w:tcPr>
          <w:p>
            <w:pPr>
              <w:pStyle w:val="TableContents"/>
              <w:bidi w:val="0"/>
              <w:spacing w:before="0" w:after="283"/>
              <w:ind w:left="124"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980" w:type="dxa"/>
            <w:tcBorders/>
            <w:shd w:fill="CCCCCC" w:val="clear"/>
            <w:vAlign w:val="center"/>
          </w:tcPr>
          <w:p>
            <w:pPr>
              <w:pStyle w:val="TableContents"/>
              <w:bidi w:val="0"/>
              <w:spacing w:before="0" w:after="283"/>
              <w:ind w:left="106"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100" w:type="dxa"/>
            <w:tcBorders/>
            <w:shd w:fill="CCCCCC" w:val="clear"/>
            <w:vAlign w:val="center"/>
          </w:tcPr>
          <w:p>
            <w:pPr>
              <w:pStyle w:val="TableContents"/>
              <w:bidi w:val="0"/>
              <w:spacing w:before="0" w:after="283"/>
              <w:ind w:left="497"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80" w:type="dxa"/>
            <w:tcBorders/>
            <w:shd w:fill="CCCCCC" w:val="clear"/>
            <w:vAlign w:val="center"/>
          </w:tcPr>
          <w:p>
            <w:pPr>
              <w:pStyle w:val="TableContents"/>
              <w:bidi w:val="0"/>
              <w:spacing w:before="0" w:after="283"/>
              <w:ind w:left="0" w:right="0" w:hanging="0"/>
              <w:jc w:val="left"/>
              <w:rPr>
                <w:color w:val="000000"/>
              </w:rPr>
            </w:pPr>
            <w:r>
              <w:rPr>
                <w:color w:val="000000"/>
              </w:rPr>
              <w:t xml:space="preserve">— </w:t>
            </w:r>
          </w:p>
        </w:tc>
        <w:tc>
          <w:tcPr>
            <w:tcW w:w="216" w:type="dxa"/>
            <w:tcBorders/>
            <w:shd w:fill="CCCCCC" w:val="clear"/>
            <w:vAlign w:val="center"/>
          </w:tcPr>
          <w:p>
            <w:pPr>
              <w:pStyle w:val="TableContents"/>
              <w:bidi w:val="0"/>
              <w:spacing w:before="0" w:after="0"/>
              <w:jc w:val="left"/>
              <w:rPr/>
            </w:pPr>
            <w:r>
              <w:rPr/>
              <w:t> </w:t>
            </w:r>
          </w:p>
        </w:tc>
      </w:tr>
      <w:tr>
        <w:trPr/>
        <w:tc>
          <w:tcPr>
            <w:tcW w:w="185" w:type="dxa"/>
            <w:tcBorders/>
            <w:shd w:fill="CCCCCC" w:val="clear"/>
            <w:vAlign w:val="center"/>
          </w:tcPr>
          <w:p>
            <w:pPr>
              <w:pStyle w:val="TableContents"/>
              <w:bidi w:val="0"/>
              <w:spacing w:before="0" w:after="0"/>
              <w:jc w:val="left"/>
              <w:rPr/>
            </w:pPr>
            <w:r>
              <w:rPr/>
              <w:t> </w:t>
            </w:r>
          </w:p>
        </w:tc>
        <w:tc>
          <w:tcPr>
            <w:tcW w:w="4549" w:type="dxa"/>
            <w:tcBorders/>
            <w:shd w:fill="CCCCCC"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Termination due to Death or Disability</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935" w:type="dxa"/>
            <w:tcBorders/>
            <w:shd w:fill="CCCCCC" w:val="clear"/>
            <w:vAlign w:val="center"/>
          </w:tcPr>
          <w:p>
            <w:pPr>
              <w:pStyle w:val="TableContents"/>
              <w:bidi w:val="0"/>
              <w:spacing w:before="0" w:after="283"/>
              <w:ind w:left="124"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980" w:type="dxa"/>
            <w:tcBorders/>
            <w:shd w:fill="CCCCCC" w:val="clear"/>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10,242,759</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100" w:type="dxa"/>
            <w:tcBorders/>
            <w:shd w:fill="CCCCCC" w:val="clear"/>
            <w:vAlign w:val="center"/>
          </w:tcPr>
          <w:p>
            <w:pPr>
              <w:pStyle w:val="TableContents"/>
              <w:bidi w:val="0"/>
              <w:spacing w:before="0" w:after="283"/>
              <w:ind w:left="497"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80" w:type="dxa"/>
            <w:tcBorders/>
            <w:shd w:fill="CCCCCC" w:val="clear"/>
            <w:vAlign w:val="center"/>
          </w:tcPr>
          <w:p>
            <w:pPr>
              <w:pStyle w:val="TableContents"/>
              <w:bidi w:val="0"/>
              <w:spacing w:before="0" w:after="283"/>
              <w:ind w:left="0" w:right="0" w:hanging="0"/>
              <w:jc w:val="both"/>
              <w:rPr>
                <w:rFonts w:ascii="Arial;Helvetica;sans-serif" w:hAnsi="Arial;Helvetica;sans-serif"/>
                <w:color w:val="000000"/>
                <w:sz w:val="16"/>
              </w:rPr>
            </w:pPr>
            <w:r>
              <w:rPr>
                <w:rFonts w:ascii="Arial;Helvetica;sans-serif" w:hAnsi="Arial;Helvetica;sans-serif"/>
                <w:color w:val="000000"/>
                <w:sz w:val="16"/>
              </w:rPr>
              <w:t xml:space="preserve">10,242,759 </w:t>
            </w:r>
          </w:p>
        </w:tc>
        <w:tc>
          <w:tcPr>
            <w:tcW w:w="216" w:type="dxa"/>
            <w:tcBorders/>
            <w:shd w:fill="CCCCCC" w:val="clear"/>
            <w:vAlign w:val="center"/>
          </w:tcPr>
          <w:p>
            <w:pPr>
              <w:pStyle w:val="TableContents"/>
              <w:bidi w:val="0"/>
              <w:spacing w:before="0" w:after="0"/>
              <w:jc w:val="left"/>
              <w:rPr/>
            </w:pPr>
            <w:r>
              <w:rPr/>
              <w:t> </w:t>
            </w:r>
          </w:p>
        </w:tc>
      </w:tr>
      <w:tr>
        <w:trPr/>
        <w:tc>
          <w:tcPr>
            <w:tcW w:w="185" w:type="dxa"/>
            <w:tcBorders/>
            <w:shd w:fill="CCCCCC" w:val="clear"/>
            <w:vAlign w:val="center"/>
          </w:tcPr>
          <w:p>
            <w:pPr>
              <w:pStyle w:val="TableContents"/>
              <w:bidi w:val="0"/>
              <w:spacing w:before="0" w:after="0"/>
              <w:jc w:val="left"/>
              <w:rPr/>
            </w:pPr>
            <w:r>
              <w:rPr/>
              <w:t> </w:t>
            </w:r>
          </w:p>
        </w:tc>
        <w:tc>
          <w:tcPr>
            <w:tcW w:w="4549" w:type="dxa"/>
            <w:tcBorders/>
            <w:shd w:fill="CCCCCC"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Termination by Company without Cause</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935" w:type="dxa"/>
            <w:tcBorders/>
            <w:shd w:fill="CCCCCC" w:val="clear"/>
            <w:vAlign w:val="center"/>
          </w:tcPr>
          <w:p>
            <w:pPr>
              <w:pStyle w:val="TableContents"/>
              <w:bidi w:val="0"/>
              <w:spacing w:before="0" w:after="283"/>
              <w:ind w:left="124" w:right="0" w:hanging="0"/>
              <w:jc w:val="left"/>
              <w:rPr>
                <w:rFonts w:ascii="Arial;Helvetica;sans-serif" w:hAnsi="Arial;Helvetica;sans-serif"/>
                <w:color w:val="000000"/>
                <w:sz w:val="16"/>
              </w:rPr>
            </w:pPr>
            <w:r>
              <w:rPr>
                <w:rFonts w:ascii="Arial;Helvetica;sans-serif" w:hAnsi="Arial;Helvetica;sans-serif"/>
                <w:color w:val="000000"/>
                <w:sz w:val="16"/>
              </w:rPr>
              <w:t>111,709</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980" w:type="dxa"/>
            <w:tcBorders/>
            <w:shd w:fill="CCCCCC" w:val="clear"/>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1,707,041</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100" w:type="dxa"/>
            <w:tcBorders/>
            <w:shd w:fill="CCCCCC" w:val="clear"/>
            <w:vAlign w:val="center"/>
          </w:tcPr>
          <w:p>
            <w:pPr>
              <w:pStyle w:val="TableContents"/>
              <w:bidi w:val="0"/>
              <w:spacing w:before="0" w:after="283"/>
              <w:ind w:left="497"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80" w:type="dxa"/>
            <w:tcBorders/>
            <w:shd w:fill="CCCCCC"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1,818,750 </w:t>
            </w:r>
          </w:p>
        </w:tc>
        <w:tc>
          <w:tcPr>
            <w:tcW w:w="216" w:type="dxa"/>
            <w:tcBorders/>
            <w:shd w:fill="CCCCCC" w:val="clear"/>
            <w:vAlign w:val="center"/>
          </w:tcPr>
          <w:p>
            <w:pPr>
              <w:pStyle w:val="TableContents"/>
              <w:bidi w:val="0"/>
              <w:spacing w:before="0" w:after="0"/>
              <w:jc w:val="left"/>
              <w:rPr/>
            </w:pPr>
            <w:r>
              <w:rPr/>
              <w:t> </w:t>
            </w:r>
          </w:p>
        </w:tc>
      </w:tr>
      <w:tr>
        <w:trPr/>
        <w:tc>
          <w:tcPr>
            <w:tcW w:w="185" w:type="dxa"/>
            <w:tcBorders/>
            <w:shd w:fill="CCCCCC" w:val="clear"/>
            <w:vAlign w:val="center"/>
          </w:tcPr>
          <w:p>
            <w:pPr>
              <w:pStyle w:val="TableContents"/>
              <w:bidi w:val="0"/>
              <w:spacing w:before="0" w:after="0"/>
              <w:jc w:val="left"/>
              <w:rPr/>
            </w:pPr>
            <w:r>
              <w:rPr/>
              <w:t> </w:t>
            </w:r>
          </w:p>
        </w:tc>
        <w:tc>
          <w:tcPr>
            <w:tcW w:w="4549" w:type="dxa"/>
            <w:tcBorders/>
            <w:shd w:fill="CCCCCC" w:val="clear"/>
            <w:vAlign w:val="center"/>
          </w:tcPr>
          <w:p>
            <w:pPr>
              <w:pStyle w:val="TableContents"/>
              <w:bidi w:val="0"/>
              <w:spacing w:before="0" w:after="283"/>
              <w:ind w:left="230" w:right="0" w:hanging="200"/>
              <w:jc w:val="left"/>
              <w:rPr>
                <w:rFonts w:ascii="Arial;Helvetica;sans-serif" w:hAnsi="Arial;Helvetica;sans-serif"/>
                <w:color w:val="000000"/>
                <w:sz w:val="16"/>
              </w:rPr>
            </w:pPr>
            <w:r>
              <w:rPr>
                <w:rFonts w:ascii="Arial;Helvetica;sans-serif" w:hAnsi="Arial;Helvetica;sans-serif"/>
                <w:color w:val="000000"/>
                <w:sz w:val="16"/>
              </w:rPr>
              <w:t>Change of Control Transaction and Termination by Company without Cause or due to a Constructive Discharge</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935" w:type="dxa"/>
            <w:tcBorders/>
            <w:shd w:fill="CCCCCC" w:val="clear"/>
            <w:vAlign w:val="center"/>
          </w:tcPr>
          <w:p>
            <w:pPr>
              <w:pStyle w:val="TableContents"/>
              <w:bidi w:val="0"/>
              <w:spacing w:before="0" w:after="283"/>
              <w:ind w:left="124" w:right="0" w:hanging="0"/>
              <w:jc w:val="left"/>
              <w:rPr>
                <w:rFonts w:ascii="Arial;Helvetica;sans-serif" w:hAnsi="Arial;Helvetica;sans-serif"/>
                <w:color w:val="000000"/>
                <w:sz w:val="16"/>
              </w:rPr>
            </w:pPr>
            <w:r>
              <w:rPr>
                <w:rFonts w:ascii="Arial;Helvetica;sans-serif" w:hAnsi="Arial;Helvetica;sans-serif"/>
                <w:color w:val="000000"/>
                <w:sz w:val="16"/>
              </w:rPr>
              <w:t>111,709</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980" w:type="dxa"/>
            <w:tcBorders/>
            <w:shd w:fill="CCCCCC" w:val="clear"/>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10,242,759</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100" w:type="dxa"/>
            <w:tcBorders/>
            <w:shd w:fill="CCCCCC" w:val="clear"/>
            <w:vAlign w:val="center"/>
          </w:tcPr>
          <w:p>
            <w:pPr>
              <w:pStyle w:val="TableContents"/>
              <w:bidi w:val="0"/>
              <w:spacing w:before="0" w:after="283"/>
              <w:ind w:left="497"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80" w:type="dxa"/>
            <w:tcBorders/>
            <w:shd w:fill="CCCCCC" w:val="clear"/>
            <w:vAlign w:val="center"/>
          </w:tcPr>
          <w:p>
            <w:pPr>
              <w:pStyle w:val="TableContents"/>
              <w:bidi w:val="0"/>
              <w:spacing w:before="0" w:after="283"/>
              <w:ind w:left="0" w:right="0" w:hanging="0"/>
              <w:jc w:val="both"/>
              <w:rPr>
                <w:rFonts w:ascii="Arial;Helvetica;sans-serif" w:hAnsi="Arial;Helvetica;sans-serif"/>
                <w:color w:val="000000"/>
                <w:sz w:val="16"/>
              </w:rPr>
            </w:pPr>
            <w:r>
              <w:rPr>
                <w:rFonts w:ascii="Arial;Helvetica;sans-serif" w:hAnsi="Arial;Helvetica;sans-serif"/>
                <w:color w:val="000000"/>
                <w:sz w:val="16"/>
              </w:rPr>
              <w:t xml:space="preserve">10,354,468 </w:t>
            </w:r>
          </w:p>
        </w:tc>
        <w:tc>
          <w:tcPr>
            <w:tcW w:w="216" w:type="dxa"/>
            <w:tcBorders/>
            <w:shd w:fill="CCCCCC" w:val="clear"/>
            <w:vAlign w:val="center"/>
          </w:tcPr>
          <w:p>
            <w:pPr>
              <w:pStyle w:val="TableContents"/>
              <w:bidi w:val="0"/>
              <w:spacing w:before="0" w:after="0"/>
              <w:jc w:val="left"/>
              <w:rPr/>
            </w:pPr>
            <w:r>
              <w:rPr/>
              <w:t> </w:t>
            </w:r>
          </w:p>
        </w:tc>
      </w:tr>
      <w:tr>
        <w:trPr/>
        <w:tc>
          <w:tcPr>
            <w:tcW w:w="18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4549" w:type="dxa"/>
            <w:tcBorders>
              <w:bottom w:val="single" w:sz="8" w:space="0" w:color="000000"/>
            </w:tcBorders>
            <w:shd w:fill="CCCCCC" w:val="clear"/>
            <w:tcMar>
              <w:bottom w:w="2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Change of Control Transaction without Termination</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935" w:type="dxa"/>
            <w:tcBorders>
              <w:bottom w:val="single" w:sz="8" w:space="0" w:color="000000"/>
            </w:tcBorders>
            <w:shd w:fill="CCCCCC" w:val="clear"/>
            <w:tcMar>
              <w:bottom w:w="28" w:type="dxa"/>
            </w:tcMar>
            <w:vAlign w:val="center"/>
          </w:tcPr>
          <w:p>
            <w:pPr>
              <w:pStyle w:val="TableContents"/>
              <w:bidi w:val="0"/>
              <w:spacing w:before="0" w:after="283"/>
              <w:ind w:left="124" w:right="0" w:hanging="0"/>
              <w:jc w:val="left"/>
              <w:rPr>
                <w:color w:val="000000"/>
              </w:rPr>
            </w:pPr>
            <w:r>
              <w:rPr>
                <w:color w:val="000000"/>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980" w:type="dxa"/>
            <w:tcBorders>
              <w:bottom w:val="single" w:sz="8" w:space="0" w:color="000000"/>
            </w:tcBorders>
            <w:shd w:fill="CCCCCC" w:val="clear"/>
            <w:tcMar>
              <w:bottom w:w="28" w:type="dxa"/>
            </w:tcMar>
            <w:vAlign w:val="center"/>
          </w:tcPr>
          <w:p>
            <w:pPr>
              <w:pStyle w:val="TableContents"/>
              <w:bidi w:val="0"/>
              <w:spacing w:before="0" w:after="283"/>
              <w:ind w:left="106" w:right="0" w:hanging="0"/>
              <w:jc w:val="left"/>
              <w:rPr>
                <w:color w:val="000000"/>
              </w:rPr>
            </w:pPr>
            <w:r>
              <w:rPr>
                <w:color w:val="000000"/>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100" w:type="dxa"/>
            <w:tcBorders>
              <w:bottom w:val="single" w:sz="8" w:space="0" w:color="000000"/>
            </w:tcBorders>
            <w:shd w:fill="CCCCCC" w:val="clear"/>
            <w:tcMar>
              <w:bottom w:w="28" w:type="dxa"/>
            </w:tcMar>
            <w:vAlign w:val="center"/>
          </w:tcPr>
          <w:p>
            <w:pPr>
              <w:pStyle w:val="TableContents"/>
              <w:bidi w:val="0"/>
              <w:spacing w:before="0" w:after="283"/>
              <w:ind w:left="497" w:right="0" w:hanging="0"/>
              <w:jc w:val="left"/>
              <w:rPr>
                <w:color w:val="000000"/>
              </w:rPr>
            </w:pPr>
            <w:r>
              <w:rPr>
                <w:color w:val="000000"/>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880" w:type="dxa"/>
            <w:tcBorders>
              <w:bottom w:val="single" w:sz="8" w:space="0" w:color="000000"/>
            </w:tcBorders>
            <w:shd w:fill="CCCCCC" w:val="clear"/>
            <w:tcMar>
              <w:bottom w:w="28" w:type="dxa"/>
            </w:tcMar>
            <w:vAlign w:val="center"/>
          </w:tcPr>
          <w:p>
            <w:pPr>
              <w:pStyle w:val="TableContents"/>
              <w:bidi w:val="0"/>
              <w:spacing w:before="0" w:after="283"/>
              <w:ind w:left="0" w:right="0" w:hanging="0"/>
              <w:jc w:val="left"/>
              <w:rPr>
                <w:color w:val="000000"/>
              </w:rPr>
            </w:pPr>
            <w:r>
              <w:rPr>
                <w:color w:val="000000"/>
              </w:rPr>
              <w:t xml:space="preserve">— </w:t>
            </w:r>
          </w:p>
        </w:tc>
        <w:tc>
          <w:tcPr>
            <w:tcW w:w="216"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549" w:type="dxa"/>
            <w:tcBorders/>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Mr. Simhambhatla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24"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10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497"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283"/>
              <w:ind w:left="0" w:right="0" w:hanging="0"/>
              <w:jc w:val="left"/>
              <w:rPr>
                <w:color w:val="000000"/>
              </w:rPr>
            </w:pPr>
            <w:r>
              <w:rPr>
                <w:color w:val="000000"/>
              </w:rPr>
              <w:t>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549"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Resignation or Termination by Company for Cause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24"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10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49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283"/>
              <w:ind w:left="0" w:right="0" w:hanging="0"/>
              <w:jc w:val="left"/>
              <w:rPr>
                <w:color w:val="000000"/>
              </w:rPr>
            </w:pPr>
            <w:r>
              <w:rPr>
                <w:color w:val="000000"/>
              </w:rPr>
              <w:t xml:space="preserve">—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549"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Termination due to Death or Disability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24" w:right="0" w:hanging="0"/>
              <w:jc w:val="left"/>
              <w:rPr>
                <w:rFonts w:ascii="Arial;Helvetica;sans-serif" w:hAnsi="Arial;Helvetica;sans-serif"/>
                <w:color w:val="000000"/>
                <w:sz w:val="16"/>
              </w:rPr>
            </w:pPr>
            <w:r>
              <w:rPr>
                <w:rFonts w:ascii="Arial;Helvetica;sans-serif" w:hAnsi="Arial;Helvetica;sans-serif"/>
                <w:color w:val="000000"/>
                <w:sz w:val="16"/>
              </w:rPr>
              <w:t>381,600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5,587,053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49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5,968,653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549"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Termination by Company without Cause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24" w:right="0" w:hanging="0"/>
              <w:jc w:val="left"/>
              <w:rPr>
                <w:rFonts w:ascii="Arial;Helvetica;sans-serif" w:hAnsi="Arial;Helvetica;sans-serif"/>
                <w:color w:val="000000"/>
                <w:sz w:val="16"/>
              </w:rPr>
            </w:pPr>
            <w:r>
              <w:rPr>
                <w:rFonts w:ascii="Arial;Helvetica;sans-serif" w:hAnsi="Arial;Helvetica;sans-serif"/>
                <w:color w:val="000000"/>
                <w:sz w:val="16"/>
              </w:rPr>
              <w:t>1,397,752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2,857,558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497" w:right="0" w:hanging="0"/>
              <w:jc w:val="left"/>
              <w:rPr>
                <w:rFonts w:ascii="Arial;Helvetica;sans-serif" w:hAnsi="Arial;Helvetica;sans-serif"/>
                <w:color w:val="000000"/>
                <w:sz w:val="16"/>
              </w:rPr>
            </w:pPr>
            <w:r>
              <w:rPr>
                <w:rFonts w:ascii="Arial;Helvetica;sans-serif" w:hAnsi="Arial;Helvetica;sans-serif"/>
                <w:color w:val="000000"/>
                <w:sz w:val="16"/>
              </w:rPr>
              <w:t>23,003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4,278,313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549" w:type="dxa"/>
            <w:tcBorders/>
            <w:vAlign w:val="center"/>
          </w:tcPr>
          <w:p>
            <w:pPr>
              <w:pStyle w:val="TableContents"/>
              <w:bidi w:val="0"/>
              <w:spacing w:before="0" w:after="283"/>
              <w:ind w:left="230" w:right="0" w:hanging="200"/>
              <w:jc w:val="left"/>
              <w:rPr>
                <w:rFonts w:ascii="Arial;Helvetica;sans-serif" w:hAnsi="Arial;Helvetica;sans-serif"/>
                <w:color w:val="000000"/>
                <w:sz w:val="16"/>
              </w:rPr>
            </w:pPr>
            <w:r>
              <w:rPr>
                <w:rFonts w:ascii="Arial;Helvetica;sans-serif" w:hAnsi="Arial;Helvetica;sans-serif"/>
                <w:color w:val="000000"/>
                <w:sz w:val="16"/>
              </w:rPr>
              <w:t>Change of Control Transaction and Termination by Company without Cause or due to a Constructive Discharge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ind w:left="124" w:right="0" w:hanging="0"/>
              <w:jc w:val="left"/>
              <w:rPr>
                <w:rFonts w:ascii="Arial;Helvetica;sans-serif" w:hAnsi="Arial;Helvetica;sans-serif"/>
                <w:color w:val="000000"/>
                <w:sz w:val="16"/>
              </w:rPr>
            </w:pPr>
            <w:r>
              <w:rPr>
                <w:rFonts w:ascii="Arial;Helvetica;sans-serif" w:hAnsi="Arial;Helvetica;sans-serif"/>
                <w:color w:val="000000"/>
                <w:sz w:val="16"/>
              </w:rPr>
              <w:t>1,397,752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5,587,053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497" w:right="0" w:hanging="0"/>
              <w:jc w:val="left"/>
              <w:rPr>
                <w:rFonts w:ascii="Arial;Helvetica;sans-serif" w:hAnsi="Arial;Helvetica;sans-serif"/>
                <w:color w:val="000000"/>
                <w:sz w:val="16"/>
              </w:rPr>
            </w:pPr>
            <w:r>
              <w:rPr>
                <w:rFonts w:ascii="Arial;Helvetica;sans-serif" w:hAnsi="Arial;Helvetica;sans-serif"/>
                <w:color w:val="000000"/>
                <w:sz w:val="16"/>
              </w:rPr>
              <w:t>23,003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8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7,007,807 </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4549" w:type="dxa"/>
            <w:tcBorders>
              <w:bottom w:val="single" w:sz="8" w:space="0" w:color="000000"/>
            </w:tcBorders>
            <w:tcMar>
              <w:bottom w:w="2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Change of Control Transaction without Termination</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35" w:type="dxa"/>
            <w:tcBorders>
              <w:bottom w:val="single" w:sz="8" w:space="0" w:color="000000"/>
            </w:tcBorders>
            <w:tcMar>
              <w:bottom w:w="28" w:type="dxa"/>
            </w:tcMar>
            <w:vAlign w:val="center"/>
          </w:tcPr>
          <w:p>
            <w:pPr>
              <w:pStyle w:val="TableContents"/>
              <w:bidi w:val="0"/>
              <w:spacing w:before="0" w:after="283"/>
              <w:ind w:left="124"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ind w:left="106"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ind w:left="497"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80" w:type="dxa"/>
            <w:tcBorders>
              <w:bottom w:val="single" w:sz="8" w:space="0" w:color="000000"/>
            </w:tcBorders>
            <w:tcMar>
              <w:bottom w:w="28" w:type="dxa"/>
            </w:tcMar>
            <w:vAlign w:val="center"/>
          </w:tcPr>
          <w:p>
            <w:pPr>
              <w:pStyle w:val="TableContents"/>
              <w:bidi w:val="0"/>
              <w:spacing w:before="0" w:after="283"/>
              <w:ind w:left="0" w:right="0" w:hanging="0"/>
              <w:jc w:val="left"/>
              <w:rPr>
                <w:color w:val="000000"/>
              </w:rPr>
            </w:pPr>
            <w:r>
              <w:rPr>
                <w:color w:val="000000"/>
              </w:rPr>
              <w:t xml:space="preserve">—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shd w:fill="CCCCCC" w:val="clear"/>
            <w:vAlign w:val="center"/>
          </w:tcPr>
          <w:p>
            <w:pPr>
              <w:pStyle w:val="TableContents"/>
              <w:bidi w:val="0"/>
              <w:spacing w:before="0" w:after="0"/>
              <w:jc w:val="left"/>
              <w:rPr/>
            </w:pPr>
            <w:r>
              <w:rPr/>
              <w:t> </w:t>
            </w:r>
          </w:p>
        </w:tc>
        <w:tc>
          <w:tcPr>
            <w:tcW w:w="4549" w:type="dxa"/>
            <w:tcBorders/>
            <w:shd w:fill="CCCCCC" w:val="cle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Mr. Linnen</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935" w:type="dxa"/>
            <w:tcBorders/>
            <w:shd w:fill="CCCCCC" w:val="clear"/>
            <w:vAlign w:val="center"/>
          </w:tcPr>
          <w:p>
            <w:pPr>
              <w:pStyle w:val="TableContents"/>
              <w:bidi w:val="0"/>
              <w:spacing w:before="0" w:after="283"/>
              <w:ind w:left="124" w:right="0" w:hanging="0"/>
              <w:jc w:val="left"/>
              <w:rPr>
                <w:color w:val="000000"/>
              </w:rPr>
            </w:pPr>
            <w:r>
              <w:rPr>
                <w:color w:val="000000"/>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980" w:type="dxa"/>
            <w:tcBorders/>
            <w:shd w:fill="CCCCCC" w:val="clear"/>
            <w:vAlign w:val="center"/>
          </w:tcPr>
          <w:p>
            <w:pPr>
              <w:pStyle w:val="TableContents"/>
              <w:bidi w:val="0"/>
              <w:spacing w:before="0" w:after="283"/>
              <w:ind w:left="106" w:right="0" w:hanging="0"/>
              <w:jc w:val="left"/>
              <w:rPr>
                <w:color w:val="000000"/>
              </w:rPr>
            </w:pPr>
            <w:r>
              <w:rPr>
                <w:color w:val="000000"/>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100" w:type="dxa"/>
            <w:tcBorders/>
            <w:shd w:fill="CCCCCC" w:val="clear"/>
            <w:vAlign w:val="center"/>
          </w:tcPr>
          <w:p>
            <w:pPr>
              <w:pStyle w:val="TableContents"/>
              <w:bidi w:val="0"/>
              <w:spacing w:before="0" w:after="283"/>
              <w:ind w:left="497" w:right="0" w:hanging="0"/>
              <w:jc w:val="left"/>
              <w:rPr>
                <w:color w:val="000000"/>
              </w:rPr>
            </w:pPr>
            <w:r>
              <w:rPr>
                <w:color w:val="000000"/>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80" w:type="dxa"/>
            <w:tcBorders/>
            <w:shd w:fill="CCCCCC" w:val="clear"/>
            <w:vAlign w:val="center"/>
          </w:tcPr>
          <w:p>
            <w:pPr>
              <w:pStyle w:val="TableContents"/>
              <w:bidi w:val="0"/>
              <w:spacing w:before="0" w:after="283"/>
              <w:ind w:left="0" w:right="0" w:hanging="0"/>
              <w:jc w:val="left"/>
              <w:rPr>
                <w:color w:val="000000"/>
              </w:rPr>
            </w:pPr>
            <w:r>
              <w:rPr>
                <w:color w:val="000000"/>
              </w:rPr>
              <w:t> </w:t>
            </w:r>
          </w:p>
        </w:tc>
        <w:tc>
          <w:tcPr>
            <w:tcW w:w="216" w:type="dxa"/>
            <w:tcBorders/>
            <w:shd w:fill="CCCCCC" w:val="clear"/>
            <w:vAlign w:val="center"/>
          </w:tcPr>
          <w:p>
            <w:pPr>
              <w:pStyle w:val="TableContents"/>
              <w:bidi w:val="0"/>
              <w:spacing w:before="0" w:after="0"/>
              <w:jc w:val="left"/>
              <w:rPr/>
            </w:pPr>
            <w:r>
              <w:rPr/>
              <w:t> </w:t>
            </w:r>
          </w:p>
        </w:tc>
      </w:tr>
      <w:tr>
        <w:trPr/>
        <w:tc>
          <w:tcPr>
            <w:tcW w:w="185" w:type="dxa"/>
            <w:tcBorders/>
            <w:shd w:fill="CCCCCC" w:val="clear"/>
            <w:vAlign w:val="center"/>
          </w:tcPr>
          <w:p>
            <w:pPr>
              <w:pStyle w:val="TableContents"/>
              <w:bidi w:val="0"/>
              <w:spacing w:before="0" w:after="0"/>
              <w:jc w:val="left"/>
              <w:rPr/>
            </w:pPr>
            <w:r>
              <w:rPr/>
              <w:t> </w:t>
            </w:r>
          </w:p>
        </w:tc>
        <w:tc>
          <w:tcPr>
            <w:tcW w:w="4549" w:type="dxa"/>
            <w:tcBorders/>
            <w:shd w:fill="CCCCCC"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Resignation or Termination by Company for Cause</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935" w:type="dxa"/>
            <w:tcBorders/>
            <w:shd w:fill="CCCCCC" w:val="clear"/>
            <w:vAlign w:val="center"/>
          </w:tcPr>
          <w:p>
            <w:pPr>
              <w:pStyle w:val="TableContents"/>
              <w:bidi w:val="0"/>
              <w:spacing w:before="0" w:after="283"/>
              <w:ind w:left="124"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980" w:type="dxa"/>
            <w:tcBorders/>
            <w:shd w:fill="CCCCCC" w:val="clear"/>
            <w:vAlign w:val="center"/>
          </w:tcPr>
          <w:p>
            <w:pPr>
              <w:pStyle w:val="TableContents"/>
              <w:bidi w:val="0"/>
              <w:spacing w:before="0" w:after="283"/>
              <w:ind w:left="106"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100" w:type="dxa"/>
            <w:tcBorders/>
            <w:shd w:fill="CCCCCC" w:val="clear"/>
            <w:vAlign w:val="center"/>
          </w:tcPr>
          <w:p>
            <w:pPr>
              <w:pStyle w:val="TableContents"/>
              <w:bidi w:val="0"/>
              <w:spacing w:before="0" w:after="283"/>
              <w:ind w:left="497"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80" w:type="dxa"/>
            <w:tcBorders/>
            <w:shd w:fill="CCCCCC" w:val="clear"/>
            <w:vAlign w:val="center"/>
          </w:tcPr>
          <w:p>
            <w:pPr>
              <w:pStyle w:val="TableContents"/>
              <w:bidi w:val="0"/>
              <w:spacing w:before="0" w:after="283"/>
              <w:ind w:left="0" w:right="0" w:hanging="0"/>
              <w:jc w:val="left"/>
              <w:rPr>
                <w:color w:val="000000"/>
              </w:rPr>
            </w:pPr>
            <w:r>
              <w:rPr>
                <w:color w:val="000000"/>
              </w:rPr>
              <w:t xml:space="preserve">— </w:t>
            </w:r>
          </w:p>
        </w:tc>
        <w:tc>
          <w:tcPr>
            <w:tcW w:w="216" w:type="dxa"/>
            <w:tcBorders/>
            <w:shd w:fill="CCCCCC" w:val="clear"/>
            <w:vAlign w:val="center"/>
          </w:tcPr>
          <w:p>
            <w:pPr>
              <w:pStyle w:val="TableContents"/>
              <w:bidi w:val="0"/>
              <w:spacing w:before="0" w:after="0"/>
              <w:jc w:val="left"/>
              <w:rPr/>
            </w:pPr>
            <w:r>
              <w:rPr/>
              <w:t> </w:t>
            </w:r>
          </w:p>
        </w:tc>
      </w:tr>
      <w:tr>
        <w:trPr/>
        <w:tc>
          <w:tcPr>
            <w:tcW w:w="185" w:type="dxa"/>
            <w:tcBorders/>
            <w:shd w:fill="CCCCCC" w:val="clear"/>
            <w:vAlign w:val="center"/>
          </w:tcPr>
          <w:p>
            <w:pPr>
              <w:pStyle w:val="TableContents"/>
              <w:bidi w:val="0"/>
              <w:spacing w:before="0" w:after="0"/>
              <w:jc w:val="left"/>
              <w:rPr/>
            </w:pPr>
            <w:r>
              <w:rPr/>
              <w:t> </w:t>
            </w:r>
          </w:p>
        </w:tc>
        <w:tc>
          <w:tcPr>
            <w:tcW w:w="4549" w:type="dxa"/>
            <w:tcBorders/>
            <w:shd w:fill="CCCCCC"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Termination due to Death or Disability</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935" w:type="dxa"/>
            <w:tcBorders/>
            <w:shd w:fill="CCCCCC" w:val="clear"/>
            <w:vAlign w:val="center"/>
          </w:tcPr>
          <w:p>
            <w:pPr>
              <w:pStyle w:val="TableContents"/>
              <w:bidi w:val="0"/>
              <w:spacing w:before="0" w:after="283"/>
              <w:ind w:left="124" w:right="0" w:hanging="0"/>
              <w:jc w:val="left"/>
              <w:rPr>
                <w:rFonts w:ascii="Arial;Helvetica;sans-serif" w:hAnsi="Arial;Helvetica;sans-serif"/>
                <w:color w:val="000000"/>
                <w:sz w:val="16"/>
              </w:rPr>
            </w:pPr>
            <w:r>
              <w:rPr>
                <w:rFonts w:ascii="Arial;Helvetica;sans-serif" w:hAnsi="Arial;Helvetica;sans-serif"/>
                <w:color w:val="000000"/>
                <w:sz w:val="16"/>
              </w:rPr>
              <w:t>390,960</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980" w:type="dxa"/>
            <w:tcBorders/>
            <w:shd w:fill="CCCCCC" w:val="clear"/>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2,385,084</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100" w:type="dxa"/>
            <w:tcBorders/>
            <w:shd w:fill="CCCCCC" w:val="clear"/>
            <w:vAlign w:val="center"/>
          </w:tcPr>
          <w:p>
            <w:pPr>
              <w:pStyle w:val="TableContents"/>
              <w:bidi w:val="0"/>
              <w:spacing w:before="0" w:after="283"/>
              <w:ind w:left="497"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80" w:type="dxa"/>
            <w:tcBorders/>
            <w:shd w:fill="CCCCCC"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2,776,044 </w:t>
            </w:r>
          </w:p>
        </w:tc>
        <w:tc>
          <w:tcPr>
            <w:tcW w:w="216" w:type="dxa"/>
            <w:tcBorders/>
            <w:shd w:fill="CCCCCC" w:val="clear"/>
            <w:vAlign w:val="center"/>
          </w:tcPr>
          <w:p>
            <w:pPr>
              <w:pStyle w:val="TableContents"/>
              <w:bidi w:val="0"/>
              <w:spacing w:before="0" w:after="0"/>
              <w:jc w:val="left"/>
              <w:rPr/>
            </w:pPr>
            <w:r>
              <w:rPr/>
              <w:t> </w:t>
            </w:r>
          </w:p>
        </w:tc>
      </w:tr>
      <w:tr>
        <w:trPr/>
        <w:tc>
          <w:tcPr>
            <w:tcW w:w="185" w:type="dxa"/>
            <w:tcBorders/>
            <w:shd w:fill="CCCCCC" w:val="clear"/>
            <w:vAlign w:val="center"/>
          </w:tcPr>
          <w:p>
            <w:pPr>
              <w:pStyle w:val="TableContents"/>
              <w:bidi w:val="0"/>
              <w:spacing w:before="0" w:after="0"/>
              <w:jc w:val="left"/>
              <w:rPr/>
            </w:pPr>
            <w:r>
              <w:rPr/>
              <w:t> </w:t>
            </w:r>
          </w:p>
        </w:tc>
        <w:tc>
          <w:tcPr>
            <w:tcW w:w="4549" w:type="dxa"/>
            <w:tcBorders/>
            <w:shd w:fill="CCCCCC"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Termination by Company without Cause</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935" w:type="dxa"/>
            <w:tcBorders/>
            <w:shd w:fill="CCCCCC" w:val="clear"/>
            <w:vAlign w:val="center"/>
          </w:tcPr>
          <w:p>
            <w:pPr>
              <w:pStyle w:val="TableContents"/>
              <w:bidi w:val="0"/>
              <w:spacing w:before="0" w:after="283"/>
              <w:ind w:left="124" w:right="0" w:hanging="0"/>
              <w:jc w:val="left"/>
              <w:rPr>
                <w:rFonts w:ascii="Arial;Helvetica;sans-serif" w:hAnsi="Arial;Helvetica;sans-serif"/>
                <w:color w:val="000000"/>
                <w:sz w:val="16"/>
              </w:rPr>
            </w:pPr>
            <w:r>
              <w:rPr>
                <w:rFonts w:ascii="Arial;Helvetica;sans-serif" w:hAnsi="Arial;Helvetica;sans-serif"/>
                <w:color w:val="000000"/>
                <w:sz w:val="16"/>
              </w:rPr>
              <w:t>2,400,000</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980" w:type="dxa"/>
            <w:tcBorders/>
            <w:shd w:fill="CCCCCC" w:val="clear"/>
            <w:vAlign w:val="center"/>
          </w:tcPr>
          <w:p>
            <w:pPr>
              <w:pStyle w:val="TableContents"/>
              <w:bidi w:val="0"/>
              <w:spacing w:before="0" w:after="283"/>
              <w:ind w:left="106"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100" w:type="dxa"/>
            <w:tcBorders/>
            <w:shd w:fill="CCCCCC" w:val="clear"/>
            <w:vAlign w:val="center"/>
          </w:tcPr>
          <w:p>
            <w:pPr>
              <w:pStyle w:val="TableContents"/>
              <w:bidi w:val="0"/>
              <w:spacing w:before="0" w:after="283"/>
              <w:ind w:left="497" w:right="0" w:hanging="0"/>
              <w:jc w:val="left"/>
              <w:rPr>
                <w:rFonts w:ascii="Arial;Helvetica;sans-serif" w:hAnsi="Arial;Helvetica;sans-serif"/>
                <w:color w:val="000000"/>
                <w:sz w:val="16"/>
              </w:rPr>
            </w:pPr>
            <w:r>
              <w:rPr>
                <w:rFonts w:ascii="Arial;Helvetica;sans-serif" w:hAnsi="Arial;Helvetica;sans-serif"/>
                <w:color w:val="000000"/>
                <w:sz w:val="16"/>
              </w:rPr>
              <w:t>45,802</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80" w:type="dxa"/>
            <w:tcBorders/>
            <w:shd w:fill="CCCCCC"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2,445,802 </w:t>
            </w:r>
          </w:p>
        </w:tc>
        <w:tc>
          <w:tcPr>
            <w:tcW w:w="216" w:type="dxa"/>
            <w:tcBorders/>
            <w:shd w:fill="CCCCCC" w:val="clear"/>
            <w:vAlign w:val="center"/>
          </w:tcPr>
          <w:p>
            <w:pPr>
              <w:pStyle w:val="TableContents"/>
              <w:bidi w:val="0"/>
              <w:spacing w:before="0" w:after="0"/>
              <w:jc w:val="left"/>
              <w:rPr/>
            </w:pPr>
            <w:r>
              <w:rPr/>
              <w:t> </w:t>
            </w:r>
          </w:p>
        </w:tc>
      </w:tr>
      <w:tr>
        <w:trPr/>
        <w:tc>
          <w:tcPr>
            <w:tcW w:w="185" w:type="dxa"/>
            <w:tcBorders/>
            <w:shd w:fill="CCCCCC" w:val="clear"/>
            <w:vAlign w:val="center"/>
          </w:tcPr>
          <w:p>
            <w:pPr>
              <w:pStyle w:val="TableContents"/>
              <w:bidi w:val="0"/>
              <w:spacing w:before="0" w:after="0"/>
              <w:jc w:val="left"/>
              <w:rPr/>
            </w:pPr>
            <w:r>
              <w:rPr/>
              <w:t> </w:t>
            </w:r>
          </w:p>
        </w:tc>
        <w:tc>
          <w:tcPr>
            <w:tcW w:w="4549" w:type="dxa"/>
            <w:tcBorders/>
            <w:shd w:fill="CCCCCC" w:val="clear"/>
            <w:vAlign w:val="center"/>
          </w:tcPr>
          <w:p>
            <w:pPr>
              <w:pStyle w:val="TableContents"/>
              <w:bidi w:val="0"/>
              <w:spacing w:before="0" w:after="283"/>
              <w:ind w:left="230" w:right="0" w:hanging="200"/>
              <w:jc w:val="left"/>
              <w:rPr>
                <w:rFonts w:ascii="Arial;Helvetica;sans-serif" w:hAnsi="Arial;Helvetica;sans-serif"/>
                <w:color w:val="000000"/>
                <w:sz w:val="16"/>
              </w:rPr>
            </w:pPr>
            <w:r>
              <w:rPr>
                <w:rFonts w:ascii="Arial;Helvetica;sans-serif" w:hAnsi="Arial;Helvetica;sans-serif"/>
                <w:color w:val="000000"/>
                <w:sz w:val="16"/>
              </w:rPr>
              <w:t>Change of Control Transaction and Termination by Company without Cause or due to a Constructive Discharge</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935" w:type="dxa"/>
            <w:tcBorders/>
            <w:shd w:fill="CCCCCC" w:val="clear"/>
            <w:vAlign w:val="center"/>
          </w:tcPr>
          <w:p>
            <w:pPr>
              <w:pStyle w:val="TableContents"/>
              <w:bidi w:val="0"/>
              <w:spacing w:before="0" w:after="283"/>
              <w:ind w:left="124" w:right="0" w:hanging="0"/>
              <w:jc w:val="left"/>
              <w:rPr>
                <w:rFonts w:ascii="Arial;Helvetica;sans-serif" w:hAnsi="Arial;Helvetica;sans-serif"/>
                <w:color w:val="000000"/>
                <w:sz w:val="16"/>
              </w:rPr>
            </w:pPr>
            <w:r>
              <w:rPr>
                <w:rFonts w:ascii="Arial;Helvetica;sans-serif" w:hAnsi="Arial;Helvetica;sans-serif"/>
                <w:color w:val="000000"/>
                <w:sz w:val="16"/>
              </w:rPr>
              <w:t>2,400,000</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980" w:type="dxa"/>
            <w:tcBorders/>
            <w:shd w:fill="CCCCCC" w:val="clear"/>
            <w:vAlign w:val="center"/>
          </w:tcPr>
          <w:p>
            <w:pPr>
              <w:pStyle w:val="TableContents"/>
              <w:bidi w:val="0"/>
              <w:spacing w:before="0" w:after="283"/>
              <w:ind w:left="106" w:right="0" w:hanging="0"/>
              <w:jc w:val="left"/>
              <w:rPr>
                <w:rFonts w:ascii="Arial;Helvetica;sans-serif" w:hAnsi="Arial;Helvetica;sans-serif"/>
                <w:color w:val="000000"/>
                <w:sz w:val="16"/>
              </w:rPr>
            </w:pPr>
            <w:r>
              <w:rPr>
                <w:rFonts w:ascii="Arial;Helvetica;sans-serif" w:hAnsi="Arial;Helvetica;sans-serif"/>
                <w:color w:val="000000"/>
                <w:sz w:val="16"/>
              </w:rPr>
              <w:t>2,385,084</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100" w:type="dxa"/>
            <w:tcBorders/>
            <w:shd w:fill="CCCCCC" w:val="clear"/>
            <w:vAlign w:val="center"/>
          </w:tcPr>
          <w:p>
            <w:pPr>
              <w:pStyle w:val="TableContents"/>
              <w:bidi w:val="0"/>
              <w:spacing w:before="0" w:after="283"/>
              <w:ind w:left="497" w:right="0" w:hanging="0"/>
              <w:jc w:val="left"/>
              <w:rPr>
                <w:rFonts w:ascii="Arial;Helvetica;sans-serif" w:hAnsi="Arial;Helvetica;sans-serif"/>
                <w:color w:val="000000"/>
                <w:sz w:val="16"/>
              </w:rPr>
            </w:pPr>
            <w:r>
              <w:rPr>
                <w:rFonts w:ascii="Arial;Helvetica;sans-serif" w:hAnsi="Arial;Helvetica;sans-serif"/>
                <w:color w:val="000000"/>
                <w:sz w:val="16"/>
              </w:rPr>
              <w:t>45,802</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80" w:type="dxa"/>
            <w:tcBorders/>
            <w:shd w:fill="CCCCCC"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4,830,886 </w:t>
            </w:r>
          </w:p>
        </w:tc>
        <w:tc>
          <w:tcPr>
            <w:tcW w:w="216" w:type="dxa"/>
            <w:tcBorders/>
            <w:shd w:fill="CCCCCC" w:val="clear"/>
            <w:vAlign w:val="center"/>
          </w:tcPr>
          <w:p>
            <w:pPr>
              <w:pStyle w:val="TableContents"/>
              <w:bidi w:val="0"/>
              <w:spacing w:before="0" w:after="0"/>
              <w:jc w:val="left"/>
              <w:rPr/>
            </w:pPr>
            <w:r>
              <w:rPr/>
              <w:t> </w:t>
            </w:r>
          </w:p>
        </w:tc>
      </w:tr>
      <w:tr>
        <w:trPr/>
        <w:tc>
          <w:tcPr>
            <w:tcW w:w="185" w:type="dxa"/>
            <w:tcBorders/>
            <w:shd w:fill="CCCCCC" w:val="clear"/>
            <w:vAlign w:val="center"/>
          </w:tcPr>
          <w:p>
            <w:pPr>
              <w:pStyle w:val="TableContents"/>
              <w:bidi w:val="0"/>
              <w:spacing w:before="0" w:after="0"/>
              <w:jc w:val="left"/>
              <w:rPr/>
            </w:pPr>
            <w:r>
              <w:rPr/>
              <w:t> </w:t>
            </w:r>
          </w:p>
        </w:tc>
        <w:tc>
          <w:tcPr>
            <w:tcW w:w="4549" w:type="dxa"/>
            <w:tcBorders/>
            <w:shd w:fill="CCCCCC"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Change of Control Transaction without Termination</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935" w:type="dxa"/>
            <w:tcBorders/>
            <w:shd w:fill="CCCCCC" w:val="clear"/>
            <w:vAlign w:val="center"/>
          </w:tcPr>
          <w:p>
            <w:pPr>
              <w:pStyle w:val="TableContents"/>
              <w:bidi w:val="0"/>
              <w:spacing w:before="0" w:after="283"/>
              <w:ind w:left="124"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980" w:type="dxa"/>
            <w:tcBorders/>
            <w:shd w:fill="CCCCCC" w:val="clear"/>
            <w:vAlign w:val="center"/>
          </w:tcPr>
          <w:p>
            <w:pPr>
              <w:pStyle w:val="TableContents"/>
              <w:bidi w:val="0"/>
              <w:spacing w:before="0" w:after="283"/>
              <w:ind w:left="106"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100" w:type="dxa"/>
            <w:tcBorders/>
            <w:shd w:fill="CCCCCC" w:val="clear"/>
            <w:vAlign w:val="center"/>
          </w:tcPr>
          <w:p>
            <w:pPr>
              <w:pStyle w:val="TableContents"/>
              <w:bidi w:val="0"/>
              <w:spacing w:before="0" w:after="283"/>
              <w:ind w:left="497"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80" w:type="dxa"/>
            <w:tcBorders/>
            <w:shd w:fill="CCCCCC" w:val="clear"/>
            <w:vAlign w:val="center"/>
          </w:tcPr>
          <w:p>
            <w:pPr>
              <w:pStyle w:val="TableContents"/>
              <w:bidi w:val="0"/>
              <w:spacing w:before="0" w:after="283"/>
              <w:ind w:left="0" w:right="0" w:hanging="0"/>
              <w:jc w:val="left"/>
              <w:rPr>
                <w:color w:val="000000"/>
              </w:rPr>
            </w:pPr>
            <w:r>
              <w:rPr>
                <w:color w:val="000000"/>
              </w:rPr>
              <w:t>—</w:t>
            </w:r>
          </w:p>
        </w:tc>
        <w:tc>
          <w:tcPr>
            <w:tcW w:w="216" w:type="dxa"/>
            <w:tcBorders/>
            <w:shd w:fill="CCCCCC" w:val="clear"/>
            <w:vAlign w:val="center"/>
          </w:tcPr>
          <w:p>
            <w:pPr>
              <w:pStyle w:val="TableContents"/>
              <w:bidi w:val="0"/>
              <w:spacing w:before="0" w:after="0"/>
              <w:jc w:val="left"/>
              <w:rPr/>
            </w:pPr>
            <w:r>
              <w:rPr/>
              <w:t> </w:t>
            </w:r>
          </w:p>
        </w:tc>
      </w:tr>
      <w:tr>
        <w:trPr/>
        <w:tc>
          <w:tcPr>
            <w:tcW w:w="185" w:type="dxa"/>
            <w:tcBorders/>
            <w:shd w:fill="CCCCCC" w:val="clear"/>
            <w:vAlign w:val="center"/>
          </w:tcPr>
          <w:p>
            <w:pPr>
              <w:pStyle w:val="TableContents"/>
              <w:bidi w:val="0"/>
              <w:spacing w:before="0" w:after="0"/>
              <w:jc w:val="left"/>
              <w:rPr/>
            </w:pPr>
            <w:r>
              <w:rPr/>
              <w:t> </w:t>
            </w:r>
          </w:p>
        </w:tc>
        <w:tc>
          <w:tcPr>
            <w:tcW w:w="4549"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935"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98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10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80" w:type="dxa"/>
            <w:tcBorders/>
            <w:shd w:fill="CCCCCC" w:val="clear"/>
            <w:vAlign w:val="center"/>
          </w:tcPr>
          <w:p>
            <w:pPr>
              <w:pStyle w:val="TableContents"/>
              <w:bidi w:val="0"/>
              <w:spacing w:before="0" w:after="0"/>
              <w:jc w:val="left"/>
              <w:rPr/>
            </w:pPr>
            <w:r>
              <w:rPr/>
              <w:t> </w:t>
            </w:r>
          </w:p>
        </w:tc>
        <w:tc>
          <w:tcPr>
            <w:tcW w:w="216" w:type="dxa"/>
            <w:tcBorders/>
            <w:shd w:fill="CCCCCC"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(a)</w:t>
            </w:r>
          </w:p>
        </w:tc>
        <w:tc>
          <w:tcPr>
            <w:tcW w:w="9974"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Descriptions of the terms “Cause” and “Constructive Discharge” are provided above under the sections captioned “Employment Agreements and Other Arrangements — Definition of Cause” and “Discussion of Change-in-Control Provisions.” </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(b)</w:t>
            </w:r>
          </w:p>
        </w:tc>
        <w:tc>
          <w:tcPr>
            <w:tcW w:w="9994"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Lump-sum severance payments due to death or disability, for each NEO, is based on actual annual incentives under the AIP in 2025. For Mr. Linnen, lump sum severance payments, other than due to death or disability, is calculated as of December 31, 2025, based on base salary and target annual incentive and multiplied by 200%. For Messrs. Choi, Cunha, Pahwa and Simhambhatla, lump sum severance payments, other than due to death or disability, are calculated as of December 31, 2025, based on base salary multiplied by 200%, actual incentives earned under the AIP in 2025, and the annual amount of the Company’s contribution towards medical and dental premiums.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(c)</w:t>
            </w:r>
          </w:p>
        </w:tc>
        <w:tc>
          <w:tcPr>
            <w:tcW w:w="9991"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The values of RSUs and PSUs were calculated assuming accelerated vesting as of December 31, 2025 and based on the closing price of our Common Stock of $128.32 on December 31, 2025. Additionally, values are based on actual vesting levels for the 2023 PSUs, and target vesting for the 2024 &amp; 2025 PSUs except for termination without cause or due to constructive discharge as applicable. Descriptions of the accelerated vesting provisions are provided under “Employment Agreements and Other Arrangements.” 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(d)</w:t>
            </w:r>
          </w:p>
        </w:tc>
        <w:tc>
          <w:tcPr>
            <w:tcW w:w="9983"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For Mr. Linnen, reflects 24 months of continued health and dental, car benefits and financial planning. For Messrs. Choi, Cunha, Pahwa and Simhambhatla, reflects 12 months of continued participation in financial planning and car benefits, as applicable based on each Executive’s participation in such programs as of December 31, 2025. </w:t>
            </w:r>
          </w:p>
        </w:tc>
      </w:tr>
    </w:tbl>
    <w:p>
      <w:pPr>
        <w:pStyle w:val="TextBody"/>
        <w:bidi w:val="0"/>
        <w:spacing w:before="230" w:after="283"/>
        <w:ind w:left="0" w:right="0" w:hanging="0"/>
        <w:jc w:val="left"/>
        <w:rPr>
          <w:rFonts w:ascii="Arial;Helvetica;sans-serif" w:hAnsi="Arial;Helvetica;sans-serif"/>
          <w:b/>
          <w:color w:val="000000"/>
          <w:sz w:val="28"/>
        </w:rPr>
      </w:pPr>
      <w:bookmarkStart w:id="88" w:name="tCPR1"/>
      <w:bookmarkEnd w:id="88"/>
      <w:r>
        <w:rPr>
          <w:rFonts w:ascii="Arial;Helvetica;sans-serif" w:hAnsi="Arial;Helvetica;sans-serif"/>
          <w:b/>
          <w:color w:val="000000"/>
          <w:sz w:val="28"/>
        </w:rPr>
        <w:t xml:space="preserve">CEO Pay Ratio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Based on a review of our internal records, we believe that there has not been a change in our employee population or compensation arrangements that would significantly change our pay ratio disclosure as compared to last year. Therefore, for 2025, we relied on the same median employee identified for 2023 (the “Median Employee”) to calculate this year’s pay ratio and calculated the total annual compensation for the Median Employee applying the same methodology used for our named executive officers, as set forth in the Summary Compensation Table above. As Mr. Choi’s 2025 total compensation shown in the Summary Compensation Table does not reflect a full year of CEO pay, we annualized the CEO portion of his compensation. Under this methodology, total compensation for 2025 for our CEO was $7,518,979. Our Median Employee’s total compensation for 2025 was $49,818. The ratio of our CEO’s pay to the pay of our Median Employee for 2025 is 151 to 1.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41</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9" w:name="ny20066167x1_def14a_108-pvp_pg1"/>
        <w:bookmarkEnd w:id="89"/>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left"/>
        <w:rPr>
          <w:rFonts w:ascii="Arial;Helvetica;sans-serif" w:hAnsi="Arial;Helvetica;sans-serif"/>
          <w:b/>
          <w:color w:val="000000"/>
          <w:sz w:val="28"/>
        </w:rPr>
      </w:pPr>
      <w:bookmarkStart w:id="90" w:name="tPVP"/>
      <w:bookmarkEnd w:id="90"/>
      <w:r>
        <w:rPr>
          <w:rFonts w:ascii="Arial;Helvetica;sans-serif" w:hAnsi="Arial;Helvetica;sans-serif"/>
          <w:b/>
          <w:color w:val="000000"/>
          <w:sz w:val="28"/>
        </w:rPr>
        <w:t xml:space="preserve">Pay Versus Performance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In accordance with Section 953(a) of the Dodd-Frank Act and Item 402(v) of SEC Regulation S-K, we are required to disclose the relationship between executive compensation actually paid (“CAP”) by us and our financial performance over the applicable time period of the disclosure. </w:t>
      </w:r>
    </w:p>
    <w:p>
      <w:pPr>
        <w:pStyle w:val="TextBody"/>
        <w:bidi w:val="0"/>
        <w:spacing w:before="11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Pay Versus Performance Table </w:t>
      </w:r>
    </w:p>
    <w:tbl>
      <w:tblPr>
        <w:tblW w:w="11670" w:type="dxa"/>
        <w:jc w:val="left"/>
        <w:tblInd w:w="0" w:type="dxa"/>
        <w:tblLayout w:type="fixed"/>
        <w:tblCellMar>
          <w:top w:w="0" w:type="dxa"/>
          <w:left w:w="0" w:type="dxa"/>
          <w:bottom w:w="0" w:type="dxa"/>
          <w:right w:w="0" w:type="dxa"/>
        </w:tblCellMar>
      </w:tblPr>
      <w:tblGrid>
        <w:gridCol w:w="185"/>
        <w:gridCol w:w="410"/>
        <w:gridCol w:w="170"/>
        <w:gridCol w:w="170"/>
        <w:gridCol w:w="770"/>
        <w:gridCol w:w="170"/>
        <w:gridCol w:w="170"/>
        <w:gridCol w:w="770"/>
        <w:gridCol w:w="170"/>
        <w:gridCol w:w="170"/>
        <w:gridCol w:w="860"/>
        <w:gridCol w:w="170"/>
        <w:gridCol w:w="170"/>
        <w:gridCol w:w="860"/>
        <w:gridCol w:w="170"/>
        <w:gridCol w:w="170"/>
        <w:gridCol w:w="770"/>
        <w:gridCol w:w="170"/>
        <w:gridCol w:w="170"/>
        <w:gridCol w:w="860"/>
        <w:gridCol w:w="170"/>
        <w:gridCol w:w="170"/>
        <w:gridCol w:w="545"/>
        <w:gridCol w:w="170"/>
        <w:gridCol w:w="170"/>
        <w:gridCol w:w="560"/>
        <w:gridCol w:w="170"/>
        <w:gridCol w:w="170"/>
        <w:gridCol w:w="695"/>
        <w:gridCol w:w="170"/>
        <w:gridCol w:w="170"/>
        <w:gridCol w:w="770"/>
        <w:gridCol w:w="215"/>
      </w:tblGrid>
      <w:tr>
        <w:trPr/>
        <w:tc>
          <w:tcPr>
            <w:tcW w:w="185"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410" w:type="dxa"/>
            <w:tcBorders>
              <w:bottom w:val="single" w:sz="8" w:space="0" w:color="000000"/>
            </w:tcBorders>
            <w:tcMar>
              <w:bottom w:w="43" w:type="dxa"/>
            </w:tcM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Year</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SCT Total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for PEO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(Choi)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(a)(b)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CAP to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PEO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(Choi)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(a)(c)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60"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SCT Total for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PEO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(Ferraro)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(a)(b)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60"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CAP to PEO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(Ferraro)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(a)(c)(d)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Average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SCT Total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for Non-</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PEO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NEOs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(e)(f)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60"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Average CAP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to non-PEO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NEOs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(e)(g)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45"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TSR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(h)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60"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Peer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Group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TSR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(h)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95"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Net Income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(Loss) ($)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(billions)</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70"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Adjusted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EBITDA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(i) ($)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(billions)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shd w:fill="CCCCCC" w:val="clear"/>
            <w:vAlign w:val="center"/>
          </w:tcPr>
          <w:p>
            <w:pPr>
              <w:pStyle w:val="TableContents"/>
              <w:bidi w:val="0"/>
              <w:spacing w:before="0" w:after="0"/>
              <w:jc w:val="left"/>
              <w:rPr/>
            </w:pPr>
            <w:r>
              <w:rPr/>
              <w:t> </w:t>
            </w:r>
          </w:p>
        </w:tc>
        <w:tc>
          <w:tcPr>
            <w:tcW w:w="410" w:type="dxa"/>
            <w:tcBorders/>
            <w:shd w:fill="CCCCCC"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283"/>
              <w:ind w:left="12" w:right="0" w:hanging="0"/>
              <w:jc w:val="left"/>
              <w:rPr>
                <w:rFonts w:ascii="Arial;Helvetica;sans-serif" w:hAnsi="Arial;Helvetica;sans-serif"/>
                <w:color w:val="000000"/>
                <w:sz w:val="16"/>
              </w:rPr>
            </w:pPr>
            <w:r>
              <w:rPr>
                <w:rFonts w:ascii="Arial;Helvetica;sans-serif" w:hAnsi="Arial;Helvetica;sans-serif"/>
                <w:color w:val="000000"/>
                <w:sz w:val="16"/>
              </w:rPr>
              <w:t>5,921,410</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5,247,145</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60" w:type="dxa"/>
            <w:tcBorders/>
            <w:shd w:fill="CCCCCC" w:val="clear"/>
            <w:vAlign w:val="center"/>
          </w:tcPr>
          <w:p>
            <w:pPr>
              <w:pStyle w:val="TableContents"/>
              <w:bidi w:val="0"/>
              <w:spacing w:before="0" w:after="283"/>
              <w:ind w:left="96" w:right="0" w:hanging="0"/>
              <w:jc w:val="left"/>
              <w:rPr>
                <w:rFonts w:ascii="Arial;Helvetica;sans-serif" w:hAnsi="Arial;Helvetica;sans-serif"/>
                <w:color w:val="000000"/>
                <w:sz w:val="16"/>
              </w:rPr>
            </w:pPr>
            <w:r>
              <w:rPr>
                <w:rFonts w:ascii="Arial;Helvetica;sans-serif" w:hAnsi="Arial;Helvetica;sans-serif"/>
                <w:color w:val="000000"/>
                <w:sz w:val="16"/>
              </w:rPr>
              <w:t>7,995,354</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60" w:type="dxa"/>
            <w:tcBorders/>
            <w:shd w:fill="CCCCCC" w:val="clear"/>
            <w:vAlign w:val="center"/>
          </w:tcPr>
          <w:p>
            <w:pPr>
              <w:pStyle w:val="TableContents"/>
              <w:bidi w:val="0"/>
              <w:spacing w:before="0" w:after="283"/>
              <w:ind w:left="56" w:right="0" w:hanging="0"/>
              <w:jc w:val="left"/>
              <w:rPr>
                <w:rFonts w:ascii="Arial;Helvetica;sans-serif" w:hAnsi="Arial;Helvetica;sans-serif"/>
                <w:color w:val="000000"/>
                <w:sz w:val="16"/>
              </w:rPr>
            </w:pPr>
            <w:r>
              <w:rPr>
                <w:rFonts w:ascii="Arial;Helvetica;sans-serif" w:hAnsi="Arial;Helvetica;sans-serif"/>
                <w:color w:val="000000"/>
                <w:sz w:val="16"/>
              </w:rPr>
              <w:t>7,653,364</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283"/>
              <w:ind w:left="12" w:right="0" w:hanging="0"/>
              <w:jc w:val="left"/>
              <w:rPr>
                <w:rFonts w:ascii="Arial;Helvetica;sans-serif" w:hAnsi="Arial;Helvetica;sans-serif"/>
                <w:color w:val="000000"/>
                <w:sz w:val="16"/>
              </w:rPr>
            </w:pPr>
            <w:r>
              <w:rPr>
                <w:rFonts w:ascii="Arial;Helvetica;sans-serif" w:hAnsi="Arial;Helvetica;sans-serif"/>
                <w:color w:val="000000"/>
                <w:sz w:val="16"/>
              </w:rPr>
              <w:t>2,699,327</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60" w:type="dxa"/>
            <w:tcBorders/>
            <w:shd w:fill="CCCCCC" w:val="clear"/>
            <w:vAlign w:val="center"/>
          </w:tcPr>
          <w:p>
            <w:pPr>
              <w:pStyle w:val="TableContents"/>
              <w:bidi w:val="0"/>
              <w:spacing w:before="0" w:after="283"/>
              <w:ind w:left="104" w:right="0" w:hanging="0"/>
              <w:jc w:val="left"/>
              <w:rPr>
                <w:rFonts w:ascii="Arial;Helvetica;sans-serif" w:hAnsi="Arial;Helvetica;sans-serif"/>
                <w:color w:val="000000"/>
                <w:sz w:val="16"/>
              </w:rPr>
            </w:pPr>
            <w:r>
              <w:rPr>
                <w:rFonts w:ascii="Arial;Helvetica;sans-serif" w:hAnsi="Arial;Helvetica;sans-serif"/>
                <w:color w:val="000000"/>
                <w:sz w:val="16"/>
              </w:rPr>
              <w:t>2,320,926</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545" w:type="dxa"/>
            <w:tcBorders/>
            <w:shd w:fill="CCCCCC"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361.89</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560" w:type="dxa"/>
            <w:tcBorders/>
            <w:shd w:fill="CCCCCC"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149.32</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695" w:type="dxa"/>
            <w:tcBorders/>
            <w:shd w:fill="CCCCCC"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(0.995)</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0.748 </w:t>
            </w:r>
          </w:p>
        </w:tc>
        <w:tc>
          <w:tcPr>
            <w:tcW w:w="215" w:type="dxa"/>
            <w:tcBorders/>
            <w:shd w:fill="CCCCCC"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2" w:right="0" w:hanging="0"/>
              <w:jc w:val="left"/>
              <w:rPr>
                <w:rFonts w:ascii="Arial;Helvetica;sans-serif" w:hAnsi="Arial;Helvetica;sans-serif"/>
                <w:color w:val="000000"/>
                <w:sz w:val="16"/>
              </w:rPr>
            </w:pPr>
            <w:r>
              <w:rPr>
                <w:rFonts w:ascii="Arial;Helvetica;sans-serif" w:hAnsi="Arial;Helvetica;sans-serif"/>
                <w:color w:val="000000"/>
                <w:sz w:val="16"/>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96" w:right="0" w:hanging="0"/>
              <w:jc w:val="left"/>
              <w:rPr>
                <w:rFonts w:ascii="Arial;Helvetica;sans-serif" w:hAnsi="Arial;Helvetica;sans-serif"/>
                <w:color w:val="000000"/>
                <w:sz w:val="16"/>
              </w:rPr>
            </w:pPr>
            <w:r>
              <w:rPr>
                <w:rFonts w:ascii="Arial;Helvetica;sans-serif" w:hAnsi="Arial;Helvetica;sans-serif"/>
                <w:color w:val="000000"/>
                <w:sz w:val="16"/>
              </w:rPr>
              <w:t>6,922,790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56" w:right="0" w:hanging="0"/>
              <w:jc w:val="left"/>
              <w:rPr>
                <w:rFonts w:ascii="Arial;Helvetica;sans-serif" w:hAnsi="Arial;Helvetica;sans-serif"/>
                <w:color w:val="000000"/>
                <w:sz w:val="16"/>
              </w:rPr>
            </w:pPr>
            <w:r>
              <w:rPr>
                <w:rFonts w:ascii="Arial;Helvetica;sans-serif" w:hAnsi="Arial;Helvetica;sans-serif"/>
                <w:color w:val="000000"/>
                <w:sz w:val="16"/>
              </w:rPr>
              <w:t>(7,135,061)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2" w:right="0" w:hanging="0"/>
              <w:jc w:val="left"/>
              <w:rPr>
                <w:rFonts w:ascii="Arial;Helvetica;sans-serif" w:hAnsi="Arial;Helvetica;sans-serif"/>
                <w:color w:val="000000"/>
                <w:sz w:val="16"/>
              </w:rPr>
            </w:pPr>
            <w:r>
              <w:rPr>
                <w:rFonts w:ascii="Arial;Helvetica;sans-serif" w:hAnsi="Arial;Helvetica;sans-serif"/>
                <w:color w:val="000000"/>
                <w:sz w:val="16"/>
              </w:rPr>
              <w:t>2,022,258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04" w:right="0" w:hanging="0"/>
              <w:jc w:val="left"/>
              <w:rPr>
                <w:rFonts w:ascii="Arial;Helvetica;sans-serif" w:hAnsi="Arial;Helvetica;sans-serif"/>
                <w:color w:val="000000"/>
                <w:sz w:val="16"/>
              </w:rPr>
            </w:pPr>
            <w:r>
              <w:rPr>
                <w:rFonts w:ascii="Arial;Helvetica;sans-serif" w:hAnsi="Arial;Helvetica;sans-serif"/>
                <w:color w:val="000000"/>
                <w:sz w:val="16"/>
              </w:rPr>
              <w:t>(1,595,196)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227.34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134.49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(1.817)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0.628 </w:t>
            </w:r>
          </w:p>
        </w:tc>
        <w:tc>
          <w:tcPr>
            <w:tcW w:w="215" w:type="dxa"/>
            <w:tcBorders/>
            <w:vAlign w:val="center"/>
          </w:tcPr>
          <w:p>
            <w:pPr>
              <w:pStyle w:val="TableContents"/>
              <w:bidi w:val="0"/>
              <w:spacing w:before="0" w:after="0"/>
              <w:jc w:val="left"/>
              <w:rPr/>
            </w:pPr>
            <w:r>
              <w:rPr/>
              <w:t> </w:t>
            </w:r>
          </w:p>
        </w:tc>
      </w:tr>
      <w:tr>
        <w:trPr/>
        <w:tc>
          <w:tcPr>
            <w:tcW w:w="185" w:type="dxa"/>
            <w:tcBorders/>
            <w:shd w:fill="CCCCCC" w:val="clear"/>
            <w:vAlign w:val="center"/>
          </w:tcPr>
          <w:p>
            <w:pPr>
              <w:pStyle w:val="TableContents"/>
              <w:bidi w:val="0"/>
              <w:spacing w:before="0" w:after="0"/>
              <w:jc w:val="left"/>
              <w:rPr/>
            </w:pPr>
            <w:r>
              <w:rPr/>
              <w:t> </w:t>
            </w:r>
          </w:p>
        </w:tc>
        <w:tc>
          <w:tcPr>
            <w:tcW w:w="410" w:type="dxa"/>
            <w:tcBorders/>
            <w:shd w:fill="CCCCCC"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2023</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283"/>
              <w:ind w:left="12" w:right="0" w:hanging="0"/>
              <w:jc w:val="left"/>
              <w:rPr>
                <w:rFonts w:ascii="Arial;Helvetica;sans-serif" w:hAnsi="Arial;Helvetica;sans-serif"/>
                <w:color w:val="000000"/>
                <w:sz w:val="16"/>
              </w:rPr>
            </w:pPr>
            <w:r>
              <w:rPr>
                <w:rFonts w:ascii="Arial;Helvetica;sans-serif" w:hAnsi="Arial;Helvetica;sans-serif"/>
                <w:color w:val="000000"/>
                <w:sz w:val="16"/>
              </w:rPr>
              <w:t>N/A</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N/A</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60" w:type="dxa"/>
            <w:tcBorders/>
            <w:shd w:fill="CCCCCC" w:val="clear"/>
            <w:vAlign w:val="center"/>
          </w:tcPr>
          <w:p>
            <w:pPr>
              <w:pStyle w:val="TableContents"/>
              <w:bidi w:val="0"/>
              <w:spacing w:before="0" w:after="283"/>
              <w:ind w:left="96" w:right="0" w:hanging="0"/>
              <w:jc w:val="left"/>
              <w:rPr>
                <w:rFonts w:ascii="Arial;Helvetica;sans-serif" w:hAnsi="Arial;Helvetica;sans-serif"/>
                <w:color w:val="000000"/>
                <w:sz w:val="16"/>
              </w:rPr>
            </w:pPr>
            <w:r>
              <w:rPr>
                <w:rFonts w:ascii="Arial;Helvetica;sans-serif" w:hAnsi="Arial;Helvetica;sans-serif"/>
                <w:color w:val="000000"/>
                <w:sz w:val="16"/>
              </w:rPr>
              <w:t>10,274,921</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60" w:type="dxa"/>
            <w:tcBorders/>
            <w:shd w:fill="CCCCCC" w:val="clear"/>
            <w:vAlign w:val="center"/>
          </w:tcPr>
          <w:p>
            <w:pPr>
              <w:pStyle w:val="TableContents"/>
              <w:bidi w:val="0"/>
              <w:spacing w:before="0" w:after="283"/>
              <w:ind w:left="56" w:right="0" w:hanging="0"/>
              <w:jc w:val="left"/>
              <w:rPr>
                <w:rFonts w:ascii="Arial;Helvetica;sans-serif" w:hAnsi="Arial;Helvetica;sans-serif"/>
                <w:color w:val="000000"/>
                <w:sz w:val="16"/>
              </w:rPr>
            </w:pPr>
            <w:r>
              <w:rPr>
                <w:rFonts w:ascii="Arial;Helvetica;sans-serif" w:hAnsi="Arial;Helvetica;sans-serif"/>
                <w:color w:val="000000"/>
                <w:sz w:val="16"/>
              </w:rPr>
              <w:t>17,022,638</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283"/>
              <w:ind w:left="12" w:right="0" w:hanging="0"/>
              <w:jc w:val="left"/>
              <w:rPr>
                <w:rFonts w:ascii="Arial;Helvetica;sans-serif" w:hAnsi="Arial;Helvetica;sans-serif"/>
                <w:color w:val="000000"/>
                <w:sz w:val="16"/>
              </w:rPr>
            </w:pPr>
            <w:r>
              <w:rPr>
                <w:rFonts w:ascii="Arial;Helvetica;sans-serif" w:hAnsi="Arial;Helvetica;sans-serif"/>
                <w:color w:val="000000"/>
                <w:sz w:val="16"/>
              </w:rPr>
              <w:t>3,535,130</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60" w:type="dxa"/>
            <w:tcBorders/>
            <w:shd w:fill="CCCCCC" w:val="clear"/>
            <w:vAlign w:val="center"/>
          </w:tcPr>
          <w:p>
            <w:pPr>
              <w:pStyle w:val="TableContents"/>
              <w:bidi w:val="0"/>
              <w:spacing w:before="0" w:after="283"/>
              <w:ind w:left="104" w:right="0" w:hanging="0"/>
              <w:jc w:val="left"/>
              <w:rPr>
                <w:rFonts w:ascii="Arial;Helvetica;sans-serif" w:hAnsi="Arial;Helvetica;sans-serif"/>
                <w:color w:val="000000"/>
                <w:sz w:val="16"/>
              </w:rPr>
            </w:pPr>
            <w:r>
              <w:rPr>
                <w:rFonts w:ascii="Arial;Helvetica;sans-serif" w:hAnsi="Arial;Helvetica;sans-serif"/>
                <w:color w:val="000000"/>
                <w:sz w:val="16"/>
              </w:rPr>
              <w:t>5,335,554</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545" w:type="dxa"/>
            <w:tcBorders/>
            <w:shd w:fill="CCCCCC"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499.91</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560" w:type="dxa"/>
            <w:tcBorders/>
            <w:shd w:fill="CCCCCC"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132.43</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695" w:type="dxa"/>
            <w:tcBorders/>
            <w:shd w:fill="CCCCCC"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1.635</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2.490 </w:t>
            </w:r>
          </w:p>
        </w:tc>
        <w:tc>
          <w:tcPr>
            <w:tcW w:w="215" w:type="dxa"/>
            <w:tcBorders/>
            <w:shd w:fill="CCCCCC"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2" w:right="0" w:hanging="0"/>
              <w:jc w:val="left"/>
              <w:rPr>
                <w:rFonts w:ascii="Arial;Helvetica;sans-serif" w:hAnsi="Arial;Helvetica;sans-serif"/>
                <w:color w:val="000000"/>
                <w:sz w:val="16"/>
              </w:rPr>
            </w:pPr>
            <w:r>
              <w:rPr>
                <w:rFonts w:ascii="Arial;Helvetica;sans-serif" w:hAnsi="Arial;Helvetica;sans-serif"/>
                <w:color w:val="000000"/>
                <w:sz w:val="16"/>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N/A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96" w:right="0" w:hanging="0"/>
              <w:jc w:val="left"/>
              <w:rPr>
                <w:rFonts w:ascii="Arial;Helvetica;sans-serif" w:hAnsi="Arial;Helvetica;sans-serif"/>
                <w:color w:val="000000"/>
                <w:sz w:val="16"/>
              </w:rPr>
            </w:pPr>
            <w:r>
              <w:rPr>
                <w:rFonts w:ascii="Arial;Helvetica;sans-serif" w:hAnsi="Arial;Helvetica;sans-serif"/>
                <w:color w:val="000000"/>
                <w:sz w:val="16"/>
              </w:rPr>
              <w:t>13,010,743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56" w:right="0" w:hanging="0"/>
              <w:jc w:val="left"/>
              <w:rPr>
                <w:rFonts w:ascii="Arial;Helvetica;sans-serif" w:hAnsi="Arial;Helvetica;sans-serif"/>
                <w:color w:val="000000"/>
                <w:sz w:val="16"/>
              </w:rPr>
            </w:pPr>
            <w:r>
              <w:rPr>
                <w:rFonts w:ascii="Arial;Helvetica;sans-serif" w:hAnsi="Arial;Helvetica;sans-serif"/>
                <w:color w:val="000000"/>
                <w:sz w:val="16"/>
              </w:rPr>
              <w:t>5,274,544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12" w:right="0" w:hanging="0"/>
              <w:jc w:val="left"/>
              <w:rPr>
                <w:rFonts w:ascii="Arial;Helvetica;sans-serif" w:hAnsi="Arial;Helvetica;sans-serif"/>
                <w:color w:val="000000"/>
                <w:sz w:val="16"/>
              </w:rPr>
            </w:pPr>
            <w:r>
              <w:rPr>
                <w:rFonts w:ascii="Arial;Helvetica;sans-serif" w:hAnsi="Arial;Helvetica;sans-serif"/>
                <w:color w:val="000000"/>
                <w:sz w:val="16"/>
              </w:rPr>
              <w:t>5,079,055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104" w:right="0" w:hanging="0"/>
              <w:jc w:val="left"/>
              <w:rPr>
                <w:rFonts w:ascii="Arial;Helvetica;sans-serif" w:hAnsi="Arial;Helvetica;sans-serif"/>
                <w:color w:val="000000"/>
                <w:sz w:val="16"/>
              </w:rPr>
            </w:pPr>
            <w:r>
              <w:rPr>
                <w:rFonts w:ascii="Arial;Helvetica;sans-serif" w:hAnsi="Arial;Helvetica;sans-serif"/>
                <w:color w:val="000000"/>
                <w:sz w:val="16"/>
              </w:rPr>
              <w:t>2,547,482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439.49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109.81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2.756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4.133 </w:t>
            </w:r>
          </w:p>
        </w:tc>
        <w:tc>
          <w:tcPr>
            <w:tcW w:w="215" w:type="dxa"/>
            <w:tcBorders/>
            <w:vAlign w:val="center"/>
          </w:tcPr>
          <w:p>
            <w:pPr>
              <w:pStyle w:val="TableContents"/>
              <w:bidi w:val="0"/>
              <w:spacing w:before="0" w:after="0"/>
              <w:jc w:val="left"/>
              <w:rPr/>
            </w:pPr>
            <w:r>
              <w:rPr/>
              <w:t> </w:t>
            </w:r>
          </w:p>
        </w:tc>
      </w:tr>
      <w:tr>
        <w:trPr/>
        <w:tc>
          <w:tcPr>
            <w:tcW w:w="185" w:type="dxa"/>
            <w:tcBorders/>
            <w:shd w:fill="CCCCCC" w:val="clear"/>
            <w:vAlign w:val="center"/>
          </w:tcPr>
          <w:p>
            <w:pPr>
              <w:pStyle w:val="TableContents"/>
              <w:bidi w:val="0"/>
              <w:spacing w:before="0" w:after="0"/>
              <w:jc w:val="left"/>
              <w:rPr/>
            </w:pPr>
            <w:r>
              <w:rPr/>
              <w:t> </w:t>
            </w:r>
          </w:p>
        </w:tc>
        <w:tc>
          <w:tcPr>
            <w:tcW w:w="410" w:type="dxa"/>
            <w:tcBorders/>
            <w:shd w:fill="CCCCCC"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2021</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283"/>
              <w:ind w:left="12" w:right="0" w:hanging="0"/>
              <w:jc w:val="left"/>
              <w:rPr>
                <w:rFonts w:ascii="Arial;Helvetica;sans-serif" w:hAnsi="Arial;Helvetica;sans-serif"/>
                <w:color w:val="000000"/>
                <w:sz w:val="16"/>
              </w:rPr>
            </w:pPr>
            <w:r>
              <w:rPr>
                <w:rFonts w:ascii="Arial;Helvetica;sans-serif" w:hAnsi="Arial;Helvetica;sans-serif"/>
                <w:color w:val="000000"/>
                <w:sz w:val="16"/>
              </w:rPr>
              <w:t>N/A</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N/A</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60" w:type="dxa"/>
            <w:tcBorders/>
            <w:shd w:fill="CCCCCC" w:val="clear"/>
            <w:vAlign w:val="center"/>
          </w:tcPr>
          <w:p>
            <w:pPr>
              <w:pStyle w:val="TableContents"/>
              <w:bidi w:val="0"/>
              <w:spacing w:before="0" w:after="283"/>
              <w:ind w:left="96" w:right="0" w:hanging="0"/>
              <w:jc w:val="left"/>
              <w:rPr>
                <w:rFonts w:ascii="Arial;Helvetica;sans-serif" w:hAnsi="Arial;Helvetica;sans-serif"/>
                <w:color w:val="000000"/>
                <w:sz w:val="16"/>
              </w:rPr>
            </w:pPr>
            <w:r>
              <w:rPr>
                <w:rFonts w:ascii="Arial;Helvetica;sans-serif" w:hAnsi="Arial;Helvetica;sans-serif"/>
                <w:color w:val="000000"/>
                <w:sz w:val="16"/>
              </w:rPr>
              <w:t>8,594,555</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60" w:type="dxa"/>
            <w:tcBorders/>
            <w:shd w:fill="CCCCCC" w:val="clear"/>
            <w:vAlign w:val="center"/>
          </w:tcPr>
          <w:p>
            <w:pPr>
              <w:pStyle w:val="TableContents"/>
              <w:bidi w:val="0"/>
              <w:spacing w:before="0" w:after="283"/>
              <w:ind w:left="56" w:right="0" w:hanging="0"/>
              <w:jc w:val="left"/>
              <w:rPr>
                <w:rFonts w:ascii="Arial;Helvetica;sans-serif" w:hAnsi="Arial;Helvetica;sans-serif"/>
                <w:color w:val="000000"/>
                <w:sz w:val="16"/>
              </w:rPr>
            </w:pPr>
            <w:r>
              <w:rPr>
                <w:rFonts w:ascii="Arial;Helvetica;sans-serif" w:hAnsi="Arial;Helvetica;sans-serif"/>
                <w:color w:val="000000"/>
                <w:sz w:val="16"/>
              </w:rPr>
              <w:t>64,815,057</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283"/>
              <w:ind w:left="12" w:right="0" w:hanging="0"/>
              <w:jc w:val="left"/>
              <w:rPr>
                <w:rFonts w:ascii="Arial;Helvetica;sans-serif" w:hAnsi="Arial;Helvetica;sans-serif"/>
                <w:color w:val="000000"/>
                <w:sz w:val="16"/>
              </w:rPr>
            </w:pPr>
            <w:r>
              <w:rPr>
                <w:rFonts w:ascii="Arial;Helvetica;sans-serif" w:hAnsi="Arial;Helvetica;sans-serif"/>
                <w:color w:val="000000"/>
                <w:sz w:val="16"/>
              </w:rPr>
              <w:t>3,344,194</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60" w:type="dxa"/>
            <w:tcBorders/>
            <w:shd w:fill="CCCCCC" w:val="clear"/>
            <w:vAlign w:val="center"/>
          </w:tcPr>
          <w:p>
            <w:pPr>
              <w:pStyle w:val="TableContents"/>
              <w:bidi w:val="0"/>
              <w:spacing w:before="0" w:after="283"/>
              <w:ind w:left="104" w:right="0" w:hanging="0"/>
              <w:jc w:val="left"/>
              <w:rPr>
                <w:rFonts w:ascii="Arial;Helvetica;sans-serif" w:hAnsi="Arial;Helvetica;sans-serif"/>
                <w:color w:val="000000"/>
                <w:sz w:val="16"/>
              </w:rPr>
            </w:pPr>
            <w:r>
              <w:rPr>
                <w:rFonts w:ascii="Arial;Helvetica;sans-serif" w:hAnsi="Arial;Helvetica;sans-serif"/>
                <w:color w:val="000000"/>
                <w:sz w:val="16"/>
              </w:rPr>
              <w:t>21,392,900</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545" w:type="dxa"/>
            <w:tcBorders/>
            <w:shd w:fill="CCCCCC"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555.95</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560" w:type="dxa"/>
            <w:tcBorders/>
            <w:shd w:fill="CCCCCC"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133.21</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695" w:type="dxa"/>
            <w:tcBorders/>
            <w:shd w:fill="CCCCCC"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1.283</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2.411</w:t>
            </w:r>
          </w:p>
        </w:tc>
        <w:tc>
          <w:tcPr>
            <w:tcW w:w="215" w:type="dxa"/>
            <w:tcBorders/>
            <w:shd w:fill="CCCCCC" w:val="clear"/>
            <w:vAlign w:val="center"/>
          </w:tcPr>
          <w:p>
            <w:pPr>
              <w:pStyle w:val="TableContents"/>
              <w:bidi w:val="0"/>
              <w:spacing w:before="0" w:after="0"/>
              <w:jc w:val="left"/>
              <w:rPr/>
            </w:pPr>
            <w:r>
              <w:rPr/>
              <w:t> </w:t>
            </w:r>
          </w:p>
        </w:tc>
      </w:tr>
      <w:tr>
        <w:trPr/>
        <w:tc>
          <w:tcPr>
            <w:tcW w:w="185" w:type="dxa"/>
            <w:tcBorders/>
            <w:shd w:fill="CCCCCC" w:val="clear"/>
            <w:vAlign w:val="center"/>
          </w:tcPr>
          <w:p>
            <w:pPr>
              <w:pStyle w:val="TableContents"/>
              <w:bidi w:val="0"/>
              <w:spacing w:before="0" w:after="0"/>
              <w:jc w:val="left"/>
              <w:rPr/>
            </w:pPr>
            <w:r>
              <w:rPr/>
              <w:t> </w:t>
            </w:r>
          </w:p>
        </w:tc>
        <w:tc>
          <w:tcPr>
            <w:tcW w:w="41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6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6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6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545"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56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695"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70" w:type="dxa"/>
            <w:tcBorders/>
            <w:shd w:fill="CCCCCC" w:val="clear"/>
            <w:vAlign w:val="center"/>
          </w:tcPr>
          <w:p>
            <w:pPr>
              <w:pStyle w:val="TableContents"/>
              <w:bidi w:val="0"/>
              <w:spacing w:before="0" w:after="0"/>
              <w:jc w:val="left"/>
              <w:rPr/>
            </w:pPr>
            <w:r>
              <w:rPr/>
              <w:t> </w:t>
            </w:r>
          </w:p>
        </w:tc>
        <w:tc>
          <w:tcPr>
            <w:tcW w:w="215" w:type="dxa"/>
            <w:tcBorders/>
            <w:shd w:fill="CCCCCC"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(a)</w:t>
            </w:r>
          </w:p>
        </w:tc>
        <w:tc>
          <w:tcPr>
            <w:tcW w:w="9952"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In 2025, Mr. Choi served as the PEO starting July 1, 2025, and Mr. Ferraro served as PEO until that date. The PEO for each other year is Mr. Ferraro. </w:t>
            </w:r>
          </w:p>
        </w:tc>
      </w:tr>
    </w:tbl>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(b)</w:t>
            </w:r>
          </w:p>
        </w:tc>
        <w:tc>
          <w:tcPr>
            <w:tcW w:w="9984"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Values reflect total compensation as shown in the Summary Compensation Table for each year shown. Because Mr. Choi served as an executive officer (Chief Transformation Officer) during 2025 until his appointment as PEO, his total compensation for 2025 is included, and he is included in the Non-PEO NEO column for other years as noted below.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(c)</w:t>
            </w:r>
          </w:p>
        </w:tc>
        <w:tc>
          <w:tcPr>
            <w:tcW w:w="9993"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In accordance with Item 402(v) of Regulation S-K, CAP (or Compensation Actually Paid) is calculated first by subtracting the amounts shown in the Stock Awards column of the Summary Compensation Total for each applicable year. (For 2025, the Stock Award amount was $4,285,014 for Mr. Choi and $5,566,691 for Mr. Ferraro. For prior years, the amount is set forth in the Summary Compensation Table shown elsewhere in this proxy or in the proxy statement for the applicable year.) Then the following adjustments are made to the calculation for each PEO for the year(s) in which each served as PEO: </w:t>
            </w:r>
          </w:p>
        </w:tc>
      </w:tr>
    </w:tbl>
    <w:p>
      <w:pPr>
        <w:pStyle w:val="TextBody"/>
        <w:bidi w:val="0"/>
        <w:spacing w:before="120" w:after="283"/>
        <w:ind w:left="400" w:right="0" w:hanging="0"/>
        <w:jc w:val="left"/>
        <w:rPr>
          <w:rFonts w:ascii="Arial;Helvetica;sans-serif" w:hAnsi="Arial;Helvetica;sans-serif"/>
          <w:color w:val="000000"/>
          <w:sz w:val="16"/>
        </w:rPr>
      </w:pPr>
      <w:r>
        <w:rPr>
          <w:rFonts w:ascii="Arial;Helvetica;sans-serif" w:hAnsi="Arial;Helvetica;sans-serif"/>
          <w:color w:val="000000"/>
          <w:sz w:val="16"/>
        </w:rPr>
        <w:t xml:space="preserve">Mr. Choi: </w:t>
      </w:r>
    </w:p>
    <w:tbl>
      <w:tblPr>
        <w:tblW w:w="10205" w:type="dxa"/>
        <w:jc w:val="left"/>
        <w:tblInd w:w="0" w:type="dxa"/>
        <w:tblLayout w:type="fixed"/>
        <w:tblCellMar>
          <w:top w:w="0" w:type="dxa"/>
          <w:left w:w="0" w:type="dxa"/>
          <w:bottom w:w="0" w:type="dxa"/>
          <w:right w:w="0" w:type="dxa"/>
        </w:tblCellMar>
      </w:tblPr>
      <w:tblGrid>
        <w:gridCol w:w="185"/>
        <w:gridCol w:w="410"/>
        <w:gridCol w:w="170"/>
        <w:gridCol w:w="170"/>
        <w:gridCol w:w="1479"/>
        <w:gridCol w:w="170"/>
        <w:gridCol w:w="170"/>
        <w:gridCol w:w="1359"/>
        <w:gridCol w:w="170"/>
        <w:gridCol w:w="170"/>
        <w:gridCol w:w="1653"/>
        <w:gridCol w:w="170"/>
        <w:gridCol w:w="170"/>
        <w:gridCol w:w="1588"/>
        <w:gridCol w:w="170"/>
        <w:gridCol w:w="170"/>
        <w:gridCol w:w="1614"/>
        <w:gridCol w:w="217"/>
      </w:tblGrid>
      <w:tr>
        <w:trPr/>
        <w:tc>
          <w:tcPr>
            <w:tcW w:w="185"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7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5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8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14"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410" w:type="dxa"/>
            <w:tcBorders>
              <w:bottom w:val="single" w:sz="8" w:space="0" w:color="000000"/>
            </w:tcBorders>
            <w:tcMar>
              <w:bottom w:w="43" w:type="dxa"/>
            </w:tcM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Year</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479"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Fair value at 12/31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of equity awards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granted during the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year and unvested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at 12/31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359"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Fair value at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vesting of equity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awards granted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and vested in the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year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653"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Change in fair value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during the year of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equity awards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outstanding both on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1/1 and 12/31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588"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Change in fair value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during the year of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equity awards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outstanding on 1/1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that vested during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the year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614"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Forfeitures of equity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awards that had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value on 1/1 that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failed to vest during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the year ($) </w:t>
            </w:r>
          </w:p>
        </w:tc>
        <w:tc>
          <w:tcPr>
            <w:tcW w:w="21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shd w:fill="CCCCCC" w:val="clear"/>
            <w:vAlign w:val="center"/>
          </w:tcPr>
          <w:p>
            <w:pPr>
              <w:pStyle w:val="TableContents"/>
              <w:bidi w:val="0"/>
              <w:spacing w:before="0" w:after="0"/>
              <w:jc w:val="left"/>
              <w:rPr/>
            </w:pPr>
            <w:r>
              <w:rPr/>
              <w:t> </w:t>
            </w:r>
          </w:p>
        </w:tc>
        <w:tc>
          <w:tcPr>
            <w:tcW w:w="410" w:type="dxa"/>
            <w:tcBorders/>
            <w:shd w:fill="CCCCCC"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479" w:type="dxa"/>
            <w:tcBorders/>
            <w:shd w:fill="CCCCCC" w:val="clear"/>
            <w:vAlign w:val="center"/>
          </w:tcPr>
          <w:p>
            <w:pPr>
              <w:pStyle w:val="TableContents"/>
              <w:bidi w:val="0"/>
              <w:spacing w:before="0" w:after="283"/>
              <w:ind w:left="351" w:right="0" w:hanging="0"/>
              <w:jc w:val="left"/>
              <w:rPr>
                <w:rFonts w:ascii="Arial;Helvetica;sans-serif" w:hAnsi="Arial;Helvetica;sans-serif"/>
                <w:color w:val="000000"/>
                <w:sz w:val="16"/>
              </w:rPr>
            </w:pPr>
            <w:r>
              <w:rPr>
                <w:rFonts w:ascii="Arial;Helvetica;sans-serif" w:hAnsi="Arial;Helvetica;sans-serif"/>
                <w:color w:val="000000"/>
                <w:sz w:val="16"/>
              </w:rPr>
              <w:t>2,891,002</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359" w:type="dxa"/>
            <w:tcBorders/>
            <w:shd w:fill="CCCCCC" w:val="clear"/>
            <w:vAlign w:val="center"/>
          </w:tcPr>
          <w:p>
            <w:pPr>
              <w:pStyle w:val="TableContents"/>
              <w:bidi w:val="0"/>
              <w:spacing w:before="0" w:after="283"/>
              <w:ind w:left="573"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653" w:type="dxa"/>
            <w:tcBorders/>
            <w:shd w:fill="CCCCCC" w:val="clear"/>
            <w:vAlign w:val="center"/>
          </w:tcPr>
          <w:p>
            <w:pPr>
              <w:pStyle w:val="TableContents"/>
              <w:bidi w:val="0"/>
              <w:spacing w:before="0" w:after="283"/>
              <w:ind w:left="484" w:right="0" w:hanging="0"/>
              <w:jc w:val="left"/>
              <w:rPr>
                <w:rFonts w:ascii="Arial;Helvetica;sans-serif" w:hAnsi="Arial;Helvetica;sans-serif"/>
                <w:color w:val="000000"/>
                <w:sz w:val="16"/>
              </w:rPr>
            </w:pPr>
            <w:r>
              <w:rPr>
                <w:rFonts w:ascii="Arial;Helvetica;sans-serif" w:hAnsi="Arial;Helvetica;sans-serif"/>
                <w:color w:val="000000"/>
                <w:sz w:val="16"/>
              </w:rPr>
              <w:t>381,351</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588" w:type="dxa"/>
            <w:tcBorders/>
            <w:shd w:fill="CCCCCC" w:val="clear"/>
            <w:vAlign w:val="center"/>
          </w:tcPr>
          <w:p>
            <w:pPr>
              <w:pStyle w:val="TableContents"/>
              <w:bidi w:val="0"/>
              <w:spacing w:before="0" w:after="283"/>
              <w:ind w:left="471" w:right="0" w:hanging="0"/>
              <w:jc w:val="left"/>
              <w:rPr>
                <w:rFonts w:ascii="Arial;Helvetica;sans-serif" w:hAnsi="Arial;Helvetica;sans-serif"/>
                <w:color w:val="000000"/>
                <w:sz w:val="16"/>
              </w:rPr>
            </w:pPr>
            <w:r>
              <w:rPr>
                <w:rFonts w:ascii="Arial;Helvetica;sans-serif" w:hAnsi="Arial;Helvetica;sans-serif"/>
                <w:color w:val="000000"/>
                <w:sz w:val="16"/>
              </w:rPr>
              <w:t>338,395</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614" w:type="dxa"/>
            <w:tcBorders/>
            <w:shd w:fill="CCCCCC" w:val="clear"/>
            <w:vAlign w:val="center"/>
          </w:tcPr>
          <w:p>
            <w:pPr>
              <w:pStyle w:val="TableContents"/>
              <w:bidi w:val="0"/>
              <w:spacing w:before="0" w:after="283"/>
              <w:ind w:left="693" w:right="0" w:hanging="0"/>
              <w:jc w:val="left"/>
              <w:rPr>
                <w:color w:val="000000"/>
              </w:rPr>
            </w:pPr>
            <w:r>
              <w:rPr>
                <w:color w:val="000000"/>
              </w:rPr>
              <w:t>—</w:t>
            </w:r>
          </w:p>
        </w:tc>
        <w:tc>
          <w:tcPr>
            <w:tcW w:w="217" w:type="dxa"/>
            <w:tcBorders/>
            <w:shd w:fill="CCCCCC" w:val="clear"/>
            <w:vAlign w:val="center"/>
          </w:tcPr>
          <w:p>
            <w:pPr>
              <w:pStyle w:val="TableContents"/>
              <w:bidi w:val="0"/>
              <w:spacing w:before="0" w:after="0"/>
              <w:jc w:val="left"/>
              <w:rPr/>
            </w:pPr>
            <w:r>
              <w:rPr/>
              <w:t> </w:t>
            </w:r>
          </w:p>
        </w:tc>
      </w:tr>
      <w:tr>
        <w:trPr/>
        <w:tc>
          <w:tcPr>
            <w:tcW w:w="185" w:type="dxa"/>
            <w:tcBorders/>
            <w:shd w:fill="CCCCCC" w:val="clear"/>
            <w:vAlign w:val="center"/>
          </w:tcPr>
          <w:p>
            <w:pPr>
              <w:pStyle w:val="TableContents"/>
              <w:bidi w:val="0"/>
              <w:spacing w:before="0" w:after="0"/>
              <w:jc w:val="left"/>
              <w:rPr/>
            </w:pPr>
            <w:r>
              <w:rPr/>
              <w:t> </w:t>
            </w:r>
          </w:p>
        </w:tc>
        <w:tc>
          <w:tcPr>
            <w:tcW w:w="41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479"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359"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653"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588"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614" w:type="dxa"/>
            <w:tcBorders/>
            <w:shd w:fill="CCCCCC" w:val="clear"/>
            <w:vAlign w:val="center"/>
          </w:tcPr>
          <w:p>
            <w:pPr>
              <w:pStyle w:val="TableContents"/>
              <w:bidi w:val="0"/>
              <w:spacing w:before="0" w:after="0"/>
              <w:jc w:val="left"/>
              <w:rPr/>
            </w:pPr>
            <w:r>
              <w:rPr/>
              <w:t> </w:t>
            </w:r>
          </w:p>
        </w:tc>
        <w:tc>
          <w:tcPr>
            <w:tcW w:w="217" w:type="dxa"/>
            <w:tcBorders/>
            <w:shd w:fill="CCCCCC" w:val="clear"/>
            <w:vAlign w:val="center"/>
          </w:tcPr>
          <w:p>
            <w:pPr>
              <w:pStyle w:val="TableContents"/>
              <w:bidi w:val="0"/>
              <w:spacing w:before="0" w:after="0"/>
              <w:jc w:val="left"/>
              <w:rPr/>
            </w:pPr>
            <w:r>
              <w:rPr/>
              <w:t> </w:t>
            </w:r>
          </w:p>
        </w:tc>
      </w:tr>
    </w:tbl>
    <w:p>
      <w:pPr>
        <w:pStyle w:val="TextBody"/>
        <w:bidi w:val="0"/>
        <w:spacing w:before="190" w:after="283"/>
        <w:ind w:left="400" w:right="0" w:hanging="0"/>
        <w:jc w:val="left"/>
        <w:rPr>
          <w:rFonts w:ascii="Arial;Helvetica;sans-serif" w:hAnsi="Arial;Helvetica;sans-serif"/>
          <w:color w:val="000000"/>
          <w:sz w:val="16"/>
        </w:rPr>
      </w:pPr>
      <w:r>
        <w:rPr>
          <w:rFonts w:ascii="Arial;Helvetica;sans-serif" w:hAnsi="Arial;Helvetica;sans-serif"/>
          <w:color w:val="000000"/>
          <w:sz w:val="16"/>
        </w:rPr>
        <w:t xml:space="preserve">Mr. Ferraro: </w:t>
      </w:r>
    </w:p>
    <w:tbl>
      <w:tblPr>
        <w:tblW w:w="10205" w:type="dxa"/>
        <w:jc w:val="left"/>
        <w:tblInd w:w="0" w:type="dxa"/>
        <w:tblLayout w:type="fixed"/>
        <w:tblCellMar>
          <w:top w:w="0" w:type="dxa"/>
          <w:left w:w="0" w:type="dxa"/>
          <w:bottom w:w="0" w:type="dxa"/>
          <w:right w:w="0" w:type="dxa"/>
        </w:tblCellMar>
      </w:tblPr>
      <w:tblGrid>
        <w:gridCol w:w="185"/>
        <w:gridCol w:w="410"/>
        <w:gridCol w:w="170"/>
        <w:gridCol w:w="170"/>
        <w:gridCol w:w="1372"/>
        <w:gridCol w:w="170"/>
        <w:gridCol w:w="170"/>
        <w:gridCol w:w="1230"/>
        <w:gridCol w:w="170"/>
        <w:gridCol w:w="170"/>
        <w:gridCol w:w="1729"/>
        <w:gridCol w:w="170"/>
        <w:gridCol w:w="170"/>
        <w:gridCol w:w="1878"/>
        <w:gridCol w:w="170"/>
        <w:gridCol w:w="170"/>
        <w:gridCol w:w="1485"/>
        <w:gridCol w:w="216"/>
      </w:tblGrid>
      <w:tr>
        <w:trPr/>
        <w:tc>
          <w:tcPr>
            <w:tcW w:w="185"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2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7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85"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410" w:type="dxa"/>
            <w:tcBorders>
              <w:bottom w:val="single" w:sz="8" w:space="0" w:color="000000"/>
            </w:tcBorders>
            <w:tcMar>
              <w:bottom w:w="43" w:type="dxa"/>
            </w:tcM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Year</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372"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Fair value at 12/31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of equity awards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granted during the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year and unvested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at 12/31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30"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Fair value at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vesting of equity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awards granted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and vested in the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year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29"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Change in fair value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during the year of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equity awards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outstanding both on 1/1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and 12/31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878"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Change in fair value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during the year of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equity awards outstanding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on 1/1 that vested during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the year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485"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Forfeitures of equity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awards that had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value on 1/1 that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failed to vest during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the year ($)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shd w:fill="CCCCCC" w:val="clear"/>
            <w:vAlign w:val="center"/>
          </w:tcPr>
          <w:p>
            <w:pPr>
              <w:pStyle w:val="TableContents"/>
              <w:bidi w:val="0"/>
              <w:spacing w:before="0" w:after="0"/>
              <w:jc w:val="left"/>
              <w:rPr/>
            </w:pPr>
            <w:r>
              <w:rPr/>
              <w:t> </w:t>
            </w:r>
          </w:p>
        </w:tc>
        <w:tc>
          <w:tcPr>
            <w:tcW w:w="410" w:type="dxa"/>
            <w:tcBorders/>
            <w:shd w:fill="CCCCCC"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372" w:type="dxa"/>
            <w:tcBorders/>
            <w:shd w:fill="CCCCCC" w:val="clear"/>
            <w:vAlign w:val="center"/>
          </w:tcPr>
          <w:p>
            <w:pPr>
              <w:pStyle w:val="TableContents"/>
              <w:bidi w:val="0"/>
              <w:spacing w:before="0" w:after="283"/>
              <w:ind w:left="306" w:right="0" w:hanging="0"/>
              <w:jc w:val="left"/>
              <w:rPr>
                <w:rFonts w:ascii="Arial;Helvetica;sans-serif" w:hAnsi="Arial;Helvetica;sans-serif"/>
                <w:color w:val="000000"/>
                <w:sz w:val="16"/>
              </w:rPr>
            </w:pPr>
            <w:r>
              <w:rPr>
                <w:rFonts w:ascii="Arial;Helvetica;sans-serif" w:hAnsi="Arial;Helvetica;sans-serif"/>
                <w:color w:val="000000"/>
                <w:sz w:val="16"/>
              </w:rPr>
              <w:t>3,649,164</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30" w:type="dxa"/>
            <w:tcBorders/>
            <w:shd w:fill="CCCCCC" w:val="clear"/>
            <w:vAlign w:val="center"/>
          </w:tcPr>
          <w:p>
            <w:pPr>
              <w:pStyle w:val="TableContents"/>
              <w:bidi w:val="0"/>
              <w:spacing w:before="0" w:after="283"/>
              <w:ind w:left="573"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29" w:type="dxa"/>
            <w:tcBorders/>
            <w:shd w:fill="CCCCCC" w:val="clear"/>
            <w:vAlign w:val="center"/>
          </w:tcPr>
          <w:p>
            <w:pPr>
              <w:pStyle w:val="TableContents"/>
              <w:bidi w:val="0"/>
              <w:spacing w:before="0" w:after="283"/>
              <w:ind w:left="506" w:right="0" w:hanging="0"/>
              <w:jc w:val="left"/>
              <w:rPr>
                <w:rFonts w:ascii="Arial;Helvetica;sans-serif" w:hAnsi="Arial;Helvetica;sans-serif"/>
                <w:color w:val="000000"/>
                <w:sz w:val="16"/>
              </w:rPr>
            </w:pPr>
            <w:r>
              <w:rPr>
                <w:rFonts w:ascii="Arial;Helvetica;sans-serif" w:hAnsi="Arial;Helvetica;sans-serif"/>
                <w:color w:val="000000"/>
                <w:sz w:val="16"/>
              </w:rPr>
              <w:t>996,318</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878" w:type="dxa"/>
            <w:tcBorders/>
            <w:shd w:fill="CCCCCC" w:val="clear"/>
            <w:vAlign w:val="center"/>
          </w:tcPr>
          <w:p>
            <w:pPr>
              <w:pStyle w:val="TableContents"/>
              <w:bidi w:val="0"/>
              <w:spacing w:before="0" w:after="283"/>
              <w:ind w:left="631" w:right="0" w:hanging="0"/>
              <w:jc w:val="left"/>
              <w:rPr>
                <w:rFonts w:ascii="Arial;Helvetica;sans-serif" w:hAnsi="Arial;Helvetica;sans-serif"/>
                <w:color w:val="000000"/>
                <w:sz w:val="16"/>
              </w:rPr>
            </w:pPr>
            <w:r>
              <w:rPr>
                <w:rFonts w:ascii="Arial;Helvetica;sans-serif" w:hAnsi="Arial;Helvetica;sans-serif"/>
                <w:color w:val="000000"/>
                <w:sz w:val="16"/>
              </w:rPr>
              <w:t>579,935</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485" w:type="dxa"/>
            <w:tcBorders/>
            <w:shd w:fill="CCCCCC" w:val="clear"/>
            <w:vAlign w:val="center"/>
          </w:tcPr>
          <w:p>
            <w:pPr>
              <w:pStyle w:val="TableContents"/>
              <w:bidi w:val="0"/>
              <w:spacing w:before="0" w:after="283"/>
              <w:ind w:left="693" w:right="0" w:hanging="0"/>
              <w:jc w:val="left"/>
              <w:rPr>
                <w:color w:val="000000"/>
              </w:rPr>
            </w:pPr>
            <w:r>
              <w:rPr>
                <w:color w:val="000000"/>
              </w:rPr>
              <w:t xml:space="preserve">— </w:t>
            </w:r>
          </w:p>
        </w:tc>
        <w:tc>
          <w:tcPr>
            <w:tcW w:w="216" w:type="dxa"/>
            <w:tcBorders/>
            <w:shd w:fill="CCCCCC"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2" w:type="dxa"/>
            <w:tcBorders/>
            <w:vAlign w:val="center"/>
          </w:tcPr>
          <w:p>
            <w:pPr>
              <w:pStyle w:val="TableContents"/>
              <w:bidi w:val="0"/>
              <w:spacing w:before="0" w:after="283"/>
              <w:ind w:left="306" w:right="0" w:hanging="0"/>
              <w:jc w:val="left"/>
              <w:rPr>
                <w:rFonts w:ascii="Arial;Helvetica;sans-serif" w:hAnsi="Arial;Helvetica;sans-serif"/>
                <w:color w:val="000000"/>
                <w:sz w:val="16"/>
              </w:rPr>
            </w:pPr>
            <w:r>
              <w:rPr>
                <w:rFonts w:ascii="Arial;Helvetica;sans-serif" w:hAnsi="Arial;Helvetica;sans-serif"/>
                <w:color w:val="000000"/>
                <w:sz w:val="16"/>
              </w:rPr>
              <w:t>2,859,882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0" w:type="dxa"/>
            <w:tcBorders/>
            <w:vAlign w:val="center"/>
          </w:tcPr>
          <w:p>
            <w:pPr>
              <w:pStyle w:val="TableContents"/>
              <w:bidi w:val="0"/>
              <w:spacing w:before="0" w:after="283"/>
              <w:ind w:left="57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29" w:type="dxa"/>
            <w:tcBorders/>
            <w:vAlign w:val="center"/>
          </w:tcPr>
          <w:p>
            <w:pPr>
              <w:pStyle w:val="TableContents"/>
              <w:bidi w:val="0"/>
              <w:spacing w:before="0" w:after="283"/>
              <w:ind w:left="506" w:right="0" w:hanging="0"/>
              <w:jc w:val="left"/>
              <w:rPr>
                <w:rFonts w:ascii="Arial;Helvetica;sans-serif" w:hAnsi="Arial;Helvetica;sans-serif"/>
                <w:color w:val="000000"/>
                <w:sz w:val="16"/>
              </w:rPr>
            </w:pPr>
            <w:r>
              <w:rPr>
                <w:rFonts w:ascii="Arial;Helvetica;sans-serif" w:hAnsi="Arial;Helvetica;sans-serif"/>
                <w:color w:val="000000"/>
                <w:sz w:val="16"/>
              </w:rPr>
              <w:t>(5,909,341)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78" w:type="dxa"/>
            <w:tcBorders/>
            <w:vAlign w:val="center"/>
          </w:tcPr>
          <w:p>
            <w:pPr>
              <w:pStyle w:val="TableContents"/>
              <w:bidi w:val="0"/>
              <w:spacing w:before="0" w:after="283"/>
              <w:ind w:left="631" w:right="0" w:hanging="0"/>
              <w:jc w:val="left"/>
              <w:rPr>
                <w:rFonts w:ascii="Arial;Helvetica;sans-serif" w:hAnsi="Arial;Helvetica;sans-serif"/>
                <w:color w:val="000000"/>
                <w:sz w:val="16"/>
              </w:rPr>
            </w:pPr>
            <w:r>
              <w:rPr>
                <w:rFonts w:ascii="Arial;Helvetica;sans-serif" w:hAnsi="Arial;Helvetica;sans-serif"/>
                <w:color w:val="000000"/>
                <w:sz w:val="16"/>
              </w:rPr>
              <w:t>(5,658,310)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85" w:type="dxa"/>
            <w:tcBorders/>
            <w:vAlign w:val="center"/>
          </w:tcPr>
          <w:p>
            <w:pPr>
              <w:pStyle w:val="TableContents"/>
              <w:bidi w:val="0"/>
              <w:spacing w:before="0" w:after="283"/>
              <w:ind w:left="693" w:right="0" w:hanging="0"/>
              <w:jc w:val="left"/>
              <w:rPr>
                <w:color w:val="000000"/>
              </w:rPr>
            </w:pPr>
            <w:r>
              <w:rPr>
                <w:color w:val="000000"/>
              </w:rPr>
              <w:t xml:space="preserve">— </w:t>
            </w:r>
          </w:p>
        </w:tc>
        <w:tc>
          <w:tcPr>
            <w:tcW w:w="216" w:type="dxa"/>
            <w:tcBorders/>
            <w:vAlign w:val="center"/>
          </w:tcPr>
          <w:p>
            <w:pPr>
              <w:pStyle w:val="TableContents"/>
              <w:bidi w:val="0"/>
              <w:spacing w:before="0" w:after="0"/>
              <w:jc w:val="left"/>
              <w:rPr/>
            </w:pPr>
            <w:r>
              <w:rPr/>
              <w:t> </w:t>
            </w:r>
          </w:p>
        </w:tc>
      </w:tr>
      <w:tr>
        <w:trPr/>
        <w:tc>
          <w:tcPr>
            <w:tcW w:w="185" w:type="dxa"/>
            <w:tcBorders/>
            <w:shd w:fill="CCCCCC" w:val="clear"/>
            <w:vAlign w:val="center"/>
          </w:tcPr>
          <w:p>
            <w:pPr>
              <w:pStyle w:val="TableContents"/>
              <w:bidi w:val="0"/>
              <w:spacing w:before="0" w:after="0"/>
              <w:jc w:val="left"/>
              <w:rPr/>
            </w:pPr>
            <w:r>
              <w:rPr/>
              <w:t> </w:t>
            </w:r>
          </w:p>
        </w:tc>
        <w:tc>
          <w:tcPr>
            <w:tcW w:w="410" w:type="dxa"/>
            <w:tcBorders/>
            <w:shd w:fill="CCCCCC"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2023</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372" w:type="dxa"/>
            <w:tcBorders/>
            <w:shd w:fill="CCCCCC" w:val="clear"/>
            <w:vAlign w:val="center"/>
          </w:tcPr>
          <w:p>
            <w:pPr>
              <w:pStyle w:val="TableContents"/>
              <w:bidi w:val="0"/>
              <w:spacing w:before="0" w:after="283"/>
              <w:ind w:left="306" w:right="0" w:hanging="0"/>
              <w:jc w:val="left"/>
              <w:rPr>
                <w:rFonts w:ascii="Arial;Helvetica;sans-serif" w:hAnsi="Arial;Helvetica;sans-serif"/>
                <w:color w:val="000000"/>
                <w:sz w:val="16"/>
              </w:rPr>
            </w:pPr>
            <w:r>
              <w:rPr>
                <w:rFonts w:ascii="Arial;Helvetica;sans-serif" w:hAnsi="Arial;Helvetica;sans-serif"/>
                <w:color w:val="000000"/>
                <w:sz w:val="16"/>
              </w:rPr>
              <w:t>5,181,398</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30" w:type="dxa"/>
            <w:tcBorders/>
            <w:shd w:fill="CCCCCC" w:val="clear"/>
            <w:vAlign w:val="center"/>
          </w:tcPr>
          <w:p>
            <w:pPr>
              <w:pStyle w:val="TableContents"/>
              <w:bidi w:val="0"/>
              <w:spacing w:before="0" w:after="283"/>
              <w:ind w:left="573"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29" w:type="dxa"/>
            <w:tcBorders/>
            <w:shd w:fill="CCCCCC" w:val="clear"/>
            <w:vAlign w:val="center"/>
          </w:tcPr>
          <w:p>
            <w:pPr>
              <w:pStyle w:val="TableContents"/>
              <w:bidi w:val="0"/>
              <w:spacing w:before="0" w:after="283"/>
              <w:ind w:left="506" w:right="0" w:hanging="0"/>
              <w:jc w:val="left"/>
              <w:rPr>
                <w:rFonts w:ascii="Arial;Helvetica;sans-serif" w:hAnsi="Arial;Helvetica;sans-serif"/>
                <w:color w:val="000000"/>
                <w:sz w:val="16"/>
              </w:rPr>
            </w:pPr>
            <w:r>
              <w:rPr>
                <w:rFonts w:ascii="Arial;Helvetica;sans-serif" w:hAnsi="Arial;Helvetica;sans-serif"/>
                <w:color w:val="000000"/>
                <w:sz w:val="16"/>
              </w:rPr>
              <w:t>996,802</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878" w:type="dxa"/>
            <w:tcBorders/>
            <w:shd w:fill="CCCCCC" w:val="clear"/>
            <w:vAlign w:val="center"/>
          </w:tcPr>
          <w:p>
            <w:pPr>
              <w:pStyle w:val="TableContents"/>
              <w:bidi w:val="0"/>
              <w:spacing w:before="0" w:after="283"/>
              <w:ind w:left="631" w:right="0" w:hanging="0"/>
              <w:jc w:val="left"/>
              <w:rPr>
                <w:rFonts w:ascii="Arial;Helvetica;sans-serif" w:hAnsi="Arial;Helvetica;sans-serif"/>
                <w:color w:val="000000"/>
                <w:sz w:val="16"/>
              </w:rPr>
            </w:pPr>
            <w:r>
              <w:rPr>
                <w:rFonts w:ascii="Arial;Helvetica;sans-serif" w:hAnsi="Arial;Helvetica;sans-serif"/>
                <w:color w:val="000000"/>
                <w:sz w:val="16"/>
              </w:rPr>
              <w:t>5,769,633</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485" w:type="dxa"/>
            <w:tcBorders/>
            <w:shd w:fill="CCCCCC" w:val="clear"/>
            <w:vAlign w:val="center"/>
          </w:tcPr>
          <w:p>
            <w:pPr>
              <w:pStyle w:val="TableContents"/>
              <w:bidi w:val="0"/>
              <w:spacing w:before="0" w:after="283"/>
              <w:ind w:left="693" w:right="0" w:hanging="0"/>
              <w:jc w:val="left"/>
              <w:rPr>
                <w:color w:val="000000"/>
              </w:rPr>
            </w:pPr>
            <w:r>
              <w:rPr>
                <w:color w:val="000000"/>
              </w:rPr>
              <w:t xml:space="preserve">— </w:t>
            </w:r>
          </w:p>
        </w:tc>
        <w:tc>
          <w:tcPr>
            <w:tcW w:w="216" w:type="dxa"/>
            <w:tcBorders/>
            <w:shd w:fill="CCCCCC"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72" w:type="dxa"/>
            <w:tcBorders/>
            <w:vAlign w:val="center"/>
          </w:tcPr>
          <w:p>
            <w:pPr>
              <w:pStyle w:val="TableContents"/>
              <w:bidi w:val="0"/>
              <w:spacing w:before="0" w:after="283"/>
              <w:ind w:left="306" w:right="0" w:hanging="0"/>
              <w:jc w:val="left"/>
              <w:rPr>
                <w:rFonts w:ascii="Arial;Helvetica;sans-serif" w:hAnsi="Arial;Helvetica;sans-serif"/>
                <w:color w:val="000000"/>
                <w:sz w:val="16"/>
              </w:rPr>
            </w:pPr>
            <w:r>
              <w:rPr>
                <w:rFonts w:ascii="Arial;Helvetica;sans-serif" w:hAnsi="Arial;Helvetica;sans-serif"/>
                <w:color w:val="000000"/>
                <w:sz w:val="16"/>
              </w:rPr>
              <w:t>8,197,914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0" w:type="dxa"/>
            <w:tcBorders/>
            <w:vAlign w:val="center"/>
          </w:tcPr>
          <w:p>
            <w:pPr>
              <w:pStyle w:val="TableContents"/>
              <w:bidi w:val="0"/>
              <w:spacing w:before="0" w:after="283"/>
              <w:ind w:left="57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29" w:type="dxa"/>
            <w:tcBorders/>
            <w:vAlign w:val="center"/>
          </w:tcPr>
          <w:p>
            <w:pPr>
              <w:pStyle w:val="TableContents"/>
              <w:bidi w:val="0"/>
              <w:spacing w:before="0" w:after="283"/>
              <w:ind w:left="506" w:right="0" w:hanging="0"/>
              <w:jc w:val="left"/>
              <w:rPr>
                <w:rFonts w:ascii="Arial;Helvetica;sans-serif" w:hAnsi="Arial;Helvetica;sans-serif"/>
                <w:color w:val="000000"/>
                <w:sz w:val="16"/>
              </w:rPr>
            </w:pPr>
            <w:r>
              <w:rPr>
                <w:rFonts w:ascii="Arial;Helvetica;sans-serif" w:hAnsi="Arial;Helvetica;sans-serif"/>
                <w:color w:val="000000"/>
                <w:sz w:val="16"/>
              </w:rPr>
              <w:t>(8,584,873)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78" w:type="dxa"/>
            <w:tcBorders/>
            <w:vAlign w:val="center"/>
          </w:tcPr>
          <w:p>
            <w:pPr>
              <w:pStyle w:val="TableContents"/>
              <w:bidi w:val="0"/>
              <w:spacing w:before="0" w:after="283"/>
              <w:ind w:left="631" w:right="0" w:hanging="0"/>
              <w:jc w:val="left"/>
              <w:rPr>
                <w:rFonts w:ascii="Arial;Helvetica;sans-serif" w:hAnsi="Arial;Helvetica;sans-serif"/>
                <w:color w:val="000000"/>
                <w:sz w:val="16"/>
              </w:rPr>
            </w:pPr>
            <w:r>
              <w:rPr>
                <w:rFonts w:ascii="Arial;Helvetica;sans-serif" w:hAnsi="Arial;Helvetica;sans-serif"/>
                <w:color w:val="000000"/>
                <w:sz w:val="16"/>
              </w:rPr>
              <w:t>850,627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85" w:type="dxa"/>
            <w:tcBorders/>
            <w:vAlign w:val="center"/>
          </w:tcPr>
          <w:p>
            <w:pPr>
              <w:pStyle w:val="TableContents"/>
              <w:bidi w:val="0"/>
              <w:spacing w:before="0" w:after="283"/>
              <w:ind w:left="693" w:right="0" w:hanging="0"/>
              <w:jc w:val="left"/>
              <w:rPr>
                <w:color w:val="000000"/>
              </w:rPr>
            </w:pPr>
            <w:r>
              <w:rPr>
                <w:color w:val="000000"/>
              </w:rPr>
              <w:t xml:space="preserve">— </w:t>
            </w:r>
          </w:p>
        </w:tc>
        <w:tc>
          <w:tcPr>
            <w:tcW w:w="216" w:type="dxa"/>
            <w:tcBorders/>
            <w:vAlign w:val="center"/>
          </w:tcPr>
          <w:p>
            <w:pPr>
              <w:pStyle w:val="TableContents"/>
              <w:bidi w:val="0"/>
              <w:spacing w:before="0" w:after="0"/>
              <w:jc w:val="left"/>
              <w:rPr/>
            </w:pPr>
            <w:r>
              <w:rPr/>
              <w:t> </w:t>
            </w:r>
          </w:p>
        </w:tc>
      </w:tr>
      <w:tr>
        <w:trPr/>
        <w:tc>
          <w:tcPr>
            <w:tcW w:w="185" w:type="dxa"/>
            <w:tcBorders/>
            <w:shd w:fill="CCCCCC" w:val="clear"/>
            <w:vAlign w:val="center"/>
          </w:tcPr>
          <w:p>
            <w:pPr>
              <w:pStyle w:val="TableContents"/>
              <w:bidi w:val="0"/>
              <w:spacing w:before="0" w:after="0"/>
              <w:jc w:val="left"/>
              <w:rPr/>
            </w:pPr>
            <w:r>
              <w:rPr/>
              <w:t> </w:t>
            </w:r>
          </w:p>
        </w:tc>
        <w:tc>
          <w:tcPr>
            <w:tcW w:w="410" w:type="dxa"/>
            <w:tcBorders/>
            <w:shd w:fill="CCCCCC"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2021</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372" w:type="dxa"/>
            <w:tcBorders/>
            <w:shd w:fill="CCCCCC" w:val="clear"/>
            <w:vAlign w:val="center"/>
          </w:tcPr>
          <w:p>
            <w:pPr>
              <w:pStyle w:val="TableContents"/>
              <w:bidi w:val="0"/>
              <w:spacing w:before="0" w:after="283"/>
              <w:ind w:left="306" w:right="0" w:hanging="0"/>
              <w:jc w:val="left"/>
              <w:rPr>
                <w:rFonts w:ascii="Arial;Helvetica;sans-serif" w:hAnsi="Arial;Helvetica;sans-serif"/>
                <w:color w:val="000000"/>
                <w:sz w:val="16"/>
              </w:rPr>
            </w:pPr>
            <w:r>
              <w:rPr>
                <w:rFonts w:ascii="Arial;Helvetica;sans-serif" w:hAnsi="Arial;Helvetica;sans-serif"/>
                <w:color w:val="000000"/>
                <w:sz w:val="16"/>
              </w:rPr>
              <w:t>20,813,727</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30" w:type="dxa"/>
            <w:tcBorders/>
            <w:shd w:fill="CCCCCC" w:val="clear"/>
            <w:vAlign w:val="center"/>
          </w:tcPr>
          <w:p>
            <w:pPr>
              <w:pStyle w:val="TableContents"/>
              <w:bidi w:val="0"/>
              <w:spacing w:before="0" w:after="283"/>
              <w:ind w:left="573"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29" w:type="dxa"/>
            <w:tcBorders/>
            <w:shd w:fill="CCCCCC" w:val="clear"/>
            <w:vAlign w:val="center"/>
          </w:tcPr>
          <w:p>
            <w:pPr>
              <w:pStyle w:val="TableContents"/>
              <w:bidi w:val="0"/>
              <w:spacing w:before="0" w:after="283"/>
              <w:ind w:left="506" w:right="0" w:hanging="0"/>
              <w:jc w:val="left"/>
              <w:rPr>
                <w:rFonts w:ascii="Arial;Helvetica;sans-serif" w:hAnsi="Arial;Helvetica;sans-serif"/>
                <w:color w:val="000000"/>
                <w:sz w:val="16"/>
              </w:rPr>
            </w:pPr>
            <w:r>
              <w:rPr>
                <w:rFonts w:ascii="Arial;Helvetica;sans-serif" w:hAnsi="Arial;Helvetica;sans-serif"/>
                <w:color w:val="000000"/>
                <w:sz w:val="16"/>
              </w:rPr>
              <w:t>35,195,582</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878" w:type="dxa"/>
            <w:tcBorders/>
            <w:shd w:fill="CCCCCC" w:val="clear"/>
            <w:vAlign w:val="center"/>
          </w:tcPr>
          <w:p>
            <w:pPr>
              <w:pStyle w:val="TableContents"/>
              <w:bidi w:val="0"/>
              <w:spacing w:before="0" w:after="283"/>
              <w:ind w:left="631" w:right="0" w:hanging="0"/>
              <w:jc w:val="left"/>
              <w:rPr>
                <w:rFonts w:ascii="Arial;Helvetica;sans-serif" w:hAnsi="Arial;Helvetica;sans-serif"/>
                <w:color w:val="000000"/>
                <w:sz w:val="16"/>
              </w:rPr>
            </w:pPr>
            <w:r>
              <w:rPr>
                <w:rFonts w:ascii="Arial;Helvetica;sans-serif" w:hAnsi="Arial;Helvetica;sans-serif"/>
                <w:color w:val="000000"/>
                <w:sz w:val="16"/>
              </w:rPr>
              <w:t>5,211,225</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485" w:type="dxa"/>
            <w:tcBorders/>
            <w:shd w:fill="CCCCCC" w:val="clear"/>
            <w:vAlign w:val="center"/>
          </w:tcPr>
          <w:p>
            <w:pPr>
              <w:pStyle w:val="TableContents"/>
              <w:bidi w:val="0"/>
              <w:spacing w:before="0" w:after="283"/>
              <w:ind w:left="693" w:right="0" w:hanging="0"/>
              <w:jc w:val="left"/>
              <w:rPr>
                <w:color w:val="000000"/>
              </w:rPr>
            </w:pPr>
            <w:r>
              <w:rPr>
                <w:color w:val="000000"/>
              </w:rPr>
              <w:t>—</w:t>
            </w:r>
          </w:p>
        </w:tc>
        <w:tc>
          <w:tcPr>
            <w:tcW w:w="216" w:type="dxa"/>
            <w:tcBorders/>
            <w:shd w:fill="CCCCCC" w:val="clear"/>
            <w:vAlign w:val="center"/>
          </w:tcPr>
          <w:p>
            <w:pPr>
              <w:pStyle w:val="TableContents"/>
              <w:bidi w:val="0"/>
              <w:spacing w:before="0" w:after="0"/>
              <w:jc w:val="left"/>
              <w:rPr/>
            </w:pPr>
            <w:r>
              <w:rPr/>
              <w:t> </w:t>
            </w:r>
          </w:p>
        </w:tc>
      </w:tr>
      <w:tr>
        <w:trPr/>
        <w:tc>
          <w:tcPr>
            <w:tcW w:w="185" w:type="dxa"/>
            <w:tcBorders/>
            <w:shd w:fill="CCCCCC" w:val="clear"/>
            <w:vAlign w:val="center"/>
          </w:tcPr>
          <w:p>
            <w:pPr>
              <w:pStyle w:val="TableContents"/>
              <w:bidi w:val="0"/>
              <w:spacing w:before="0" w:after="0"/>
              <w:jc w:val="left"/>
              <w:rPr/>
            </w:pPr>
            <w:r>
              <w:rPr/>
              <w:t> </w:t>
            </w:r>
          </w:p>
        </w:tc>
        <w:tc>
          <w:tcPr>
            <w:tcW w:w="41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372"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3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29"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878"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485" w:type="dxa"/>
            <w:tcBorders/>
            <w:shd w:fill="CCCCCC" w:val="clear"/>
            <w:vAlign w:val="center"/>
          </w:tcPr>
          <w:p>
            <w:pPr>
              <w:pStyle w:val="TableContents"/>
              <w:bidi w:val="0"/>
              <w:spacing w:before="0" w:after="0"/>
              <w:jc w:val="left"/>
              <w:rPr/>
            </w:pPr>
            <w:r>
              <w:rPr/>
              <w:t> </w:t>
            </w:r>
          </w:p>
        </w:tc>
        <w:tc>
          <w:tcPr>
            <w:tcW w:w="216" w:type="dxa"/>
            <w:tcBorders/>
            <w:shd w:fill="CCCCCC"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(d)</w:t>
            </w:r>
          </w:p>
        </w:tc>
        <w:tc>
          <w:tcPr>
            <w:tcW w:w="9982"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For Mr. Ferraro for 2025, $716 of pension earnings in the Summary Compensation Total has been removed when calculating CAP, and no additional pension values have been included for any years as there are no service costs because the Avis Rent A Car System, LLC Pension Plan was frozen as of December 31, 1998. </w:t>
            </w:r>
          </w:p>
        </w:tc>
      </w:tr>
    </w:tbl>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(e)</w:t>
            </w:r>
          </w:p>
        </w:tc>
        <w:tc>
          <w:tcPr>
            <w:tcW w:w="9980"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The non-PEO NEOs for 2025 are Ms. Martins and Messrs. Cunha, Pahwa, Simhambhatla and Linnen; for 2024 are Ms. Martins and Messrs. Choi, Simhambhatla and Linnen; for 2023 and 2022 are Messrs. Choi, Hees and Simhambhatla and Ms. Martins; for 2021 are Messrs. Choi, Hees, Sita, and Rankin. </w:t>
            </w:r>
          </w:p>
        </w:tc>
      </w:tr>
    </w:tbl>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(f)</w:t>
            </w:r>
          </w:p>
        </w:tc>
        <w:tc>
          <w:tcPr>
            <w:tcW w:w="9992"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Values reflect the average total compensation as shown in the Summary Compensation Table for the non-PEO NEOs for each year shown.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42</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1" w:name="ny20066167x1_def14a_108-pvp_pg2"/>
        <w:bookmarkEnd w:id="9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(g)</w:t>
            </w:r>
          </w:p>
        </w:tc>
        <w:tc>
          <w:tcPr>
            <w:tcW w:w="9992"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In accordance with Item 402(v) of Regulation S-K, CAP is calculated first by subtracting the average of the amounts shown in the Stock Awards column of the Summary Compensation Total for each applicable year. (For 2025, the individual Stock Award amounts for our non-PEO NEOs were $1,207,176, $5,000,050, $1,150,008, $829,979 and $2,119,988. For prior years, the amount is set forth in the Summary Compensation Table shown elsewhere in this proxy or in the proxy statement for the applicable year.) Then the following adjustments are made to the calculation: </w:t>
            </w:r>
          </w:p>
        </w:tc>
      </w:tr>
    </w:tbl>
    <w:tbl>
      <w:tblPr>
        <w:tblW w:w="10205" w:type="dxa"/>
        <w:jc w:val="left"/>
        <w:tblInd w:w="0" w:type="dxa"/>
        <w:tblLayout w:type="fixed"/>
        <w:tblCellMar>
          <w:top w:w="0" w:type="dxa"/>
          <w:left w:w="0" w:type="dxa"/>
          <w:bottom w:w="0" w:type="dxa"/>
          <w:right w:w="0" w:type="dxa"/>
        </w:tblCellMar>
      </w:tblPr>
      <w:tblGrid>
        <w:gridCol w:w="185"/>
        <w:gridCol w:w="410"/>
        <w:gridCol w:w="170"/>
        <w:gridCol w:w="170"/>
        <w:gridCol w:w="1354"/>
        <w:gridCol w:w="170"/>
        <w:gridCol w:w="170"/>
        <w:gridCol w:w="1234"/>
        <w:gridCol w:w="170"/>
        <w:gridCol w:w="170"/>
        <w:gridCol w:w="1733"/>
        <w:gridCol w:w="170"/>
        <w:gridCol w:w="170"/>
        <w:gridCol w:w="1884"/>
        <w:gridCol w:w="170"/>
        <w:gridCol w:w="170"/>
        <w:gridCol w:w="1489"/>
        <w:gridCol w:w="216"/>
      </w:tblGrid>
      <w:tr>
        <w:trPr/>
        <w:tc>
          <w:tcPr>
            <w:tcW w:w="185"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3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8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89"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410" w:type="dxa"/>
            <w:tcBorders>
              <w:bottom w:val="single" w:sz="8" w:space="0" w:color="000000"/>
            </w:tcBorders>
            <w:tcMar>
              <w:bottom w:w="28" w:type="dxa"/>
            </w:tcM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Year</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354"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Fair value at 12/31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of equity awards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granted during the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year and unvested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at 12/31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34"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Fair value at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vesting of equity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awards granted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and vested in the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year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33"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Change in fair value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during the year of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equity awards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outstanding both on 1/1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and 12/31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884"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Change in fair value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during the year of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equity awards outstanding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on 1/1 that vested during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the year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489"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Forfeitures of equity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awards that had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value on 1/1 that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failed to vest during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the year ($) </w:t>
            </w:r>
          </w:p>
        </w:tc>
        <w:tc>
          <w:tcPr>
            <w:tcW w:w="216"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shd w:fill="CCCCCC" w:val="clear"/>
            <w:vAlign w:val="center"/>
          </w:tcPr>
          <w:p>
            <w:pPr>
              <w:pStyle w:val="TableContents"/>
              <w:bidi w:val="0"/>
              <w:spacing w:before="0" w:after="0"/>
              <w:jc w:val="left"/>
              <w:rPr/>
            </w:pPr>
            <w:r>
              <w:rPr/>
              <w:t> </w:t>
            </w:r>
          </w:p>
        </w:tc>
        <w:tc>
          <w:tcPr>
            <w:tcW w:w="410" w:type="dxa"/>
            <w:tcBorders/>
            <w:shd w:fill="CCCCCC"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354" w:type="dxa"/>
            <w:tcBorders/>
            <w:shd w:fill="CCCCCC" w:val="clear"/>
            <w:vAlign w:val="center"/>
          </w:tcPr>
          <w:p>
            <w:pPr>
              <w:pStyle w:val="TableContents"/>
              <w:bidi w:val="0"/>
              <w:spacing w:before="0" w:after="283"/>
              <w:ind w:left="351" w:right="0" w:hanging="0"/>
              <w:jc w:val="left"/>
              <w:rPr>
                <w:rFonts w:ascii="Arial;Helvetica;sans-serif" w:hAnsi="Arial;Helvetica;sans-serif"/>
                <w:color w:val="000000"/>
                <w:sz w:val="16"/>
              </w:rPr>
            </w:pPr>
            <w:r>
              <w:rPr>
                <w:rFonts w:ascii="Arial;Helvetica;sans-serif" w:hAnsi="Arial;Helvetica;sans-serif"/>
                <w:color w:val="000000"/>
                <w:sz w:val="16"/>
              </w:rPr>
              <w:t>1,930,175</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34" w:type="dxa"/>
            <w:tcBorders/>
            <w:shd w:fill="CCCCCC" w:val="clear"/>
            <w:vAlign w:val="center"/>
          </w:tcPr>
          <w:p>
            <w:pPr>
              <w:pStyle w:val="TableContents"/>
              <w:bidi w:val="0"/>
              <w:spacing w:before="0" w:after="283"/>
              <w:ind w:left="573"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33" w:type="dxa"/>
            <w:tcBorders/>
            <w:shd w:fill="CCCCCC" w:val="clear"/>
            <w:vAlign w:val="center"/>
          </w:tcPr>
          <w:p>
            <w:pPr>
              <w:pStyle w:val="TableContents"/>
              <w:bidi w:val="0"/>
              <w:spacing w:before="0" w:after="283"/>
              <w:ind w:left="512" w:right="0" w:hanging="0"/>
              <w:jc w:val="left"/>
              <w:rPr>
                <w:rFonts w:ascii="Arial;Helvetica;sans-serif" w:hAnsi="Arial;Helvetica;sans-serif"/>
                <w:color w:val="000000"/>
                <w:sz w:val="16"/>
              </w:rPr>
            </w:pPr>
            <w:r>
              <w:rPr>
                <w:rFonts w:ascii="Arial;Helvetica;sans-serif" w:hAnsi="Arial;Helvetica;sans-serif"/>
                <w:color w:val="000000"/>
                <w:sz w:val="16"/>
              </w:rPr>
              <w:t>244,795</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884" w:type="dxa"/>
            <w:tcBorders/>
            <w:shd w:fill="CCCCCC" w:val="clear"/>
            <w:vAlign w:val="center"/>
          </w:tcPr>
          <w:p>
            <w:pPr>
              <w:pStyle w:val="TableContents"/>
              <w:bidi w:val="0"/>
              <w:spacing w:before="0" w:after="283"/>
              <w:ind w:left="631" w:right="0" w:hanging="0"/>
              <w:jc w:val="left"/>
              <w:rPr>
                <w:rFonts w:ascii="Arial;Helvetica;sans-serif" w:hAnsi="Arial;Helvetica;sans-serif"/>
                <w:color w:val="000000"/>
                <w:sz w:val="16"/>
              </w:rPr>
            </w:pPr>
            <w:r>
              <w:rPr>
                <w:rFonts w:ascii="Arial;Helvetica;sans-serif" w:hAnsi="Arial;Helvetica;sans-serif"/>
                <w:color w:val="000000"/>
                <w:sz w:val="16"/>
              </w:rPr>
              <w:t>86,690</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489" w:type="dxa"/>
            <w:tcBorders/>
            <w:shd w:fill="CCCCCC" w:val="clear"/>
            <w:vAlign w:val="center"/>
          </w:tcPr>
          <w:p>
            <w:pPr>
              <w:pStyle w:val="TableContents"/>
              <w:bidi w:val="0"/>
              <w:spacing w:before="0" w:after="283"/>
              <w:ind w:left="458" w:right="0" w:hanging="0"/>
              <w:jc w:val="left"/>
              <w:rPr>
                <w:rFonts w:ascii="Arial;Helvetica;sans-serif" w:hAnsi="Arial;Helvetica;sans-serif"/>
                <w:color w:val="000000"/>
                <w:sz w:val="16"/>
              </w:rPr>
            </w:pPr>
            <w:r>
              <w:rPr>
                <w:rFonts w:ascii="Arial;Helvetica;sans-serif" w:hAnsi="Arial;Helvetica;sans-serif"/>
                <w:color w:val="000000"/>
                <w:sz w:val="16"/>
              </w:rPr>
              <w:t xml:space="preserve">(578,621) </w:t>
            </w:r>
          </w:p>
        </w:tc>
        <w:tc>
          <w:tcPr>
            <w:tcW w:w="216" w:type="dxa"/>
            <w:tcBorders/>
            <w:shd w:fill="CCCCCC"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4" w:type="dxa"/>
            <w:tcBorders/>
            <w:vAlign w:val="center"/>
          </w:tcPr>
          <w:p>
            <w:pPr>
              <w:pStyle w:val="TableContents"/>
              <w:bidi w:val="0"/>
              <w:spacing w:before="0" w:after="283"/>
              <w:ind w:left="351" w:right="0" w:hanging="0"/>
              <w:jc w:val="left"/>
              <w:rPr>
                <w:rFonts w:ascii="Arial;Helvetica;sans-serif" w:hAnsi="Arial;Helvetica;sans-serif"/>
                <w:color w:val="000000"/>
                <w:sz w:val="16"/>
              </w:rPr>
            </w:pPr>
            <w:r>
              <w:rPr>
                <w:rFonts w:ascii="Arial;Helvetica;sans-serif" w:hAnsi="Arial;Helvetica;sans-serif"/>
                <w:color w:val="000000"/>
                <w:sz w:val="16"/>
              </w:rPr>
              <w:t>704,965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4" w:type="dxa"/>
            <w:tcBorders/>
            <w:vAlign w:val="center"/>
          </w:tcPr>
          <w:p>
            <w:pPr>
              <w:pStyle w:val="TableContents"/>
              <w:bidi w:val="0"/>
              <w:spacing w:before="0" w:after="283"/>
              <w:ind w:left="57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33" w:type="dxa"/>
            <w:tcBorders/>
            <w:vAlign w:val="center"/>
          </w:tcPr>
          <w:p>
            <w:pPr>
              <w:pStyle w:val="TableContents"/>
              <w:bidi w:val="0"/>
              <w:spacing w:before="0" w:after="283"/>
              <w:ind w:left="512" w:right="0" w:hanging="0"/>
              <w:jc w:val="left"/>
              <w:rPr>
                <w:rFonts w:ascii="Arial;Helvetica;sans-serif" w:hAnsi="Arial;Helvetica;sans-serif"/>
                <w:color w:val="000000"/>
                <w:sz w:val="16"/>
              </w:rPr>
            </w:pPr>
            <w:r>
              <w:rPr>
                <w:rFonts w:ascii="Arial;Helvetica;sans-serif" w:hAnsi="Arial;Helvetica;sans-serif"/>
                <w:color w:val="000000"/>
                <w:sz w:val="16"/>
              </w:rPr>
              <w:t>(1,848,540)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84" w:type="dxa"/>
            <w:tcBorders/>
            <w:vAlign w:val="center"/>
          </w:tcPr>
          <w:p>
            <w:pPr>
              <w:pStyle w:val="TableContents"/>
              <w:bidi w:val="0"/>
              <w:spacing w:before="0" w:after="283"/>
              <w:ind w:left="631" w:right="0" w:hanging="0"/>
              <w:jc w:val="left"/>
              <w:rPr>
                <w:rFonts w:ascii="Arial;Helvetica;sans-serif" w:hAnsi="Arial;Helvetica;sans-serif"/>
                <w:color w:val="000000"/>
                <w:sz w:val="16"/>
              </w:rPr>
            </w:pPr>
            <w:r>
              <w:rPr>
                <w:rFonts w:ascii="Arial;Helvetica;sans-serif" w:hAnsi="Arial;Helvetica;sans-serif"/>
                <w:color w:val="000000"/>
                <w:sz w:val="16"/>
              </w:rPr>
              <w:t>(1,155,076)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89" w:type="dxa"/>
            <w:tcBorders/>
            <w:vAlign w:val="center"/>
          </w:tcPr>
          <w:p>
            <w:pPr>
              <w:pStyle w:val="TableContents"/>
              <w:bidi w:val="0"/>
              <w:spacing w:before="0" w:after="283"/>
              <w:ind w:left="458" w:right="0" w:hanging="0"/>
              <w:jc w:val="left"/>
              <w:rPr>
                <w:color w:val="000000"/>
              </w:rPr>
            </w:pPr>
            <w:r>
              <w:rPr>
                <w:color w:val="000000"/>
              </w:rPr>
              <w:t xml:space="preserve">— </w:t>
            </w:r>
          </w:p>
        </w:tc>
        <w:tc>
          <w:tcPr>
            <w:tcW w:w="216" w:type="dxa"/>
            <w:tcBorders/>
            <w:vAlign w:val="center"/>
          </w:tcPr>
          <w:p>
            <w:pPr>
              <w:pStyle w:val="TableContents"/>
              <w:bidi w:val="0"/>
              <w:spacing w:before="0" w:after="0"/>
              <w:jc w:val="left"/>
              <w:rPr/>
            </w:pPr>
            <w:r>
              <w:rPr/>
              <w:t> </w:t>
            </w:r>
          </w:p>
        </w:tc>
      </w:tr>
      <w:tr>
        <w:trPr/>
        <w:tc>
          <w:tcPr>
            <w:tcW w:w="185" w:type="dxa"/>
            <w:tcBorders/>
            <w:shd w:fill="CCCCCC" w:val="clear"/>
            <w:vAlign w:val="center"/>
          </w:tcPr>
          <w:p>
            <w:pPr>
              <w:pStyle w:val="TableContents"/>
              <w:bidi w:val="0"/>
              <w:spacing w:before="0" w:after="0"/>
              <w:jc w:val="left"/>
              <w:rPr/>
            </w:pPr>
            <w:r>
              <w:rPr/>
              <w:t> </w:t>
            </w:r>
          </w:p>
        </w:tc>
        <w:tc>
          <w:tcPr>
            <w:tcW w:w="410" w:type="dxa"/>
            <w:tcBorders/>
            <w:shd w:fill="CCCCCC"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2023</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354" w:type="dxa"/>
            <w:tcBorders/>
            <w:shd w:fill="CCCCCC" w:val="clear"/>
            <w:vAlign w:val="center"/>
          </w:tcPr>
          <w:p>
            <w:pPr>
              <w:pStyle w:val="TableContents"/>
              <w:bidi w:val="0"/>
              <w:spacing w:before="0" w:after="283"/>
              <w:ind w:left="351" w:right="0" w:hanging="0"/>
              <w:jc w:val="left"/>
              <w:rPr>
                <w:rFonts w:ascii="Arial;Helvetica;sans-serif" w:hAnsi="Arial;Helvetica;sans-serif"/>
                <w:color w:val="000000"/>
                <w:sz w:val="16"/>
              </w:rPr>
            </w:pPr>
            <w:r>
              <w:rPr>
                <w:rFonts w:ascii="Arial;Helvetica;sans-serif" w:hAnsi="Arial;Helvetica;sans-serif"/>
                <w:color w:val="000000"/>
                <w:sz w:val="16"/>
              </w:rPr>
              <w:t>1,818,532</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34" w:type="dxa"/>
            <w:tcBorders/>
            <w:shd w:fill="CCCCCC" w:val="clear"/>
            <w:vAlign w:val="center"/>
          </w:tcPr>
          <w:p>
            <w:pPr>
              <w:pStyle w:val="TableContents"/>
              <w:bidi w:val="0"/>
              <w:spacing w:before="0" w:after="283"/>
              <w:ind w:left="573"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33" w:type="dxa"/>
            <w:tcBorders/>
            <w:shd w:fill="CCCCCC" w:val="clear"/>
            <w:vAlign w:val="center"/>
          </w:tcPr>
          <w:p>
            <w:pPr>
              <w:pStyle w:val="TableContents"/>
              <w:bidi w:val="0"/>
              <w:spacing w:before="0" w:after="283"/>
              <w:ind w:left="512" w:right="0" w:hanging="0"/>
              <w:jc w:val="left"/>
              <w:rPr>
                <w:rFonts w:ascii="Arial;Helvetica;sans-serif" w:hAnsi="Arial;Helvetica;sans-serif"/>
                <w:color w:val="000000"/>
                <w:sz w:val="16"/>
              </w:rPr>
            </w:pPr>
            <w:r>
              <w:rPr>
                <w:rFonts w:ascii="Arial;Helvetica;sans-serif" w:hAnsi="Arial;Helvetica;sans-serif"/>
                <w:color w:val="000000"/>
                <w:sz w:val="16"/>
              </w:rPr>
              <w:t>263,742</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884" w:type="dxa"/>
            <w:tcBorders/>
            <w:shd w:fill="CCCCCC" w:val="clear"/>
            <w:vAlign w:val="center"/>
          </w:tcPr>
          <w:p>
            <w:pPr>
              <w:pStyle w:val="TableContents"/>
              <w:bidi w:val="0"/>
              <w:spacing w:before="0" w:after="283"/>
              <w:ind w:left="631" w:right="0" w:hanging="0"/>
              <w:jc w:val="left"/>
              <w:rPr>
                <w:rFonts w:ascii="Arial;Helvetica;sans-serif" w:hAnsi="Arial;Helvetica;sans-serif"/>
                <w:color w:val="000000"/>
                <w:sz w:val="16"/>
              </w:rPr>
            </w:pPr>
            <w:r>
              <w:rPr>
                <w:rFonts w:ascii="Arial;Helvetica;sans-serif" w:hAnsi="Arial;Helvetica;sans-serif"/>
                <w:color w:val="000000"/>
                <w:sz w:val="16"/>
              </w:rPr>
              <w:t>1,618,281</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489" w:type="dxa"/>
            <w:tcBorders/>
            <w:shd w:fill="CCCCCC" w:val="clear"/>
            <w:vAlign w:val="center"/>
          </w:tcPr>
          <w:p>
            <w:pPr>
              <w:pStyle w:val="TableContents"/>
              <w:bidi w:val="0"/>
              <w:spacing w:before="0" w:after="283"/>
              <w:ind w:left="458" w:right="0" w:hanging="0"/>
              <w:jc w:val="left"/>
              <w:rPr>
                <w:color w:val="000000"/>
              </w:rPr>
            </w:pPr>
            <w:r>
              <w:rPr>
                <w:color w:val="000000"/>
              </w:rPr>
              <w:t xml:space="preserve">— </w:t>
            </w:r>
          </w:p>
        </w:tc>
        <w:tc>
          <w:tcPr>
            <w:tcW w:w="216" w:type="dxa"/>
            <w:tcBorders/>
            <w:shd w:fill="CCCCCC"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10"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54" w:type="dxa"/>
            <w:tcBorders/>
            <w:vAlign w:val="center"/>
          </w:tcPr>
          <w:p>
            <w:pPr>
              <w:pStyle w:val="TableContents"/>
              <w:bidi w:val="0"/>
              <w:spacing w:before="0" w:after="283"/>
              <w:ind w:left="351" w:right="0" w:hanging="0"/>
              <w:jc w:val="left"/>
              <w:rPr>
                <w:rFonts w:ascii="Arial;Helvetica;sans-serif" w:hAnsi="Arial;Helvetica;sans-serif"/>
                <w:color w:val="000000"/>
                <w:sz w:val="16"/>
              </w:rPr>
            </w:pPr>
            <w:r>
              <w:rPr>
                <w:rFonts w:ascii="Arial;Helvetica;sans-serif" w:hAnsi="Arial;Helvetica;sans-serif"/>
                <w:color w:val="000000"/>
                <w:sz w:val="16"/>
              </w:rPr>
              <w:t>3,955,662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34" w:type="dxa"/>
            <w:tcBorders/>
            <w:vAlign w:val="center"/>
          </w:tcPr>
          <w:p>
            <w:pPr>
              <w:pStyle w:val="TableContents"/>
              <w:bidi w:val="0"/>
              <w:spacing w:before="0" w:after="283"/>
              <w:ind w:left="57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33" w:type="dxa"/>
            <w:tcBorders/>
            <w:vAlign w:val="center"/>
          </w:tcPr>
          <w:p>
            <w:pPr>
              <w:pStyle w:val="TableContents"/>
              <w:bidi w:val="0"/>
              <w:spacing w:before="0" w:after="283"/>
              <w:ind w:left="512" w:right="0" w:hanging="0"/>
              <w:jc w:val="left"/>
              <w:rPr>
                <w:rFonts w:ascii="Arial;Helvetica;sans-serif" w:hAnsi="Arial;Helvetica;sans-serif"/>
                <w:color w:val="000000"/>
                <w:sz w:val="16"/>
              </w:rPr>
            </w:pPr>
            <w:r>
              <w:rPr>
                <w:rFonts w:ascii="Arial;Helvetica;sans-serif" w:hAnsi="Arial;Helvetica;sans-serif"/>
                <w:color w:val="000000"/>
                <w:sz w:val="16"/>
              </w:rPr>
              <w:t>(1,719,420)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84" w:type="dxa"/>
            <w:tcBorders/>
            <w:vAlign w:val="center"/>
          </w:tcPr>
          <w:p>
            <w:pPr>
              <w:pStyle w:val="TableContents"/>
              <w:bidi w:val="0"/>
              <w:spacing w:before="0" w:after="283"/>
              <w:ind w:left="631" w:right="0" w:hanging="0"/>
              <w:jc w:val="left"/>
              <w:rPr>
                <w:rFonts w:ascii="Arial;Helvetica;sans-serif" w:hAnsi="Arial;Helvetica;sans-serif"/>
                <w:color w:val="000000"/>
                <w:sz w:val="16"/>
              </w:rPr>
            </w:pPr>
            <w:r>
              <w:rPr>
                <w:rFonts w:ascii="Arial;Helvetica;sans-serif" w:hAnsi="Arial;Helvetica;sans-serif"/>
                <w:color w:val="000000"/>
                <w:sz w:val="16"/>
              </w:rPr>
              <w:t>(980,296)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89" w:type="dxa"/>
            <w:tcBorders/>
            <w:vAlign w:val="center"/>
          </w:tcPr>
          <w:p>
            <w:pPr>
              <w:pStyle w:val="TableContents"/>
              <w:bidi w:val="0"/>
              <w:spacing w:before="0" w:after="283"/>
              <w:ind w:left="458" w:right="0" w:hanging="0"/>
              <w:jc w:val="left"/>
              <w:rPr>
                <w:color w:val="000000"/>
              </w:rPr>
            </w:pPr>
            <w:r>
              <w:rPr>
                <w:color w:val="000000"/>
              </w:rPr>
              <w:t xml:space="preserve">— </w:t>
            </w:r>
          </w:p>
        </w:tc>
        <w:tc>
          <w:tcPr>
            <w:tcW w:w="216" w:type="dxa"/>
            <w:tcBorders/>
            <w:vAlign w:val="center"/>
          </w:tcPr>
          <w:p>
            <w:pPr>
              <w:pStyle w:val="TableContents"/>
              <w:bidi w:val="0"/>
              <w:spacing w:before="0" w:after="0"/>
              <w:jc w:val="left"/>
              <w:rPr/>
            </w:pPr>
            <w:r>
              <w:rPr/>
              <w:t> </w:t>
            </w:r>
          </w:p>
        </w:tc>
      </w:tr>
      <w:tr>
        <w:trPr/>
        <w:tc>
          <w:tcPr>
            <w:tcW w:w="185" w:type="dxa"/>
            <w:tcBorders/>
            <w:shd w:fill="CCCCCC" w:val="clear"/>
            <w:vAlign w:val="center"/>
          </w:tcPr>
          <w:p>
            <w:pPr>
              <w:pStyle w:val="TableContents"/>
              <w:bidi w:val="0"/>
              <w:spacing w:before="0" w:after="0"/>
              <w:jc w:val="left"/>
              <w:rPr/>
            </w:pPr>
            <w:r>
              <w:rPr/>
              <w:t> </w:t>
            </w:r>
          </w:p>
        </w:tc>
        <w:tc>
          <w:tcPr>
            <w:tcW w:w="410" w:type="dxa"/>
            <w:tcBorders/>
            <w:shd w:fill="CCCCCC"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2021</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354" w:type="dxa"/>
            <w:tcBorders/>
            <w:shd w:fill="CCCCCC" w:val="clear"/>
            <w:vAlign w:val="center"/>
          </w:tcPr>
          <w:p>
            <w:pPr>
              <w:pStyle w:val="TableContents"/>
              <w:bidi w:val="0"/>
              <w:spacing w:before="0" w:after="283"/>
              <w:ind w:left="351" w:right="0" w:hanging="0"/>
              <w:jc w:val="left"/>
              <w:rPr>
                <w:rFonts w:ascii="Arial;Helvetica;sans-serif" w:hAnsi="Arial;Helvetica;sans-serif"/>
                <w:color w:val="000000"/>
                <w:sz w:val="16"/>
              </w:rPr>
            </w:pPr>
            <w:r>
              <w:rPr>
                <w:rFonts w:ascii="Arial;Helvetica;sans-serif" w:hAnsi="Arial;Helvetica;sans-serif"/>
                <w:color w:val="000000"/>
                <w:sz w:val="16"/>
              </w:rPr>
              <w:t>6,595,092</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34" w:type="dxa"/>
            <w:tcBorders/>
            <w:shd w:fill="CCCCCC" w:val="clear"/>
            <w:vAlign w:val="center"/>
          </w:tcPr>
          <w:p>
            <w:pPr>
              <w:pStyle w:val="TableContents"/>
              <w:bidi w:val="0"/>
              <w:spacing w:before="0" w:after="283"/>
              <w:ind w:left="573" w:right="0" w:hanging="0"/>
              <w:jc w:val="left"/>
              <w:rPr>
                <w:color w:val="000000"/>
              </w:rPr>
            </w:pPr>
            <w:r>
              <w:rPr>
                <w:color w:val="000000"/>
              </w:rPr>
              <w: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33" w:type="dxa"/>
            <w:tcBorders/>
            <w:shd w:fill="CCCCCC" w:val="clear"/>
            <w:vAlign w:val="center"/>
          </w:tcPr>
          <w:p>
            <w:pPr>
              <w:pStyle w:val="TableContents"/>
              <w:bidi w:val="0"/>
              <w:spacing w:before="0" w:after="283"/>
              <w:ind w:left="512" w:right="0" w:hanging="0"/>
              <w:jc w:val="left"/>
              <w:rPr>
                <w:rFonts w:ascii="Arial;Helvetica;sans-serif" w:hAnsi="Arial;Helvetica;sans-serif"/>
                <w:color w:val="000000"/>
                <w:sz w:val="16"/>
              </w:rPr>
            </w:pPr>
            <w:r>
              <w:rPr>
                <w:rFonts w:ascii="Arial;Helvetica;sans-serif" w:hAnsi="Arial;Helvetica;sans-serif"/>
                <w:color w:val="000000"/>
                <w:sz w:val="16"/>
              </w:rPr>
              <w:t>11,794,300</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884" w:type="dxa"/>
            <w:tcBorders/>
            <w:shd w:fill="CCCCCC" w:val="clear"/>
            <w:vAlign w:val="center"/>
          </w:tcPr>
          <w:p>
            <w:pPr>
              <w:pStyle w:val="TableContents"/>
              <w:bidi w:val="0"/>
              <w:spacing w:before="0" w:after="283"/>
              <w:ind w:left="631" w:right="0" w:hanging="0"/>
              <w:jc w:val="left"/>
              <w:rPr>
                <w:rFonts w:ascii="Arial;Helvetica;sans-serif" w:hAnsi="Arial;Helvetica;sans-serif"/>
                <w:color w:val="000000"/>
                <w:sz w:val="16"/>
              </w:rPr>
            </w:pPr>
            <w:r>
              <w:rPr>
                <w:rFonts w:ascii="Arial;Helvetica;sans-serif" w:hAnsi="Arial;Helvetica;sans-serif"/>
                <w:color w:val="000000"/>
                <w:sz w:val="16"/>
              </w:rPr>
              <w:t>1,534,325</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489" w:type="dxa"/>
            <w:tcBorders/>
            <w:shd w:fill="CCCCCC" w:val="clear"/>
            <w:vAlign w:val="center"/>
          </w:tcPr>
          <w:p>
            <w:pPr>
              <w:pStyle w:val="TableContents"/>
              <w:bidi w:val="0"/>
              <w:spacing w:before="0" w:after="283"/>
              <w:ind w:left="458" w:right="0" w:hanging="0"/>
              <w:jc w:val="left"/>
              <w:rPr>
                <w:color w:val="000000"/>
              </w:rPr>
            </w:pPr>
            <w:r>
              <w:rPr>
                <w:color w:val="000000"/>
              </w:rPr>
              <w:t>—</w:t>
            </w:r>
          </w:p>
        </w:tc>
        <w:tc>
          <w:tcPr>
            <w:tcW w:w="216" w:type="dxa"/>
            <w:tcBorders/>
            <w:shd w:fill="CCCCCC" w:val="clear"/>
            <w:vAlign w:val="center"/>
          </w:tcPr>
          <w:p>
            <w:pPr>
              <w:pStyle w:val="TableContents"/>
              <w:bidi w:val="0"/>
              <w:spacing w:before="0" w:after="0"/>
              <w:jc w:val="left"/>
              <w:rPr/>
            </w:pPr>
            <w:r>
              <w:rPr/>
              <w:t> </w:t>
            </w:r>
          </w:p>
        </w:tc>
      </w:tr>
      <w:tr>
        <w:trPr/>
        <w:tc>
          <w:tcPr>
            <w:tcW w:w="185" w:type="dxa"/>
            <w:tcBorders/>
            <w:shd w:fill="CCCCCC" w:val="clear"/>
            <w:vAlign w:val="center"/>
          </w:tcPr>
          <w:p>
            <w:pPr>
              <w:pStyle w:val="TableContents"/>
              <w:bidi w:val="0"/>
              <w:spacing w:before="0" w:after="0"/>
              <w:jc w:val="left"/>
              <w:rPr/>
            </w:pPr>
            <w:r>
              <w:rPr/>
              <w:t> </w:t>
            </w:r>
          </w:p>
        </w:tc>
        <w:tc>
          <w:tcPr>
            <w:tcW w:w="41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354"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34"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33"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884"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489" w:type="dxa"/>
            <w:tcBorders/>
            <w:shd w:fill="CCCCCC" w:val="clear"/>
            <w:vAlign w:val="center"/>
          </w:tcPr>
          <w:p>
            <w:pPr>
              <w:pStyle w:val="TableContents"/>
              <w:bidi w:val="0"/>
              <w:spacing w:before="0" w:after="0"/>
              <w:jc w:val="left"/>
              <w:rPr/>
            </w:pPr>
            <w:r>
              <w:rPr/>
              <w:t> </w:t>
            </w:r>
          </w:p>
        </w:tc>
        <w:tc>
          <w:tcPr>
            <w:tcW w:w="216" w:type="dxa"/>
            <w:tcBorders/>
            <w:shd w:fill="CCCCCC"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(h)</w:t>
            </w:r>
          </w:p>
        </w:tc>
        <w:tc>
          <w:tcPr>
            <w:tcW w:w="9985"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Total Shareholder Return (“TSR”) is determined based on the value of an initial fixed investment of $100 on December 31, 2020. The peer group TSR reflects the Dow Jones US Transportation Average Index, which we also use in the stock performance graph required by Item 201(e) of Regulation S-K under the Exchange Act and included in our 2025 Form 10-K. </w:t>
            </w:r>
          </w:p>
        </w:tc>
      </w:tr>
    </w:tbl>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(i)</w:t>
            </w:r>
          </w:p>
        </w:tc>
        <w:tc>
          <w:tcPr>
            <w:tcW w:w="10059"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The Company-selected measure is Adjusted EBITDA, which is a non-GAAP financial metric. We define Adjusted EBITDA as income (loss) from continuing operations before non-vehicle related depreciation and amortization; long-lived asset impairment and other related charges; other fleet charges; restructuring and other related charges; early extinguishment of debt costs; non-vehicle related interest; transaction-related costs, net; legal matters, net, which primarily includes amounts recorded in excess of $5 million, related to unprecedented self-insurance reserves for allocated loss adjustment expense, class action lawsuits and personal injury matters; non-operational charges related to shareholder activist activity, which includes third party advisory, legal and other professional fees; COVID-19 charges, net; cloud computing costs; other (income) expense, net; severe weather-related damages in excess of $5 million, net of insurance proceeds; and income taxes. This non-GAAP measure is a performance metric in our incentive programs, as described in the Compensation Discussion and Analysis section above. </w:t>
            </w:r>
          </w:p>
        </w:tc>
      </w:tr>
    </w:tbl>
    <w:p>
      <w:pPr>
        <w:pStyle w:val="TextBody"/>
        <w:bidi w:val="0"/>
        <w:spacing w:before="39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Most Important Financial Measures </w:t>
      </w:r>
    </w:p>
    <w:p>
      <w:pPr>
        <w:pStyle w:val="TextBody"/>
        <w:bidi w:val="0"/>
        <w:spacing w:before="120" w:after="283"/>
        <w:ind w:left="0" w:right="0" w:firstLine="400"/>
        <w:jc w:val="both"/>
        <w:rPr>
          <w:rFonts w:ascii="Arial;Helvetica;sans-serif" w:hAnsi="Arial;Helvetica;sans-serif"/>
          <w:color w:val="000000"/>
          <w:sz w:val="20"/>
        </w:rPr>
      </w:pPr>
      <w:r>
        <w:rPr>
          <w:rFonts w:ascii="Arial;Helvetica;sans-serif" w:hAnsi="Arial;Helvetica;sans-serif"/>
          <w:color w:val="000000"/>
          <w:sz w:val="20"/>
        </w:rPr>
        <w:t xml:space="preserve">The financial measures determined to be most important by the Committee under our incentive compensation programs are as follows: </w:t>
      </w:r>
    </w:p>
    <w:tbl>
      <w:tblPr>
        <w:tblW w:w="5955" w:type="dxa"/>
        <w:jc w:val="left"/>
        <w:tblInd w:w="0" w:type="dxa"/>
        <w:tblLayout w:type="fixed"/>
        <w:tblCellMar>
          <w:top w:w="0" w:type="dxa"/>
          <w:left w:w="0" w:type="dxa"/>
          <w:bottom w:w="0" w:type="dxa"/>
          <w:right w:w="0" w:type="dxa"/>
        </w:tblCellMar>
      </w:tblPr>
      <w:tblGrid>
        <w:gridCol w:w="185"/>
        <w:gridCol w:w="1595"/>
        <w:gridCol w:w="170"/>
        <w:gridCol w:w="170"/>
        <w:gridCol w:w="815"/>
        <w:gridCol w:w="170"/>
        <w:gridCol w:w="170"/>
        <w:gridCol w:w="1220"/>
        <w:gridCol w:w="170"/>
        <w:gridCol w:w="170"/>
        <w:gridCol w:w="905"/>
        <w:gridCol w:w="215"/>
      </w:tblGrid>
      <w:tr>
        <w:trPr/>
        <w:tc>
          <w:tcPr>
            <w:tcW w:w="185" w:type="dxa"/>
            <w:tcBorders/>
            <w:shd w:fill="CCCCCC" w:val="clear"/>
            <w:vAlign w:val="center"/>
          </w:tcPr>
          <w:p>
            <w:pPr>
              <w:pStyle w:val="TableContents"/>
              <w:bidi w:val="0"/>
              <w:spacing w:before="0" w:after="0"/>
              <w:jc w:val="left"/>
              <w:rPr/>
            </w:pPr>
            <w:r>
              <w:rPr/>
              <w:t> </w:t>
            </w:r>
          </w:p>
        </w:tc>
        <w:tc>
          <w:tcPr>
            <w:tcW w:w="1595"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15"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2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905" w:type="dxa"/>
            <w:tcBorders/>
            <w:shd w:fill="CCCCCC" w:val="clear"/>
            <w:vAlign w:val="center"/>
          </w:tcPr>
          <w:p>
            <w:pPr>
              <w:pStyle w:val="TableContents"/>
              <w:bidi w:val="0"/>
              <w:spacing w:before="0" w:after="0"/>
              <w:jc w:val="left"/>
              <w:rPr/>
            </w:pPr>
            <w:r>
              <w:rPr/>
              <w:t> </w:t>
            </w:r>
          </w:p>
        </w:tc>
        <w:tc>
          <w:tcPr>
            <w:tcW w:w="215" w:type="dxa"/>
            <w:tcBorders/>
            <w:shd w:fill="CCCCCC" w:val="clear"/>
            <w:vAlign w:val="center"/>
          </w:tcPr>
          <w:p>
            <w:pPr>
              <w:pStyle w:val="TableContents"/>
              <w:bidi w:val="0"/>
              <w:spacing w:before="0" w:after="0"/>
              <w:jc w:val="left"/>
              <w:rPr/>
            </w:pPr>
            <w:r>
              <w:rPr/>
              <w:t> </w:t>
            </w:r>
          </w:p>
        </w:tc>
      </w:tr>
      <w:tr>
        <w:trPr/>
        <w:tc>
          <w:tcPr>
            <w:tcW w:w="185" w:type="dxa"/>
            <w:tcBorders/>
            <w:shd w:fill="CCCCCC" w:val="clear"/>
            <w:vAlign w:val="center"/>
          </w:tcPr>
          <w:p>
            <w:pPr>
              <w:pStyle w:val="TableContents"/>
              <w:bidi w:val="0"/>
              <w:spacing w:before="0" w:after="0"/>
              <w:jc w:val="left"/>
              <w:rPr/>
            </w:pPr>
            <w:r>
              <w:rPr/>
              <w:t> </w:t>
            </w:r>
          </w:p>
        </w:tc>
        <w:tc>
          <w:tcPr>
            <w:tcW w:w="1595" w:type="dxa"/>
            <w:tcBorders/>
            <w:shd w:fill="CCCCCC" w:val="cle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Adjusted EBITDA</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15" w:type="dxa"/>
            <w:tcBorders/>
            <w:shd w:fill="CCCCCC"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Revenue</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220" w:type="dxa"/>
            <w:tcBorders/>
            <w:shd w:fill="CCCCCC"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Variable Cost</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905" w:type="dxa"/>
            <w:tcBorders/>
            <w:shd w:fill="CCCCCC"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Utilization</w:t>
            </w:r>
          </w:p>
        </w:tc>
        <w:tc>
          <w:tcPr>
            <w:tcW w:w="215" w:type="dxa"/>
            <w:tcBorders/>
            <w:shd w:fill="CCCCCC" w:val="clear"/>
            <w:vAlign w:val="center"/>
          </w:tcPr>
          <w:p>
            <w:pPr>
              <w:pStyle w:val="TableContents"/>
              <w:bidi w:val="0"/>
              <w:spacing w:before="0" w:after="0"/>
              <w:jc w:val="left"/>
              <w:rPr/>
            </w:pPr>
            <w:r>
              <w:rPr/>
              <w:t> </w:t>
            </w:r>
          </w:p>
        </w:tc>
      </w:tr>
    </w:tbl>
    <w:p>
      <w:pPr>
        <w:pStyle w:val="TextBody"/>
        <w:bidi w:val="0"/>
        <w:spacing w:before="36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Analysis of the Information Presented in the Pay Versus Performance Table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As required by Item 402(v) of Regulation S-K, the Company is providing the following descriptions of the relationships between CAP and the metrics presented in the Pay Versus Performance table.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For the period shown in the table above, the amount of CAP generally is aligned with the Company’s TSR. For this same period, our TSR has exceeded that of the peer group TSR presented in the table. The alignment of CAP with the Company’s TSR (and its relative TSR to the peer group) over the period presented is because a significant portion of the CAP is in the form of equity awards the value of which varies year to year for purposes of this table depending on the stock price (including for unvested awards). For example, our TSR for the period ending 2025 increased compared to the period ending 2024, and the CAP also increased from 2024 to 2025, whereas CAP had decreased from 2023 to 2024 when our TSR for the relative periods also decreased.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While the Company does not use net income as a performance measure in its executive compensation program, the measure of net income is correlated with the measure of Adjusted EBITDA, which is a performance goal under both the annual and long-term incentive compensation programs. As shown in the table above, the amount of CAP does not necessarily align with the Company’s net income and Adjusted EBITDA over the five years presented in the table, primarily as a result of the impact of stock price on the calculation of CAP (including for awards that remain unvested and unearned) as described above.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43</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2" w:name="ny20066167x1_def14a_109-comp_pg1"/>
        <w:bookmarkEnd w:id="92"/>
        <w:r>
          <w:rPr>
            <w:rStyle w:val="InternetLink"/>
            <w:rFonts w:ascii="Times New Roman;Times;Serif" w:hAnsi="Times New Roman;Times;Serif"/>
            <w:b/>
            <w:caps w:val="false"/>
            <w:smallCaps w:val="false"/>
            <w:color w:val="000000"/>
            <w:sz w:val="16"/>
          </w:rPr>
          <w:t>TABLE OF CONTENTS</w:t>
        </w:r>
      </w:hyperlink>
    </w:p>
    <w:p>
      <w:pPr>
        <w:pStyle w:val="TextBody"/>
        <w:bidi w:val="0"/>
        <w:spacing w:before="270" w:after="283"/>
        <w:ind w:left="0" w:right="0" w:hanging="0"/>
        <w:jc w:val="left"/>
        <w:rPr>
          <w:rFonts w:ascii="Arial;Helvetica;sans-serif" w:hAnsi="Arial;Helvetica;sans-serif"/>
          <w:b/>
          <w:color w:val="000000"/>
          <w:sz w:val="40"/>
        </w:rPr>
      </w:pPr>
      <w:bookmarkStart w:id="93" w:name="tDCN2"/>
      <w:bookmarkEnd w:id="93"/>
      <w:r>
        <w:rPr>
          <w:rFonts w:ascii="Arial;Helvetica;sans-serif" w:hAnsi="Arial;Helvetica;sans-serif"/>
          <w:b/>
          <w:color w:val="000000"/>
          <w:sz w:val="40"/>
        </w:rPr>
        <w:t xml:space="preserve">Director Compensation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For 2025, our non-employee directors were eligible to receive an annual director retainer of $250,000. To reflect their additional responsibilities, the Lead Independent Director and the chairs and members of the Audit, Compensation and Corporate Governance Committees were also eligible to receive additional annual retainers in 2025 at the rates set forth below. </w:t>
      </w:r>
    </w:p>
    <w:tbl>
      <w:tblPr>
        <w:tblW w:w="5670" w:type="dxa"/>
        <w:jc w:val="left"/>
        <w:tblInd w:w="0" w:type="dxa"/>
        <w:tblLayout w:type="fixed"/>
        <w:tblCellMar>
          <w:top w:w="0" w:type="dxa"/>
          <w:left w:w="0" w:type="dxa"/>
          <w:bottom w:w="0" w:type="dxa"/>
          <w:right w:w="0" w:type="dxa"/>
        </w:tblCellMar>
      </w:tblPr>
      <w:tblGrid>
        <w:gridCol w:w="185"/>
        <w:gridCol w:w="3215"/>
        <w:gridCol w:w="170"/>
        <w:gridCol w:w="170"/>
        <w:gridCol w:w="1715"/>
        <w:gridCol w:w="215"/>
      </w:tblGrid>
      <w:tr>
        <w:trPr/>
        <w:tc>
          <w:tcPr>
            <w:tcW w:w="185" w:type="dxa"/>
            <w:tcBorders/>
            <w:vAlign w:val="center"/>
          </w:tcPr>
          <w:p>
            <w:pPr>
              <w:pStyle w:val="TableContents"/>
              <w:bidi w:val="0"/>
              <w:spacing w:before="0" w:after="0"/>
              <w:jc w:val="left"/>
              <w:rPr/>
            </w:pPr>
            <w:r>
              <w:rPr/>
              <w:t> </w:t>
            </w:r>
          </w:p>
        </w:tc>
        <w:tc>
          <w:tcPr>
            <w:tcW w:w="32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215"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15"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Annual Retainers ($)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3215" w:type="dxa"/>
            <w:tcBorders>
              <w:bottom w:val="single" w:sz="8" w:space="0" w:color="000000"/>
            </w:tcBorders>
            <w:shd w:fill="CCCCCC" w:val="clear"/>
            <w:tcMar>
              <w:bottom w:w="3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Lead Independent Director</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15" w:type="dxa"/>
            <w:tcBorders>
              <w:bottom w:val="single" w:sz="8" w:space="0" w:color="000000"/>
            </w:tcBorders>
            <w:shd w:fill="CCCCCC" w:val="clear"/>
            <w:tcMar>
              <w:bottom w:w="38" w:type="dxa"/>
            </w:tcMar>
            <w:vAlign w:val="center"/>
          </w:tcPr>
          <w:p>
            <w:pPr>
              <w:pStyle w:val="TableContents"/>
              <w:bidi w:val="0"/>
              <w:spacing w:before="0" w:after="283"/>
              <w:ind w:left="533" w:right="0" w:hanging="0"/>
              <w:jc w:val="left"/>
              <w:rPr>
                <w:rFonts w:ascii="Arial;Helvetica;sans-serif" w:hAnsi="Arial;Helvetica;sans-serif"/>
                <w:color w:val="000000"/>
                <w:sz w:val="16"/>
              </w:rPr>
            </w:pPr>
            <w:r>
              <w:rPr>
                <w:rFonts w:ascii="Arial;Helvetica;sans-serif" w:hAnsi="Arial;Helvetica;sans-serif"/>
                <w:color w:val="000000"/>
                <w:sz w:val="16"/>
              </w:rPr>
              <w:t xml:space="preserve">30,000 </w:t>
            </w:r>
          </w:p>
        </w:tc>
        <w:tc>
          <w:tcPr>
            <w:tcW w:w="21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215" w:type="dxa"/>
            <w:tcBorders>
              <w:bottom w:val="single" w:sz="8" w:space="0" w:color="000000"/>
            </w:tcBorders>
            <w:tcMar>
              <w:bottom w:w="3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Audit Committee Chair</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15" w:type="dxa"/>
            <w:tcBorders>
              <w:bottom w:val="single" w:sz="8" w:space="0" w:color="000000"/>
            </w:tcBorders>
            <w:tcMar>
              <w:bottom w:w="38" w:type="dxa"/>
            </w:tcMar>
            <w:vAlign w:val="center"/>
          </w:tcPr>
          <w:p>
            <w:pPr>
              <w:pStyle w:val="TableContents"/>
              <w:bidi w:val="0"/>
              <w:spacing w:before="0" w:after="283"/>
              <w:ind w:left="533" w:right="0" w:hanging="0"/>
              <w:jc w:val="left"/>
              <w:rPr>
                <w:rFonts w:ascii="Arial;Helvetica;sans-serif" w:hAnsi="Arial;Helvetica;sans-serif"/>
                <w:color w:val="000000"/>
                <w:sz w:val="16"/>
              </w:rPr>
            </w:pPr>
            <w:r>
              <w:rPr>
                <w:rFonts w:ascii="Arial;Helvetica;sans-serif" w:hAnsi="Arial;Helvetica;sans-serif"/>
                <w:color w:val="000000"/>
                <w:sz w:val="16"/>
              </w:rPr>
              <w:t xml:space="preserve">35,000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3215" w:type="dxa"/>
            <w:tcBorders>
              <w:bottom w:val="single" w:sz="8" w:space="0" w:color="000000"/>
            </w:tcBorders>
            <w:shd w:fill="CCCCCC" w:val="clear"/>
            <w:tcMar>
              <w:bottom w:w="3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Audit Committee Member</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15" w:type="dxa"/>
            <w:tcBorders>
              <w:bottom w:val="single" w:sz="8" w:space="0" w:color="000000"/>
            </w:tcBorders>
            <w:shd w:fill="CCCCCC" w:val="clear"/>
            <w:tcMar>
              <w:bottom w:w="38" w:type="dxa"/>
            </w:tcMar>
            <w:vAlign w:val="center"/>
          </w:tcPr>
          <w:p>
            <w:pPr>
              <w:pStyle w:val="TableContents"/>
              <w:bidi w:val="0"/>
              <w:spacing w:before="0" w:after="283"/>
              <w:ind w:left="533" w:right="0" w:hanging="0"/>
              <w:jc w:val="left"/>
              <w:rPr>
                <w:rFonts w:ascii="Arial;Helvetica;sans-serif" w:hAnsi="Arial;Helvetica;sans-serif"/>
                <w:color w:val="000000"/>
                <w:sz w:val="16"/>
              </w:rPr>
            </w:pPr>
            <w:r>
              <w:rPr>
                <w:rFonts w:ascii="Arial;Helvetica;sans-serif" w:hAnsi="Arial;Helvetica;sans-serif"/>
                <w:color w:val="000000"/>
                <w:sz w:val="16"/>
              </w:rPr>
              <w:t xml:space="preserve">15,000 </w:t>
            </w:r>
          </w:p>
        </w:tc>
        <w:tc>
          <w:tcPr>
            <w:tcW w:w="21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215" w:type="dxa"/>
            <w:tcBorders>
              <w:bottom w:val="single" w:sz="8" w:space="0" w:color="000000"/>
            </w:tcBorders>
            <w:tcMar>
              <w:bottom w:w="3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Compensation Committee Chair</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15" w:type="dxa"/>
            <w:tcBorders>
              <w:bottom w:val="single" w:sz="8" w:space="0" w:color="000000"/>
            </w:tcBorders>
            <w:tcMar>
              <w:bottom w:w="38" w:type="dxa"/>
            </w:tcMar>
            <w:vAlign w:val="center"/>
          </w:tcPr>
          <w:p>
            <w:pPr>
              <w:pStyle w:val="TableContents"/>
              <w:bidi w:val="0"/>
              <w:spacing w:before="0" w:after="283"/>
              <w:ind w:left="533" w:right="0" w:hanging="0"/>
              <w:jc w:val="left"/>
              <w:rPr>
                <w:rFonts w:ascii="Arial;Helvetica;sans-serif" w:hAnsi="Arial;Helvetica;sans-serif"/>
                <w:color w:val="000000"/>
                <w:sz w:val="16"/>
              </w:rPr>
            </w:pPr>
            <w:r>
              <w:rPr>
                <w:rFonts w:ascii="Arial;Helvetica;sans-serif" w:hAnsi="Arial;Helvetica;sans-serif"/>
                <w:color w:val="000000"/>
                <w:sz w:val="16"/>
              </w:rPr>
              <w:t xml:space="preserve">30,000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3215" w:type="dxa"/>
            <w:tcBorders>
              <w:bottom w:val="single" w:sz="8" w:space="0" w:color="000000"/>
            </w:tcBorders>
            <w:shd w:fill="CCCCCC" w:val="clear"/>
            <w:tcMar>
              <w:bottom w:w="3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Compensation Committee Member</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15" w:type="dxa"/>
            <w:tcBorders>
              <w:bottom w:val="single" w:sz="8" w:space="0" w:color="000000"/>
            </w:tcBorders>
            <w:shd w:fill="CCCCCC" w:val="clear"/>
            <w:tcMar>
              <w:bottom w:w="38" w:type="dxa"/>
            </w:tcMar>
            <w:vAlign w:val="center"/>
          </w:tcPr>
          <w:p>
            <w:pPr>
              <w:pStyle w:val="TableContents"/>
              <w:bidi w:val="0"/>
              <w:spacing w:before="0" w:after="283"/>
              <w:ind w:left="533" w:right="0" w:hanging="0"/>
              <w:jc w:val="left"/>
              <w:rPr>
                <w:rFonts w:ascii="Arial;Helvetica;sans-serif" w:hAnsi="Arial;Helvetica;sans-serif"/>
                <w:color w:val="000000"/>
                <w:sz w:val="16"/>
              </w:rPr>
            </w:pPr>
            <w:r>
              <w:rPr>
                <w:rFonts w:ascii="Arial;Helvetica;sans-serif" w:hAnsi="Arial;Helvetica;sans-serif"/>
                <w:color w:val="000000"/>
                <w:sz w:val="16"/>
              </w:rPr>
              <w:t xml:space="preserve">15,000 </w:t>
            </w:r>
          </w:p>
        </w:tc>
        <w:tc>
          <w:tcPr>
            <w:tcW w:w="21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3215" w:type="dxa"/>
            <w:tcBorders>
              <w:bottom w:val="single" w:sz="8" w:space="0" w:color="000000"/>
            </w:tcBorders>
            <w:tcMar>
              <w:bottom w:w="3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Corporate Governance Committee Chair</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15" w:type="dxa"/>
            <w:tcBorders>
              <w:bottom w:val="single" w:sz="8" w:space="0" w:color="000000"/>
            </w:tcBorders>
            <w:tcMar>
              <w:bottom w:w="38" w:type="dxa"/>
            </w:tcMar>
            <w:vAlign w:val="center"/>
          </w:tcPr>
          <w:p>
            <w:pPr>
              <w:pStyle w:val="TableContents"/>
              <w:bidi w:val="0"/>
              <w:spacing w:before="0" w:after="283"/>
              <w:ind w:left="533" w:right="0" w:hanging="0"/>
              <w:jc w:val="left"/>
              <w:rPr>
                <w:rFonts w:ascii="Arial;Helvetica;sans-serif" w:hAnsi="Arial;Helvetica;sans-serif"/>
                <w:color w:val="000000"/>
                <w:sz w:val="16"/>
              </w:rPr>
            </w:pPr>
            <w:r>
              <w:rPr>
                <w:rFonts w:ascii="Arial;Helvetica;sans-serif" w:hAnsi="Arial;Helvetica;sans-serif"/>
                <w:color w:val="000000"/>
                <w:sz w:val="16"/>
              </w:rPr>
              <w:t xml:space="preserve">30,000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shd w:fill="CCCCCC" w:val="clear"/>
            <w:vAlign w:val="center"/>
          </w:tcPr>
          <w:p>
            <w:pPr>
              <w:pStyle w:val="TableContents"/>
              <w:bidi w:val="0"/>
              <w:spacing w:before="0" w:after="0"/>
              <w:jc w:val="left"/>
              <w:rPr/>
            </w:pPr>
            <w:r>
              <w:rPr/>
              <w:t> </w:t>
            </w:r>
          </w:p>
        </w:tc>
        <w:tc>
          <w:tcPr>
            <w:tcW w:w="3215" w:type="dxa"/>
            <w:tcBorders/>
            <w:shd w:fill="CCCCCC" w:val="cle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Corporate Governance Committee Member</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15" w:type="dxa"/>
            <w:tcBorders/>
            <w:shd w:fill="CCCCCC" w:val="clear"/>
            <w:vAlign w:val="center"/>
          </w:tcPr>
          <w:p>
            <w:pPr>
              <w:pStyle w:val="TableContents"/>
              <w:bidi w:val="0"/>
              <w:spacing w:before="0" w:after="283"/>
              <w:ind w:left="533" w:right="0" w:hanging="0"/>
              <w:jc w:val="left"/>
              <w:rPr>
                <w:rFonts w:ascii="Arial;Helvetica;sans-serif" w:hAnsi="Arial;Helvetica;sans-serif"/>
                <w:color w:val="000000"/>
                <w:sz w:val="16"/>
              </w:rPr>
            </w:pPr>
            <w:r>
              <w:rPr>
                <w:rFonts w:ascii="Arial;Helvetica;sans-serif" w:hAnsi="Arial;Helvetica;sans-serif"/>
                <w:color w:val="000000"/>
                <w:sz w:val="16"/>
              </w:rPr>
              <w:t>12,000</w:t>
            </w:r>
          </w:p>
        </w:tc>
        <w:tc>
          <w:tcPr>
            <w:tcW w:w="215" w:type="dxa"/>
            <w:tcBorders/>
            <w:shd w:fill="CCCCCC" w:val="clear"/>
            <w:vAlign w:val="center"/>
          </w:tcPr>
          <w:p>
            <w:pPr>
              <w:pStyle w:val="TableContents"/>
              <w:bidi w:val="0"/>
              <w:spacing w:before="0" w:after="0"/>
              <w:jc w:val="left"/>
              <w:rPr/>
            </w:pPr>
            <w:r>
              <w:rPr/>
              <w:t> </w:t>
            </w:r>
          </w:p>
        </w:tc>
      </w:tr>
      <w:tr>
        <w:trPr/>
        <w:tc>
          <w:tcPr>
            <w:tcW w:w="185" w:type="dxa"/>
            <w:tcBorders/>
            <w:shd w:fill="CCCCCC" w:val="clear"/>
            <w:vAlign w:val="center"/>
          </w:tcPr>
          <w:p>
            <w:pPr>
              <w:pStyle w:val="TableContents"/>
              <w:bidi w:val="0"/>
              <w:spacing w:before="0" w:after="0"/>
              <w:jc w:val="left"/>
              <w:rPr/>
            </w:pPr>
            <w:r>
              <w:rPr/>
              <w:t> </w:t>
            </w:r>
          </w:p>
        </w:tc>
        <w:tc>
          <w:tcPr>
            <w:tcW w:w="3215"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1715" w:type="dxa"/>
            <w:tcBorders/>
            <w:shd w:fill="CCCCCC" w:val="clear"/>
            <w:vAlign w:val="center"/>
          </w:tcPr>
          <w:p>
            <w:pPr>
              <w:pStyle w:val="TableContents"/>
              <w:bidi w:val="0"/>
              <w:spacing w:before="0" w:after="0"/>
              <w:jc w:val="left"/>
              <w:rPr/>
            </w:pPr>
            <w:r>
              <w:rPr/>
              <w:t> </w:t>
            </w:r>
          </w:p>
        </w:tc>
        <w:tc>
          <w:tcPr>
            <w:tcW w:w="215" w:type="dxa"/>
            <w:tcBorders/>
            <w:shd w:fill="CCCCCC" w:val="clear"/>
            <w:vAlign w:val="center"/>
          </w:tcPr>
          <w:p>
            <w:pPr>
              <w:pStyle w:val="TableContents"/>
              <w:bidi w:val="0"/>
              <w:spacing w:before="0" w:after="0"/>
              <w:jc w:val="left"/>
              <w:rPr/>
            </w:pPr>
            <w:r>
              <w:rPr/>
              <w:t> </w:t>
            </w:r>
          </w:p>
        </w:tc>
      </w:tr>
    </w:tbl>
    <w:p>
      <w:pPr>
        <w:pStyle w:val="TextBody"/>
        <w:bidi w:val="0"/>
        <w:spacing w:before="24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Annual retainers described above (collectively, “Director Fees”) are paid (i) 50% in cash on a quarterly basis and (ii) 50% in the form of an annual RSU award with vesting scheduled on the one-year anniversary of the grant date, subject to an annual cap of 30,000 units.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Under the Company’s deferred compensation plan applicable to non-employee directors (the “NED Plan”), directors were permitted to elect to defer all or a portion of their Director Fees. Directors who elected to defer cash fees were permitted to choose from various investment choices similar to those available to the NEOs under our executive deferred compensation plan or to receive an increased RSU award in lieu of some or all of such cash fees. Deferred units would convert on a one-on-one basis into the Company’s Common Stock upon termination of service, a change in control, or at a different time based on a director’s election. In October 2025, the NED Plan was terminated, so that no further deferrals can be made and requiring distributions as promptly as practicable after the 12-month anniversary of the termination.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Directors do not receive any meeting fees or any benefits such as life or medical insurance. Any member of the Board who is also an officer or employee of our Company does not receive compensation for serving as a director. Directors are eligible for limited matching of charitable contributions through the Avis Budget Group Charitable Foundation and are also eligible to purchase vehicles through the auto lease program we make available to our employees; however, such purchases do not result in an associated incremental cost to the Company. </w:t>
      </w:r>
    </w:p>
    <w:p>
      <w:pPr>
        <w:pStyle w:val="TextBody"/>
        <w:bidi w:val="0"/>
        <w:spacing w:before="400" w:after="283"/>
        <w:ind w:left="0" w:right="0" w:hanging="0"/>
        <w:jc w:val="left"/>
        <w:rPr>
          <w:rFonts w:ascii="Arial;Helvetica;sans-serif" w:hAnsi="Arial;Helvetica;sans-serif"/>
          <w:b/>
          <w:color w:val="000000"/>
          <w:sz w:val="28"/>
        </w:rPr>
      </w:pPr>
      <w:r>
        <w:rPr>
          <w:rFonts w:ascii="Arial;Helvetica;sans-serif" w:hAnsi="Arial;Helvetica;sans-serif"/>
          <w:b/>
          <w:color w:val="000000"/>
          <w:sz w:val="28"/>
        </w:rPr>
        <w:t xml:space="preserve">Stock Ownership Guidelines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Minimum stock ownership guidelines require each non-employee director to acquire and hold designated levels of our Company’s Common Stock. Under these guidelines, our non-employee directors are required to retain a minimum of 50% of the net shares (net of taxes) awarded in connection with their director compensation, until reaching an ownership threshold of five times the annual cash retainer. Given the mandatory hold provision until the threshold is obtained, there is no specified deadline for achieving designated thresholds. Under these guidelines, stock ownership is defined to include stock owned by the director directly or indirectly, including any vested award deferred under the NED Plan. As of December 31, 2025, all current non-employee directors subject to these guidelines had exceeded such minimum ownership threshold.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44</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4" w:name="ny20066167x1_def14a_109-comp_pg2"/>
        <w:bookmarkEnd w:id="94"/>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000000"/>
          <w:sz w:val="28"/>
        </w:rPr>
      </w:pPr>
      <w:bookmarkStart w:id="95" w:name="tDCT"/>
      <w:bookmarkEnd w:id="95"/>
      <w:r>
        <w:rPr>
          <w:rFonts w:ascii="Arial;Helvetica;sans-serif" w:hAnsi="Arial;Helvetica;sans-serif"/>
          <w:b/>
          <w:color w:val="000000"/>
          <w:sz w:val="28"/>
        </w:rPr>
        <w:t xml:space="preserve">2025 Director Compensation Table </w:t>
      </w:r>
    </w:p>
    <w:tbl>
      <w:tblPr>
        <w:tblW w:w="9435" w:type="dxa"/>
        <w:jc w:val="left"/>
        <w:tblInd w:w="0" w:type="dxa"/>
        <w:tblLayout w:type="fixed"/>
        <w:tblCellMar>
          <w:top w:w="0" w:type="dxa"/>
          <w:left w:w="0" w:type="dxa"/>
          <w:bottom w:w="0" w:type="dxa"/>
          <w:right w:w="0" w:type="dxa"/>
        </w:tblCellMar>
      </w:tblPr>
      <w:tblGrid>
        <w:gridCol w:w="185"/>
        <w:gridCol w:w="1520"/>
        <w:gridCol w:w="170"/>
        <w:gridCol w:w="170"/>
        <w:gridCol w:w="1085"/>
        <w:gridCol w:w="170"/>
        <w:gridCol w:w="170"/>
        <w:gridCol w:w="1190"/>
        <w:gridCol w:w="170"/>
        <w:gridCol w:w="170"/>
        <w:gridCol w:w="1595"/>
        <w:gridCol w:w="170"/>
        <w:gridCol w:w="170"/>
        <w:gridCol w:w="1265"/>
        <w:gridCol w:w="170"/>
        <w:gridCol w:w="170"/>
        <w:gridCol w:w="680"/>
        <w:gridCol w:w="215"/>
      </w:tblGrid>
      <w:tr>
        <w:trPr/>
        <w:tc>
          <w:tcPr>
            <w:tcW w:w="185"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520" w:type="dxa"/>
            <w:tcBorders>
              <w:bottom w:val="single" w:sz="8" w:space="0" w:color="000000"/>
            </w:tcBorders>
            <w:tcMar>
              <w:bottom w:w="73" w:type="dxa"/>
            </w:tcM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Name of Director</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85" w:type="dxa"/>
            <w:tcBorders>
              <w:bottom w:val="single" w:sz="8" w:space="0" w:color="000000"/>
            </w:tcBorders>
            <w:tcMar>
              <w:bottom w:w="7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Fees Earned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or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Paid In Cash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90" w:type="dxa"/>
            <w:tcBorders>
              <w:bottom w:val="single" w:sz="8" w:space="0" w:color="000000"/>
            </w:tcBorders>
            <w:tcMar>
              <w:bottom w:w="7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Stock Awards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($)(b)</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595" w:type="dxa"/>
            <w:tcBorders>
              <w:bottom w:val="single" w:sz="8" w:space="0" w:color="000000"/>
            </w:tcBorders>
            <w:tcMar>
              <w:bottom w:w="7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Change in Pension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Value and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Nonqualified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Deferred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Compensation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Earnings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65" w:type="dxa"/>
            <w:tcBorders>
              <w:bottom w:val="single" w:sz="8" w:space="0" w:color="000000"/>
            </w:tcBorders>
            <w:tcMar>
              <w:bottom w:w="7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All Other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Compensation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($)(c)</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80" w:type="dxa"/>
            <w:tcBorders>
              <w:bottom w:val="single" w:sz="8" w:space="0" w:color="000000"/>
            </w:tcBorders>
            <w:tcMar>
              <w:bottom w:w="7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Total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520" w:type="dxa"/>
            <w:tcBorders>
              <w:bottom w:val="single" w:sz="8" w:space="0" w:color="000000"/>
            </w:tcBorders>
            <w:shd w:fill="CCCCCC" w:val="clear"/>
            <w:tcMar>
              <w:bottom w:w="6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Pahwa, Jagdeep (d)</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085" w:type="dxa"/>
            <w:tcBorders>
              <w:bottom w:val="single" w:sz="8" w:space="0" w:color="000000"/>
            </w:tcBorders>
            <w:shd w:fill="CCCCCC" w:val="clear"/>
            <w:tcMar>
              <w:bottom w:w="68" w:type="dxa"/>
            </w:tcMar>
            <w:vAlign w:val="center"/>
          </w:tcPr>
          <w:p>
            <w:pPr>
              <w:pStyle w:val="TableContents"/>
              <w:bidi w:val="0"/>
              <w:spacing w:before="0" w:after="283"/>
              <w:ind w:left="191" w:right="0" w:hanging="0"/>
              <w:jc w:val="left"/>
              <w:rPr>
                <w:color w:val="000000"/>
              </w:rPr>
            </w:pPr>
            <w:r>
              <w:rPr>
                <w:color w:val="000000"/>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190" w:type="dxa"/>
            <w:tcBorders>
              <w:bottom w:val="single" w:sz="8" w:space="0" w:color="000000"/>
            </w:tcBorders>
            <w:shd w:fill="CCCCCC" w:val="clear"/>
            <w:tcMar>
              <w:bottom w:w="68" w:type="dxa"/>
            </w:tcMar>
            <w:vAlign w:val="center"/>
          </w:tcPr>
          <w:p>
            <w:pPr>
              <w:pStyle w:val="TableContents"/>
              <w:bidi w:val="0"/>
              <w:spacing w:before="0" w:after="283"/>
              <w:ind w:left="235" w:right="0" w:hanging="0"/>
              <w:jc w:val="left"/>
              <w:rPr>
                <w:color w:val="000000"/>
              </w:rPr>
            </w:pPr>
            <w:r>
              <w:rPr>
                <w:color w:val="000000"/>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595" w:type="dxa"/>
            <w:tcBorders>
              <w:bottom w:val="single" w:sz="8" w:space="0" w:color="000000"/>
            </w:tcBorders>
            <w:shd w:fill="CCCCCC" w:val="clear"/>
            <w:tcMar>
              <w:bottom w:w="68" w:type="dxa"/>
            </w:tcMar>
            <w:vAlign w:val="center"/>
          </w:tcPr>
          <w:p>
            <w:pPr>
              <w:pStyle w:val="TableContents"/>
              <w:bidi w:val="0"/>
              <w:spacing w:before="0" w:after="283"/>
              <w:ind w:left="640" w:right="0" w:hanging="0"/>
              <w:jc w:val="left"/>
              <w:rPr>
                <w:color w:val="000000"/>
              </w:rPr>
            </w:pPr>
            <w:r>
              <w:rPr>
                <w:color w:val="000000"/>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265" w:type="dxa"/>
            <w:tcBorders>
              <w:bottom w:val="single" w:sz="8" w:space="0" w:color="000000"/>
            </w:tcBorders>
            <w:shd w:fill="CCCCCC" w:val="clear"/>
            <w:tcMar>
              <w:bottom w:w="68" w:type="dxa"/>
            </w:tcMar>
            <w:vAlign w:val="center"/>
          </w:tcPr>
          <w:p>
            <w:pPr>
              <w:pStyle w:val="TableContents"/>
              <w:bidi w:val="0"/>
              <w:spacing w:before="0" w:after="283"/>
              <w:ind w:left="355" w:right="0" w:hanging="0"/>
              <w:jc w:val="left"/>
              <w:rPr>
                <w:color w:val="000000"/>
              </w:rPr>
            </w:pPr>
            <w:r>
              <w:rPr>
                <w:color w:val="000000"/>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680" w:type="dxa"/>
            <w:tcBorders>
              <w:bottom w:val="single" w:sz="8" w:space="0" w:color="000000"/>
            </w:tcBorders>
            <w:shd w:fill="CCCCCC" w:val="clear"/>
            <w:tcMar>
              <w:bottom w:w="68" w:type="dxa"/>
            </w:tcMar>
            <w:vAlign w:val="center"/>
          </w:tcPr>
          <w:p>
            <w:pPr>
              <w:pStyle w:val="TableContents"/>
              <w:bidi w:val="0"/>
              <w:spacing w:before="0" w:after="283"/>
              <w:ind w:left="0" w:right="0" w:hanging="0"/>
              <w:jc w:val="left"/>
              <w:rPr>
                <w:color w:val="000000"/>
              </w:rPr>
            </w:pPr>
            <w:r>
              <w:rPr>
                <w:color w:val="000000"/>
              </w:rPr>
              <w:t xml:space="preserve">— </w:t>
            </w:r>
          </w:p>
        </w:tc>
        <w:tc>
          <w:tcPr>
            <w:tcW w:w="21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520" w:type="dxa"/>
            <w:tcBorders>
              <w:bottom w:val="single" w:sz="8" w:space="0" w:color="000000"/>
            </w:tcBorders>
            <w:tcMar>
              <w:bottom w:w="6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Hariharan, Anu</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85" w:type="dxa"/>
            <w:tcBorders>
              <w:bottom w:val="single" w:sz="8" w:space="0" w:color="000000"/>
            </w:tcBorders>
            <w:tcMar>
              <w:bottom w:w="68" w:type="dxa"/>
            </w:tcMar>
            <w:vAlign w:val="center"/>
          </w:tcPr>
          <w:p>
            <w:pPr>
              <w:pStyle w:val="TableContents"/>
              <w:bidi w:val="0"/>
              <w:spacing w:before="0" w:after="283"/>
              <w:ind w:left="191" w:right="0" w:hanging="0"/>
              <w:jc w:val="left"/>
              <w:rPr>
                <w:rFonts w:ascii="Arial;Helvetica;sans-serif" w:hAnsi="Arial;Helvetica;sans-serif"/>
                <w:color w:val="000000"/>
                <w:sz w:val="16"/>
              </w:rPr>
            </w:pPr>
            <w:r>
              <w:rPr>
                <w:rFonts w:ascii="Arial;Helvetica;sans-serif" w:hAnsi="Arial;Helvetica;sans-serif"/>
                <w:color w:val="000000"/>
                <w:sz w:val="16"/>
              </w:rPr>
              <w:t>132,500</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90" w:type="dxa"/>
            <w:tcBorders>
              <w:bottom w:val="single" w:sz="8" w:space="0" w:color="000000"/>
            </w:tcBorders>
            <w:tcMar>
              <w:bottom w:w="68" w:type="dxa"/>
            </w:tcMar>
            <w:vAlign w:val="center"/>
          </w:tcPr>
          <w:p>
            <w:pPr>
              <w:pStyle w:val="TableContents"/>
              <w:bidi w:val="0"/>
              <w:spacing w:before="0" w:after="283"/>
              <w:ind w:left="235" w:right="0" w:hanging="0"/>
              <w:jc w:val="left"/>
              <w:rPr>
                <w:rFonts w:ascii="Arial;Helvetica;sans-serif" w:hAnsi="Arial;Helvetica;sans-serif"/>
                <w:color w:val="000000"/>
                <w:sz w:val="16"/>
              </w:rPr>
            </w:pPr>
            <w:r>
              <w:rPr>
                <w:rFonts w:ascii="Arial;Helvetica;sans-serif" w:hAnsi="Arial;Helvetica;sans-serif"/>
                <w:color w:val="000000"/>
                <w:sz w:val="16"/>
              </w:rPr>
              <w:t>132,529</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595" w:type="dxa"/>
            <w:tcBorders>
              <w:bottom w:val="single" w:sz="8" w:space="0" w:color="000000"/>
            </w:tcBorders>
            <w:tcMar>
              <w:bottom w:w="68" w:type="dxa"/>
            </w:tcMar>
            <w:vAlign w:val="center"/>
          </w:tcPr>
          <w:p>
            <w:pPr>
              <w:pStyle w:val="TableContents"/>
              <w:bidi w:val="0"/>
              <w:spacing w:before="0" w:after="283"/>
              <w:ind w:left="640"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65" w:type="dxa"/>
            <w:tcBorders>
              <w:bottom w:val="single" w:sz="8" w:space="0" w:color="000000"/>
            </w:tcBorders>
            <w:tcMar>
              <w:bottom w:w="68" w:type="dxa"/>
            </w:tcMar>
            <w:vAlign w:val="center"/>
          </w:tcPr>
          <w:p>
            <w:pPr>
              <w:pStyle w:val="TableContents"/>
              <w:bidi w:val="0"/>
              <w:spacing w:before="0" w:after="283"/>
              <w:ind w:left="355" w:right="0" w:hanging="0"/>
              <w:jc w:val="left"/>
              <w:rPr>
                <w:rFonts w:ascii="Arial;Helvetica;sans-serif" w:hAnsi="Arial;Helvetica;sans-serif"/>
                <w:color w:val="000000"/>
                <w:sz w:val="16"/>
              </w:rPr>
            </w:pPr>
            <w:r>
              <w:rPr>
                <w:rFonts w:ascii="Arial;Helvetica;sans-serif" w:hAnsi="Arial;Helvetica;sans-serif"/>
                <w:color w:val="000000"/>
                <w:sz w:val="16"/>
              </w:rPr>
              <w:t>5,000</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80" w:type="dxa"/>
            <w:tcBorders>
              <w:bottom w:val="single" w:sz="8" w:space="0" w:color="000000"/>
            </w:tcBorders>
            <w:tcMar>
              <w:bottom w:w="6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270,029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520" w:type="dxa"/>
            <w:tcBorders>
              <w:bottom w:val="single" w:sz="8" w:space="0" w:color="000000"/>
            </w:tcBorders>
            <w:shd w:fill="CCCCCC" w:val="clear"/>
            <w:tcMar>
              <w:bottom w:w="6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Hees, Bernardo</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085" w:type="dxa"/>
            <w:tcBorders>
              <w:bottom w:val="single" w:sz="8" w:space="0" w:color="000000"/>
            </w:tcBorders>
            <w:shd w:fill="CCCCCC" w:val="clear"/>
            <w:tcMar>
              <w:bottom w:w="68" w:type="dxa"/>
            </w:tcMar>
            <w:vAlign w:val="center"/>
          </w:tcPr>
          <w:p>
            <w:pPr>
              <w:pStyle w:val="TableContents"/>
              <w:bidi w:val="0"/>
              <w:spacing w:before="0" w:after="283"/>
              <w:ind w:left="191" w:right="0" w:hanging="0"/>
              <w:jc w:val="left"/>
              <w:rPr>
                <w:rFonts w:ascii="Arial;Helvetica;sans-serif" w:hAnsi="Arial;Helvetica;sans-serif"/>
                <w:color w:val="000000"/>
                <w:sz w:val="16"/>
              </w:rPr>
            </w:pPr>
            <w:r>
              <w:rPr>
                <w:rFonts w:ascii="Arial;Helvetica;sans-serif" w:hAnsi="Arial;Helvetica;sans-serif"/>
                <w:color w:val="000000"/>
                <w:sz w:val="16"/>
              </w:rPr>
              <w:t>125,000</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190" w:type="dxa"/>
            <w:tcBorders>
              <w:bottom w:val="single" w:sz="8" w:space="0" w:color="000000"/>
            </w:tcBorders>
            <w:shd w:fill="CCCCCC" w:val="clear"/>
            <w:tcMar>
              <w:bottom w:w="68" w:type="dxa"/>
            </w:tcMar>
            <w:vAlign w:val="center"/>
          </w:tcPr>
          <w:p>
            <w:pPr>
              <w:pStyle w:val="TableContents"/>
              <w:bidi w:val="0"/>
              <w:spacing w:before="0" w:after="283"/>
              <w:ind w:left="235" w:right="0" w:hanging="0"/>
              <w:jc w:val="left"/>
              <w:rPr>
                <w:rFonts w:ascii="Arial;Helvetica;sans-serif" w:hAnsi="Arial;Helvetica;sans-serif"/>
                <w:color w:val="000000"/>
                <w:sz w:val="16"/>
              </w:rPr>
            </w:pPr>
            <w:r>
              <w:rPr>
                <w:rFonts w:ascii="Arial;Helvetica;sans-serif" w:hAnsi="Arial;Helvetica;sans-serif"/>
                <w:color w:val="000000"/>
                <w:sz w:val="16"/>
              </w:rPr>
              <w:t>124,943</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595" w:type="dxa"/>
            <w:tcBorders>
              <w:bottom w:val="single" w:sz="8" w:space="0" w:color="000000"/>
            </w:tcBorders>
            <w:shd w:fill="CCCCCC" w:val="clear"/>
            <w:tcMar>
              <w:bottom w:w="68" w:type="dxa"/>
            </w:tcMar>
            <w:vAlign w:val="center"/>
          </w:tcPr>
          <w:p>
            <w:pPr>
              <w:pStyle w:val="TableContents"/>
              <w:bidi w:val="0"/>
              <w:spacing w:before="0" w:after="283"/>
              <w:ind w:left="640" w:right="0" w:hanging="0"/>
              <w:jc w:val="left"/>
              <w:rPr>
                <w:color w:val="000000"/>
              </w:rPr>
            </w:pPr>
            <w:r>
              <w:rPr>
                <w:color w:val="000000"/>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265" w:type="dxa"/>
            <w:tcBorders>
              <w:bottom w:val="single" w:sz="8" w:space="0" w:color="000000"/>
            </w:tcBorders>
            <w:shd w:fill="CCCCCC" w:val="clear"/>
            <w:tcMar>
              <w:bottom w:w="68" w:type="dxa"/>
            </w:tcMar>
            <w:vAlign w:val="center"/>
          </w:tcPr>
          <w:p>
            <w:pPr>
              <w:pStyle w:val="TableContents"/>
              <w:bidi w:val="0"/>
              <w:spacing w:before="0" w:after="283"/>
              <w:ind w:left="355" w:right="0" w:hanging="0"/>
              <w:jc w:val="left"/>
              <w:rPr>
                <w:rFonts w:ascii="Arial;Helvetica;sans-serif" w:hAnsi="Arial;Helvetica;sans-serif"/>
                <w:color w:val="000000"/>
                <w:sz w:val="16"/>
              </w:rPr>
            </w:pPr>
            <w:r>
              <w:rPr>
                <w:rFonts w:ascii="Arial;Helvetica;sans-serif" w:hAnsi="Arial;Helvetica;sans-serif"/>
                <w:color w:val="000000"/>
                <w:sz w:val="16"/>
              </w:rPr>
              <w:t>5,000</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680" w:type="dxa"/>
            <w:tcBorders>
              <w:bottom w:val="single" w:sz="8" w:space="0" w:color="000000"/>
            </w:tcBorders>
            <w:shd w:fill="CCCCCC" w:val="clear"/>
            <w:tcMar>
              <w:bottom w:w="6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254,943 </w:t>
            </w:r>
          </w:p>
        </w:tc>
        <w:tc>
          <w:tcPr>
            <w:tcW w:w="21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520" w:type="dxa"/>
            <w:tcBorders>
              <w:bottom w:val="single" w:sz="8" w:space="0" w:color="000000"/>
            </w:tcBorders>
            <w:tcMar>
              <w:bottom w:w="6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Krominga, Lynn</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85" w:type="dxa"/>
            <w:tcBorders>
              <w:bottom w:val="single" w:sz="8" w:space="0" w:color="000000"/>
            </w:tcBorders>
            <w:tcMar>
              <w:bottom w:w="68" w:type="dxa"/>
            </w:tcMar>
            <w:vAlign w:val="center"/>
          </w:tcPr>
          <w:p>
            <w:pPr>
              <w:pStyle w:val="TableContents"/>
              <w:bidi w:val="0"/>
              <w:spacing w:before="0" w:after="283"/>
              <w:ind w:left="191" w:right="0" w:hanging="0"/>
              <w:jc w:val="left"/>
              <w:rPr>
                <w:rFonts w:ascii="Arial;Helvetica;sans-serif" w:hAnsi="Arial;Helvetica;sans-serif"/>
                <w:color w:val="000000"/>
                <w:sz w:val="16"/>
              </w:rPr>
            </w:pPr>
            <w:r>
              <w:rPr>
                <w:rFonts w:ascii="Arial;Helvetica;sans-serif" w:hAnsi="Arial;Helvetica;sans-serif"/>
                <w:color w:val="000000"/>
                <w:sz w:val="16"/>
              </w:rPr>
              <w:t>170,000</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90" w:type="dxa"/>
            <w:tcBorders>
              <w:bottom w:val="single" w:sz="8" w:space="0" w:color="000000"/>
            </w:tcBorders>
            <w:tcMar>
              <w:bottom w:w="68" w:type="dxa"/>
            </w:tcMar>
            <w:vAlign w:val="center"/>
          </w:tcPr>
          <w:p>
            <w:pPr>
              <w:pStyle w:val="TableContents"/>
              <w:bidi w:val="0"/>
              <w:spacing w:before="0" w:after="283"/>
              <w:ind w:left="235" w:right="0" w:hanging="0"/>
              <w:jc w:val="left"/>
              <w:rPr>
                <w:rFonts w:ascii="Arial;Helvetica;sans-serif" w:hAnsi="Arial;Helvetica;sans-serif"/>
                <w:color w:val="000000"/>
                <w:sz w:val="16"/>
              </w:rPr>
            </w:pPr>
            <w:r>
              <w:rPr>
                <w:rFonts w:ascii="Arial;Helvetica;sans-serif" w:hAnsi="Arial;Helvetica;sans-serif"/>
                <w:color w:val="000000"/>
                <w:sz w:val="16"/>
              </w:rPr>
              <w:t>170,021</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595" w:type="dxa"/>
            <w:tcBorders>
              <w:bottom w:val="single" w:sz="8" w:space="0" w:color="000000"/>
            </w:tcBorders>
            <w:tcMar>
              <w:bottom w:w="68" w:type="dxa"/>
            </w:tcMar>
            <w:vAlign w:val="center"/>
          </w:tcPr>
          <w:p>
            <w:pPr>
              <w:pStyle w:val="TableContents"/>
              <w:bidi w:val="0"/>
              <w:spacing w:before="0" w:after="283"/>
              <w:ind w:left="640" w:right="0" w:hanging="0"/>
              <w:jc w:val="left"/>
              <w:rPr>
                <w:color w:val="000000"/>
              </w:rPr>
            </w:pPr>
            <w:r>
              <w:rPr>
                <w:color w:val="000000"/>
              </w:rPr>
              <w: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65" w:type="dxa"/>
            <w:tcBorders>
              <w:bottom w:val="single" w:sz="8" w:space="0" w:color="000000"/>
            </w:tcBorders>
            <w:tcMar>
              <w:bottom w:w="68" w:type="dxa"/>
            </w:tcMar>
            <w:vAlign w:val="center"/>
          </w:tcPr>
          <w:p>
            <w:pPr>
              <w:pStyle w:val="TableContents"/>
              <w:bidi w:val="0"/>
              <w:spacing w:before="0" w:after="283"/>
              <w:ind w:left="355" w:right="0" w:hanging="0"/>
              <w:jc w:val="left"/>
              <w:rPr>
                <w:rFonts w:ascii="Arial;Helvetica;sans-serif" w:hAnsi="Arial;Helvetica;sans-serif"/>
                <w:color w:val="000000"/>
                <w:sz w:val="16"/>
              </w:rPr>
            </w:pPr>
            <w:r>
              <w:rPr>
                <w:rFonts w:ascii="Arial;Helvetica;sans-serif" w:hAnsi="Arial;Helvetica;sans-serif"/>
                <w:color w:val="000000"/>
                <w:sz w:val="16"/>
              </w:rPr>
              <w:t>5,000</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80" w:type="dxa"/>
            <w:tcBorders>
              <w:bottom w:val="single" w:sz="8" w:space="0" w:color="000000"/>
            </w:tcBorders>
            <w:tcMar>
              <w:bottom w:w="6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345,021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520" w:type="dxa"/>
            <w:tcBorders>
              <w:bottom w:val="single" w:sz="8" w:space="0" w:color="000000"/>
            </w:tcBorders>
            <w:shd w:fill="CCCCCC" w:val="clear"/>
            <w:tcMar>
              <w:bottom w:w="68" w:type="dxa"/>
            </w:tcMar>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Lurie, Glenn</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085" w:type="dxa"/>
            <w:tcBorders>
              <w:bottom w:val="single" w:sz="8" w:space="0" w:color="000000"/>
            </w:tcBorders>
            <w:shd w:fill="CCCCCC" w:val="clear"/>
            <w:tcMar>
              <w:bottom w:w="68" w:type="dxa"/>
            </w:tcMar>
            <w:vAlign w:val="center"/>
          </w:tcPr>
          <w:p>
            <w:pPr>
              <w:pStyle w:val="TableContents"/>
              <w:bidi w:val="0"/>
              <w:spacing w:before="0" w:after="283"/>
              <w:ind w:left="191" w:right="0" w:hanging="0"/>
              <w:jc w:val="left"/>
              <w:rPr>
                <w:rFonts w:ascii="Arial;Helvetica;sans-serif" w:hAnsi="Arial;Helvetica;sans-serif"/>
                <w:color w:val="000000"/>
                <w:sz w:val="16"/>
              </w:rPr>
            </w:pPr>
            <w:r>
              <w:rPr>
                <w:rFonts w:ascii="Arial;Helvetica;sans-serif" w:hAnsi="Arial;Helvetica;sans-serif"/>
                <w:color w:val="000000"/>
                <w:sz w:val="16"/>
              </w:rPr>
              <w:t>150,000</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190" w:type="dxa"/>
            <w:tcBorders>
              <w:bottom w:val="single" w:sz="8" w:space="0" w:color="000000"/>
            </w:tcBorders>
            <w:shd w:fill="CCCCCC" w:val="clear"/>
            <w:tcMar>
              <w:bottom w:w="68" w:type="dxa"/>
            </w:tcMar>
            <w:vAlign w:val="center"/>
          </w:tcPr>
          <w:p>
            <w:pPr>
              <w:pStyle w:val="TableContents"/>
              <w:bidi w:val="0"/>
              <w:spacing w:before="0" w:after="283"/>
              <w:ind w:left="235" w:right="0" w:hanging="0"/>
              <w:jc w:val="left"/>
              <w:rPr>
                <w:rFonts w:ascii="Arial;Helvetica;sans-serif" w:hAnsi="Arial;Helvetica;sans-serif"/>
                <w:color w:val="000000"/>
                <w:sz w:val="16"/>
              </w:rPr>
            </w:pPr>
            <w:r>
              <w:rPr>
                <w:rFonts w:ascii="Arial;Helvetica;sans-serif" w:hAnsi="Arial;Helvetica;sans-serif"/>
                <w:color w:val="000000"/>
                <w:sz w:val="16"/>
              </w:rPr>
              <w:t>149,967</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595" w:type="dxa"/>
            <w:tcBorders>
              <w:bottom w:val="single" w:sz="8" w:space="0" w:color="000000"/>
            </w:tcBorders>
            <w:shd w:fill="CCCCCC" w:val="clear"/>
            <w:tcMar>
              <w:bottom w:w="68" w:type="dxa"/>
            </w:tcMar>
            <w:vAlign w:val="center"/>
          </w:tcPr>
          <w:p>
            <w:pPr>
              <w:pStyle w:val="TableContents"/>
              <w:bidi w:val="0"/>
              <w:spacing w:before="0" w:after="283"/>
              <w:ind w:left="640" w:right="0" w:hanging="0"/>
              <w:jc w:val="left"/>
              <w:rPr>
                <w:color w:val="000000"/>
              </w:rPr>
            </w:pPr>
            <w:r>
              <w:rPr>
                <w:color w:val="000000"/>
              </w:rPr>
              <w:t>—</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265" w:type="dxa"/>
            <w:tcBorders>
              <w:bottom w:val="single" w:sz="8" w:space="0" w:color="000000"/>
            </w:tcBorders>
            <w:shd w:fill="CCCCCC" w:val="clear"/>
            <w:tcMar>
              <w:bottom w:w="68" w:type="dxa"/>
            </w:tcMar>
            <w:vAlign w:val="center"/>
          </w:tcPr>
          <w:p>
            <w:pPr>
              <w:pStyle w:val="TableContents"/>
              <w:bidi w:val="0"/>
              <w:spacing w:before="0" w:after="283"/>
              <w:ind w:left="355" w:right="0" w:hanging="0"/>
              <w:jc w:val="left"/>
              <w:rPr>
                <w:rFonts w:ascii="Arial;Helvetica;sans-serif" w:hAnsi="Arial;Helvetica;sans-serif"/>
                <w:color w:val="000000"/>
                <w:sz w:val="16"/>
              </w:rPr>
            </w:pPr>
            <w:r>
              <w:rPr>
                <w:rFonts w:ascii="Arial;Helvetica;sans-serif" w:hAnsi="Arial;Helvetica;sans-serif"/>
                <w:color w:val="000000"/>
                <w:sz w:val="16"/>
              </w:rPr>
              <w:t>5,000</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680" w:type="dxa"/>
            <w:tcBorders>
              <w:bottom w:val="single" w:sz="8" w:space="0" w:color="000000"/>
            </w:tcBorders>
            <w:shd w:fill="CCCCCC" w:val="clear"/>
            <w:tcMar>
              <w:bottom w:w="68"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304,967 </w:t>
            </w:r>
          </w:p>
        </w:tc>
        <w:tc>
          <w:tcPr>
            <w:tcW w:w="21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color w:val="000000"/>
                <w:sz w:val="16"/>
              </w:rPr>
              <w:t>Sarma, Karthik (d)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19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283"/>
              <w:ind w:left="23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283"/>
              <w:ind w:left="64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ind w:left="35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0" w:right="0" w:hanging="0"/>
              <w:jc w:val="left"/>
              <w:rPr>
                <w:color w:val="000000"/>
              </w:rPr>
            </w:pPr>
            <w:r>
              <w:rPr>
                <w:color w:val="000000"/>
              </w:rPr>
              <w:t>—</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5260" w:type="dxa"/>
        <w:jc w:val="left"/>
        <w:tblInd w:w="0" w:type="dxa"/>
        <w:tblLayout w:type="fixed"/>
        <w:tblCellMar>
          <w:top w:w="0" w:type="dxa"/>
          <w:left w:w="0" w:type="dxa"/>
          <w:bottom w:w="0" w:type="dxa"/>
          <w:right w:w="0" w:type="dxa"/>
        </w:tblCellMar>
      </w:tblPr>
      <w:tblGrid>
        <w:gridCol w:w="260"/>
        <w:gridCol w:w="5000"/>
      </w:tblGrid>
      <w:tr>
        <w:trPr/>
        <w:tc>
          <w:tcPr>
            <w:tcW w:w="26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(a)</w:t>
            </w:r>
          </w:p>
        </w:tc>
        <w:tc>
          <w:tcPr>
            <w:tcW w:w="500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Represents the cash portion of the Director Fees described above. </w:t>
            </w:r>
          </w:p>
        </w:tc>
      </w:tr>
    </w:tbl>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(b)</w:t>
            </w:r>
          </w:p>
        </w:tc>
        <w:tc>
          <w:tcPr>
            <w:tcW w:w="9981"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Represents the aggregate grant date fair value of RSU awards computed in accordance with FASB ASC Topic 718. The number of stock units are determined by dividing the applicable portion of the Director Fees by the Company’s closing stock price on the date of grant (rounded to the nearest whole number of shares). </w:t>
            </w:r>
          </w:p>
        </w:tc>
      </w:tr>
    </w:tbl>
    <w:p>
      <w:pPr>
        <w:pStyle w:val="TextBody"/>
        <w:bidi w:val="0"/>
        <w:spacing w:before="80" w:after="283"/>
        <w:ind w:left="400" w:right="0" w:hanging="0"/>
        <w:jc w:val="both"/>
        <w:rPr>
          <w:rFonts w:ascii="Arial;Helvetica;sans-serif" w:hAnsi="Arial;Helvetica;sans-serif"/>
          <w:color w:val="000000"/>
          <w:sz w:val="16"/>
        </w:rPr>
      </w:pPr>
      <w:r>
        <w:rPr>
          <w:rFonts w:ascii="Arial;Helvetica;sans-serif" w:hAnsi="Arial;Helvetica;sans-serif"/>
          <w:color w:val="000000"/>
          <w:sz w:val="16"/>
        </w:rPr>
        <w:t xml:space="preserve">Outstanding stock awards (including unvested RSU awards and deferred stock units under the NED Plan, together with underlying dividend equivalent stock units (“DEUs”)) for the Company’s non-employee directors at fiscal year-end are as follows: for Ms. Hariharan, 3,990; for Mr. Hees, 10,179 and 10,095 unvested PSUs, along with underlying DEUs; for Ms. Krominga, 30,354; and for Mr. Lurie, 16,054. See the Outstanding Equity Awards table for Mr. Pahwa’s awards as Executive Chairman. </w:t>
      </w:r>
    </w:p>
    <w:p>
      <w:pPr>
        <w:pStyle w:val="TextBody"/>
        <w:bidi w:val="0"/>
        <w:spacing w:before="80" w:after="283"/>
        <w:ind w:left="400" w:right="0" w:hanging="0"/>
        <w:jc w:val="both"/>
        <w:rPr>
          <w:rFonts w:ascii="Arial;Helvetica;sans-serif" w:hAnsi="Arial;Helvetica;sans-serif"/>
          <w:color w:val="000000"/>
          <w:sz w:val="16"/>
        </w:rPr>
      </w:pPr>
      <w:r>
        <w:rPr>
          <w:rFonts w:ascii="Arial;Helvetica;sans-serif" w:hAnsi="Arial;Helvetica;sans-serif"/>
          <w:color w:val="000000"/>
          <w:sz w:val="16"/>
        </w:rPr>
        <w:t xml:space="preserve">In addition to his compensation under our non-employee director policy, Mr. Hees received an additional equity award in 2025 to recognize his long-time service as Executive Chairman, which was an RSU grant with a grant date value of approximately $405,000.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(c)</w:t>
            </w:r>
          </w:p>
        </w:tc>
        <w:tc>
          <w:tcPr>
            <w:tcW w:w="994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Includes discretionary matching contributions available through The Avis Budget Group Charitable Foundation for all non-employee directors. </w:t>
            </w:r>
          </w:p>
        </w:tc>
      </w:tr>
    </w:tbl>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(d)</w:t>
            </w:r>
          </w:p>
        </w:tc>
        <w:tc>
          <w:tcPr>
            <w:tcW w:w="9954"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See the Summary Compensation Table for Mr. Pahwa’s compensation as Executive Chairman. Mr. Sarma waived compensation for Board service for 2025. </w:t>
            </w:r>
          </w:p>
        </w:tc>
      </w:tr>
    </w:tbl>
    <w:p>
      <w:pPr>
        <w:pStyle w:val="TextBody"/>
        <w:bidi w:val="0"/>
        <w:spacing w:before="390" w:after="283"/>
        <w:ind w:left="0" w:right="0" w:hanging="0"/>
        <w:jc w:val="left"/>
        <w:rPr>
          <w:rFonts w:ascii="Arial;Helvetica;sans-serif" w:hAnsi="Arial;Helvetica;sans-serif"/>
          <w:b/>
          <w:color w:val="000000"/>
          <w:sz w:val="28"/>
        </w:rPr>
      </w:pPr>
      <w:bookmarkStart w:id="96" w:name="tCCIIP"/>
      <w:bookmarkEnd w:id="96"/>
      <w:r>
        <w:rPr>
          <w:rFonts w:ascii="Arial;Helvetica;sans-serif" w:hAnsi="Arial;Helvetica;sans-serif"/>
          <w:b/>
          <w:color w:val="000000"/>
          <w:sz w:val="28"/>
        </w:rPr>
        <w:t xml:space="preserve">Compensation Committee Interlocks and Insider Participation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Our Compensation Committee, which administers the Company’s executive compensation policies and programs, is comprised entirely of independent directors: Karthik Sarma (Chair), Lynn Krominga and Glenn Lurie. No member of the Compensation Committee is or was formerly an officer or employee of the Company or any of the Company’s subsidiaries. See “</w:t>
      </w:r>
      <w:r>
        <w:rPr>
          <w:rFonts w:ascii="Arial;Helvetica;sans-serif" w:hAnsi="Arial;Helvetica;sans-serif"/>
          <w:i/>
          <w:color w:val="000000"/>
          <w:sz w:val="20"/>
        </w:rPr>
        <w:t>Corporate Governance—Related Person Transactions</w:t>
      </w:r>
      <w:r>
        <w:rPr>
          <w:rFonts w:ascii="Arial;Helvetica;sans-serif" w:hAnsi="Arial;Helvetica;sans-serif"/>
          <w:color w:val="000000"/>
          <w:sz w:val="20"/>
        </w:rPr>
        <w:t xml:space="preserve">” above for certain transactions involving the Company in which Mr. Sarma, in his capacity as Managing Partner at SRS, may potentially be deemed to have an indirect interest. In addition, none of our executive officers serve on the compensation committee or board of directors of a company for which any of our directors serves as an executive officer.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45</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7" w:name="ny20066167x1_def14a_109-comp_pg3"/>
        <w:bookmarkEnd w:id="97"/>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000000"/>
          <w:sz w:val="28"/>
        </w:rPr>
      </w:pPr>
      <w:bookmarkStart w:id="98" w:name="tRAC"/>
      <w:bookmarkEnd w:id="98"/>
      <w:r>
        <w:rPr>
          <w:rFonts w:ascii="Arial;Helvetica;sans-serif" w:hAnsi="Arial;Helvetica;sans-serif"/>
          <w:b/>
          <w:color w:val="000000"/>
          <w:sz w:val="28"/>
        </w:rPr>
        <w:t xml:space="preserve">Report of Audit Committee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Management has the primary responsibility for the financial statements and the reporting process, including the system of internal controls. The independent auditors are responsible for performing an independent audit of the Company’s consolidated financial statements and opining on the effectiveness of the Company’s controls in accordance with the standards of the Public Company Accounting Oversight Board (United States) (“PCAOB”) and issuing their reports thereon.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performing its oversight function, the Audit Committee reviewed and discussed the consolidated financial statements with management and the independent auditors. The Audit Committee also discussed with the independent auditors the matters required to be discussed by the applicable requirements of the PCAOB and the SEC.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addition, the Audit Committee discussed with the independent auditors the auditors’ independence from the Company and its management, and the Audit Committee has received the written disclosures and letter required from the independent auditors by applicable requirements of the PCAOB regarding the independent accountant’s communications with the Audit Committee concerning independence.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Audit Committee discussed with the Company’s internal and independent auditors the overall scope and plans for their respective audits. The Audit Committee met with the internal and independent auditors, with and without management present, to discuss the results of their examinations and the evaluations of the Company’s internal controls.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Based on the reviews and discussions referred to above and subject to the limitations on the roles and responsibilities of the Audit Committee referred to above and in its Charter, the Audit Committee recommended to the Board of Directors that the audited consolidated financial statements be included in the Company’s Annual Report on Form 10-K for the year ended December 31, 2025 for filing with the SEC. The Audit Committee also has recommended the selection of the Company’s independent registered public accounting firm for fiscal year 2026. </w:t>
      </w:r>
    </w:p>
    <w:p>
      <w:pPr>
        <w:pStyle w:val="TextBody"/>
        <w:bidi w:val="0"/>
        <w:spacing w:before="400" w:after="283"/>
        <w:jc w:val="center"/>
        <w:rPr>
          <w:rFonts w:ascii="Arial;Helvetica;sans-serif" w:hAnsi="Arial;Helvetica;sans-serif"/>
          <w:b/>
          <w:color w:val="000000"/>
          <w:sz w:val="22"/>
        </w:rPr>
      </w:pPr>
      <w:r>
        <w:rPr>
          <w:rFonts w:ascii="Arial;Helvetica;sans-serif" w:hAnsi="Arial;Helvetica;sans-serif"/>
          <w:b/>
          <w:color w:val="000000"/>
          <w:sz w:val="22"/>
        </w:rPr>
        <w:t xml:space="preserve">THE AUDIT COMMITTEE </w:t>
      </w:r>
    </w:p>
    <w:p>
      <w:pPr>
        <w:pStyle w:val="TextBody"/>
        <w:bidi w:val="0"/>
        <w:spacing w:before="180" w:after="283"/>
        <w:jc w:val="center"/>
        <w:rPr>
          <w:rFonts w:ascii="Arial;Helvetica;sans-serif" w:hAnsi="Arial;Helvetica;sans-serif"/>
          <w:i/>
          <w:color w:val="000000"/>
          <w:sz w:val="20"/>
        </w:rPr>
      </w:pPr>
      <w:r>
        <w:rPr>
          <w:rFonts w:ascii="Arial;Helvetica;sans-serif" w:hAnsi="Arial;Helvetica;sans-serif"/>
          <w:i/>
          <w:color w:val="000000"/>
          <w:sz w:val="20"/>
        </w:rPr>
        <w:t xml:space="preserve">Glenn Lurie, Chair </w:t>
      </w:r>
    </w:p>
    <w:p>
      <w:pPr>
        <w:pStyle w:val="TextBody"/>
        <w:bidi w:val="0"/>
        <w:spacing w:before="0" w:after="283"/>
        <w:jc w:val="center"/>
        <w:rPr>
          <w:rFonts w:ascii="Arial;Helvetica;sans-serif" w:hAnsi="Arial;Helvetica;sans-serif"/>
          <w:i/>
          <w:color w:val="000000"/>
          <w:sz w:val="20"/>
        </w:rPr>
      </w:pPr>
      <w:r>
        <w:rPr>
          <w:rFonts w:ascii="Arial;Helvetica;sans-serif" w:hAnsi="Arial;Helvetica;sans-serif"/>
          <w:i/>
          <w:color w:val="000000"/>
          <w:sz w:val="20"/>
        </w:rPr>
        <w:t xml:space="preserve">Lynn Krominga </w:t>
      </w:r>
    </w:p>
    <w:p>
      <w:pPr>
        <w:pStyle w:val="TextBody"/>
        <w:bidi w:val="0"/>
        <w:spacing w:before="0" w:after="283"/>
        <w:jc w:val="center"/>
        <w:rPr>
          <w:rFonts w:ascii="Arial;Helvetica;sans-serif" w:hAnsi="Arial;Helvetica;sans-serif"/>
          <w:i/>
          <w:color w:val="000000"/>
          <w:sz w:val="20"/>
        </w:rPr>
      </w:pPr>
      <w:r>
        <w:rPr>
          <w:rFonts w:ascii="Arial;Helvetica;sans-serif" w:hAnsi="Arial;Helvetica;sans-serif"/>
          <w:i/>
          <w:color w:val="000000"/>
          <w:sz w:val="20"/>
        </w:rPr>
        <w:t>Anu Hariharan</w:t>
      </w:r>
      <w:r>
        <w:rPr>
          <w:rFonts w:ascii="Arial;Helvetica;sans-serif" w:hAnsi="Arial;Helvetica;sans-serif"/>
          <w:i/>
          <w:caps w:val="false"/>
          <w:smallCaps w:val="false"/>
          <w:color w:val="000000"/>
          <w:sz w:val="20"/>
        </w:rPr>
        <w:t xml:space="preserve">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46</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9" w:name="ny20066167x1_def14a_110-prop2_pg1"/>
        <w:bookmarkEnd w:id="99"/>
        <w:r>
          <w:rPr>
            <w:rStyle w:val="InternetLink"/>
            <w:rFonts w:ascii="Times New Roman;Times;Serif" w:hAnsi="Times New Roman;Times;Serif"/>
            <w:b/>
            <w:caps w:val="false"/>
            <w:smallCaps w:val="false"/>
            <w:color w:val="000000"/>
            <w:sz w:val="16"/>
          </w:rPr>
          <w:t>TABLE OF CONTENTS</w:t>
        </w:r>
      </w:hyperlink>
    </w:p>
    <w:p>
      <w:pPr>
        <w:pStyle w:val="TextBody"/>
        <w:bidi w:val="0"/>
        <w:spacing w:before="270" w:after="283"/>
        <w:ind w:left="0" w:right="0" w:hanging="0"/>
        <w:jc w:val="left"/>
        <w:rPr>
          <w:rFonts w:ascii="Arial;Helvetica;sans-serif" w:hAnsi="Arial;Helvetica;sans-serif"/>
          <w:color w:val="000000"/>
          <w:sz w:val="40"/>
        </w:rPr>
      </w:pPr>
      <w:bookmarkStart w:id="100" w:name="tPROP2"/>
      <w:bookmarkEnd w:id="100"/>
      <w:r>
        <w:rPr>
          <w:rFonts w:ascii="Arial;Helvetica;sans-serif" w:hAnsi="Arial;Helvetica;sans-serif"/>
          <w:color w:val="000000"/>
          <w:sz w:val="40"/>
        </w:rPr>
        <w:t xml:space="preserve">Proposal No. 2 </w:t>
      </w:r>
    </w:p>
    <w:p>
      <w:pPr>
        <w:pStyle w:val="TextBody"/>
        <w:bidi w:val="0"/>
        <w:spacing w:before="290" w:after="283"/>
        <w:ind w:left="0" w:right="0" w:hanging="0"/>
        <w:jc w:val="left"/>
        <w:rPr>
          <w:rFonts w:ascii="Arial;Helvetica;sans-serif" w:hAnsi="Arial;Helvetica;sans-serif"/>
          <w:b/>
          <w:color w:val="000000"/>
          <w:sz w:val="28"/>
        </w:rPr>
      </w:pPr>
      <w:r>
        <w:rPr>
          <w:rFonts w:ascii="Arial;Helvetica;sans-serif" w:hAnsi="Arial;Helvetica;sans-serif"/>
          <w:b/>
          <w:color w:val="000000"/>
          <w:sz w:val="28"/>
        </w:rPr>
        <w:t xml:space="preserve">Ratification of Appointment of Auditors </w:t>
      </w:r>
    </w:p>
    <w:p>
      <w:pPr>
        <w:pStyle w:val="TextBody"/>
        <w:bidi w:val="0"/>
        <w:spacing w:before="19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Audit Committee’s Charter provides that the Audit Committee is responsible for: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appointing, compensating and overseeing the work performed by our independent auditors related to the audit of our annual consolidated financial statements and internal controls over financial reporting;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evaluating the qualifications, performance and independence of our independent auditors with the assistance of management. </w:t>
            </w:r>
          </w:p>
        </w:tc>
      </w:tr>
    </w:tbl>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Audit Committee has appointed Deloitte &amp; Touche LLP (“Deloitte”) as the Company’s independent registered public accounting firm for the fiscal year ending December 31, 2026. Deloitte has served as our independent registered public accounting firm since 1997. Prior to appointing Deloitte for 2026, the Audit Committee considered Deloitte’s tenure, technical expertise, capabilities as independent auditors, industry knowledge and communication with the Audit Committee, and also considered the impact on the Company of changing independent auditors.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lead engagement partner from Deloitte is required to be rotated every five years. The process for selecting a new lead engagement partner includes a meeting between the Audit Committee Chair and the candidate for this role, as well as discussion by the full Audit Committee and with senior management. The lead engagement partner from Deloitte was last rotated in 2025.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 representative of Deloitte is expected to be present at the Meeting and will have the opportunity to make a statement if he or she desires to do so and will be available to respond to appropriate questions of shareholders. </w:t>
      </w:r>
    </w:p>
    <w:p>
      <w:pPr>
        <w:pStyle w:val="TextBody"/>
        <w:bidi w:val="0"/>
        <w:spacing w:before="160" w:after="283"/>
        <w:ind w:left="0" w:right="0" w:hanging="0"/>
        <w:jc w:val="both"/>
        <w:rPr>
          <w:rFonts w:ascii="Arial;Helvetica;sans-serif" w:hAnsi="Arial;Helvetica;sans-serif"/>
          <w:i/>
          <w:color w:val="000000"/>
          <w:sz w:val="20"/>
        </w:rPr>
      </w:pPr>
      <w:r>
        <w:rPr>
          <w:rFonts w:ascii="Arial;Helvetica;sans-serif" w:hAnsi="Arial;Helvetica;sans-serif"/>
          <w:i/>
          <w:color w:val="000000"/>
          <w:sz w:val="20"/>
        </w:rPr>
        <w:t>Principal Accounting Firm Fees</w:t>
      </w:r>
      <w:r>
        <w:rPr>
          <w:rFonts w:ascii="Arial;Helvetica;sans-serif" w:hAnsi="Arial;Helvetica;sans-serif"/>
          <w:i w:val="false"/>
          <w:caps w:val="false"/>
          <w:smallCaps w:val="false"/>
          <w:color w:val="000000"/>
          <w:sz w:val="20"/>
        </w:rPr>
        <w:t xml:space="preserve">. Fees billed to the Company by Deloitte, the member firms of Deloitte Touche Tohmatsu, and their respective affiliates (collectively, the “Deloitte Entities”) for the years ended December 31, 2025 and 2024 were as follows: </w:t>
      </w:r>
    </w:p>
    <w:tbl>
      <w:tblPr>
        <w:tblW w:w="4335" w:type="dxa"/>
        <w:jc w:val="left"/>
        <w:tblInd w:w="0" w:type="dxa"/>
        <w:tblLayout w:type="fixed"/>
        <w:tblCellMar>
          <w:top w:w="0" w:type="dxa"/>
          <w:left w:w="0" w:type="dxa"/>
          <w:bottom w:w="0" w:type="dxa"/>
          <w:right w:w="0" w:type="dxa"/>
        </w:tblCellMar>
      </w:tblPr>
      <w:tblGrid>
        <w:gridCol w:w="185"/>
        <w:gridCol w:w="1715"/>
        <w:gridCol w:w="170"/>
        <w:gridCol w:w="170"/>
        <w:gridCol w:w="740"/>
        <w:gridCol w:w="170"/>
        <w:gridCol w:w="170"/>
        <w:gridCol w:w="800"/>
        <w:gridCol w:w="215"/>
      </w:tblGrid>
      <w:tr>
        <w:trPr/>
        <w:tc>
          <w:tcPr>
            <w:tcW w:w="185"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80" w:type="dxa"/>
            <w:gridSpan w:val="4"/>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715"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880" w:type="dxa"/>
            <w:gridSpan w:val="4"/>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Fee</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(in thousands)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715" w:type="dxa"/>
            <w:tcBorders>
              <w:bottom w:val="single" w:sz="8" w:space="0" w:color="000000"/>
            </w:tcBorders>
            <w:tcMar>
              <w:bottom w:w="43" w:type="dxa"/>
            </w:tcMar>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Type of Fees</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40"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2025</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00" w:type="dxa"/>
            <w:tcBorders>
              <w:bottom w:val="single" w:sz="8" w:space="0" w:color="000000"/>
            </w:tcBorders>
            <w:tcMar>
              <w:bottom w:w="4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2024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15" w:type="dxa"/>
            <w:tcBorders>
              <w:bottom w:val="single" w:sz="8" w:space="0" w:color="000000"/>
            </w:tcBorders>
            <w:shd w:fill="CCCCCC" w:val="clear"/>
            <w:tcMar>
              <w:bottom w:w="38"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Audit Fees</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740" w:type="dxa"/>
            <w:tcBorders>
              <w:bottom w:val="single" w:sz="8" w:space="0" w:color="000000"/>
            </w:tcBorders>
            <w:shd w:fill="CCCCCC" w:val="clear"/>
            <w:tcMar>
              <w:bottom w:w="38"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$11,323</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800" w:type="dxa"/>
            <w:tcBorders>
              <w:bottom w:val="single" w:sz="8" w:space="0" w:color="000000"/>
            </w:tcBorders>
            <w:shd w:fill="CCCCCC" w:val="clear"/>
            <w:tcMar>
              <w:bottom w:w="38"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$10,414 </w:t>
            </w:r>
          </w:p>
        </w:tc>
        <w:tc>
          <w:tcPr>
            <w:tcW w:w="21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715" w:type="dxa"/>
            <w:tcBorders>
              <w:bottom w:val="single" w:sz="8" w:space="0" w:color="000000"/>
            </w:tcBorders>
            <w:tcMar>
              <w:bottom w:w="38"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Audit-Related Fees</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40" w:type="dxa"/>
            <w:tcBorders>
              <w:bottom w:val="single" w:sz="8" w:space="0" w:color="000000"/>
            </w:tcBorders>
            <w:tcMar>
              <w:bottom w:w="38"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72</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00" w:type="dxa"/>
            <w:tcBorders>
              <w:bottom w:val="single" w:sz="8" w:space="0" w:color="000000"/>
            </w:tcBorders>
            <w:tcMar>
              <w:bottom w:w="38"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 xml:space="preserve">31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shd w:fill="CCCCCC" w:val="clear"/>
            <w:vAlign w:val="center"/>
          </w:tcPr>
          <w:p>
            <w:pPr>
              <w:pStyle w:val="TableContents"/>
              <w:bidi w:val="0"/>
              <w:spacing w:before="0" w:after="0"/>
              <w:jc w:val="left"/>
              <w:rPr/>
            </w:pPr>
            <w:r>
              <w:rPr/>
              <w:t> </w:t>
            </w:r>
          </w:p>
        </w:tc>
        <w:tc>
          <w:tcPr>
            <w:tcW w:w="1715" w:type="dxa"/>
            <w:tcBorders/>
            <w:shd w:fill="CCCCCC" w:val="cle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Tax Fees</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740" w:type="dxa"/>
            <w:tcBorders/>
            <w:shd w:fill="CCCCCC"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3,953</w:t>
            </w:r>
          </w:p>
        </w:tc>
        <w:tc>
          <w:tcPr>
            <w:tcW w:w="170" w:type="dxa"/>
            <w:tcBorders/>
            <w:shd w:fill="CCCCCC" w:val="clear"/>
            <w:vAlign w:val="center"/>
          </w:tcPr>
          <w:p>
            <w:pPr>
              <w:pStyle w:val="TableContents"/>
              <w:bidi w:val="0"/>
              <w:spacing w:before="0" w:after="0"/>
              <w:jc w:val="left"/>
              <w:rPr/>
            </w:pPr>
            <w:r>
              <w:rPr/>
              <w:t> </w:t>
            </w:r>
          </w:p>
        </w:tc>
        <w:tc>
          <w:tcPr>
            <w:tcW w:w="170" w:type="dxa"/>
            <w:tcBorders/>
            <w:shd w:fill="CCCCCC" w:val="clear"/>
            <w:vAlign w:val="center"/>
          </w:tcPr>
          <w:p>
            <w:pPr>
              <w:pStyle w:val="TableContents"/>
              <w:bidi w:val="0"/>
              <w:spacing w:before="0" w:after="0"/>
              <w:jc w:val="left"/>
              <w:rPr/>
            </w:pPr>
            <w:r>
              <w:rPr/>
              <w:t> </w:t>
            </w:r>
          </w:p>
        </w:tc>
        <w:tc>
          <w:tcPr>
            <w:tcW w:w="800" w:type="dxa"/>
            <w:tcBorders/>
            <w:shd w:fill="CCCCCC"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 xml:space="preserve">2,172 </w:t>
            </w:r>
          </w:p>
        </w:tc>
        <w:tc>
          <w:tcPr>
            <w:tcW w:w="215" w:type="dxa"/>
            <w:tcBorders/>
            <w:shd w:fill="CCCCCC"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All Other Fees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both"/>
        <w:rPr>
          <w:rFonts w:ascii="Arial;Helvetica;sans-serif" w:hAnsi="Arial;Helvetica;sans-serif"/>
          <w:i/>
          <w:color w:val="000000"/>
          <w:sz w:val="20"/>
        </w:rPr>
      </w:pPr>
      <w:r>
        <w:rPr>
          <w:rFonts w:ascii="Arial;Helvetica;sans-serif" w:hAnsi="Arial;Helvetica;sans-serif"/>
          <w:i/>
          <w:color w:val="000000"/>
          <w:sz w:val="20"/>
        </w:rPr>
        <w:t xml:space="preserve">Audit Fees. </w:t>
      </w:r>
      <w:r>
        <w:rPr>
          <w:rFonts w:ascii="Arial;Helvetica;sans-serif" w:hAnsi="Arial;Helvetica;sans-serif"/>
          <w:i w:val="false"/>
          <w:caps w:val="false"/>
          <w:smallCaps w:val="false"/>
          <w:color w:val="000000"/>
          <w:sz w:val="20"/>
        </w:rPr>
        <w:t xml:space="preserve">The aggregate audit fees primarily relate to the audit of the Company’s annual consolidated financial statements for the fiscal years ended December 31, 2025 and 2024 and for the reviews of the consolidated condensed financial statements included in the Company’s Quarterly Reports on Form 10-Q and for other attest services, including services related to regulatory and statutory filings and financings. </w:t>
      </w:r>
    </w:p>
    <w:p>
      <w:pPr>
        <w:pStyle w:val="TextBody"/>
        <w:bidi w:val="0"/>
        <w:spacing w:before="160" w:after="283"/>
        <w:ind w:left="0" w:right="0" w:hanging="0"/>
        <w:jc w:val="both"/>
        <w:rPr>
          <w:rFonts w:ascii="Arial;Helvetica;sans-serif" w:hAnsi="Arial;Helvetica;sans-serif"/>
          <w:i/>
          <w:color w:val="000000"/>
          <w:sz w:val="20"/>
        </w:rPr>
      </w:pPr>
      <w:r>
        <w:rPr>
          <w:rFonts w:ascii="Arial;Helvetica;sans-serif" w:hAnsi="Arial;Helvetica;sans-serif"/>
          <w:i/>
          <w:color w:val="000000"/>
          <w:sz w:val="20"/>
        </w:rPr>
        <w:t xml:space="preserve">Audit-Related Fees. </w:t>
      </w:r>
      <w:r>
        <w:rPr>
          <w:rFonts w:ascii="Arial;Helvetica;sans-serif" w:hAnsi="Arial;Helvetica;sans-serif"/>
          <w:i w:val="false"/>
          <w:caps w:val="false"/>
          <w:smallCaps w:val="false"/>
          <w:color w:val="000000"/>
          <w:sz w:val="20"/>
        </w:rPr>
        <w:t xml:space="preserve">The aggregate audit-related fees for 2025 and 2024 primarily relate to audits of employee pension and benefit plans. </w:t>
      </w:r>
    </w:p>
    <w:p>
      <w:pPr>
        <w:pStyle w:val="TextBody"/>
        <w:bidi w:val="0"/>
        <w:spacing w:before="160" w:after="283"/>
        <w:ind w:left="0" w:right="0" w:hanging="0"/>
        <w:jc w:val="both"/>
        <w:rPr>
          <w:rFonts w:ascii="Arial;Helvetica;sans-serif" w:hAnsi="Arial;Helvetica;sans-serif"/>
          <w:i/>
          <w:color w:val="000000"/>
          <w:sz w:val="20"/>
        </w:rPr>
      </w:pPr>
      <w:r>
        <w:rPr>
          <w:rFonts w:ascii="Arial;Helvetica;sans-serif" w:hAnsi="Arial;Helvetica;sans-serif"/>
          <w:i/>
          <w:color w:val="000000"/>
          <w:sz w:val="20"/>
        </w:rPr>
        <w:t xml:space="preserve">Tax Fees. </w:t>
      </w:r>
      <w:r>
        <w:rPr>
          <w:rFonts w:ascii="Arial;Helvetica;sans-serif" w:hAnsi="Arial;Helvetica;sans-serif"/>
          <w:i w:val="false"/>
          <w:caps w:val="false"/>
          <w:smallCaps w:val="false"/>
          <w:color w:val="000000"/>
          <w:sz w:val="20"/>
        </w:rPr>
        <w:t xml:space="preserve">The aggregate fees billed for tax services for the fiscal years ended December 31, 2025 and 2024 relate to tax compliance, tax advice and tax planning. For the fiscal years ended December 31, 2025 and 2024, approximately $1.0 million and $1.0 million, respectively, of such fees related to U.S. and foreign tax return compliance and approximately $2.9 million and $1.2 million, respectively, related to tax advice and tax planning. </w:t>
      </w:r>
    </w:p>
    <w:p>
      <w:pPr>
        <w:pStyle w:val="TextBody"/>
        <w:bidi w:val="0"/>
        <w:spacing w:before="210" w:after="283"/>
        <w:ind w:left="0" w:right="0" w:hanging="0"/>
        <w:jc w:val="left"/>
        <w:rPr>
          <w:rFonts w:ascii="Arial;Helvetica;sans-serif" w:hAnsi="Arial;Helvetica;sans-serif"/>
          <w:i/>
          <w:color w:val="000000"/>
          <w:sz w:val="20"/>
        </w:rPr>
      </w:pPr>
      <w:r>
        <w:rPr>
          <w:rFonts w:ascii="Arial;Helvetica;sans-serif" w:hAnsi="Arial;Helvetica;sans-serif"/>
          <w:i/>
          <w:color w:val="000000"/>
          <w:sz w:val="20"/>
        </w:rPr>
        <w:t xml:space="preserve">All Other Fees. </w:t>
      </w:r>
      <w:r>
        <w:rPr>
          <w:rFonts w:ascii="Arial;Helvetica;sans-serif" w:hAnsi="Arial;Helvetica;sans-serif"/>
          <w:i w:val="false"/>
          <w:caps w:val="false"/>
          <w:smallCaps w:val="false"/>
          <w:color w:val="000000"/>
          <w:sz w:val="20"/>
        </w:rPr>
        <w:t xml:space="preserve">There were no other fees for the fiscal year ended December 31, 2025 or December 31, 2024.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Audit Committee considered the non-audit services provided by the Deloitte Entities and determined that the provision of such services was compatible with maintaining the Deloitte Entities’ independence.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Audit Committee has established a policy for the pre-approval of all audit and permissible non-audit services to be provided by the independent registered public accounting firm, as described below.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All services performed by the independent registered public accounting firm in 2025 were pre-approved in accordance with the pre-approval policy and procedures adopted by the Audit Committee. This policy describes the permitted audit, audit-related,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47</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1" w:name="ny20066167x1_def14a_110-prop2_pg2"/>
        <w:bookmarkEnd w:id="1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tax and other services (collectively, the “Disclosure Categories”) that the independent registered public accounting firm may perform. At the beginning of each fiscal year, a description of the services (the “Service List”) anticipated to be performed by the independent registered public accounting firm in each of the Disclosure Categories in the ensuing fiscal year is presented to the Audit Committee for approval.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Any requests for audit, audit-related, tax and other services not contemplated by the Service List must be submitted to the Audit Committee for specific pre-approval, except for de minimis amounts under certain circumstances as described below, and the provision of such services cannot commence until such approval has been granted. Normally, pre-approval is provided at regularly scheduled meetings of the Audit Committee. However, the authority to grant specific pre-approval between meetings, as necessary, has been delegated to the Chairman of the Audit Committee. The Chairman will update the full Audit Committee no later than the next regularly scheduled meeting for any interim approvals granted.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On a quarterly basis, the Audit Committee reviews the status of services and fees incurred year-to-date as compared to the original Service List and the forecast of remaining services for the fiscal year.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policy contains a de minimis provision that operates to provide retroactive approval for permissible non-audit services under certain circumstances.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Audit Committee has also adopted a policy prohibiting the Company from hiring the Deloitte Entities’ personnel who have been directly involved in performing auditing procedures or providing accounting advice to the Company within a specified period of time in any role in which such person would be in a position to influence the contents of the Company’s consolidated financial statements.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Although not required by the Company’s By-laws or otherwise, the Board of Directors is submitting for shareholder ratification the selection of Deloitte as the Company’s independent registered public accounting firm. If the selection is not ratified, the Audit Committee will consider whether it is appropriate to select another independent registered public accounting firm. </w:t>
      </w:r>
    </w:p>
    <w:p>
      <w:pPr>
        <w:pStyle w:val="TextBody"/>
        <w:bidi w:val="0"/>
        <w:spacing w:before="280" w:after="283"/>
        <w:jc w:val="center"/>
        <w:rPr>
          <w:rFonts w:ascii="Arial;Helvetica;sans-serif" w:hAnsi="Arial;Helvetica;sans-serif"/>
          <w:b/>
          <w:color w:val="000000"/>
          <w:sz w:val="24"/>
        </w:rPr>
      </w:pPr>
      <w:r>
        <w:rPr>
          <w:rFonts w:ascii="Arial;Helvetica;sans-serif" w:hAnsi="Arial;Helvetica;sans-serif"/>
          <w:b/>
          <w:color w:val="000000"/>
          <w:sz w:val="24"/>
        </w:rPr>
        <w:t xml:space="preserve">THE BOARD OF DIRECTORS RECOMMENDS </w:t>
      </w:r>
    </w:p>
    <w:p>
      <w:pPr>
        <w:pStyle w:val="TextBody"/>
        <w:bidi w:val="0"/>
        <w:spacing w:before="0" w:after="283"/>
        <w:jc w:val="center"/>
        <w:rPr>
          <w:rFonts w:ascii="Arial;Helvetica;sans-serif" w:hAnsi="Arial;Helvetica;sans-serif"/>
          <w:b/>
          <w:color w:val="000000"/>
          <w:sz w:val="24"/>
        </w:rPr>
      </w:pPr>
      <w:r>
        <w:rPr>
          <w:rFonts w:ascii="Arial;Helvetica;sans-serif" w:hAnsi="Arial;Helvetica;sans-serif"/>
          <w:b/>
          <w:color w:val="000000"/>
          <w:sz w:val="24"/>
        </w:rPr>
        <w:t xml:space="preserve">A VOTE “FOR” THE RATIFICATION OF DELOITTE &amp; TOUCHE LLP </w:t>
      </w:r>
    </w:p>
    <w:p>
      <w:pPr>
        <w:pStyle w:val="TextBody"/>
        <w:bidi w:val="0"/>
        <w:spacing w:before="0" w:after="283"/>
        <w:jc w:val="center"/>
        <w:rPr>
          <w:rFonts w:ascii="Arial;Helvetica;sans-serif" w:hAnsi="Arial;Helvetica;sans-serif"/>
          <w:b/>
          <w:color w:val="000000"/>
          <w:sz w:val="24"/>
        </w:rPr>
      </w:pPr>
      <w:r>
        <w:rPr>
          <w:rFonts w:ascii="Arial;Helvetica;sans-serif" w:hAnsi="Arial;Helvetica;sans-serif"/>
          <w:b/>
          <w:color w:val="000000"/>
          <w:sz w:val="24"/>
        </w:rPr>
        <w:t xml:space="preserve">AS THE COMPANY’S INDEPENDENT REGISTERED PUBLIC </w:t>
      </w:r>
    </w:p>
    <w:p>
      <w:pPr>
        <w:pStyle w:val="TextBody"/>
        <w:bidi w:val="0"/>
        <w:spacing w:before="0" w:after="283"/>
        <w:jc w:val="center"/>
        <w:rPr>
          <w:rFonts w:ascii="Arial;Helvetica;sans-serif" w:hAnsi="Arial;Helvetica;sans-serif"/>
          <w:b/>
          <w:color w:val="000000"/>
          <w:sz w:val="24"/>
        </w:rPr>
      </w:pPr>
      <w:r>
        <w:rPr>
          <w:rFonts w:ascii="Arial;Helvetica;sans-serif" w:hAnsi="Arial;Helvetica;sans-serif"/>
          <w:b/>
          <w:color w:val="000000"/>
          <w:sz w:val="24"/>
        </w:rPr>
        <w:t xml:space="preserve">ACCOUNTING FIRM FOR THE FISCAL </w:t>
      </w:r>
    </w:p>
    <w:p>
      <w:pPr>
        <w:pStyle w:val="TextBody"/>
        <w:bidi w:val="0"/>
        <w:spacing w:before="0" w:after="283"/>
        <w:jc w:val="center"/>
        <w:rPr>
          <w:rFonts w:ascii="Arial;Helvetica;sans-serif" w:hAnsi="Arial;Helvetica;sans-serif"/>
          <w:b/>
          <w:color w:val="000000"/>
          <w:sz w:val="24"/>
        </w:rPr>
      </w:pPr>
      <w:bookmarkStart w:id="102" w:name="tPROP2END"/>
      <w:bookmarkEnd w:id="102"/>
      <w:r>
        <w:rPr>
          <w:rFonts w:ascii="Arial;Helvetica;sans-serif" w:hAnsi="Arial;Helvetica;sans-serif"/>
          <w:b/>
          <w:color w:val="000000"/>
          <w:sz w:val="24"/>
        </w:rPr>
        <w:t xml:space="preserve">YEAR ENDING DECEMBER 31, 2026.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48</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3" w:name="ny20066167x1_def14a_111-prop3_pg1"/>
        <w:bookmarkEnd w:id="103"/>
        <w:r>
          <w:rPr>
            <w:rStyle w:val="InternetLink"/>
            <w:rFonts w:ascii="Times New Roman;Times;Serif" w:hAnsi="Times New Roman;Times;Serif"/>
            <w:b/>
            <w:caps w:val="false"/>
            <w:smallCaps w:val="false"/>
            <w:color w:val="000000"/>
            <w:sz w:val="16"/>
          </w:rPr>
          <w:t>TABLE OF CONTENTS</w:t>
        </w:r>
      </w:hyperlink>
    </w:p>
    <w:p>
      <w:pPr>
        <w:pStyle w:val="TextBody"/>
        <w:bidi w:val="0"/>
        <w:spacing w:before="270" w:after="283"/>
        <w:ind w:left="0" w:right="0" w:hanging="0"/>
        <w:jc w:val="left"/>
        <w:rPr>
          <w:rFonts w:ascii="Arial;Helvetica;sans-serif" w:hAnsi="Arial;Helvetica;sans-serif"/>
          <w:color w:val="000000"/>
          <w:sz w:val="40"/>
        </w:rPr>
      </w:pPr>
      <w:bookmarkStart w:id="104" w:name="tPROP3"/>
      <w:bookmarkEnd w:id="104"/>
      <w:r>
        <w:rPr>
          <w:rFonts w:ascii="Arial;Helvetica;sans-serif" w:hAnsi="Arial;Helvetica;sans-serif"/>
          <w:color w:val="000000"/>
          <w:sz w:val="40"/>
        </w:rPr>
        <w:t xml:space="preserve">Proposal No. 3 </w:t>
      </w:r>
    </w:p>
    <w:p>
      <w:pPr>
        <w:pStyle w:val="TextBody"/>
        <w:bidi w:val="0"/>
        <w:spacing w:before="280" w:after="283"/>
        <w:ind w:left="0" w:right="0" w:hanging="0"/>
        <w:jc w:val="left"/>
        <w:rPr>
          <w:rFonts w:ascii="Arial;Helvetica;sans-serif" w:hAnsi="Arial;Helvetica;sans-serif"/>
          <w:b/>
          <w:color w:val="000000"/>
          <w:sz w:val="28"/>
        </w:rPr>
      </w:pPr>
      <w:r>
        <w:rPr>
          <w:rFonts w:ascii="Arial;Helvetica;sans-serif" w:hAnsi="Arial;Helvetica;sans-serif"/>
          <w:b/>
          <w:color w:val="000000"/>
          <w:sz w:val="28"/>
        </w:rPr>
        <w:t xml:space="preserve">Advisory Approval of Executive Compensation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As required by Section 14A of the Exchange Act, the Company is asking its shareholders to approve an advisory resolution to approve the compensation of our named executive officers as follows: </w:t>
      </w:r>
    </w:p>
    <w:p>
      <w:pPr>
        <w:pStyle w:val="TextBody"/>
        <w:bidi w:val="0"/>
        <w:spacing w:before="160" w:after="283"/>
        <w:ind w:left="0" w:right="0" w:hanging="0"/>
        <w:jc w:val="both"/>
        <w:rPr>
          <w:color w:val="000000"/>
        </w:rPr>
      </w:pPr>
      <w:r>
        <w:rPr>
          <w:color w:val="000000"/>
        </w:rPr>
        <w:t>“</w:t>
      </w:r>
      <w:r>
        <w:rPr>
          <w:rFonts w:ascii="Arial;Helvetica;sans-serif" w:hAnsi="Arial;Helvetica;sans-serif"/>
          <w:i/>
          <w:color w:val="000000"/>
          <w:sz w:val="20"/>
        </w:rPr>
        <w:t>RESOLVED, that the compensation paid to the Company’s named executive officers as disclosed pursuant to the compensation rules of the Securities and Exchange Commission, including the Compensation Discussion and Analysis, the compensation tables and any related material disclosed in this Proxy Statement, is hereby APPROVED.”</w:t>
      </w:r>
      <w:r>
        <w:rPr>
          <w:rFonts w:ascii="Arial;Helvetica;sans-serif" w:hAnsi="Arial;Helvetica;sans-serif"/>
          <w:i/>
          <w:caps w:val="false"/>
          <w:smallCaps w:val="false"/>
          <w:color w:val="000000"/>
          <w:sz w:val="20"/>
        </w:rPr>
        <w:t xml:space="preserve">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This vote is not intended to address any specific item of compensation, but rather the overall compensation of our named executive officers, as described in this Proxy Statement. We currently conduct an advisory vote on the approval of the compensation of our named executive officers each year, and expect the next such advisory vote will take place at our 2027 annual meeting of shareholders.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This vote is advisory and, therefore, will not be binding on the Company, the Compensation Committee or our Board of Directors, nor will it overrule any prior decision or require the Board or the Compensation Committee to take any action. However, the Compensation Committee and our Board of Directors value the opinions of our shareholders, and to the extent there is any significant vote against the named executive officer compensation as disclosed in this Proxy Statement, the Compensation Committee and our Board of Directors will consider shareholders’ concerns and the Compensation Committee will evaluate whether any actions are necessary to address those concerns. </w:t>
      </w:r>
    </w:p>
    <w:p>
      <w:pPr>
        <w:pStyle w:val="TextBody"/>
        <w:bidi w:val="0"/>
        <w:spacing w:before="280" w:after="283"/>
        <w:jc w:val="center"/>
        <w:rPr>
          <w:rFonts w:ascii="Arial;Helvetica;sans-serif" w:hAnsi="Arial;Helvetica;sans-serif"/>
          <w:b/>
          <w:color w:val="000000"/>
          <w:sz w:val="24"/>
        </w:rPr>
      </w:pPr>
      <w:r>
        <w:rPr>
          <w:rFonts w:ascii="Arial;Helvetica;sans-serif" w:hAnsi="Arial;Helvetica;sans-serif"/>
          <w:b/>
          <w:color w:val="000000"/>
          <w:sz w:val="24"/>
        </w:rPr>
        <w:t xml:space="preserve">THE BOARD OF DIRECTORS RECOMMENDS A VOTE “FOR” </w:t>
      </w:r>
    </w:p>
    <w:p>
      <w:pPr>
        <w:pStyle w:val="TextBody"/>
        <w:bidi w:val="0"/>
        <w:spacing w:before="0" w:after="283"/>
        <w:jc w:val="center"/>
        <w:rPr>
          <w:rFonts w:ascii="Arial;Helvetica;sans-serif" w:hAnsi="Arial;Helvetica;sans-serif"/>
          <w:b/>
          <w:color w:val="000000"/>
          <w:sz w:val="24"/>
        </w:rPr>
      </w:pPr>
      <w:r>
        <w:rPr>
          <w:rFonts w:ascii="Arial;Helvetica;sans-serif" w:hAnsi="Arial;Helvetica;sans-serif"/>
          <w:b/>
          <w:color w:val="000000"/>
          <w:sz w:val="24"/>
        </w:rPr>
        <w:t>THE APPROVAL OF THE RESOLUTION SET FORTH ABOVE</w:t>
      </w:r>
      <w:r>
        <w:rPr>
          <w:rFonts w:ascii="Arial;Helvetica;sans-serif" w:hAnsi="Arial;Helvetica;sans-serif"/>
          <w:b w:val="false"/>
          <w:color w:val="000000"/>
          <w:sz w:val="24"/>
        </w:rPr>
        <w:t xml:space="preserve">.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49</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5" w:name="ny20066167x1_def14a_112-prop4_pg1"/>
        <w:bookmarkEnd w:id="105"/>
        <w:r>
          <w:rPr>
            <w:rStyle w:val="InternetLink"/>
            <w:rFonts w:ascii="Times New Roman;Times;Serif" w:hAnsi="Times New Roman;Times;Serif"/>
            <w:b/>
            <w:caps w:val="false"/>
            <w:smallCaps w:val="false"/>
            <w:color w:val="000000"/>
            <w:sz w:val="16"/>
          </w:rPr>
          <w:t>TABLE OF CONTENTS</w:t>
        </w:r>
      </w:hyperlink>
    </w:p>
    <w:p>
      <w:pPr>
        <w:pStyle w:val="TextBody"/>
        <w:bidi w:val="0"/>
        <w:spacing w:before="270" w:after="283"/>
        <w:ind w:left="0" w:right="0" w:hanging="0"/>
        <w:jc w:val="left"/>
        <w:rPr>
          <w:rFonts w:ascii="Arial;Helvetica;sans-serif" w:hAnsi="Arial;Helvetica;sans-serif"/>
          <w:color w:val="000000"/>
          <w:sz w:val="40"/>
        </w:rPr>
      </w:pPr>
      <w:bookmarkStart w:id="106" w:name="tPROP4"/>
      <w:bookmarkEnd w:id="106"/>
      <w:r>
        <w:rPr>
          <w:rFonts w:ascii="Arial;Helvetica;sans-serif" w:hAnsi="Arial;Helvetica;sans-serif"/>
          <w:color w:val="000000"/>
          <w:sz w:val="40"/>
        </w:rPr>
        <w:t>Proposal No. 4</w:t>
      </w:r>
    </w:p>
    <w:p>
      <w:pPr>
        <w:pStyle w:val="TextBody"/>
        <w:bidi w:val="0"/>
        <w:spacing w:before="200" w:after="283"/>
        <w:ind w:left="0" w:right="0" w:hanging="0"/>
        <w:jc w:val="left"/>
        <w:rPr>
          <w:rFonts w:ascii="Arial;Helvetica;sans-serif" w:hAnsi="Arial;Helvetica;sans-serif"/>
          <w:b/>
          <w:color w:val="000000"/>
          <w:sz w:val="28"/>
        </w:rPr>
      </w:pPr>
      <w:r>
        <w:rPr>
          <w:rFonts w:ascii="Arial;Helvetica;sans-serif" w:hAnsi="Arial;Helvetica;sans-serif"/>
          <w:b/>
          <w:color w:val="000000"/>
          <w:sz w:val="28"/>
        </w:rPr>
        <w:t xml:space="preserve">Shareholder Proposal Regarding Governance by Majority Voting and Meeting Adjournment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In accordance with SEC rules, we have set forth below a shareholder proposal from Mr. John Chevedden, 2215 Nelson Avenue, No. 205, Redondo Beach, CA 90278. Mr. Chevedden has notified us that he is the beneficial owner of 30 shares of the Company’s common stock and that he intends to present the following proposal at the Meeting. The shareholder proposal will be voted upon at the Meeting if properly presented. The text of the shareholder’s resolution and the statement the shareholder furnished to us in support thereof appear below, exactly as submitted. The shareholder proposal includes some assertions the Company believes are incorrect. The Company assumes no responsibility for the content or accuracy of the proposal. </w:t>
      </w:r>
    </w:p>
    <w:p>
      <w:pPr>
        <w:pStyle w:val="TextBody"/>
        <w:bidi w:val="0"/>
        <w:spacing w:before="210" w:after="283"/>
        <w:jc w:val="center"/>
        <w:rPr>
          <w:rFonts w:ascii="Arial;Helvetica;sans-serif" w:hAnsi="Arial;Helvetica;sans-serif"/>
          <w:b/>
          <w:color w:val="000000"/>
          <w:sz w:val="20"/>
        </w:rPr>
      </w:pPr>
      <w:r>
        <w:rPr>
          <w:rFonts w:ascii="Arial;Helvetica;sans-serif" w:hAnsi="Arial;Helvetica;sans-serif"/>
          <w:b/>
          <w:color w:val="000000"/>
          <w:sz w:val="20"/>
        </w:rPr>
        <w:t>Proposal 4 - Govern by Majority Vote</w:t>
      </w:r>
    </w:p>
    <w:p>
      <w:pPr>
        <w:pStyle w:val="TextBody"/>
        <w:bidi w:val="0"/>
        <w:spacing w:before="345" w:after="283"/>
        <w:jc w:val="center"/>
        <w:rPr>
          <w:color w:val="000000"/>
        </w:rPr>
      </w:pPr>
      <w:r>
        <w:rPr>
          <w:color w:val="000000"/>
        </w:rPr>
        <w:drawing>
          <wp:inline distT="0" distB="0" distL="0" distR="0">
            <wp:extent cx="2933700" cy="7239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933700" cy="7239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Shareholders request that the Board of Directors take each step necessary so that each voting requirement in our charter and bylaws (that is explicit or implicit due to default to state law) that calls for a greater than simple majority vote be replaced by a requirement for a majority of the votes cast for and against applicable proposals, or a simple majority in compliance with applicable laws.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This means the closest standard to a majority of the votes cast for and against such proposals consistent with applicable laws. This proposal includes that Avis Budget shall state in its governing documents that it shall not have any super-majority voting standards, which includes default super-majority voting standards, upon adoption of this proposal.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This unified and comprehensive proposal includes adjourning the CAR annual meeting, if CAR fails to obtain the required 80% vote on the day of the annual meeting, for up to 2-weeks to seek more votes with the objective of reaching the 80% shareholder approval requirement for this proposal. In 2025 CAR demonstrated that without adjourning the CAR annual meeting CAR is unable to obtain the 80% approval vote from all shares outstanding that is required.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This unified and comprehensive proposal is similar to a unified and comprehensive proposal that was submitted to Netflix and received 83% shareholder support.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This proposal does not preclude CAR from using other methods to increase shareholder voting until the 80% shareholder approval is obtained.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If CAR had followed the adjournment part of this 2026 proposal at its 2025 annual meeting CAR would now be governed by a majority vote standard. The 2025 majority vote proposal needed an approval vote from 80% of CAR shares outstanding and came so close with more than 76% approval from all shares outstanding. CAR failed to disclose any special effort that it made in 2025 to obtain the few extra votes needed.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Some shareholders may feel that CAR disserves to be condemned for not putting forth an extra effort in 2025 to obtain the needed 80% approval from all CAR shares outstanding. In a whole year CAR typically only puts forth 3 items for shareholder vote. Thus when the 2025 incoming votes for this proposal topic were at the 76% mark CAR should have taken this 76% mark seriously and then make an extra effort to obtain the 80% needed.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Shareholders are willing to pay a premium for shares of companies that have excellent corporate governance. The supermajority voting requirements, like those of CAR, have been found to be one of 6 entrenching mechanisms that are negatively related to company performance according to “What Matters in Corporate Governance” by Lucien Bebchuk, Alma Cohen and Allen Ferrell of the Harvard Law School. Supermajority requirements can be used to block proposals supported by most shareowners but opposed by management. </w:t>
      </w:r>
    </w:p>
    <w:p>
      <w:pPr>
        <w:pStyle w:val="TextBody"/>
        <w:bidi w:val="0"/>
        <w:spacing w:before="210" w:after="283"/>
        <w:jc w:val="center"/>
        <w:rPr>
          <w:rFonts w:ascii="Arial;Helvetica;sans-serif" w:hAnsi="Arial;Helvetica;sans-serif"/>
          <w:color w:val="000000"/>
          <w:sz w:val="20"/>
        </w:rPr>
      </w:pPr>
      <w:r>
        <w:rPr>
          <w:rFonts w:ascii="Arial;Helvetica;sans-serif" w:hAnsi="Arial;Helvetica;sans-serif"/>
          <w:color w:val="000000"/>
          <w:sz w:val="20"/>
        </w:rPr>
        <w:t xml:space="preserve">Please vote yes: </w:t>
      </w:r>
    </w:p>
    <w:p>
      <w:pPr>
        <w:pStyle w:val="TextBody"/>
        <w:bidi w:val="0"/>
        <w:spacing w:before="0" w:after="283"/>
        <w:jc w:val="center"/>
        <w:rPr>
          <w:rFonts w:ascii="Arial;Helvetica;sans-serif" w:hAnsi="Arial;Helvetica;sans-serif"/>
          <w:color w:val="000000"/>
          <w:sz w:val="20"/>
        </w:rPr>
      </w:pPr>
      <w:r>
        <w:rPr>
          <w:rFonts w:ascii="Arial;Helvetica;sans-serif" w:hAnsi="Arial;Helvetica;sans-serif"/>
          <w:b/>
          <w:color w:val="000000"/>
          <w:sz w:val="20"/>
        </w:rPr>
        <w:t>Govern by Majority Vote - Proposal 4</w:t>
      </w:r>
      <w:r>
        <w:rPr>
          <w:rFonts w:ascii="Arial;Helvetica;sans-serif" w:hAnsi="Arial;Helvetica;sans-serif"/>
          <w:color w:val="000000"/>
          <w:sz w:val="20"/>
        </w:rPr>
        <w:t xml:space="preserve">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50</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7" w:name="ny20066167x1_def14a_112-prop4_pg2"/>
        <w:bookmarkEnd w:id="107"/>
        <w:r>
          <w:rPr>
            <w:rStyle w:val="InternetLink"/>
            <w:rFonts w:ascii="Times New Roman;Times;Serif" w:hAnsi="Times New Roman;Times;Serif"/>
            <w:b/>
            <w:caps w:val="false"/>
            <w:smallCaps w:val="false"/>
            <w:color w:val="000000"/>
            <w:sz w:val="16"/>
          </w:rPr>
          <w:t>TABLE OF CONTENTS</w:t>
        </w:r>
      </w:hyperlink>
    </w:p>
    <w:p>
      <w:pPr>
        <w:pStyle w:val="TextBody"/>
        <w:bidi w:val="0"/>
        <w:spacing w:before="160" w:after="283"/>
        <w:ind w:left="0" w:right="0" w:hanging="0"/>
        <w:jc w:val="left"/>
        <w:rPr>
          <w:rFonts w:ascii="Arial;Helvetica;sans-serif" w:hAnsi="Arial;Helvetica;sans-serif"/>
          <w:b/>
          <w:color w:val="000000"/>
          <w:sz w:val="24"/>
        </w:rPr>
      </w:pPr>
      <w:bookmarkStart w:id="108" w:name="tSSB"/>
      <w:bookmarkEnd w:id="108"/>
      <w:r>
        <w:rPr>
          <w:rFonts w:ascii="Arial;Helvetica;sans-serif" w:hAnsi="Arial;Helvetica;sans-serif"/>
          <w:b/>
          <w:color w:val="000000"/>
          <w:sz w:val="24"/>
        </w:rPr>
        <w:t xml:space="preserve">Statement by the Board of Directors on the Shareholder Proposal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Our Board has carefully considered this proposal and, for the reasons set forth below, does not believe that it is in the best interests of the Company and our shareholders.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After receiving a nearly identical shareholder proposal from Mr. Chevedden last year and related discussions with him, we recommended four Company proposals at the Company’s 2025 Annual Meeting that, if approved by the shareholders, would have removed the existing supermajority voting provisions in the Company’s Amended and Restated Certificate of Incorporation (the “Charter”) and aligned such provisions with the applicable majority vote standards under default Delaware law. Despite the recommendation of the Board in favor of all four proposals, only one of the proposals passed. The three proposals that did not pass were for amendments to the Charter to: </w:t>
      </w:r>
    </w:p>
    <w:tbl>
      <w:tblPr>
        <w:tblW w:w="7930" w:type="dxa"/>
        <w:jc w:val="left"/>
        <w:tblInd w:w="0" w:type="dxa"/>
        <w:tblLayout w:type="fixed"/>
        <w:tblCellMar>
          <w:top w:w="0" w:type="dxa"/>
          <w:left w:w="0" w:type="dxa"/>
          <w:bottom w:w="0" w:type="dxa"/>
          <w:right w:w="0" w:type="dxa"/>
        </w:tblCellMar>
      </w:tblPr>
      <w:tblGrid>
        <w:gridCol w:w="215"/>
        <w:gridCol w:w="7715"/>
      </w:tblGrid>
      <w:tr>
        <w:trPr/>
        <w:tc>
          <w:tcPr>
            <w:tcW w:w="21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1.</w:t>
            </w:r>
          </w:p>
        </w:tc>
        <w:tc>
          <w:tcPr>
            <w:tcW w:w="771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Revise the supermajority vote requirement to make certain amendments to the Charter; </w:t>
            </w:r>
          </w:p>
        </w:tc>
      </w:tr>
    </w:tbl>
    <w:tbl>
      <w:tblPr>
        <w:tblW w:w="8365" w:type="dxa"/>
        <w:jc w:val="left"/>
        <w:tblInd w:w="0" w:type="dxa"/>
        <w:tblLayout w:type="fixed"/>
        <w:tblCellMar>
          <w:top w:w="0" w:type="dxa"/>
          <w:left w:w="0" w:type="dxa"/>
          <w:bottom w:w="0" w:type="dxa"/>
          <w:right w:w="0" w:type="dxa"/>
        </w:tblCellMar>
      </w:tblPr>
      <w:tblGrid>
        <w:gridCol w:w="215"/>
        <w:gridCol w:w="8150"/>
      </w:tblGrid>
      <w:tr>
        <w:trPr/>
        <w:tc>
          <w:tcPr>
            <w:tcW w:w="21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2.</w:t>
            </w:r>
          </w:p>
        </w:tc>
        <w:tc>
          <w:tcPr>
            <w:tcW w:w="815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Revise the supermajority vote requirement to make certain amendments to the By-laws; and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3.</w:t>
            </w:r>
          </w:p>
        </w:tc>
        <w:tc>
          <w:tcPr>
            <w:tcW w:w="10019" w:type="dxa"/>
            <w:tcBorders/>
            <w:vAlign w:val="center"/>
          </w:tcPr>
          <w:p>
            <w:pPr>
              <w:pStyle w:val="TableContents"/>
              <w:bidi w:val="0"/>
              <w:spacing w:before="0" w:after="0"/>
              <w:jc w:val="both"/>
              <w:rPr>
                <w:rFonts w:ascii="Arial;Helvetica;sans-serif" w:hAnsi="Arial;Helvetica;sans-serif"/>
                <w:color w:val="000000"/>
                <w:sz w:val="20"/>
              </w:rPr>
            </w:pPr>
            <w:r>
              <w:rPr>
                <w:rFonts w:ascii="Arial;Helvetica;sans-serif" w:hAnsi="Arial;Helvetica;sans-serif"/>
                <w:color w:val="000000"/>
                <w:sz w:val="20"/>
              </w:rPr>
              <w:t xml:space="preserve">Revise the requirement that certain business combinations and transactions involving interested shareholders be approved by holders of 80% of the outstanding shares of our common stock entitled to vote. </w:t>
            </w:r>
          </w:p>
        </w:tc>
      </w:tr>
    </w:tbl>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Despite the failure of these three proposals to pass, Mr. Chevedden has submitted a shareholder proposal requesting the Board to recommend these Charter amendments again, and additionally stipulates that the Company must adjourn the Meeting if the Charter amendments again fail to receive the required vote. The Board does not believe that this is the right time to submit these Charter amendments to shareholders again so soon after the shareholders failed to approve such Charter amendments last year. The Company does not believe it is the best use of Company resources given last year’s vote. In addition, the Board strongly believes that the decision whether or not to adjourn a shareholder meeting should not be predetermined. This is a decision that is appropriately made by management and the Board in the exercise of their fiduciary obligations and based on the weighing of many factors that cannot be known in advance. For the foregoing reasons, the Board recommends a vote against Proposal 4. </w:t>
      </w:r>
    </w:p>
    <w:p>
      <w:pPr>
        <w:pStyle w:val="TextBody"/>
        <w:bidi w:val="0"/>
        <w:spacing w:before="280" w:after="283"/>
        <w:jc w:val="center"/>
        <w:rPr>
          <w:rFonts w:ascii="Arial;Helvetica;sans-serif" w:hAnsi="Arial;Helvetica;sans-serif"/>
          <w:b/>
          <w:color w:val="000000"/>
          <w:sz w:val="24"/>
        </w:rPr>
      </w:pPr>
      <w:r>
        <w:rPr>
          <w:rFonts w:ascii="Arial;Helvetica;sans-serif" w:hAnsi="Arial;Helvetica;sans-serif"/>
          <w:b/>
          <w:color w:val="000000"/>
          <w:sz w:val="24"/>
        </w:rPr>
        <w:t xml:space="preserve">THE BOARD OF DIRECTORS RECOMMENDS A VOTE “AGAINST” </w:t>
      </w:r>
    </w:p>
    <w:p>
      <w:pPr>
        <w:pStyle w:val="TextBody"/>
        <w:bidi w:val="0"/>
        <w:spacing w:before="0" w:after="283"/>
        <w:jc w:val="center"/>
        <w:rPr>
          <w:rFonts w:ascii="Arial;Helvetica;sans-serif" w:hAnsi="Arial;Helvetica;sans-serif"/>
          <w:b/>
          <w:color w:val="000000"/>
          <w:sz w:val="24"/>
        </w:rPr>
      </w:pPr>
      <w:r>
        <w:rPr>
          <w:rFonts w:ascii="Arial;Helvetica;sans-serif" w:hAnsi="Arial;Helvetica;sans-serif"/>
          <w:b/>
          <w:color w:val="000000"/>
          <w:sz w:val="24"/>
        </w:rPr>
        <w:t xml:space="preserve">PROPOSAL 4 – GOVERN BY MAJORITY VOTE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51</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9" w:name="ny20066167x1_def14a_113-shareholder_pg1"/>
        <w:bookmarkEnd w:id="109"/>
        <w:r>
          <w:rPr>
            <w:rStyle w:val="InternetLink"/>
            <w:rFonts w:ascii="Times New Roman;Times;Serif" w:hAnsi="Times New Roman;Times;Serif"/>
            <w:b/>
            <w:caps w:val="false"/>
            <w:smallCaps w:val="false"/>
            <w:color w:val="000000"/>
            <w:sz w:val="16"/>
          </w:rPr>
          <w:t>TABLE OF CONTENTS</w:t>
        </w:r>
      </w:hyperlink>
    </w:p>
    <w:p>
      <w:pPr>
        <w:pStyle w:val="TextBody"/>
        <w:bidi w:val="0"/>
        <w:spacing w:before="270" w:after="283"/>
        <w:ind w:left="0" w:right="0" w:hanging="0"/>
        <w:jc w:val="left"/>
        <w:rPr>
          <w:rFonts w:ascii="Arial;Helvetica;sans-serif" w:hAnsi="Arial;Helvetica;sans-serif"/>
          <w:color w:val="000000"/>
          <w:sz w:val="40"/>
        </w:rPr>
      </w:pPr>
      <w:bookmarkStart w:id="110" w:name="tSPAM"/>
      <w:bookmarkEnd w:id="110"/>
      <w:r>
        <w:rPr>
          <w:rFonts w:ascii="Arial;Helvetica;sans-serif" w:hAnsi="Arial;Helvetica;sans-serif"/>
          <w:color w:val="000000"/>
          <w:sz w:val="40"/>
        </w:rPr>
        <w:t xml:space="preserve">Shareholder Proposals for 2027 Annual Meeting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Proposals received from shareholders are given careful consideration by the Company. Shareholder proposals submitted in accordance with Rule 14a-8 under the Exchange Act are eligible for consideration for inclusion in the Company’s proxy statement for the 2027 annual meeting of shareholders if they are received by the Company on or before December 3, 2026. Any proposal should be directed to the attention of the Corporate Secretary, Avis Budget Group, Inc., 379 Interpace Parkway, Parsippany, N.J. 07054. In order for a shareholder proposal submitted outside of Rule 14a-8 to be considered at the 2027 annual meeting of shareholders, such proposal must be received by the Company not later than the last date for submission of shareholder proposals under the By-laws. In order for a proposal (other than nominations of directors) to be timely under the By-laws, it must be received not less than sixty days (i.e., March 21, 2027) nor more than ninety days (i.e., February 19, 2027) before the anniversary date of the immediately preceding annual meeting of shareholders. In order for a director nomination to be timely under the By-laws, it must be received not less than ninety days (i.e., February 19, 2027) before the anniversary date of the immediately preceding annual meeting of shareholders. However, in the event that the annual meeting of shareholders is called for a date that is not within twenty-five days before or after the anniversary date of the immediately preceding annual meeting of shareholders, notice of a shareholder proposal in order to be timely must be received not later than the close of business on the tenth day following the day on which notice of the date of the annual meeting of shareholders was mailed or public disclosure of the date of the annual meeting of shareholders was made, whichever occurs first. Shareholders who intend to solicit proxies in reliance on the SEC’s universal proxy rule for director nominees submitted under the advance notice requirements of our By-laws must comply with the additional requirements of Rule 14a-19(b) no later than March 21, 2027. </w:t>
      </w:r>
    </w:p>
    <w:p>
      <w:pPr>
        <w:pStyle w:val="TextBody"/>
        <w:bidi w:val="0"/>
        <w:spacing w:before="240" w:after="283"/>
        <w:ind w:left="0" w:right="0" w:hanging="0"/>
        <w:jc w:val="left"/>
        <w:rPr>
          <w:rFonts w:ascii="Arial;Helvetica;sans-serif" w:hAnsi="Arial;Helvetica;sans-serif"/>
          <w:color w:val="000000"/>
          <w:sz w:val="40"/>
        </w:rPr>
      </w:pPr>
      <w:bookmarkStart w:id="111" w:name="tADDI"/>
      <w:bookmarkEnd w:id="111"/>
      <w:r>
        <w:rPr>
          <w:rFonts w:ascii="Arial;Helvetica;sans-serif" w:hAnsi="Arial;Helvetica;sans-serif"/>
          <w:color w:val="000000"/>
          <w:sz w:val="40"/>
        </w:rPr>
        <w:t xml:space="preserve">Additional Information </w:t>
      </w:r>
    </w:p>
    <w:p>
      <w:pPr>
        <w:pStyle w:val="TextBody"/>
        <w:bidi w:val="0"/>
        <w:spacing w:before="160" w:after="283"/>
        <w:ind w:left="0" w:right="0" w:hanging="0"/>
        <w:jc w:val="both"/>
        <w:rPr>
          <w:rFonts w:ascii="Arial;Helvetica;sans-serif" w:hAnsi="Arial;Helvetica;sans-serif"/>
          <w:i/>
          <w:color w:val="000000"/>
          <w:sz w:val="20"/>
        </w:rPr>
      </w:pPr>
      <w:r>
        <w:rPr>
          <w:rFonts w:ascii="Arial;Helvetica;sans-serif" w:hAnsi="Arial;Helvetica;sans-serif"/>
          <w:i/>
          <w:color w:val="000000"/>
          <w:sz w:val="20"/>
        </w:rPr>
        <w:t xml:space="preserve">Additional Copies. </w:t>
      </w:r>
      <w:r>
        <w:rPr>
          <w:rFonts w:ascii="Arial;Helvetica;sans-serif" w:hAnsi="Arial;Helvetica;sans-serif"/>
          <w:i w:val="false"/>
          <w:caps w:val="false"/>
          <w:smallCaps w:val="false"/>
          <w:color w:val="000000"/>
          <w:sz w:val="20"/>
        </w:rPr>
        <w:t xml:space="preserve">If you share an address with other shareholders of the Company, you may receive a single copy of the proxy materials (including a copy of the Proxy Statement and the 2025 Annual Report), unless your bank, broker or other intermediary that provides the notification receives contrary instructions from the affected shareholders. This practice, permitted under SEC rules and commonly referred to as “householding,” is designed to provide extra convenience for shareholders and potential cost savings for companies.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If, at any time, you no longer wish to participate in householding and would prefer to receive a separate set of proxy materials, please notify your broker if your shares of Common Stock are held in a brokerage account or the Company if you hold registered shares of Common Stock. We will promptly deliver a separate copy of the proxy materials upon request. You can notify the Company by sending a written request to Avis Budget Group, Inc., 379 Interpace Parkway, Parsippany, N.J. 07054, Attention: Corporate Secretary, or by calling (973) 496-4700 and selecting the “Investor Relations” option. You should also follow these steps to notify your broker or us, as applicable, if you currently receive multiple copies of the proxy materials and wish to instead participate in householding. </w:t>
      </w:r>
    </w:p>
    <w:p>
      <w:pPr>
        <w:pStyle w:val="TextBody"/>
        <w:bidi w:val="0"/>
        <w:spacing w:before="160" w:after="283"/>
        <w:ind w:left="0" w:right="0" w:hanging="0"/>
        <w:jc w:val="both"/>
        <w:rPr>
          <w:rFonts w:ascii="Arial;Helvetica;sans-serif" w:hAnsi="Arial;Helvetica;sans-serif"/>
          <w:i/>
          <w:color w:val="000000"/>
          <w:sz w:val="20"/>
        </w:rPr>
      </w:pPr>
      <w:r>
        <w:rPr>
          <w:rFonts w:ascii="Arial;Helvetica;sans-serif" w:hAnsi="Arial;Helvetica;sans-serif"/>
          <w:i/>
          <w:color w:val="000000"/>
          <w:sz w:val="20"/>
        </w:rPr>
        <w:t xml:space="preserve">Solicitation of Proxies. </w:t>
      </w:r>
      <w:r>
        <w:rPr>
          <w:rFonts w:ascii="Arial;Helvetica;sans-serif" w:hAnsi="Arial;Helvetica;sans-serif"/>
          <w:i w:val="false"/>
          <w:caps w:val="false"/>
          <w:smallCaps w:val="false"/>
          <w:color w:val="000000"/>
          <w:sz w:val="20"/>
        </w:rPr>
        <w:t xml:space="preserve">The accompanying form of proxy is being solicited on behalf of the Board of Directors of the Company. The expenses of solicitation of proxies for the Meeting will be paid by the Company. In addition to the mailing of the proxy materials, such solicitation may be made in person or by telephone by directors, officers and employees of the Company, who will receive no additional compensation therefor. Upon request, the Company will reimburse brokers, dealers, banks and trustees, or their nominees, for reasonable expenses incurred by them in forwarding material to beneficial owners of Common Stock. The Company has hired Innisfree M&amp;A Incorporated to aid in the solicitation of proxies. We estimate that the fee for Innisfree M&amp;A Incorporated will be up to $17,500 plus the reimbursement of reasonable out-of-pocket costs and expenses. Such fee will be paid by the Company. </w:t>
      </w:r>
    </w:p>
    <w:p>
      <w:pPr>
        <w:pStyle w:val="TextBody"/>
        <w:bidi w:val="0"/>
        <w:spacing w:before="20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By Order of the Board of Directors </w:t>
      </w:r>
    </w:p>
    <w:p>
      <w:pPr>
        <w:pStyle w:val="TextBody"/>
        <w:bidi w:val="0"/>
        <w:spacing w:before="0" w:after="283"/>
        <w:ind w:left="0" w:right="0" w:hanging="0"/>
        <w:jc w:val="left"/>
        <w:rPr>
          <w:color w:val="000000"/>
        </w:rPr>
      </w:pPr>
      <w:r>
        <w:rPr>
          <w:color w:val="000000"/>
        </w:rPr>
        <w:t> </w:t>
      </w:r>
    </w:p>
    <w:p>
      <w:pPr>
        <w:pStyle w:val="TextBody"/>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JEAN M. SERA </w:t>
      </w:r>
    </w:p>
    <w:p>
      <w:pPr>
        <w:pStyle w:val="TextBody"/>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Corporate Secretary </w:t>
      </w:r>
    </w:p>
    <w:p>
      <w:pPr>
        <w:pStyle w:val="TextBody"/>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Dated: April 2, 2026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52</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2" w:name="ny20066167x1_def14a_500-proxycard_pg1"/>
        <w:bookmarkEnd w:id="1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05675" cy="94583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305675" cy="94583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bidi w:val="0"/>
        <w:spacing w:before="200" w:after="200"/>
        <w:jc w:val="left"/>
        <w:rPr/>
      </w:pPr>
      <w:r>
        <w:rPr/>
      </w:r>
    </w:p>
    <w:p>
      <w:pPr>
        <w:pStyle w:val="TextBody"/>
        <w:bidi w:val="0"/>
        <w:jc w:val="left"/>
        <w:rPr/>
      </w:pPr>
      <w:hyperlink w:anchor="TOC">
        <w:bookmarkStart w:id="113" w:name="ny20066167x1_def14a_500-proxycard_pg2"/>
        <w:bookmarkEnd w:id="1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7305675" cy="94583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305675" cy="94583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28320</Words>
  <Characters>155797</Characters>
  <CharactersWithSpaces>187450</CharactersWithSpaces>
  <Paragraphs>7647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