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9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June 19, 2026</w:t>
      </w:r>
    </w:p>
    <w:p>
      <w:pPr>
        <w:spacing w:after="0" w:line="3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Avis Budget Group, Inc.</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24" w:lineRule="exact"/>
        <w:rPr>
          <w:sz w:val="24"/>
          <w:szCs w:val="24"/>
          <w:color w:val="auto"/>
        </w:rPr>
      </w:pPr>
    </w:p>
    <w:tbl>
      <w:tblPr>
        <w:tblLayout w:type="fixed"/>
        <w:tblInd w:w="540" w:type="dxa"/>
        <w:tblCellMar>
          <w:top w:w="0" w:type="dxa"/>
          <w:left w:w="0" w:type="dxa"/>
          <w:bottom w:w="0" w:type="dxa"/>
          <w:right w:w="0" w:type="dxa"/>
        </w:tblCellMar>
      </w:tblPr>
      <w:tr>
        <w:trPr>
          <w:trHeight w:val="230"/>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rPr>
              <w:t>Delaware</w:t>
            </w:r>
          </w:p>
        </w:tc>
        <w:tc>
          <w:tcPr>
            <w:tcW w:w="2820" w:type="dxa"/>
            <w:vAlign w:val="bottom"/>
          </w:tcPr>
          <w:p>
            <w:pPr>
              <w:jc w:val="right"/>
              <w:ind w:right="975"/>
              <w:spacing w:after="0"/>
              <w:rPr>
                <w:sz w:val="20"/>
                <w:szCs w:val="20"/>
                <w:color w:val="auto"/>
              </w:rPr>
            </w:pPr>
            <w:r>
              <w:rPr>
                <w:rFonts w:ascii="Arial" w:cs="Arial" w:eastAsia="Arial" w:hAnsi="Arial"/>
                <w:sz w:val="18"/>
                <w:szCs w:val="18"/>
                <w:b w:val="1"/>
                <w:bCs w:val="1"/>
                <w:color w:val="auto"/>
              </w:rPr>
              <w:t>001-10308</w:t>
            </w:r>
          </w:p>
        </w:tc>
        <w:tc>
          <w:tcPr>
            <w:tcW w:w="3320" w:type="dxa"/>
            <w:vAlign w:val="bottom"/>
          </w:tcPr>
          <w:p>
            <w:pPr>
              <w:jc w:val="right"/>
              <w:ind w:right="875"/>
              <w:spacing w:after="0"/>
              <w:rPr>
                <w:sz w:val="20"/>
                <w:szCs w:val="20"/>
                <w:color w:val="auto"/>
              </w:rPr>
            </w:pPr>
            <w:r>
              <w:rPr>
                <w:rFonts w:ascii="Arial" w:cs="Arial" w:eastAsia="Arial" w:hAnsi="Arial"/>
                <w:sz w:val="18"/>
                <w:szCs w:val="18"/>
                <w:b w:val="1"/>
                <w:bCs w:val="1"/>
                <w:color w:val="auto"/>
              </w:rPr>
              <w:t>06-0918165</w:t>
            </w:r>
          </w:p>
        </w:tc>
      </w:tr>
      <w:tr>
        <w:trPr>
          <w:trHeight w:val="223"/>
        </w:trPr>
        <w:tc>
          <w:tcPr>
            <w:tcW w:w="3740" w:type="dxa"/>
            <w:vAlign w:val="bottom"/>
          </w:tcPr>
          <w:p>
            <w:pPr>
              <w:jc w:val="center"/>
              <w:ind w:right="214"/>
              <w:spacing w:after="0"/>
              <w:rPr>
                <w:sz w:val="20"/>
                <w:szCs w:val="20"/>
                <w:color w:val="auto"/>
              </w:rPr>
            </w:pPr>
            <w:r>
              <w:rPr>
                <w:rFonts w:ascii="Arial" w:cs="Arial" w:eastAsia="Arial" w:hAnsi="Arial"/>
                <w:sz w:val="16"/>
                <w:szCs w:val="16"/>
                <w:b w:val="1"/>
                <w:bCs w:val="1"/>
                <w:color w:val="auto"/>
              </w:rPr>
              <w:t>(State or Other Jurisdiction of Incorporation)</w:t>
            </w:r>
          </w:p>
        </w:tc>
        <w:tc>
          <w:tcPr>
            <w:tcW w:w="2820" w:type="dxa"/>
            <w:vAlign w:val="bottom"/>
          </w:tcPr>
          <w:p>
            <w:pPr>
              <w:jc w:val="center"/>
              <w:ind w:right="75"/>
              <w:spacing w:after="0"/>
              <w:rPr>
                <w:sz w:val="20"/>
                <w:szCs w:val="20"/>
                <w:color w:val="auto"/>
              </w:rPr>
            </w:pPr>
            <w:r>
              <w:rPr>
                <w:rFonts w:ascii="Arial" w:cs="Arial" w:eastAsia="Arial" w:hAnsi="Arial"/>
                <w:sz w:val="16"/>
                <w:szCs w:val="16"/>
                <w:b w:val="1"/>
                <w:bCs w:val="1"/>
                <w:color w:val="auto"/>
              </w:rPr>
              <w:t>(Commission File Number)</w:t>
            </w:r>
          </w:p>
        </w:tc>
        <w:tc>
          <w:tcPr>
            <w:tcW w:w="3320" w:type="dxa"/>
            <w:vAlign w:val="bottom"/>
          </w:tcPr>
          <w:p>
            <w:pPr>
              <w:jc w:val="center"/>
              <w:ind w:left="355"/>
              <w:spacing w:after="0"/>
              <w:rPr>
                <w:sz w:val="20"/>
                <w:szCs w:val="20"/>
                <w:color w:val="auto"/>
              </w:rPr>
            </w:pPr>
            <w:r>
              <w:rPr>
                <w:rFonts w:ascii="Arial" w:cs="Arial" w:eastAsia="Arial" w:hAnsi="Arial"/>
                <w:sz w:val="16"/>
                <w:szCs w:val="16"/>
                <w:b w:val="1"/>
                <w:bCs w:val="1"/>
                <w:color w:val="auto"/>
              </w:rPr>
              <w:t>(IRS Employer Identification Number)</w:t>
            </w:r>
          </w:p>
        </w:tc>
      </w:tr>
      <w:tr>
        <w:trPr>
          <w:trHeight w:val="505"/>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w w:val="99"/>
              </w:rPr>
              <w:t>379 Interpace Parkway</w:t>
            </w:r>
          </w:p>
        </w:tc>
        <w:tc>
          <w:tcPr>
            <w:tcW w:w="2820" w:type="dxa"/>
            <w:vAlign w:val="bottom"/>
          </w:tcPr>
          <w:p>
            <w:pPr>
              <w:spacing w:after="0"/>
              <w:rPr>
                <w:sz w:val="24"/>
                <w:szCs w:val="24"/>
                <w:color w:val="auto"/>
              </w:rPr>
            </w:pPr>
          </w:p>
        </w:tc>
        <w:tc>
          <w:tcPr>
            <w:tcW w:w="3320" w:type="dxa"/>
            <w:vAlign w:val="bottom"/>
          </w:tcPr>
          <w:p>
            <w:pPr>
              <w:jc w:val="right"/>
              <w:ind w:right="1095"/>
              <w:spacing w:after="0"/>
              <w:rPr>
                <w:sz w:val="20"/>
                <w:szCs w:val="20"/>
                <w:color w:val="auto"/>
              </w:rPr>
            </w:pPr>
            <w:r>
              <w:rPr>
                <w:rFonts w:ascii="Arial" w:cs="Arial" w:eastAsia="Arial" w:hAnsi="Arial"/>
                <w:sz w:val="18"/>
                <w:szCs w:val="18"/>
                <w:b w:val="1"/>
                <w:bCs w:val="1"/>
                <w:color w:val="auto"/>
              </w:rPr>
              <w:t>07054</w:t>
            </w:r>
          </w:p>
        </w:tc>
      </w:tr>
      <w:tr>
        <w:trPr>
          <w:trHeight w:val="311"/>
        </w:trPr>
        <w:tc>
          <w:tcPr>
            <w:tcW w:w="3740" w:type="dxa"/>
            <w:vAlign w:val="bottom"/>
          </w:tcPr>
          <w:p>
            <w:pPr>
              <w:jc w:val="center"/>
              <w:ind w:right="214"/>
              <w:spacing w:after="0"/>
              <w:rPr>
                <w:sz w:val="20"/>
                <w:szCs w:val="20"/>
                <w:color w:val="auto"/>
              </w:rPr>
            </w:pPr>
            <w:r>
              <w:rPr>
                <w:rFonts w:ascii="Arial" w:cs="Arial" w:eastAsia="Arial" w:hAnsi="Arial"/>
                <w:sz w:val="18"/>
                <w:szCs w:val="18"/>
                <w:b w:val="1"/>
                <w:bCs w:val="1"/>
                <w:color w:val="auto"/>
                <w:w w:val="98"/>
              </w:rPr>
              <w:t>Parsippany, NJ</w:t>
            </w:r>
          </w:p>
        </w:tc>
        <w:tc>
          <w:tcPr>
            <w:tcW w:w="28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3"/>
        </w:trPr>
        <w:tc>
          <w:tcPr>
            <w:tcW w:w="3740" w:type="dxa"/>
            <w:vAlign w:val="bottom"/>
          </w:tcPr>
          <w:p>
            <w:pPr>
              <w:jc w:val="center"/>
              <w:ind w:right="214"/>
              <w:spacing w:after="0"/>
              <w:rPr>
                <w:sz w:val="20"/>
                <w:szCs w:val="20"/>
                <w:color w:val="auto"/>
              </w:rPr>
            </w:pPr>
            <w:r>
              <w:rPr>
                <w:rFonts w:ascii="Arial" w:cs="Arial" w:eastAsia="Arial" w:hAnsi="Arial"/>
                <w:sz w:val="16"/>
                <w:szCs w:val="16"/>
                <w:b w:val="1"/>
                <w:bCs w:val="1"/>
                <w:color w:val="auto"/>
              </w:rPr>
              <w:t>(Address of Principal Executive Offices)</w:t>
            </w:r>
          </w:p>
        </w:tc>
        <w:tc>
          <w:tcPr>
            <w:tcW w:w="2820" w:type="dxa"/>
            <w:vAlign w:val="bottom"/>
          </w:tcPr>
          <w:p>
            <w:pPr>
              <w:spacing w:after="0"/>
              <w:rPr>
                <w:sz w:val="19"/>
                <w:szCs w:val="19"/>
                <w:color w:val="auto"/>
              </w:rPr>
            </w:pPr>
          </w:p>
        </w:tc>
        <w:tc>
          <w:tcPr>
            <w:tcW w:w="3320" w:type="dxa"/>
            <w:vAlign w:val="bottom"/>
          </w:tcPr>
          <w:p>
            <w:pPr>
              <w:jc w:val="center"/>
              <w:ind w:left="355"/>
              <w:spacing w:after="0"/>
              <w:rPr>
                <w:sz w:val="20"/>
                <w:szCs w:val="20"/>
                <w:color w:val="auto"/>
              </w:rPr>
            </w:pPr>
            <w:r>
              <w:rPr>
                <w:rFonts w:ascii="Arial" w:cs="Arial" w:eastAsia="Arial" w:hAnsi="Arial"/>
                <w:sz w:val="16"/>
                <w:szCs w:val="16"/>
                <w:b w:val="1"/>
                <w:bCs w:val="1"/>
                <w:color w:val="auto"/>
              </w:rPr>
              <w:t>(Zip Code)</w:t>
            </w:r>
          </w:p>
        </w:tc>
      </w:tr>
    </w:tbl>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(973) 496-4700</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w:t>
      </w:r>
    </w:p>
    <w:p>
      <w:pPr>
        <w:spacing w:after="0" w:line="1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4"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5"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060"/>
          </w:cols>
          <w:pgMar w:left="320" w:top="1380" w:right="519" w:bottom="1440" w:gutter="0" w:footer="0" w:header="0"/>
        </w:sectPr>
      </w:pPr>
    </w:p>
    <w:p>
      <w:pPr>
        <w:spacing w:after="0" w:line="55"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340" w:space="720"/>
            <w:col w:w="2100" w:space="720"/>
            <w:col w:w="3180"/>
          </w:cols>
          <w:pgMar w:left="320" w:top="1380" w:right="51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820" w:space="720"/>
            <w:col w:w="2000" w:space="720"/>
            <w:col w:w="2800"/>
          </w:cols>
          <w:pgMar w:left="320" w:top="1380" w:right="519" w:bottom="1440" w:gutter="0" w:footer="0" w:header="0"/>
          <w:type w:val="continuous"/>
        </w:sectPr>
      </w:pPr>
    </w:p>
    <w:p>
      <w:pPr>
        <w:spacing w:after="0" w:line="341"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18415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60"/>
          </w:cols>
          <w:pgMar w:left="320" w:top="1380"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19, 2026, Avis Budget Group, Inc. (the “Company”) entered into a Settlement and Release Agreement (the “Settlement Agreement”) with Pentwater Capital Management LP and certain affiliated persons (“Pentwater”) to settle its pending lawsuit against Pentwater for the recovery of short-swing profits under Section 16(b) of the Securities Exchange Act of 1934 (the “Section 16(b) Action”). Under the Settlement Agreement, the settlement amount is $650,000,000 in cash (the “Settlement Amount”). The Settlement Agreement and payment to the Company of the Settlement Amount is subject to court approval, including the issuance of an order approving the terms of the settlement agreement and making a finding that, among other things, the Company has diligently pursued the claims raised in the Section 16(b) Action and that the Settlement Amount is fair, reasonable and adequate, and other customary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Statements regarding the Section 16(b) Action and payment of the Settlement Amount are “forward looking statements” and are subject to known and unknown risks and uncertainties that may cause results to differ materially from those expressed or implied by such forward-looking statements. These risks and uncertainties include, but are not limited to, risks related to obtaining court approval of the Settlement Agreement and Settlement Amount, including the risk that the court declines to approve the Settlement Agreement on substantive, procedural or other grounds or that the court does not issue an order approving the terms of the Settlement Agreement, timing related to such approval, and any potential termination of the Settlement Agreement. The Company undertakes no obligation to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AVIS BUDGET GROUP,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Jean M. Sera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12065</wp:posOffset>
            </wp:positionV>
            <wp:extent cx="3394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Jean M. Sera</w:t>
      </w:r>
    </w:p>
    <w:p>
      <w:pPr>
        <w:ind w:left="640"/>
        <w:spacing w:after="0" w:line="203" w:lineRule="auto"/>
        <w:rPr>
          <w:sz w:val="20"/>
          <w:szCs w:val="20"/>
          <w:color w:val="auto"/>
        </w:rPr>
      </w:pPr>
      <w:r>
        <w:rPr>
          <w:rFonts w:ascii="Arial" w:cs="Arial" w:eastAsia="Arial" w:hAnsi="Arial"/>
          <w:sz w:val="18"/>
          <w:szCs w:val="18"/>
          <w:color w:val="auto"/>
        </w:rPr>
        <w:t>Senior Vice President, General Counsel, Chief Compliance Officer</w:t>
      </w:r>
    </w:p>
    <w:p>
      <w:pPr>
        <w:ind w:left="640"/>
        <w:spacing w:after="0"/>
        <w:rPr>
          <w:sz w:val="20"/>
          <w:szCs w:val="20"/>
          <w:color w:val="auto"/>
        </w:rPr>
      </w:pPr>
      <w:r>
        <w:rPr>
          <w:rFonts w:ascii="Arial" w:cs="Arial" w:eastAsia="Arial" w:hAnsi="Arial"/>
          <w:sz w:val="18"/>
          <w:szCs w:val="18"/>
          <w:color w:val="auto"/>
        </w:rPr>
        <w:t>and Corporate 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2026</w:t>
      </w:r>
    </w:p>
    <w:sectPr>
      <w:pgSz w:w="11900" w:h="16838" w:orient="portrait"/>
      <w:cols w:equalWidth="0" w:num="1">
        <w:col w:w="11120"/>
      </w:cols>
      <w:pgMar w:left="320" w:top="130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2026-06-22T16:09:07Z</dcterms:created>
  <dcterms:modified xsi:type="dcterms:W3CDTF">2026-06-22T16:09:07Z</dcterms:modified>
</cp:coreProperties>
</file>