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31, 2022</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333-114744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333-98933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NO. 333-114744</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NO. 333-98933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06-0918165</w:t>
            </w:r>
          </w:p>
        </w:tc>
      </w:tr>
      <w:tr>
        <w:trPr>
          <w:trHeight w:val="228"/>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6 Sylvan Way, Parsippany, NJ</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07054</w:t>
            </w:r>
          </w:p>
        </w:tc>
      </w:tr>
      <w:tr>
        <w:trPr>
          <w:trHeight w:val="228"/>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 Car Rental Services, Inc. Retirement Savings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 Car Rental Services, Inc. Retirement Savings Plan for Bargaining Hourly Employees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Cendant Corporation 1999 Broad-Based Employee Stock Option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Cendant Corporation 1997 Stock Option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Officer Option Grant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Avis Budget Group, Inc. Employee Savings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Avis Voluntary Investment Savings Plan for Bargaining Hourly Employees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Plans)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Jean M. Sera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SVP, General Counsel, Chief Compliance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 Sylvan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Parsippany, New Jersey 07054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(973) 496-4700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51435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including area code, of Agent For Service)</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Luke R. Jennings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Paul, Weiss, Rifkind, Wharton &amp; Garrison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1285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10019-6064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373-3000</w:t>
      </w:r>
    </w:p>
    <w:p>
      <w:pPr>
        <w:spacing w:after="0" w:line="211"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660"/>
              <w:spacing w:after="0"/>
              <w:rPr>
                <w:sz w:val="20"/>
                <w:szCs w:val="20"/>
                <w:color w:val="auto"/>
              </w:rPr>
            </w:pPr>
            <w:r>
              <w:rPr>
                <w:rFonts w:ascii="Arial" w:cs="Arial" w:eastAsia="Arial" w:hAnsi="Arial"/>
                <w:sz w:val="18"/>
                <w:szCs w:val="18"/>
                <w:color w:val="auto"/>
              </w:rPr>
              <w:t>x</w:t>
            </w:r>
          </w:p>
        </w:tc>
        <w:tc>
          <w:tcPr>
            <w:tcW w:w="4780" w:type="dxa"/>
            <w:vAlign w:val="bottom"/>
          </w:tcPr>
          <w:p>
            <w:pPr>
              <w:ind w:left="23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780" w:type="dxa"/>
            <w:vAlign w:val="bottom"/>
          </w:tcPr>
          <w:p>
            <w:pPr>
              <w:ind w:left="23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873"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Avis Budget Group, Inc. (f/k/a Cendant Corporation) (the “Registrant”) has previously filed with the Securities and Exchange Commission each of the Registration Statements on Form S-8 (collectively, the “Registration Statements”) relating to the offering of the Registrant’s common stock, par value $0.01 per share (the “Common Stock”), and associated plan interests, pursuant to the plans listed below next to each Registration Statement (collectively, the “Plans”):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9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SEC File No.</w:t>
            </w:r>
          </w:p>
        </w:tc>
        <w:tc>
          <w:tcPr>
            <w:tcW w:w="19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Filing Date</w:t>
            </w:r>
          </w:p>
        </w:tc>
        <w:tc>
          <w:tcPr>
            <w:tcW w:w="74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 of Plans</w:t>
            </w:r>
          </w:p>
        </w:tc>
        <w:tc>
          <w:tcPr>
            <w:tcW w:w="0" w:type="dxa"/>
            <w:vAlign w:val="bottom"/>
          </w:tcPr>
          <w:p>
            <w:pPr>
              <w:spacing w:after="0"/>
              <w:rPr>
                <w:sz w:val="1"/>
                <w:szCs w:val="1"/>
                <w:color w:val="auto"/>
              </w:rPr>
            </w:pPr>
          </w:p>
        </w:tc>
      </w:tr>
      <w:tr>
        <w:trPr>
          <w:trHeight w:val="213"/>
        </w:trPr>
        <w:tc>
          <w:tcPr>
            <w:tcW w:w="194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AB Car Rental Services, Inc. Retirement Savings Plan (f/k/a Cendant Car Rental Operations Support,</w:t>
            </w: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7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 Retirement Savings Plan)</w:t>
            </w: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AB Car Rental Services, Inc. Retirement Savings Plan for Bargaining Hourly Employees (f/k/a</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333-114744</w:t>
            </w:r>
          </w:p>
        </w:tc>
        <w:tc>
          <w:tcPr>
            <w:tcW w:w="1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April 23, 2004</w:t>
            </w:r>
          </w:p>
        </w:tc>
        <w:tc>
          <w:tcPr>
            <w:tcW w:w="7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Cendant Car Rental Operations Support, Inc. Retirement Savings Plan for Bargaining Hourly</w:t>
            </w:r>
          </w:p>
        </w:tc>
        <w:tc>
          <w:tcPr>
            <w:tcW w:w="0" w:type="dxa"/>
            <w:vAlign w:val="bottom"/>
          </w:tcPr>
          <w:p>
            <w:pPr>
              <w:spacing w:after="0"/>
              <w:rPr>
                <w:sz w:val="1"/>
                <w:szCs w:val="1"/>
                <w:color w:val="auto"/>
              </w:rPr>
            </w:pPr>
          </w:p>
        </w:tc>
      </w:tr>
      <w:tr>
        <w:trPr>
          <w:trHeight w:val="163"/>
        </w:trPr>
        <w:tc>
          <w:tcPr>
            <w:tcW w:w="1940" w:type="dxa"/>
            <w:vAlign w:val="bottom"/>
            <w:tcBorders>
              <w:left w:val="single" w:sz="8" w:color="auto"/>
              <w:right w:val="single" w:sz="8" w:color="auto"/>
            </w:tcBorders>
            <w:vMerge w:val="continue"/>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7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Employees) (the “Retirement Savings Plan”)</w:t>
            </w:r>
          </w:p>
        </w:tc>
        <w:tc>
          <w:tcPr>
            <w:tcW w:w="0" w:type="dxa"/>
            <w:vAlign w:val="bottom"/>
          </w:tcPr>
          <w:p>
            <w:pPr>
              <w:spacing w:after="0"/>
              <w:rPr>
                <w:sz w:val="1"/>
                <w:szCs w:val="1"/>
                <w:color w:val="auto"/>
              </w:rPr>
            </w:pPr>
          </w:p>
        </w:tc>
      </w:tr>
      <w:tr>
        <w:trPr>
          <w:trHeight w:val="80"/>
        </w:trPr>
        <w:tc>
          <w:tcPr>
            <w:tcW w:w="1940" w:type="dxa"/>
            <w:vAlign w:val="bottom"/>
            <w:tcBorders>
              <w:left w:val="single" w:sz="8" w:color="auto"/>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74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7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Cendant Corporation 1999 Broad-Based Employee Stock Option Plan</w:t>
            </w: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7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Cendant Corporation 1997 Stock Option Plan</w:t>
            </w: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7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Former Officer Option Grant</w:t>
            </w: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Avis Budget Group, Inc. Employee Savings Plan (f/k/a Cendant Corporation Employee Savings Plan)</w:t>
            </w:r>
          </w:p>
        </w:tc>
        <w:tc>
          <w:tcPr>
            <w:tcW w:w="0" w:type="dxa"/>
            <w:vAlign w:val="bottom"/>
          </w:tcPr>
          <w:p>
            <w:pPr>
              <w:spacing w:after="0"/>
              <w:rPr>
                <w:sz w:val="1"/>
                <w:szCs w:val="1"/>
                <w:color w:val="auto"/>
              </w:rPr>
            </w:pPr>
          </w:p>
        </w:tc>
      </w:tr>
      <w:tr>
        <w:trPr>
          <w:trHeight w:val="244"/>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333-98933</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August 29, 2002</w:t>
            </w:r>
          </w:p>
        </w:tc>
        <w:tc>
          <w:tcPr>
            <w:tcW w:w="7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(the “Employee Savings Plan”, and together with the Retirement Savings Plan, the “401(k) Plans”)</w:t>
            </w:r>
          </w:p>
        </w:tc>
        <w:tc>
          <w:tcPr>
            <w:tcW w:w="0" w:type="dxa"/>
            <w:vAlign w:val="bottom"/>
          </w:tcPr>
          <w:p>
            <w:pPr>
              <w:spacing w:after="0"/>
              <w:rPr>
                <w:sz w:val="1"/>
                <w:szCs w:val="1"/>
                <w:color w:val="auto"/>
              </w:rPr>
            </w:pP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7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Avis Voluntary Investment Savings Plan for Bargaining Hourly Employees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Registrant has terminated the offerings contemplated by the Plans, including the option for participants to invest new contributions into the 401(k) Plans. In accordance with the undertakings contained in the Registration Statements, the Registrant is filing this Post-Effective Amendment No. 1 to the Registration Statements (this “Post-Effective Amendment”) to deregister all shares of Common Stock and associated plan interests registered pursuant to the Registration Statements that have not been issued pursuant to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both"/>
        <w:ind w:right="140" w:firstLine="648"/>
        <w:spacing w:after="0" w:line="289" w:lineRule="auto"/>
        <w:rPr>
          <w:sz w:val="20"/>
          <w:szCs w:val="20"/>
          <w:color w:val="auto"/>
        </w:rPr>
      </w:pPr>
      <w:r>
        <w:rPr>
          <w:rFonts w:ascii="Arial" w:cs="Arial" w:eastAsia="Arial" w:hAnsi="Arial"/>
          <w:sz w:val="17"/>
          <w:szCs w:val="17"/>
          <w:b w:val="1"/>
          <w:bCs w:val="1"/>
          <w:color w:val="auto"/>
        </w:rPr>
        <w:t xml:space="preserve">The Registrant. </w:t>
      </w:r>
      <w:r>
        <w:rPr>
          <w:rFonts w:ascii="Arial" w:cs="Arial" w:eastAsia="Arial" w:hAnsi="Arial"/>
          <w:sz w:val="17"/>
          <w:szCs w:val="17"/>
          <w:color w:val="auto"/>
        </w:rPr>
        <w:t>Pursuant to the requirements of the Securities Act of 1933, as amended (the “Securities Act”), the registrant certifies that it has</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grounds to believe that it meets all of the requirements for filing on Form S-8 and has duly caused this Post-Effective Amendment to be signed on its behalf by the undersigned, thereunto duly authorized, in the City of Parsippany, State of New Jersey, on May 31, 2022.</w:t>
      </w:r>
    </w:p>
    <w:p>
      <w:pPr>
        <w:spacing w:after="0" w:line="158"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 M. Sera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Jean M. Sera</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SVP, General Counsel, Chief Compliance</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Officer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No other person is required to sign this Post-Effective Amendment in reliance upon Rule 478 under the Securities Act.</w:t>
      </w:r>
    </w:p>
    <w:p>
      <w:pPr>
        <w:spacing w:after="0" w:line="221" w:lineRule="exact"/>
        <w:rPr>
          <w:sz w:val="20"/>
          <w:szCs w:val="20"/>
          <w:color w:val="auto"/>
        </w:rPr>
      </w:pPr>
    </w:p>
    <w:p>
      <w:pPr>
        <w:ind w:right="40" w:firstLine="648"/>
        <w:spacing w:after="0" w:line="312" w:lineRule="auto"/>
        <w:rPr>
          <w:sz w:val="20"/>
          <w:szCs w:val="20"/>
          <w:color w:val="auto"/>
        </w:rPr>
      </w:pPr>
      <w:r>
        <w:rPr>
          <w:rFonts w:ascii="Arial" w:cs="Arial" w:eastAsia="Arial" w:hAnsi="Arial"/>
          <w:sz w:val="17"/>
          <w:szCs w:val="17"/>
          <w:b w:val="1"/>
          <w:bCs w:val="1"/>
          <w:color w:val="auto"/>
        </w:rPr>
        <w:t>The Plans</w:t>
      </w:r>
      <w:r>
        <w:rPr>
          <w:rFonts w:ascii="Arial" w:cs="Arial" w:eastAsia="Arial" w:hAnsi="Arial"/>
          <w:sz w:val="17"/>
          <w:szCs w:val="17"/>
          <w:color w:val="auto"/>
        </w:rPr>
        <w:t>. Pursuant to the requirements of the Securities Act, the trustees (or other persons who administer the employee benefit plans) have duly</w:t>
      </w:r>
      <w:r>
        <w:rPr>
          <w:rFonts w:ascii="Arial" w:cs="Arial" w:eastAsia="Arial" w:hAnsi="Arial"/>
          <w:sz w:val="17"/>
          <w:szCs w:val="17"/>
          <w:b w:val="1"/>
          <w:bCs w:val="1"/>
          <w:color w:val="auto"/>
        </w:rPr>
        <w:t xml:space="preserve"> </w:t>
      </w:r>
      <w:r>
        <w:rPr>
          <w:rFonts w:ascii="Arial" w:cs="Arial" w:eastAsia="Arial" w:hAnsi="Arial"/>
          <w:sz w:val="17"/>
          <w:szCs w:val="17"/>
          <w:color w:val="auto"/>
        </w:rPr>
        <w:t>caused this Post-Effective Amendment to be signed on its behalf by the undersigned, thereunto duly authorized, on May 31, 2022.</w:t>
      </w:r>
    </w:p>
    <w:p>
      <w:pPr>
        <w:spacing w:after="0" w:line="14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AB CAR RENTAL SERVICES, INC.</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RETIREMENT SAVINGS PLAN FOR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BARGAINING HOURLY EMPLOYEES</w:t>
      </w:r>
    </w:p>
    <w:p>
      <w:pPr>
        <w:spacing w:after="0" w:line="200" w:lineRule="exact"/>
        <w:rPr>
          <w:sz w:val="20"/>
          <w:szCs w:val="20"/>
          <w:color w:val="auto"/>
        </w:rPr>
      </w:pPr>
    </w:p>
    <w:p>
      <w:pPr>
        <w:spacing w:after="0" w:line="227" w:lineRule="exact"/>
        <w:rPr>
          <w:sz w:val="20"/>
          <w:szCs w:val="20"/>
          <w:color w:val="auto"/>
        </w:rPr>
      </w:pPr>
    </w:p>
    <w:tbl>
      <w:tblPr>
        <w:tblLayout w:type="fixed"/>
        <w:tblInd w:w="62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P. Linnen</w:t>
            </w:r>
          </w:p>
        </w:tc>
      </w:tr>
      <w:tr>
        <w:trPr>
          <w:trHeight w:val="195"/>
        </w:trPr>
        <w:tc>
          <w:tcPr>
            <w:tcW w:w="56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Edward P. Linnen</w:t>
            </w:r>
          </w:p>
        </w:tc>
      </w:tr>
      <w:tr>
        <w:trPr>
          <w:trHeight w:val="216"/>
        </w:trPr>
        <w:tc>
          <w:tcPr>
            <w:tcW w:w="5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7"/>
              </w:rPr>
              <w:t>Executive Vice President and Chief Human</w:t>
            </w:r>
          </w:p>
        </w:tc>
      </w:tr>
      <w:tr>
        <w:trPr>
          <w:trHeight w:val="216"/>
        </w:trPr>
        <w:tc>
          <w:tcPr>
            <w:tcW w:w="5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Resources Officer</w:t>
            </w:r>
          </w:p>
        </w:tc>
      </w:tr>
      <w:tr>
        <w:trPr>
          <w:trHeight w:val="230"/>
        </w:trPr>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Avis Budget Group, Inc.</w:t>
            </w:r>
          </w:p>
        </w:tc>
      </w:tr>
    </w:tbl>
    <w:p>
      <w:pPr>
        <w:spacing w:after="0" w:line="200" w:lineRule="exact"/>
        <w:rPr>
          <w:sz w:val="20"/>
          <w:szCs w:val="20"/>
          <w:color w:val="auto"/>
        </w:rPr>
      </w:pPr>
    </w:p>
    <w:p>
      <w:pPr>
        <w:spacing w:after="0" w:line="214"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AVIS BUDGET GROUP, INC. EMPLOYEE</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SAVINGS PLAN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620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P. Linnen</w:t>
            </w:r>
          </w:p>
        </w:tc>
        <w:tc>
          <w:tcPr>
            <w:tcW w:w="1120" w:type="dxa"/>
            <w:vAlign w:val="bottom"/>
          </w:tcPr>
          <w:p>
            <w:pPr>
              <w:spacing w:after="0"/>
              <w:rPr>
                <w:sz w:val="20"/>
                <w:szCs w:val="20"/>
                <w:color w:val="auto"/>
              </w:rPr>
            </w:pPr>
          </w:p>
        </w:tc>
      </w:tr>
      <w:tr>
        <w:trPr>
          <w:trHeight w:val="195"/>
        </w:trPr>
        <w:tc>
          <w:tcPr>
            <w:tcW w:w="676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Edward P. Linnen</w:t>
            </w:r>
          </w:p>
        </w:tc>
        <w:tc>
          <w:tcPr>
            <w:tcW w:w="1120" w:type="dxa"/>
            <w:vAlign w:val="bottom"/>
          </w:tcPr>
          <w:p>
            <w:pPr>
              <w:spacing w:after="0"/>
              <w:rPr>
                <w:sz w:val="16"/>
                <w:szCs w:val="16"/>
                <w:color w:val="auto"/>
              </w:rPr>
            </w:pPr>
          </w:p>
        </w:tc>
      </w:tr>
      <w:tr>
        <w:trPr>
          <w:trHeight w:val="216"/>
        </w:trPr>
        <w:tc>
          <w:tcPr>
            <w:tcW w:w="67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7"/>
              </w:rPr>
              <w:t>Executive Vice President and Chief Human</w:t>
            </w:r>
          </w:p>
        </w:tc>
        <w:tc>
          <w:tcPr>
            <w:tcW w:w="112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Resources Officer</w:t>
            </w:r>
          </w:p>
        </w:tc>
        <w:tc>
          <w:tcPr>
            <w:tcW w:w="1120" w:type="dxa"/>
            <w:vAlign w:val="bottom"/>
          </w:tcPr>
          <w:p>
            <w:pPr>
              <w:spacing w:after="0"/>
              <w:rPr>
                <w:sz w:val="18"/>
                <w:szCs w:val="18"/>
                <w:color w:val="auto"/>
              </w:rPr>
            </w:pPr>
          </w:p>
        </w:tc>
      </w:tr>
      <w:tr>
        <w:trPr>
          <w:trHeight w:val="230"/>
        </w:trPr>
        <w:tc>
          <w:tcPr>
            <w:tcW w:w="67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Avis Budget Group, Inc.</w:t>
            </w:r>
          </w:p>
        </w:tc>
        <w:tc>
          <w:tcPr>
            <w:tcW w:w="1120" w:type="dxa"/>
            <w:vAlign w:val="bottom"/>
          </w:tcPr>
          <w:p>
            <w:pPr>
              <w:spacing w:after="0"/>
              <w:rPr>
                <w:sz w:val="20"/>
                <w:szCs w:val="20"/>
                <w:color w:val="auto"/>
              </w:rPr>
            </w:pPr>
          </w:p>
        </w:tc>
      </w:tr>
      <w:tr>
        <w:trPr>
          <w:trHeight w:val="1006"/>
        </w:trPr>
        <w:tc>
          <w:tcPr>
            <w:tcW w:w="67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2022-05-31T15:45:01Z</dcterms:created>
  <dcterms:modified xsi:type="dcterms:W3CDTF">2022-05-31T15:45:01Z</dcterms:modified>
</cp:coreProperties>
</file>