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127"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4"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Exchange Act of 1934 (Amendment No. )</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44" w:lineRule="exact"/>
        <w:rPr>
          <w:sz w:val="24"/>
          <w:szCs w:val="24"/>
          <w:color w:val="auto"/>
        </w:rPr>
      </w:pPr>
    </w:p>
    <w:p>
      <w:pPr>
        <w:spacing w:after="0"/>
        <w:tabs>
          <w:tab w:leader="none" w:pos="3520" w:val="left"/>
        </w:tabs>
        <w:rPr>
          <w:sz w:val="20"/>
          <w:szCs w:val="20"/>
          <w:color w:val="auto"/>
        </w:rPr>
      </w:pPr>
      <w:r>
        <w:rPr>
          <w:rFonts w:ascii="Arial" w:cs="Arial" w:eastAsia="Arial" w:hAnsi="Arial"/>
          <w:sz w:val="18"/>
          <w:szCs w:val="18"/>
          <w:color w:val="auto"/>
        </w:rPr>
        <w:t>Filed by a Party other than the Registrant [</w:t>
        <w:tab/>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Preliminary Proxy Statement</w:t>
      </w:r>
    </w:p>
    <w:p>
      <w:pPr>
        <w:spacing w:after="0" w:line="104" w:lineRule="exact"/>
        <w:rPr>
          <w:sz w:val="24"/>
          <w:szCs w:val="24"/>
          <w:color w:val="auto"/>
        </w:rPr>
      </w:pPr>
    </w:p>
    <w:p>
      <w:pPr>
        <w:ind w:left="160" w:hanging="156"/>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104" w:lineRule="exact"/>
        <w:rPr>
          <w:sz w:val="24"/>
          <w:szCs w:val="24"/>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04"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104"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Soliciting Material Pursuant to §240.14a-12</w:t>
      </w:r>
    </w:p>
    <w:p>
      <w:pPr>
        <w:spacing w:after="0" w:line="214" w:lineRule="exact"/>
        <w:rPr>
          <w:sz w:val="24"/>
          <w:szCs w:val="24"/>
          <w:color w:val="auto"/>
        </w:rPr>
      </w:pPr>
    </w:p>
    <w:p>
      <w:pPr>
        <w:ind w:left="3020"/>
        <w:spacing w:after="0"/>
        <w:rPr>
          <w:sz w:val="20"/>
          <w:szCs w:val="20"/>
          <w:color w:val="auto"/>
        </w:rPr>
      </w:pPr>
      <w:r>
        <w:rPr>
          <w:rFonts w:ascii="Arial" w:cs="Arial" w:eastAsia="Arial" w:hAnsi="Arial"/>
          <w:sz w:val="32"/>
          <w:szCs w:val="32"/>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50"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Fee paid previously with preliminary materials.</w:t>
      </w:r>
    </w:p>
    <w:p>
      <w:pPr>
        <w:spacing w:after="0" w:line="77"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377825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180340</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240665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93345</wp:posOffset>
            </wp:positionV>
            <wp:extent cx="2494280"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8, 2022</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32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This past year continued to present regional and global challenges as we all weathered another year of the COVID-19 pandemic, including multiple variants. Through our stringent cost discipline and nimble fleet management, we were able to achieve our best results in our 75-year history.</w:t>
      </w:r>
    </w:p>
    <w:p>
      <w:pPr>
        <w:spacing w:after="0" w:line="2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Due to the continued distribution of effective vaccines, along with other protective measures, over the past year travel advisories and restrictions have eased, primarily in the Americas. We continue to see a number of encouraging developments, such as a significant increase in domestic travel demand, which generated an increase in demand for rental vehicles, suggesting a further increase globally as restrictions continue to ease around the world. While the full extent of the impact of the pandemic on our long-term operational and financial performance will depend on future developments, we believe we have positioned ourselves to emerge from the pandemic as a stronger and more agile company.</w:t>
      </w:r>
    </w:p>
    <w:p>
      <w:pPr>
        <w:spacing w:after="0" w:line="2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2021, we continued our work in the area of corporate social responsibility, including enhancements to our sustainability practices, community and philanthropical efforts, diversity and inclusion initiatives and reporting. More information can be found in our Annual Report on Form 10-K for the fiscal year ended December 31, 2021 (the “2021 Annual Report”) and the Environmental, Social and Governance (“ESG”) section of our website, including our latest ESG Report.</w:t>
      </w:r>
    </w:p>
    <w:p>
      <w:pPr>
        <w:spacing w:after="0" w:line="2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our pleasure to invite you to attend the 2022 Annual Meeting of Shareholders of Avis Budget Group, Inc., which will be held virtually on May 25, 2022, at 9:00 a.m. Eastern Time. As part of our COVID-19 precautions, and to prioritize the health and well-being of our shareholders, employees and community, this year’s Annual Meeting will be held exclusively online.</w:t>
      </w: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booklet includes the Notice of Annual Meeting and the Proxy Statement. The Proxy Statement describes the business to be conducted at the Annual Meeting and provides other information concerning our Company of which you should be aware when you vote your shares.</w:t>
      </w:r>
    </w:p>
    <w:p>
      <w:pPr>
        <w:spacing w:after="0" w:line="2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behalf of the Board of Directors and the employees of Avis Budget Group, Inc., we would like to thank you for being a shareholder and express our appreciation for your ongoing support of our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762635" cy="471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63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Bernardo Hees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297815</wp:posOffset>
            </wp:positionV>
            <wp:extent cx="64262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6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Joseph A. Ferraro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109220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2" w:name="page3"/>
    <w:bookmarkEnd w:id="2"/>
    <w:p>
      <w:pPr>
        <w:ind w:left="1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9" w:lineRule="exact"/>
        <w:rPr>
          <w:sz w:val="20"/>
          <w:szCs w:val="20"/>
          <w:color w:val="auto"/>
        </w:rPr>
      </w:pPr>
    </w:p>
    <w:p>
      <w:pPr>
        <w:ind w:left="10"/>
        <w:spacing w:after="0"/>
        <w:rPr>
          <w:sz w:val="20"/>
          <w:szCs w:val="20"/>
          <w:color w:val="auto"/>
        </w:rPr>
      </w:pPr>
      <w:r>
        <w:rPr>
          <w:rFonts w:ascii="Arial" w:cs="Arial" w:eastAsia="Arial" w:hAnsi="Arial"/>
          <w:sz w:val="45"/>
          <w:szCs w:val="45"/>
          <w:color w:val="auto"/>
        </w:rPr>
        <w:t>Notice of 2022 Annual Meeting of Shareholders</w:t>
      </w:r>
    </w:p>
    <w:p>
      <w:pPr>
        <w:spacing w:after="0" w:line="200" w:lineRule="exact"/>
        <w:rPr>
          <w:sz w:val="20"/>
          <w:szCs w:val="20"/>
          <w:color w:val="auto"/>
        </w:rPr>
      </w:pPr>
    </w:p>
    <w:p>
      <w:pPr>
        <w:spacing w:after="0" w:line="268" w:lineRule="exact"/>
        <w:rPr>
          <w:sz w:val="20"/>
          <w:szCs w:val="20"/>
          <w:color w:val="auto"/>
        </w:rPr>
      </w:pPr>
    </w:p>
    <w:p>
      <w:pPr>
        <w:ind w:left="10" w:right="20"/>
        <w:spacing w:after="0" w:line="271" w:lineRule="auto"/>
        <w:rPr>
          <w:sz w:val="20"/>
          <w:szCs w:val="20"/>
          <w:color w:val="auto"/>
        </w:rPr>
      </w:pPr>
      <w:r>
        <w:rPr>
          <w:rFonts w:ascii="Arial" w:cs="Arial" w:eastAsia="Arial" w:hAnsi="Arial"/>
          <w:sz w:val="18"/>
          <w:szCs w:val="18"/>
          <w:color w:val="auto"/>
        </w:rPr>
        <w:t>NOTICE IS HEREBY GIVEN that the Annual Meeting of Shareholders of Avis Budget Group, Inc. (the “Company”) will be held online on May 25, 2022, at 9:00 a.m. Eastern Time, to consider and vote upon the following matters:</w:t>
      </w:r>
    </w:p>
    <w:p>
      <w:pPr>
        <w:spacing w:after="0" w:line="46" w:lineRule="exact"/>
        <w:rPr>
          <w:sz w:val="20"/>
          <w:szCs w:val="20"/>
          <w:color w:val="auto"/>
        </w:rPr>
      </w:pPr>
    </w:p>
    <w:p>
      <w:pPr>
        <w:ind w:left="350" w:hanging="350"/>
        <w:spacing w:after="0" w:line="271" w:lineRule="auto"/>
        <w:tabs>
          <w:tab w:leader="none" w:pos="3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as directors the six nominees named in the accompanying proxy statement for a one-year term expiring in 2023 and until his or her successor is duly elected and qualified or until his or her earlier resignation or removal.</w:t>
      </w:r>
    </w:p>
    <w:p>
      <w:pPr>
        <w:spacing w:after="0" w:line="45"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independent registered public accounting firm for fiscal year 2022.</w:t>
      </w:r>
    </w:p>
    <w:p>
      <w:pPr>
        <w:spacing w:after="0" w:line="45" w:lineRule="exact"/>
        <w:rPr>
          <w:rFonts w:ascii="Arial" w:cs="Arial" w:eastAsia="Arial" w:hAnsi="Arial"/>
          <w:sz w:val="18"/>
          <w:szCs w:val="18"/>
          <w:color w:val="auto"/>
        </w:rPr>
      </w:pPr>
    </w:p>
    <w:p>
      <w:pPr>
        <w:ind w:left="350" w:hanging="350"/>
        <w:spacing w:after="0"/>
        <w:tabs>
          <w:tab w:leader="none" w:pos="3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provide advisory approval of the compensation of our named executive officers.</w:t>
      </w:r>
    </w:p>
    <w:p>
      <w:pPr>
        <w:spacing w:after="0" w:line="103" w:lineRule="exact"/>
        <w:rPr>
          <w:rFonts w:ascii="Arial" w:cs="Arial" w:eastAsia="Arial" w:hAnsi="Arial"/>
          <w:sz w:val="18"/>
          <w:szCs w:val="18"/>
          <w:color w:val="auto"/>
        </w:rPr>
      </w:pPr>
    </w:p>
    <w:p>
      <w:pPr>
        <w:ind w:left="350" w:right="20" w:hanging="350"/>
        <w:spacing w:after="0" w:line="271" w:lineRule="auto"/>
        <w:tabs>
          <w:tab w:leader="none" w:pos="3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113"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 xml:space="preserve">This year’s Meeting will be held virtually due to the ongoing public health concerns resulting from the COVID-19 pandemic and to support the health and well-being of our employees, shareholders and community. You will be not be able to attend the Meeting physically in person. We have designed the format of the Meeting to provide shareholders the same ability to participate that they would have at an in-person meeting. Shareholders will be able to listen to the webcast live, submit questions and vote during the online Meeting. You can attend the Meeting by accessing </w:t>
      </w:r>
      <w:r>
        <w:rPr>
          <w:rFonts w:ascii="Arial" w:cs="Arial" w:eastAsia="Arial" w:hAnsi="Arial"/>
          <w:sz w:val="18"/>
          <w:szCs w:val="18"/>
          <w:i w:val="1"/>
          <w:iCs w:val="1"/>
          <w:color w:val="auto"/>
        </w:rPr>
        <w:t>www.meetnow.global/MU7SMJM</w:t>
      </w:r>
      <w:r>
        <w:rPr>
          <w:rFonts w:ascii="Arial" w:cs="Arial" w:eastAsia="Arial" w:hAnsi="Arial"/>
          <w:sz w:val="18"/>
          <w:szCs w:val="18"/>
          <w:color w:val="auto"/>
        </w:rPr>
        <w:t xml:space="preserve"> and entering the 15-digit control number found on the proxy card or notice. No password is required.</w:t>
      </w:r>
    </w:p>
    <w:p>
      <w:pPr>
        <w:spacing w:after="0" w:line="152"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 xml:space="preserve">The Board of Directors has fixed the close of business on April 1, 2022 as the record date for the Meeting. Only shareholders of record at that time are entitled to notice of, and to vote at, the Meeting and any adjournment or postponement thereof. A list of shareholders entitled to vote at the Meeting will be available for examination by any shareholder, for any purpose germane to the Meeting, for at least ten days prior to the Meeting by e-mailing </w:t>
      </w:r>
      <w:r>
        <w:rPr>
          <w:rFonts w:ascii="Arial" w:cs="Arial" w:eastAsia="Arial" w:hAnsi="Arial"/>
          <w:sz w:val="18"/>
          <w:szCs w:val="18"/>
          <w:i w:val="1"/>
          <w:iCs w:val="1"/>
          <w:color w:val="auto"/>
        </w:rPr>
        <w:t>chairman@avisbudget.com</w:t>
      </w:r>
      <w:r>
        <w:rPr>
          <w:rFonts w:ascii="Arial" w:cs="Arial" w:eastAsia="Arial" w:hAnsi="Arial"/>
          <w:sz w:val="18"/>
          <w:szCs w:val="18"/>
          <w:color w:val="auto"/>
        </w:rPr>
        <w:t>. Additionally, this list will be available under the “Documents” tab on your screen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 of the Meeting after entering the 15-digit control number found on the proxy card 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31115</wp:posOffset>
            </wp:positionV>
            <wp:extent cx="4680585" cy="865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80585" cy="865505"/>
                    </a:xfrm>
                    <a:prstGeom prst="rect">
                      <a:avLst/>
                    </a:prstGeom>
                    <a:noFill/>
                  </pic:spPr>
                </pic:pic>
              </a:graphicData>
            </a:graphic>
          </wp:anchor>
        </w:drawing>
      </w:r>
    </w:p>
    <w:p>
      <w:pPr>
        <w:spacing w:after="0" w:line="91"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for the Shareholder Meeting to Be Held on May 25, 2022</w:t>
      </w:r>
    </w:p>
    <w:p>
      <w:pPr>
        <w:jc w:val="center"/>
        <w:ind w:right="-9"/>
        <w:spacing w:after="0" w:line="234" w:lineRule="auto"/>
        <w:rPr>
          <w:sz w:val="20"/>
          <w:szCs w:val="20"/>
          <w:color w:val="auto"/>
        </w:rPr>
      </w:pPr>
      <w:r>
        <w:rPr>
          <w:rFonts w:ascii="Arial" w:cs="Arial" w:eastAsia="Arial" w:hAnsi="Arial"/>
          <w:sz w:val="18"/>
          <w:szCs w:val="18"/>
          <w:b w:val="1"/>
          <w:bCs w:val="1"/>
          <w:color w:val="auto"/>
        </w:rPr>
        <w:t>The Company’s Proxy Statement on Schedule 14A,</w:t>
      </w:r>
    </w:p>
    <w:p>
      <w:pPr>
        <w:jc w:val="center"/>
        <w:ind w:right="-9"/>
        <w:spacing w:after="0" w:line="235" w:lineRule="auto"/>
        <w:rPr>
          <w:sz w:val="20"/>
          <w:szCs w:val="20"/>
          <w:color w:val="auto"/>
        </w:rPr>
      </w:pPr>
      <w:r>
        <w:rPr>
          <w:rFonts w:ascii="Arial" w:cs="Arial" w:eastAsia="Arial" w:hAnsi="Arial"/>
          <w:sz w:val="18"/>
          <w:szCs w:val="18"/>
          <w:b w:val="1"/>
          <w:bCs w:val="1"/>
          <w:color w:val="auto"/>
        </w:rPr>
        <w:t>form of proxy card and 2021 Annual Report</w:t>
      </w:r>
    </w:p>
    <w:p>
      <w:pPr>
        <w:jc w:val="center"/>
        <w:ind w:right="-9"/>
        <w:spacing w:after="0" w:line="235" w:lineRule="auto"/>
        <w:rPr>
          <w:sz w:val="20"/>
          <w:szCs w:val="20"/>
          <w:color w:val="auto"/>
        </w:rPr>
      </w:pPr>
      <w:r>
        <w:rPr>
          <w:rFonts w:ascii="Arial" w:cs="Arial" w:eastAsia="Arial" w:hAnsi="Arial"/>
          <w:sz w:val="18"/>
          <w:szCs w:val="18"/>
          <w:b w:val="1"/>
          <w:bCs w:val="1"/>
          <w:color w:val="auto"/>
        </w:rPr>
        <w:t>are available at</w:t>
      </w:r>
    </w:p>
    <w:p>
      <w:pPr>
        <w:jc w:val="center"/>
        <w:ind w:right="-9"/>
        <w:spacing w:after="0"/>
        <w:rPr>
          <w:sz w:val="20"/>
          <w:szCs w:val="20"/>
          <w:color w:val="auto"/>
        </w:rPr>
      </w:pPr>
      <w:r>
        <w:rPr>
          <w:rFonts w:ascii="Arial" w:cs="Arial" w:eastAsia="Arial" w:hAnsi="Arial"/>
          <w:sz w:val="18"/>
          <w:szCs w:val="18"/>
          <w:b w:val="1"/>
          <w:bCs w:val="1"/>
          <w:u w:val="single" w:color="auto"/>
          <w:color w:val="auto"/>
        </w:rPr>
        <w:t>www.edocumentview.com/CAR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
        <w:spacing w:after="0"/>
        <w:rPr>
          <w:sz w:val="20"/>
          <w:szCs w:val="20"/>
          <w:color w:val="auto"/>
        </w:rPr>
      </w:pPr>
      <w:r>
        <w:rPr>
          <w:rFonts w:ascii="Arial" w:cs="Arial" w:eastAsia="Arial" w:hAnsi="Arial"/>
          <w:sz w:val="18"/>
          <w:szCs w:val="18"/>
          <w:color w:val="auto"/>
        </w:rPr>
        <w:t>Jean M. Sera</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color w:val="auto"/>
        </w:rPr>
        <w:t>Senior Vice President, General Counsel,</w:t>
      </w:r>
    </w:p>
    <w:p>
      <w:pPr>
        <w:ind w:left="10"/>
        <w:spacing w:after="0"/>
        <w:rPr>
          <w:sz w:val="20"/>
          <w:szCs w:val="20"/>
          <w:color w:val="auto"/>
        </w:rPr>
      </w:pPr>
      <w:r>
        <w:rPr>
          <w:rFonts w:ascii="Arial" w:cs="Arial" w:eastAsia="Arial" w:hAnsi="Arial"/>
          <w:sz w:val="18"/>
          <w:szCs w:val="18"/>
          <w:color w:val="auto"/>
        </w:rPr>
        <w:t>Chief Compliance Officer and Corporate Secretary</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Dated: April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3" w:name="page4"/>
    <w:bookmarkEnd w:id="3"/>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524"/>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12"/>
          </w:tcPr>
          <w:p>
            <w:pPr>
              <w:ind w:left="20"/>
              <w:spacing w:after="0"/>
              <w:rPr>
                <w:sz w:val="20"/>
                <w:szCs w:val="20"/>
                <w:color w:val="auto"/>
              </w:rPr>
            </w:pPr>
            <w:r>
              <w:rPr>
                <w:rFonts w:ascii="Arial" w:cs="Arial" w:eastAsia="Arial" w:hAnsi="Arial"/>
                <w:sz w:val="40"/>
                <w:szCs w:val="40"/>
                <w:color w:val="auto"/>
              </w:rPr>
              <w:t>Proxy Statement</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9"/>
        </w:trPr>
        <w:tc>
          <w:tcPr>
            <w:tcW w:w="8020" w:type="dxa"/>
            <w:vAlign w:val="bottom"/>
            <w:gridSpan w:val="36"/>
          </w:tcPr>
          <w:p>
            <w:pPr>
              <w:ind w:left="20"/>
              <w:spacing w:after="0"/>
              <w:rPr>
                <w:sz w:val="20"/>
                <w:szCs w:val="20"/>
                <w:color w:val="auto"/>
              </w:rPr>
            </w:pPr>
            <w:r>
              <w:rPr>
                <w:rFonts w:ascii="Arial" w:cs="Arial" w:eastAsia="Arial" w:hAnsi="Arial"/>
                <w:sz w:val="36"/>
                <w:szCs w:val="36"/>
                <w:color w:val="auto"/>
              </w:rPr>
              <w:t>Table of Contents</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3"/>
        </w:trPr>
        <w:tc>
          <w:tcPr>
            <w:tcW w:w="2760" w:type="dxa"/>
            <w:vAlign w:val="bottom"/>
            <w:tcBorders>
              <w:bottom w:val="single" w:sz="8" w:color="0000EE"/>
            </w:tcBorders>
            <w:gridSpan w:val="18"/>
          </w:tcPr>
          <w:p>
            <w:pPr>
              <w:ind w:left="20"/>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2022 Proxy Statement Summary</w:t>
              </w:r>
            </w:hyperlink>
          </w:p>
        </w:tc>
        <w:tc>
          <w:tcPr>
            <w:tcW w:w="5260" w:type="dxa"/>
            <w:vAlign w:val="bottom"/>
            <w:gridSpan w:val="18"/>
          </w:tcPr>
          <w:p>
            <w:pPr>
              <w:spacing w:after="0"/>
              <w:rPr>
                <w:sz w:val="24"/>
                <w:szCs w:val="24"/>
                <w:color w:val="auto"/>
              </w:rPr>
            </w:pPr>
          </w:p>
        </w:tc>
        <w:tc>
          <w:tcPr>
            <w:tcW w:w="1700" w:type="dxa"/>
            <w:vAlign w:val="bottom"/>
            <w:gridSpan w:val="2"/>
          </w:tcPr>
          <w:p>
            <w:pPr>
              <w:spacing w:after="0"/>
              <w:rPr>
                <w:sz w:val="24"/>
                <w:szCs w:val="24"/>
                <w:color w:val="auto"/>
              </w:rPr>
            </w:pPr>
          </w:p>
        </w:tc>
        <w:tc>
          <w:tcPr>
            <w:tcW w:w="120" w:type="dxa"/>
            <w:vAlign w:val="bottom"/>
            <w:tcBorders>
              <w:bottom w:val="single" w:sz="8" w:color="0000EE"/>
            </w:tcBorders>
            <w:gridSpan w:val="2"/>
          </w:tcPr>
          <w:p>
            <w:pPr>
              <w:jc w:val="right"/>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1</w:t>
              </w:r>
            </w:hyperlink>
          </w:p>
        </w:tc>
      </w:tr>
      <w:tr>
        <w:trPr>
          <w:trHeight w:val="291"/>
        </w:trPr>
        <w:tc>
          <w:tcPr>
            <w:tcW w:w="2240" w:type="dxa"/>
            <w:vAlign w:val="bottom"/>
            <w:tcBorders>
              <w:bottom w:val="single" w:sz="8" w:color="0000EE"/>
            </w:tcBorders>
            <w:gridSpan w:val="11"/>
          </w:tcPr>
          <w:p>
            <w:pPr>
              <w:ind w:left="20"/>
              <w:spacing w:after="0"/>
              <w:rPr>
                <w:rFonts w:ascii="Arial" w:cs="Arial" w:eastAsia="Arial" w:hAnsi="Arial"/>
                <w:sz w:val="18"/>
                <w:szCs w:val="18"/>
                <w:b w:val="1"/>
                <w:bCs w:val="1"/>
                <w:color w:val="0000EE"/>
                <w:w w:val="98"/>
              </w:rPr>
            </w:pPr>
            <w:hyperlink w:anchor="page7">
              <w:r>
                <w:rPr>
                  <w:rFonts w:ascii="Arial" w:cs="Arial" w:eastAsia="Arial" w:hAnsi="Arial"/>
                  <w:sz w:val="18"/>
                  <w:szCs w:val="18"/>
                  <w:b w:val="1"/>
                  <w:bCs w:val="1"/>
                  <w:color w:val="0000EE"/>
                  <w:w w:val="98"/>
                </w:rPr>
                <w:t>About the Annual Meeting</w:t>
              </w:r>
            </w:hyperlink>
          </w:p>
        </w:tc>
        <w:tc>
          <w:tcPr>
            <w:tcW w:w="5780" w:type="dxa"/>
            <w:vAlign w:val="bottom"/>
            <w:gridSpan w:val="25"/>
          </w:tcPr>
          <w:p>
            <w:pPr>
              <w:spacing w:after="0"/>
              <w:rPr>
                <w:sz w:val="24"/>
                <w:szCs w:val="24"/>
                <w:color w:val="auto"/>
              </w:rPr>
            </w:pPr>
          </w:p>
        </w:tc>
        <w:tc>
          <w:tcPr>
            <w:tcW w:w="1700" w:type="dxa"/>
            <w:vAlign w:val="bottom"/>
            <w:gridSpan w:val="2"/>
          </w:tcPr>
          <w:p>
            <w:pPr>
              <w:spacing w:after="0"/>
              <w:rPr>
                <w:sz w:val="24"/>
                <w:szCs w:val="24"/>
                <w:color w:val="auto"/>
              </w:rPr>
            </w:pPr>
          </w:p>
        </w:tc>
        <w:tc>
          <w:tcPr>
            <w:tcW w:w="120" w:type="dxa"/>
            <w:vAlign w:val="bottom"/>
            <w:tcBorders>
              <w:bottom w:val="single" w:sz="8" w:color="0000EE"/>
            </w:tcBorders>
            <w:gridSpan w:val="2"/>
          </w:tcPr>
          <w:p>
            <w:pPr>
              <w:jc w:val="right"/>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2</w:t>
              </w:r>
            </w:hyperlink>
          </w:p>
        </w:tc>
      </w:tr>
      <w:tr>
        <w:trPr>
          <w:trHeight w:val="290"/>
        </w:trPr>
        <w:tc>
          <w:tcPr>
            <w:tcW w:w="8020" w:type="dxa"/>
            <w:vAlign w:val="bottom"/>
            <w:gridSpan w:val="36"/>
          </w:tcPr>
          <w:p>
            <w:pPr>
              <w:ind w:left="20"/>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Proposals to Be Voted on at Meeting</w:t>
              </w:r>
            </w:hyperlink>
          </w:p>
        </w:tc>
        <w:tc>
          <w:tcPr>
            <w:tcW w:w="1820" w:type="dxa"/>
            <w:vAlign w:val="bottom"/>
            <w:gridSpan w:val="4"/>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7</w:t>
              </w:r>
            </w:hyperlink>
          </w:p>
        </w:tc>
      </w:tr>
      <w:tr>
        <w:trPr>
          <w:trHeight w:val="291"/>
        </w:trPr>
        <w:tc>
          <w:tcPr>
            <w:tcW w:w="3080" w:type="dxa"/>
            <w:vAlign w:val="bottom"/>
            <w:tcBorders>
              <w:top w:val="single" w:sz="8" w:color="0000EE"/>
              <w:bottom w:val="single" w:sz="8" w:color="0000EE"/>
            </w:tcBorders>
            <w:gridSpan w:val="20"/>
          </w:tcPr>
          <w:p>
            <w:pPr>
              <w:ind w:left="20"/>
              <w:spacing w:after="0"/>
              <w:rPr>
                <w:rFonts w:ascii="Arial" w:cs="Arial" w:eastAsia="Arial" w:hAnsi="Arial"/>
                <w:sz w:val="18"/>
                <w:szCs w:val="18"/>
                <w:b w:val="1"/>
                <w:bCs w:val="1"/>
                <w:color w:val="0000EE"/>
                <w:w w:val="98"/>
              </w:rPr>
            </w:pPr>
            <w:hyperlink w:anchor="page12">
              <w:r>
                <w:rPr>
                  <w:rFonts w:ascii="Arial" w:cs="Arial" w:eastAsia="Arial" w:hAnsi="Arial"/>
                  <w:sz w:val="18"/>
                  <w:szCs w:val="18"/>
                  <w:b w:val="1"/>
                  <w:bCs w:val="1"/>
                  <w:color w:val="0000EE"/>
                  <w:w w:val="98"/>
                </w:rPr>
                <w:t>Proposal No. 1 Election of Directors</w:t>
              </w:r>
            </w:hyperlink>
          </w:p>
        </w:tc>
        <w:tc>
          <w:tcPr>
            <w:tcW w:w="40" w:type="dxa"/>
            <w:vAlign w:val="bottom"/>
            <w:tcBorders>
              <w:top w:val="single" w:sz="8" w:color="0000EE"/>
            </w:tcBorders>
          </w:tcPr>
          <w:p>
            <w:pPr>
              <w:spacing w:after="0"/>
              <w:rPr>
                <w:sz w:val="24"/>
                <w:szCs w:val="24"/>
                <w:color w:val="auto"/>
              </w:rPr>
            </w:pPr>
          </w:p>
        </w:tc>
        <w:tc>
          <w:tcPr>
            <w:tcW w:w="4900" w:type="dxa"/>
            <w:vAlign w:val="bottom"/>
            <w:gridSpan w:val="15"/>
          </w:tcPr>
          <w:p>
            <w:pPr>
              <w:spacing w:after="0"/>
              <w:rPr>
                <w:sz w:val="24"/>
                <w:szCs w:val="24"/>
                <w:color w:val="auto"/>
              </w:rPr>
            </w:pPr>
          </w:p>
        </w:tc>
        <w:tc>
          <w:tcPr>
            <w:tcW w:w="1700" w:type="dxa"/>
            <w:vAlign w:val="bottom"/>
            <w:gridSpan w:val="2"/>
          </w:tcPr>
          <w:p>
            <w:pPr>
              <w:spacing w:after="0"/>
              <w:rPr>
                <w:sz w:val="24"/>
                <w:szCs w:val="24"/>
                <w:color w:val="auto"/>
              </w:rPr>
            </w:pPr>
          </w:p>
        </w:tc>
        <w:tc>
          <w:tcPr>
            <w:tcW w:w="12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7</w:t>
              </w:r>
            </w:hyperlink>
          </w:p>
        </w:tc>
      </w:tr>
      <w:tr>
        <w:trPr>
          <w:trHeight w:val="290"/>
        </w:trPr>
        <w:tc>
          <w:tcPr>
            <w:tcW w:w="360" w:type="dxa"/>
            <w:vAlign w:val="bottom"/>
          </w:tcPr>
          <w:p>
            <w:pPr>
              <w:spacing w:after="0"/>
              <w:rPr>
                <w:sz w:val="24"/>
                <w:szCs w:val="24"/>
                <w:color w:val="auto"/>
              </w:rPr>
            </w:pPr>
          </w:p>
        </w:tc>
        <w:tc>
          <w:tcPr>
            <w:tcW w:w="3080" w:type="dxa"/>
            <w:vAlign w:val="bottom"/>
            <w:tcBorders>
              <w:bottom w:val="single" w:sz="8" w:color="0000EE"/>
            </w:tcBorders>
            <w:gridSpan w:val="23"/>
          </w:tcPr>
          <w:p>
            <w:pP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Biographical Information for Nominees</w:t>
              </w:r>
            </w:hyperlink>
          </w:p>
        </w:tc>
        <w:tc>
          <w:tcPr>
            <w:tcW w:w="4580" w:type="dxa"/>
            <w:vAlign w:val="bottom"/>
            <w:gridSpan w:val="12"/>
          </w:tcPr>
          <w:p>
            <w:pPr>
              <w:spacing w:after="0"/>
              <w:rPr>
                <w:sz w:val="24"/>
                <w:szCs w:val="24"/>
                <w:color w:val="auto"/>
              </w:rPr>
            </w:pPr>
          </w:p>
        </w:tc>
        <w:tc>
          <w:tcPr>
            <w:tcW w:w="1700" w:type="dxa"/>
            <w:vAlign w:val="bottom"/>
            <w:gridSpan w:val="2"/>
          </w:tcPr>
          <w:p>
            <w:pPr>
              <w:spacing w:after="0"/>
              <w:rPr>
                <w:sz w:val="24"/>
                <w:szCs w:val="24"/>
                <w:color w:val="auto"/>
              </w:rPr>
            </w:pPr>
          </w:p>
        </w:tc>
        <w:tc>
          <w:tcPr>
            <w:tcW w:w="120" w:type="dxa"/>
            <w:vAlign w:val="bottom"/>
            <w:tcBorders>
              <w:bottom w:val="single" w:sz="8" w:color="0000EE"/>
            </w:tcBorders>
            <w:gridSpan w:val="2"/>
          </w:tcPr>
          <w:p>
            <w:pPr>
              <w:jc w:val="right"/>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7</w:t>
              </w:r>
            </w:hyperlink>
          </w:p>
        </w:tc>
      </w:tr>
      <w:tr>
        <w:trPr>
          <w:trHeight w:val="291"/>
        </w:trPr>
        <w:tc>
          <w:tcPr>
            <w:tcW w:w="360" w:type="dxa"/>
            <w:vAlign w:val="bottom"/>
          </w:tcPr>
          <w:p>
            <w:pPr>
              <w:spacing w:after="0"/>
              <w:rPr>
                <w:sz w:val="24"/>
                <w:szCs w:val="24"/>
                <w:color w:val="auto"/>
              </w:rPr>
            </w:pPr>
          </w:p>
        </w:tc>
        <w:tc>
          <w:tcPr>
            <w:tcW w:w="23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Director Nomination Process</w:t>
              </w:r>
            </w:hyperlink>
          </w:p>
        </w:tc>
        <w:tc>
          <w:tcPr>
            <w:tcW w:w="5360" w:type="dxa"/>
            <w:vAlign w:val="bottom"/>
            <w:gridSpan w:val="20"/>
          </w:tcPr>
          <w:p>
            <w:pPr>
              <w:spacing w:after="0"/>
              <w:rPr>
                <w:sz w:val="24"/>
                <w:szCs w:val="24"/>
                <w:color w:val="auto"/>
              </w:rPr>
            </w:pPr>
          </w:p>
        </w:tc>
        <w:tc>
          <w:tcPr>
            <w:tcW w:w="1700" w:type="dxa"/>
            <w:vAlign w:val="bottom"/>
            <w:gridSpan w:val="2"/>
          </w:tcPr>
          <w:p>
            <w:pPr>
              <w:spacing w:after="0"/>
              <w:rPr>
                <w:sz w:val="24"/>
                <w:szCs w:val="24"/>
                <w:color w:val="auto"/>
              </w:rPr>
            </w:pPr>
          </w:p>
        </w:tc>
        <w:tc>
          <w:tcPr>
            <w:tcW w:w="120" w:type="dxa"/>
            <w:vAlign w:val="bottom"/>
            <w:tcBorders>
              <w:bottom w:val="single" w:sz="8" w:color="0000EE"/>
            </w:tcBorders>
            <w:gridSpan w:val="2"/>
          </w:tcPr>
          <w:p>
            <w:pPr>
              <w:jc w:val="right"/>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9</w:t>
              </w:r>
            </w:hyperlink>
          </w:p>
        </w:tc>
      </w:tr>
      <w:tr>
        <w:trPr>
          <w:trHeight w:val="291"/>
        </w:trPr>
        <w:tc>
          <w:tcPr>
            <w:tcW w:w="1920" w:type="dxa"/>
            <w:vAlign w:val="bottom"/>
            <w:gridSpan w:val="7"/>
          </w:tcPr>
          <w:p>
            <w:pPr>
              <w:ind w:left="20"/>
              <w:spacing w:after="0"/>
              <w:rPr>
                <w:rFonts w:ascii="Arial" w:cs="Arial" w:eastAsia="Arial" w:hAnsi="Arial"/>
                <w:sz w:val="18"/>
                <w:szCs w:val="18"/>
                <w:b w:val="1"/>
                <w:bCs w:val="1"/>
                <w:color w:val="0000EE"/>
                <w:w w:val="95"/>
              </w:rPr>
            </w:pPr>
            <w:hyperlink w:anchor="page15">
              <w:r>
                <w:rPr>
                  <w:rFonts w:ascii="Arial" w:cs="Arial" w:eastAsia="Arial" w:hAnsi="Arial"/>
                  <w:sz w:val="18"/>
                  <w:szCs w:val="18"/>
                  <w:b w:val="1"/>
                  <w:bCs w:val="1"/>
                  <w:color w:val="0000EE"/>
                  <w:w w:val="95"/>
                </w:rPr>
                <w:t>Corporate Governance</w:t>
              </w:r>
            </w:hyperlink>
          </w:p>
        </w:tc>
        <w:tc>
          <w:tcPr>
            <w:tcW w:w="6100" w:type="dxa"/>
            <w:vAlign w:val="bottom"/>
            <w:gridSpan w:val="29"/>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10</w:t>
              </w:r>
            </w:hyperlink>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7660" w:type="dxa"/>
            <w:vAlign w:val="bottom"/>
            <w:gridSpan w:val="3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Functions and Meetings of the Board of Directors</w:t>
              </w:r>
            </w:hyperlink>
          </w:p>
        </w:tc>
        <w:tc>
          <w:tcPr>
            <w:tcW w:w="1820" w:type="dxa"/>
            <w:vAlign w:val="bottom"/>
            <w:gridSpan w:val="4"/>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10</w:t>
              </w:r>
            </w:hyperlink>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291"/>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12"/>
          </w:tcPr>
          <w:p>
            <w:pPr>
              <w:ind w:left="20"/>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Director Independence</w:t>
              </w:r>
            </w:hyperlink>
          </w:p>
        </w:tc>
        <w:tc>
          <w:tcPr>
            <w:tcW w:w="1700" w:type="dxa"/>
            <w:vAlign w:val="bottom"/>
            <w:gridSpan w:val="16"/>
          </w:tcPr>
          <w:p>
            <w:pPr>
              <w:spacing w:after="0"/>
              <w:rPr>
                <w:sz w:val="24"/>
                <w:szCs w:val="24"/>
                <w:color w:val="auto"/>
              </w:rPr>
            </w:pPr>
          </w:p>
        </w:tc>
        <w:tc>
          <w:tcPr>
            <w:tcW w:w="3760" w:type="dxa"/>
            <w:vAlign w:val="bottom"/>
            <w:gridSpan w:val="6"/>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10</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gridSpan w:val="17"/>
          </w:tcPr>
          <w:p>
            <w:pPr>
              <w:ind w:left="20"/>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Board Leadership Structure</w:t>
              </w:r>
            </w:hyperlink>
          </w:p>
        </w:tc>
        <w:tc>
          <w:tcPr>
            <w:tcW w:w="5080" w:type="dxa"/>
            <w:vAlign w:val="bottom"/>
            <w:gridSpan w:val="17"/>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10</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291"/>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gridSpan w:val="26"/>
          </w:tcPr>
          <w:p>
            <w:pPr>
              <w:ind w:left="20"/>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Risk Management and Risk Assessment</w:t>
              </w:r>
            </w:hyperlink>
          </w:p>
        </w:tc>
        <w:tc>
          <w:tcPr>
            <w:tcW w:w="4060" w:type="dxa"/>
            <w:vAlign w:val="bottom"/>
            <w:gridSpan w:val="8"/>
          </w:tcPr>
          <w:p>
            <w:pPr>
              <w:spacing w:after="0"/>
              <w:rPr>
                <w:sz w:val="24"/>
                <w:szCs w:val="24"/>
                <w:color w:val="auto"/>
              </w:rPr>
            </w:pPr>
          </w:p>
        </w:tc>
        <w:tc>
          <w:tcPr>
            <w:tcW w:w="18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00" w:type="dxa"/>
            <w:vAlign w:val="bottom"/>
            <w:gridSpan w:val="34"/>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Communicating with the Board of Directors</w:t>
              </w:r>
            </w:hyperlink>
          </w:p>
        </w:tc>
        <w:tc>
          <w:tcPr>
            <w:tcW w:w="18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7"/>
          </w:tcPr>
          <w:p>
            <w:pPr>
              <w:ind w:left="20"/>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Codes of Conduct</w:t>
              </w:r>
            </w:hyperlink>
          </w:p>
        </w:tc>
        <w:tc>
          <w:tcPr>
            <w:tcW w:w="1960" w:type="dxa"/>
            <w:vAlign w:val="bottom"/>
            <w:gridSpan w:val="20"/>
          </w:tcPr>
          <w:p>
            <w:pPr>
              <w:spacing w:after="0"/>
              <w:rPr>
                <w:sz w:val="24"/>
                <w:szCs w:val="24"/>
                <w:color w:val="auto"/>
              </w:rPr>
            </w:pPr>
          </w:p>
        </w:tc>
        <w:tc>
          <w:tcPr>
            <w:tcW w:w="3920" w:type="dxa"/>
            <w:vAlign w:val="bottom"/>
            <w:gridSpan w:val="7"/>
          </w:tcPr>
          <w:p>
            <w:pPr>
              <w:spacing w:after="0"/>
              <w:rPr>
                <w:sz w:val="24"/>
                <w:szCs w:val="24"/>
                <w:color w:val="auto"/>
              </w:rPr>
            </w:pPr>
          </w:p>
        </w:tc>
        <w:tc>
          <w:tcPr>
            <w:tcW w:w="18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360" w:type="dxa"/>
            <w:vAlign w:val="bottom"/>
          </w:tcPr>
          <w:p>
            <w:pPr>
              <w:spacing w:after="0"/>
              <w:rPr>
                <w:sz w:val="24"/>
                <w:szCs w:val="24"/>
                <w:color w:val="auto"/>
              </w:rPr>
            </w:pPr>
          </w:p>
        </w:tc>
        <w:tc>
          <w:tcPr>
            <w:tcW w:w="2240" w:type="dxa"/>
            <w:vAlign w:val="bottom"/>
            <w:gridSpan w:val="14"/>
          </w:tcPr>
          <w:p>
            <w:pP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Board of Directors Meetings</w:t>
              </w:r>
            </w:hyperlink>
          </w:p>
        </w:tc>
        <w:tc>
          <w:tcPr>
            <w:tcW w:w="5420" w:type="dxa"/>
            <w:vAlign w:val="bottom"/>
            <w:gridSpan w:val="21"/>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r>
      <w:tr>
        <w:trPr>
          <w:trHeight w:val="20"/>
        </w:trPr>
        <w:tc>
          <w:tcPr>
            <w:tcW w:w="3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7660" w:type="dxa"/>
            <w:vAlign w:val="bottom"/>
            <w:gridSpan w:val="3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Committees of the Board of Directors</w:t>
              </w:r>
            </w:hyperlink>
          </w:p>
        </w:tc>
        <w:tc>
          <w:tcPr>
            <w:tcW w:w="1820" w:type="dxa"/>
            <w:vAlign w:val="bottom"/>
            <w:gridSpan w:val="4"/>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1"/>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6"/>
          </w:tcPr>
          <w:p>
            <w:pPr>
              <w:ind w:left="20"/>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Audit Committee</w:t>
              </w:r>
            </w:hyperlink>
          </w:p>
        </w:tc>
        <w:tc>
          <w:tcPr>
            <w:tcW w:w="1320" w:type="dxa"/>
            <w:vAlign w:val="bottom"/>
            <w:gridSpan w:val="15"/>
          </w:tcPr>
          <w:p>
            <w:pPr>
              <w:spacing w:after="0"/>
              <w:rPr>
                <w:sz w:val="24"/>
                <w:szCs w:val="24"/>
                <w:color w:val="auto"/>
              </w:rPr>
            </w:pPr>
          </w:p>
        </w:tc>
        <w:tc>
          <w:tcPr>
            <w:tcW w:w="4700" w:type="dxa"/>
            <w:vAlign w:val="bottom"/>
            <w:gridSpan w:val="13"/>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16"/>
          </w:tcPr>
          <w:p>
            <w:pPr>
              <w:ind w:left="20"/>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Compensation Committee</w:t>
              </w:r>
            </w:hyperlink>
          </w:p>
        </w:tc>
        <w:tc>
          <w:tcPr>
            <w:tcW w:w="5260" w:type="dxa"/>
            <w:vAlign w:val="bottom"/>
            <w:gridSpan w:val="18"/>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gridSpan w:val="22"/>
          </w:tcPr>
          <w:p>
            <w:pPr>
              <w:ind w:left="20"/>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Corporate Governance Committee</w:t>
              </w:r>
            </w:hyperlink>
          </w:p>
        </w:tc>
        <w:tc>
          <w:tcPr>
            <w:tcW w:w="4580" w:type="dxa"/>
            <w:vAlign w:val="bottom"/>
            <w:gridSpan w:val="12"/>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700" w:type="dxa"/>
            <w:vAlign w:val="bottom"/>
            <w:gridSpan w:val="2"/>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Diversity</w:t>
              </w:r>
            </w:hyperlink>
          </w:p>
        </w:tc>
        <w:tc>
          <w:tcPr>
            <w:tcW w:w="6960" w:type="dxa"/>
            <w:vAlign w:val="bottom"/>
            <w:gridSpan w:val="33"/>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r>
      <w:tr>
        <w:trPr>
          <w:trHeight w:val="20"/>
        </w:trPr>
        <w:tc>
          <w:tcPr>
            <w:tcW w:w="3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7660" w:type="dxa"/>
            <w:vAlign w:val="bottom"/>
            <w:gridSpan w:val="3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Succession Planning</w:t>
              </w:r>
            </w:hyperlink>
          </w:p>
        </w:tc>
        <w:tc>
          <w:tcPr>
            <w:tcW w:w="182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15</w:t>
              </w:r>
            </w:hyperlink>
          </w:p>
        </w:tc>
      </w:tr>
      <w:tr>
        <w:trPr>
          <w:trHeight w:val="20"/>
        </w:trPr>
        <w:tc>
          <w:tcPr>
            <w:tcW w:w="36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7660" w:type="dxa"/>
            <w:vAlign w:val="bottom"/>
            <w:gridSpan w:val="3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Related Person Transactions</w:t>
              </w:r>
            </w:hyperlink>
          </w:p>
        </w:tc>
        <w:tc>
          <w:tcPr>
            <w:tcW w:w="182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15</w:t>
              </w:r>
            </w:hyperlink>
          </w:p>
        </w:tc>
      </w:tr>
      <w:tr>
        <w:trPr>
          <w:trHeight w:val="20"/>
        </w:trPr>
        <w:tc>
          <w:tcPr>
            <w:tcW w:w="36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232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Shareholder Engagement</w:t>
              </w:r>
            </w:hyperlink>
          </w:p>
        </w:tc>
        <w:tc>
          <w:tcPr>
            <w:tcW w:w="5340" w:type="dxa"/>
            <w:vAlign w:val="bottom"/>
            <w:gridSpan w:val="19"/>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16</w:t>
              </w:r>
            </w:hyperlink>
          </w:p>
        </w:tc>
      </w:tr>
      <w:tr>
        <w:trPr>
          <w:trHeight w:val="20"/>
        </w:trPr>
        <w:tc>
          <w:tcPr>
            <w:tcW w:w="36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1"/>
        </w:trPr>
        <w:tc>
          <w:tcPr>
            <w:tcW w:w="1480" w:type="dxa"/>
            <w:vAlign w:val="bottom"/>
            <w:gridSpan w:val="4"/>
          </w:tcPr>
          <w:p>
            <w:pPr>
              <w:ind w:left="20"/>
              <w:spacing w:after="0"/>
              <w:rPr>
                <w:rFonts w:ascii="Arial" w:cs="Arial" w:eastAsia="Arial" w:hAnsi="Arial"/>
                <w:sz w:val="18"/>
                <w:szCs w:val="18"/>
                <w:b w:val="1"/>
                <w:bCs w:val="1"/>
                <w:color w:val="0000EE"/>
                <w:w w:val="97"/>
              </w:rPr>
            </w:pPr>
            <w:hyperlink w:anchor="page21">
              <w:r>
                <w:rPr>
                  <w:rFonts w:ascii="Arial" w:cs="Arial" w:eastAsia="Arial" w:hAnsi="Arial"/>
                  <w:sz w:val="18"/>
                  <w:szCs w:val="18"/>
                  <w:b w:val="1"/>
                  <w:bCs w:val="1"/>
                  <w:color w:val="0000EE"/>
                  <w:w w:val="97"/>
                </w:rPr>
                <w:t>Stock Ownership</w:t>
              </w:r>
            </w:hyperlink>
          </w:p>
        </w:tc>
        <w:tc>
          <w:tcPr>
            <w:tcW w:w="6540" w:type="dxa"/>
            <w:vAlign w:val="bottom"/>
            <w:gridSpan w:val="32"/>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16</w:t>
              </w:r>
            </w:hyperlink>
          </w:p>
        </w:tc>
      </w:tr>
      <w:tr>
        <w:trPr>
          <w:trHeight w:val="20"/>
        </w:trPr>
        <w:tc>
          <w:tcPr>
            <w:tcW w:w="36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7660" w:type="dxa"/>
            <w:vAlign w:val="bottom"/>
            <w:gridSpan w:val="3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Equity Compensation Plan Information</w:t>
              </w:r>
            </w:hyperlink>
          </w:p>
        </w:tc>
        <w:tc>
          <w:tcPr>
            <w:tcW w:w="1820" w:type="dxa"/>
            <w:vAlign w:val="bottom"/>
            <w:gridSpan w:val="4"/>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16</w:t>
              </w:r>
            </w:hyperlink>
          </w:p>
        </w:tc>
      </w:tr>
      <w:tr>
        <w:trPr>
          <w:trHeight w:val="20"/>
        </w:trPr>
        <w:tc>
          <w:tcPr>
            <w:tcW w:w="36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3900" w:type="dxa"/>
            <w:vAlign w:val="bottom"/>
            <w:gridSpan w:val="29"/>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Security Ownership of Certain Beneficial Owners</w:t>
              </w:r>
            </w:hyperlink>
          </w:p>
        </w:tc>
        <w:tc>
          <w:tcPr>
            <w:tcW w:w="3760" w:type="dxa"/>
            <w:vAlign w:val="bottom"/>
            <w:gridSpan w:val="6"/>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17</w:t>
              </w:r>
            </w:hyperlink>
          </w:p>
        </w:tc>
      </w:tr>
      <w:tr>
        <w:trPr>
          <w:trHeight w:val="20"/>
        </w:trPr>
        <w:tc>
          <w:tcPr>
            <w:tcW w:w="36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8020" w:type="dxa"/>
            <w:vAlign w:val="bottom"/>
            <w:gridSpan w:val="36"/>
          </w:tcPr>
          <w:p>
            <w:pPr>
              <w:ind w:left="20"/>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Executive Officers</w:t>
              </w:r>
            </w:hyperlink>
          </w:p>
        </w:tc>
        <w:tc>
          <w:tcPr>
            <w:tcW w:w="1820" w:type="dxa"/>
            <w:vAlign w:val="bottom"/>
            <w:gridSpan w:val="4"/>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19</w:t>
              </w:r>
            </w:hyperlink>
          </w:p>
        </w:tc>
      </w:tr>
      <w:tr>
        <w:trPr>
          <w:trHeight w:val="20"/>
        </w:trPr>
        <w:tc>
          <w:tcPr>
            <w:tcW w:w="158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8020" w:type="dxa"/>
            <w:vAlign w:val="bottom"/>
            <w:gridSpan w:val="36"/>
          </w:tcPr>
          <w:p>
            <w:pPr>
              <w:ind w:left="2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Executive Compensation</w:t>
              </w:r>
            </w:hyperlink>
          </w:p>
        </w:tc>
        <w:tc>
          <w:tcPr>
            <w:tcW w:w="182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21</w:t>
              </w:r>
            </w:hyperlink>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7660" w:type="dxa"/>
            <w:vAlign w:val="bottom"/>
            <w:gridSpan w:val="3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Compensation Discussion and Analysis</w:t>
              </w:r>
            </w:hyperlink>
          </w:p>
        </w:tc>
        <w:tc>
          <w:tcPr>
            <w:tcW w:w="182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21</w:t>
              </w:r>
            </w:hyperlink>
          </w:p>
        </w:tc>
      </w:tr>
      <w:tr>
        <w:trPr>
          <w:trHeight w:val="20"/>
        </w:trPr>
        <w:tc>
          <w:tcPr>
            <w:tcW w:w="36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3160" w:type="dxa"/>
            <w:vAlign w:val="bottom"/>
            <w:gridSpan w:val="2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Summary Compensation Table</w:t>
              </w:r>
            </w:hyperlink>
          </w:p>
        </w:tc>
        <w:tc>
          <w:tcPr>
            <w:tcW w:w="4500" w:type="dxa"/>
            <w:vAlign w:val="bottom"/>
            <w:gridSpan w:val="11"/>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33</w:t>
              </w:r>
            </w:hyperlink>
          </w:p>
        </w:tc>
      </w:tr>
      <w:tr>
        <w:trPr>
          <w:trHeight w:val="20"/>
        </w:trPr>
        <w:tc>
          <w:tcPr>
            <w:tcW w:w="36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1"/>
        </w:trPr>
        <w:tc>
          <w:tcPr>
            <w:tcW w:w="360" w:type="dxa"/>
            <w:vAlign w:val="bottom"/>
          </w:tcPr>
          <w:p>
            <w:pPr>
              <w:spacing w:after="0"/>
              <w:rPr>
                <w:sz w:val="24"/>
                <w:szCs w:val="24"/>
                <w:color w:val="auto"/>
              </w:rPr>
            </w:pPr>
          </w:p>
        </w:tc>
        <w:tc>
          <w:tcPr>
            <w:tcW w:w="2400" w:type="dxa"/>
            <w:vAlign w:val="bottom"/>
            <w:gridSpan w:val="17"/>
          </w:tcPr>
          <w:p>
            <w:pPr>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All Other Compensation Table</w:t>
              </w:r>
            </w:hyperlink>
          </w:p>
        </w:tc>
        <w:tc>
          <w:tcPr>
            <w:tcW w:w="5260" w:type="dxa"/>
            <w:vAlign w:val="bottom"/>
            <w:gridSpan w:val="18"/>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33</w:t>
              </w:r>
            </w:hyperlink>
          </w:p>
        </w:tc>
      </w:tr>
      <w:tr>
        <w:trPr>
          <w:trHeight w:val="20"/>
        </w:trPr>
        <w:tc>
          <w:tcPr>
            <w:tcW w:w="36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1380" w:type="dxa"/>
            <w:vAlign w:val="bottom"/>
            <w:gridSpan w:val="5"/>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Perquisites Table</w:t>
              </w:r>
            </w:hyperlink>
          </w:p>
        </w:tc>
        <w:tc>
          <w:tcPr>
            <w:tcW w:w="1020" w:type="dxa"/>
            <w:vAlign w:val="bottom"/>
            <w:gridSpan w:val="12"/>
          </w:tcPr>
          <w:p>
            <w:pPr>
              <w:spacing w:after="0"/>
              <w:rPr>
                <w:sz w:val="24"/>
                <w:szCs w:val="24"/>
                <w:color w:val="auto"/>
              </w:rPr>
            </w:pPr>
          </w:p>
        </w:tc>
        <w:tc>
          <w:tcPr>
            <w:tcW w:w="5260" w:type="dxa"/>
            <w:vAlign w:val="bottom"/>
            <w:gridSpan w:val="18"/>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34</w:t>
              </w:r>
            </w:hyperlink>
          </w:p>
        </w:tc>
      </w:tr>
      <w:tr>
        <w:trPr>
          <w:trHeight w:val="20"/>
        </w:trPr>
        <w:tc>
          <w:tcPr>
            <w:tcW w:w="36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138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CEO Pay Ratio</w:t>
              </w:r>
            </w:hyperlink>
          </w:p>
        </w:tc>
        <w:tc>
          <w:tcPr>
            <w:tcW w:w="6280" w:type="dxa"/>
            <w:vAlign w:val="bottom"/>
            <w:gridSpan w:val="30"/>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34</w:t>
              </w:r>
            </w:hyperlink>
          </w:p>
        </w:tc>
      </w:tr>
      <w:tr>
        <w:trPr>
          <w:trHeight w:val="20"/>
        </w:trPr>
        <w:tc>
          <w:tcPr>
            <w:tcW w:w="36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7660" w:type="dxa"/>
            <w:vAlign w:val="bottom"/>
            <w:gridSpan w:val="3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2021 Grants of Plan-Based Awards Table</w:t>
              </w:r>
            </w:hyperlink>
          </w:p>
        </w:tc>
        <w:tc>
          <w:tcPr>
            <w:tcW w:w="182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35</w:t>
              </w:r>
            </w:hyperlink>
          </w:p>
        </w:tc>
      </w:tr>
      <w:tr>
        <w:trPr>
          <w:trHeight w:val="20"/>
        </w:trPr>
        <w:tc>
          <w:tcPr>
            <w:tcW w:w="36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40" w:type="dxa"/>
            <w:vAlign w:val="bottom"/>
            <w:gridSpan w:val="10"/>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4180" w:type="dxa"/>
            <w:vAlign w:val="bottom"/>
            <w:gridSpan w:val="31"/>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Outstanding Equity Awards at Fiscal Year-End Table</w:t>
              </w:r>
            </w:hyperlink>
          </w:p>
        </w:tc>
        <w:tc>
          <w:tcPr>
            <w:tcW w:w="3480" w:type="dxa"/>
            <w:vAlign w:val="bottom"/>
            <w:gridSpan w:val="4"/>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36</w:t>
              </w:r>
            </w:hyperlink>
          </w:p>
        </w:tc>
      </w:tr>
      <w:tr>
        <w:trPr>
          <w:trHeight w:val="20"/>
        </w:trPr>
        <w:tc>
          <w:tcPr>
            <w:tcW w:w="36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40" w:type="dxa"/>
            <w:vAlign w:val="bottom"/>
            <w:gridSpan w:val="10"/>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1"/>
        </w:trPr>
        <w:tc>
          <w:tcPr>
            <w:tcW w:w="360" w:type="dxa"/>
            <w:vAlign w:val="bottom"/>
          </w:tcPr>
          <w:p>
            <w:pPr>
              <w:spacing w:after="0"/>
              <w:rPr>
                <w:sz w:val="24"/>
                <w:szCs w:val="24"/>
                <w:color w:val="auto"/>
              </w:rPr>
            </w:pPr>
          </w:p>
        </w:tc>
        <w:tc>
          <w:tcPr>
            <w:tcW w:w="3740" w:type="dxa"/>
            <w:vAlign w:val="bottom"/>
            <w:gridSpan w:val="28"/>
          </w:tcPr>
          <w:p>
            <w:pPr>
              <w:spacing w:after="0"/>
              <w:rPr>
                <w:rFonts w:ascii="Arial" w:cs="Arial" w:eastAsia="Arial" w:hAnsi="Arial"/>
                <w:sz w:val="18"/>
                <w:szCs w:val="18"/>
                <w:color w:val="0000EE"/>
                <w:w w:val="98"/>
              </w:rPr>
            </w:pPr>
            <w:hyperlink w:anchor="page42">
              <w:r>
                <w:rPr>
                  <w:rFonts w:ascii="Arial" w:cs="Arial" w:eastAsia="Arial" w:hAnsi="Arial"/>
                  <w:sz w:val="18"/>
                  <w:szCs w:val="18"/>
                  <w:color w:val="0000EE"/>
                  <w:w w:val="98"/>
                </w:rPr>
                <w:t>2021 Option Exercises and Stock Vested Table</w:t>
              </w:r>
            </w:hyperlink>
          </w:p>
        </w:tc>
        <w:tc>
          <w:tcPr>
            <w:tcW w:w="440" w:type="dxa"/>
            <w:vAlign w:val="bottom"/>
            <w:gridSpan w:val="3"/>
          </w:tcPr>
          <w:p>
            <w:pPr>
              <w:spacing w:after="0"/>
              <w:rPr>
                <w:sz w:val="24"/>
                <w:szCs w:val="24"/>
                <w:color w:val="auto"/>
              </w:rPr>
            </w:pPr>
          </w:p>
        </w:tc>
        <w:tc>
          <w:tcPr>
            <w:tcW w:w="3480" w:type="dxa"/>
            <w:vAlign w:val="bottom"/>
            <w:gridSpan w:val="4"/>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37</w:t>
              </w:r>
            </w:hyperlink>
          </w:p>
        </w:tc>
      </w:tr>
      <w:tr>
        <w:trPr>
          <w:trHeight w:val="20"/>
        </w:trPr>
        <w:tc>
          <w:tcPr>
            <w:tcW w:w="36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40" w:type="dxa"/>
            <w:vAlign w:val="bottom"/>
            <w:gridSpan w:val="10"/>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3740" w:type="dxa"/>
            <w:vAlign w:val="bottom"/>
            <w:gridSpan w:val="2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Pension Benefits Table</w:t>
              </w:r>
            </w:hyperlink>
          </w:p>
        </w:tc>
        <w:tc>
          <w:tcPr>
            <w:tcW w:w="3920" w:type="dxa"/>
            <w:vAlign w:val="bottom"/>
            <w:gridSpan w:val="7"/>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37</w:t>
              </w:r>
            </w:hyperlink>
          </w:p>
        </w:tc>
      </w:tr>
      <w:tr>
        <w:trPr>
          <w:trHeight w:val="20"/>
        </w:trPr>
        <w:tc>
          <w:tcPr>
            <w:tcW w:w="36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3520" w:type="dxa"/>
            <w:vAlign w:val="bottom"/>
            <w:gridSpan w:val="26"/>
          </w:tcPr>
          <w:p>
            <w:pPr>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Non-qualified Deferred Compensation Table</w:t>
              </w:r>
            </w:hyperlink>
          </w:p>
        </w:tc>
        <w:tc>
          <w:tcPr>
            <w:tcW w:w="4140" w:type="dxa"/>
            <w:vAlign w:val="bottom"/>
            <w:gridSpan w:val="9"/>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37</w:t>
              </w:r>
            </w:hyperlink>
          </w:p>
        </w:tc>
      </w:tr>
      <w:tr>
        <w:trPr>
          <w:trHeight w:val="20"/>
        </w:trPr>
        <w:tc>
          <w:tcPr>
            <w:tcW w:w="36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840" w:type="dxa"/>
            <w:vAlign w:val="bottom"/>
            <w:gridSpan w:val="10"/>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7660" w:type="dxa"/>
            <w:vAlign w:val="bottom"/>
            <w:gridSpan w:val="3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Employment Agreements and Other Arrangements</w:t>
              </w:r>
            </w:hyperlink>
          </w:p>
        </w:tc>
        <w:tc>
          <w:tcPr>
            <w:tcW w:w="182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38</w:t>
              </w:r>
            </w:hyperlink>
          </w:p>
        </w:tc>
      </w:tr>
      <w:tr>
        <w:trPr>
          <w:trHeight w:val="20"/>
        </w:trPr>
        <w:tc>
          <w:tcPr>
            <w:tcW w:w="36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840" w:type="dxa"/>
            <w:vAlign w:val="bottom"/>
            <w:gridSpan w:val="10"/>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1"/>
        </w:trPr>
        <w:tc>
          <w:tcPr>
            <w:tcW w:w="360" w:type="dxa"/>
            <w:vAlign w:val="bottom"/>
          </w:tcPr>
          <w:p>
            <w:pPr>
              <w:spacing w:after="0"/>
              <w:rPr>
                <w:sz w:val="24"/>
                <w:szCs w:val="24"/>
                <w:color w:val="auto"/>
              </w:rPr>
            </w:pPr>
          </w:p>
        </w:tc>
        <w:tc>
          <w:tcPr>
            <w:tcW w:w="7660" w:type="dxa"/>
            <w:vAlign w:val="bottom"/>
            <w:gridSpan w:val="3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Termination, Severance and Change of Control Arrangements</w:t>
              </w:r>
            </w:hyperlink>
          </w:p>
        </w:tc>
        <w:tc>
          <w:tcPr>
            <w:tcW w:w="1820" w:type="dxa"/>
            <w:vAlign w:val="bottom"/>
            <w:gridSpan w:val="4"/>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39</w:t>
              </w:r>
            </w:hyperlink>
          </w:p>
        </w:tc>
      </w:tr>
      <w:tr>
        <w:trPr>
          <w:trHeight w:val="20"/>
        </w:trPr>
        <w:tc>
          <w:tcPr>
            <w:tcW w:w="36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840" w:type="dxa"/>
            <w:vAlign w:val="bottom"/>
            <w:gridSpan w:val="10"/>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2000" w:type="dxa"/>
            <w:vAlign w:val="bottom"/>
            <w:gridSpan w:val="8"/>
          </w:tcPr>
          <w:p>
            <w:pPr>
              <w:ind w:left="20"/>
              <w:spacing w:after="0"/>
              <w:rPr>
                <w:rFonts w:ascii="Arial" w:cs="Arial" w:eastAsia="Arial" w:hAnsi="Arial"/>
                <w:sz w:val="18"/>
                <w:szCs w:val="18"/>
                <w:b w:val="1"/>
                <w:bCs w:val="1"/>
                <w:color w:val="0000EE"/>
                <w:w w:val="97"/>
              </w:rPr>
            </w:pPr>
            <w:hyperlink w:anchor="page46">
              <w:r>
                <w:rPr>
                  <w:rFonts w:ascii="Arial" w:cs="Arial" w:eastAsia="Arial" w:hAnsi="Arial"/>
                  <w:sz w:val="18"/>
                  <w:szCs w:val="18"/>
                  <w:b w:val="1"/>
                  <w:bCs w:val="1"/>
                  <w:color w:val="0000EE"/>
                  <w:w w:val="97"/>
                </w:rPr>
                <w:t>Director Compensation</w:t>
              </w:r>
            </w:hyperlink>
          </w:p>
        </w:tc>
        <w:tc>
          <w:tcPr>
            <w:tcW w:w="6020" w:type="dxa"/>
            <w:vAlign w:val="bottom"/>
            <w:gridSpan w:val="28"/>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41</w:t>
              </w:r>
            </w:hyperlink>
          </w:p>
        </w:tc>
      </w:tr>
      <w:tr>
        <w:trPr>
          <w:trHeight w:val="20"/>
        </w:trPr>
        <w:tc>
          <w:tcPr>
            <w:tcW w:w="360" w:type="dxa"/>
            <w:vAlign w:val="bottom"/>
            <w:shd w:val="clear" w:color="auto" w:fill="0000EE"/>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7660" w:type="dxa"/>
            <w:vAlign w:val="bottom"/>
            <w:gridSpan w:val="3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2021 Director Compensation Table</w:t>
              </w:r>
            </w:hyperlink>
          </w:p>
        </w:tc>
        <w:tc>
          <w:tcPr>
            <w:tcW w:w="182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r>
      <w:tr>
        <w:trPr>
          <w:trHeight w:val="20"/>
        </w:trPr>
        <w:tc>
          <w:tcPr>
            <w:tcW w:w="36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5"/>
            <w:shd w:val="clear" w:color="auto" w:fill="0000EE"/>
          </w:tcPr>
          <w:p>
            <w:pPr>
              <w:spacing w:after="0" w:line="20" w:lineRule="exact"/>
              <w:rPr>
                <w:sz w:val="1"/>
                <w:szCs w:val="1"/>
                <w:color w:val="auto"/>
              </w:rPr>
            </w:pPr>
          </w:p>
        </w:tc>
        <w:tc>
          <w:tcPr>
            <w:tcW w:w="840" w:type="dxa"/>
            <w:vAlign w:val="bottom"/>
            <w:gridSpan w:val="10"/>
            <w:shd w:val="clear" w:color="auto" w:fill="0000EE"/>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1"/>
        </w:trPr>
        <w:tc>
          <w:tcPr>
            <w:tcW w:w="8020" w:type="dxa"/>
            <w:vAlign w:val="bottom"/>
            <w:gridSpan w:val="36"/>
          </w:tcPr>
          <w:p>
            <w:pPr>
              <w:ind w:left="20"/>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Compensation Committee Interlocks and Insider Participation</w:t>
              </w:r>
            </w:hyperlink>
          </w:p>
        </w:tc>
        <w:tc>
          <w:tcPr>
            <w:tcW w:w="182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r>
      <w:tr>
        <w:trPr>
          <w:trHeight w:val="20"/>
        </w:trPr>
        <w:tc>
          <w:tcPr>
            <w:tcW w:w="1920" w:type="dxa"/>
            <w:vAlign w:val="bottom"/>
            <w:gridSpan w:val="7"/>
            <w:shd w:val="clear" w:color="auto" w:fill="0000EE"/>
          </w:tcPr>
          <w:p>
            <w:pPr>
              <w:spacing w:after="0" w:line="20" w:lineRule="exact"/>
              <w:rPr>
                <w:sz w:val="1"/>
                <w:szCs w:val="1"/>
                <w:color w:val="auto"/>
              </w:rPr>
            </w:pPr>
          </w:p>
        </w:tc>
        <w:tc>
          <w:tcPr>
            <w:tcW w:w="380" w:type="dxa"/>
            <w:vAlign w:val="bottom"/>
            <w:tcBorders>
              <w:left w:val="single" w:sz="8" w:color="0000EE"/>
            </w:tcBorders>
            <w:gridSpan w:val="5"/>
            <w:shd w:val="clear" w:color="auto" w:fill="0000EE"/>
          </w:tcPr>
          <w:p>
            <w:pPr>
              <w:spacing w:after="0" w:line="20" w:lineRule="exact"/>
              <w:rPr>
                <w:sz w:val="1"/>
                <w:szCs w:val="1"/>
                <w:color w:val="auto"/>
              </w:rPr>
            </w:pPr>
          </w:p>
        </w:tc>
        <w:tc>
          <w:tcPr>
            <w:tcW w:w="1800" w:type="dxa"/>
            <w:vAlign w:val="bottom"/>
            <w:gridSpan w:val="17"/>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1"/>
        </w:trPr>
        <w:tc>
          <w:tcPr>
            <w:tcW w:w="2300" w:type="dxa"/>
            <w:vAlign w:val="bottom"/>
            <w:gridSpan w:val="12"/>
          </w:tcPr>
          <w:p>
            <w:pPr>
              <w:ind w:left="20"/>
              <w:spacing w:after="0"/>
              <w:rPr>
                <w:rFonts w:ascii="Arial" w:cs="Arial" w:eastAsia="Arial" w:hAnsi="Arial"/>
                <w:sz w:val="18"/>
                <w:szCs w:val="18"/>
                <w:b w:val="1"/>
                <w:bCs w:val="1"/>
                <w:color w:val="0000EE"/>
                <w:w w:val="98"/>
              </w:rPr>
            </w:pPr>
            <w:hyperlink w:anchor="page48">
              <w:r>
                <w:rPr>
                  <w:rFonts w:ascii="Arial" w:cs="Arial" w:eastAsia="Arial" w:hAnsi="Arial"/>
                  <w:sz w:val="18"/>
                  <w:szCs w:val="18"/>
                  <w:b w:val="1"/>
                  <w:bCs w:val="1"/>
                  <w:color w:val="0000EE"/>
                  <w:w w:val="98"/>
                </w:rPr>
                <w:t>Report of Audit Committee</w:t>
              </w:r>
            </w:hyperlink>
          </w:p>
        </w:tc>
        <w:tc>
          <w:tcPr>
            <w:tcW w:w="2980" w:type="dxa"/>
            <w:vAlign w:val="bottom"/>
            <w:gridSpan w:val="22"/>
          </w:tcPr>
          <w:p>
            <w:pPr>
              <w:spacing w:after="0"/>
              <w:rPr>
                <w:sz w:val="24"/>
                <w:szCs w:val="24"/>
                <w:color w:val="auto"/>
              </w:rPr>
            </w:pPr>
          </w:p>
        </w:tc>
        <w:tc>
          <w:tcPr>
            <w:tcW w:w="2740" w:type="dxa"/>
            <w:vAlign w:val="bottom"/>
            <w:gridSpan w:val="2"/>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43</w:t>
              </w:r>
            </w:hyperlink>
          </w:p>
        </w:tc>
      </w:tr>
      <w:tr>
        <w:trPr>
          <w:trHeight w:val="20"/>
        </w:trPr>
        <w:tc>
          <w:tcPr>
            <w:tcW w:w="1920" w:type="dxa"/>
            <w:vAlign w:val="bottom"/>
            <w:gridSpan w:val="7"/>
            <w:shd w:val="clear" w:color="auto" w:fill="0000EE"/>
          </w:tcPr>
          <w:p>
            <w:pPr>
              <w:spacing w:after="0" w:line="20" w:lineRule="exact"/>
              <w:rPr>
                <w:sz w:val="1"/>
                <w:szCs w:val="1"/>
                <w:color w:val="auto"/>
              </w:rPr>
            </w:pPr>
          </w:p>
        </w:tc>
        <w:tc>
          <w:tcPr>
            <w:tcW w:w="380" w:type="dxa"/>
            <w:vAlign w:val="bottom"/>
            <w:tcBorders>
              <w:left w:val="single" w:sz="8" w:color="0000EE"/>
            </w:tcBorders>
            <w:gridSpan w:val="5"/>
            <w:shd w:val="clear" w:color="auto" w:fill="0000EE"/>
          </w:tcPr>
          <w:p>
            <w:pPr>
              <w:spacing w:after="0" w:line="20" w:lineRule="exact"/>
              <w:rPr>
                <w:sz w:val="1"/>
                <w:szCs w:val="1"/>
                <w:color w:val="auto"/>
              </w:rPr>
            </w:pPr>
          </w:p>
        </w:tc>
        <w:tc>
          <w:tcPr>
            <w:tcW w:w="1800" w:type="dxa"/>
            <w:vAlign w:val="bottom"/>
            <w:gridSpan w:val="17"/>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8020" w:type="dxa"/>
            <w:vAlign w:val="bottom"/>
            <w:gridSpan w:val="36"/>
          </w:tcPr>
          <w:p>
            <w:pPr>
              <w:ind w:left="20"/>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Proposal No. 2 Ratification of Appointment of Auditors</w:t>
              </w:r>
            </w:hyperlink>
          </w:p>
        </w:tc>
        <w:tc>
          <w:tcPr>
            <w:tcW w:w="182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r>
      <w:tr>
        <w:trPr>
          <w:trHeight w:val="20"/>
        </w:trPr>
        <w:tc>
          <w:tcPr>
            <w:tcW w:w="1920" w:type="dxa"/>
            <w:vAlign w:val="bottom"/>
            <w:gridSpan w:val="7"/>
            <w:shd w:val="clear" w:color="auto" w:fill="0000EE"/>
          </w:tcPr>
          <w:p>
            <w:pPr>
              <w:spacing w:after="0" w:line="20" w:lineRule="exact"/>
              <w:rPr>
                <w:sz w:val="1"/>
                <w:szCs w:val="1"/>
                <w:color w:val="auto"/>
              </w:rPr>
            </w:pPr>
          </w:p>
        </w:tc>
        <w:tc>
          <w:tcPr>
            <w:tcW w:w="2180" w:type="dxa"/>
            <w:vAlign w:val="bottom"/>
            <w:tcBorders>
              <w:left w:val="single" w:sz="8" w:color="0000EE"/>
            </w:tcBorders>
            <w:gridSpan w:val="2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8020" w:type="dxa"/>
            <w:vAlign w:val="bottom"/>
            <w:gridSpan w:val="36"/>
          </w:tcPr>
          <w:p>
            <w:pPr>
              <w:ind w:left="20"/>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Proposal No. 3 Advisory Approval of Executive Compensation</w:t>
              </w:r>
            </w:hyperlink>
          </w:p>
        </w:tc>
        <w:tc>
          <w:tcPr>
            <w:tcW w:w="182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46</w:t>
              </w:r>
            </w:hyperlink>
          </w:p>
        </w:tc>
      </w:tr>
      <w:tr>
        <w:trPr>
          <w:trHeight w:val="20"/>
        </w:trPr>
        <w:tc>
          <w:tcPr>
            <w:tcW w:w="1920" w:type="dxa"/>
            <w:vAlign w:val="bottom"/>
            <w:gridSpan w:val="7"/>
            <w:shd w:val="clear" w:color="auto" w:fill="0000EE"/>
          </w:tcPr>
          <w:p>
            <w:pPr>
              <w:spacing w:after="0" w:line="20" w:lineRule="exact"/>
              <w:rPr>
                <w:sz w:val="1"/>
                <w:szCs w:val="1"/>
                <w:color w:val="auto"/>
              </w:rPr>
            </w:pPr>
          </w:p>
        </w:tc>
        <w:tc>
          <w:tcPr>
            <w:tcW w:w="2180" w:type="dxa"/>
            <w:vAlign w:val="bottom"/>
            <w:tcBorders>
              <w:left w:val="single" w:sz="8" w:color="0000EE"/>
            </w:tcBorders>
            <w:gridSpan w:val="22"/>
            <w:shd w:val="clear" w:color="auto" w:fill="0000EE"/>
          </w:tcPr>
          <w:p>
            <w:pPr>
              <w:spacing w:after="0" w:line="20" w:lineRule="exact"/>
              <w:rPr>
                <w:sz w:val="1"/>
                <w:szCs w:val="1"/>
                <w:color w:val="auto"/>
              </w:rPr>
            </w:pPr>
          </w:p>
        </w:tc>
        <w:tc>
          <w:tcPr>
            <w:tcW w:w="1220" w:type="dxa"/>
            <w:vAlign w:val="bottom"/>
            <w:tcBorders>
              <w:left w:val="single" w:sz="8" w:color="0000EE"/>
            </w:tcBorders>
            <w:gridSpan w:val="6"/>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1"/>
        </w:trPr>
        <w:tc>
          <w:tcPr>
            <w:tcW w:w="5320" w:type="dxa"/>
            <w:vAlign w:val="bottom"/>
            <w:gridSpan w:val="35"/>
          </w:tcPr>
          <w:p>
            <w:pPr>
              <w:ind w:left="20"/>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Shareholder Proposals for 2023 Annual Meeting</w:t>
              </w:r>
            </w:hyperlink>
          </w:p>
        </w:tc>
        <w:tc>
          <w:tcPr>
            <w:tcW w:w="2700" w:type="dxa"/>
            <w:vAlign w:val="bottom"/>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47</w:t>
              </w:r>
            </w:hyperlink>
          </w:p>
        </w:tc>
      </w:tr>
      <w:tr>
        <w:trPr>
          <w:trHeight w:val="20"/>
        </w:trPr>
        <w:tc>
          <w:tcPr>
            <w:tcW w:w="1920" w:type="dxa"/>
            <w:vAlign w:val="bottom"/>
            <w:gridSpan w:val="7"/>
            <w:shd w:val="clear" w:color="auto" w:fill="0000EE"/>
          </w:tcPr>
          <w:p>
            <w:pPr>
              <w:spacing w:after="0" w:line="20" w:lineRule="exact"/>
              <w:rPr>
                <w:sz w:val="1"/>
                <w:szCs w:val="1"/>
                <w:color w:val="auto"/>
              </w:rPr>
            </w:pPr>
          </w:p>
        </w:tc>
        <w:tc>
          <w:tcPr>
            <w:tcW w:w="2180" w:type="dxa"/>
            <w:vAlign w:val="bottom"/>
            <w:tcBorders>
              <w:left w:val="single" w:sz="8" w:color="0000EE"/>
            </w:tcBorders>
            <w:gridSpan w:val="22"/>
            <w:shd w:val="clear" w:color="auto" w:fill="0000EE"/>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90"/>
        </w:trPr>
        <w:tc>
          <w:tcPr>
            <w:tcW w:w="4100" w:type="dxa"/>
            <w:vAlign w:val="bottom"/>
            <w:gridSpan w:val="29"/>
          </w:tcPr>
          <w:p>
            <w:pPr>
              <w:ind w:left="20"/>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Additional Information</w:t>
              </w:r>
            </w:hyperlink>
          </w:p>
        </w:tc>
        <w:tc>
          <w:tcPr>
            <w:tcW w:w="3920" w:type="dxa"/>
            <w:vAlign w:val="bottom"/>
            <w:gridSpan w:val="7"/>
          </w:tcPr>
          <w:p>
            <w:pPr>
              <w:spacing w:after="0"/>
              <w:rPr>
                <w:sz w:val="24"/>
                <w:szCs w:val="24"/>
                <w:color w:val="auto"/>
              </w:rPr>
            </w:pPr>
          </w:p>
        </w:tc>
        <w:tc>
          <w:tcPr>
            <w:tcW w:w="182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47</w:t>
              </w:r>
            </w:hyperlink>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ectPr>
          <w:pgSz w:w="11900" w:h="16838" w:orient="portrait"/>
          <w:cols w:equalWidth="0" w:num="1">
            <w:col w:w="9840"/>
          </w:cols>
          <w:pgMar w:left="1020" w:top="263" w:right="1039" w:bottom="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color w:val="auto"/>
        </w:rPr>
        <w:t>2022 Proxy Statement Summary</w:t>
      </w:r>
    </w:p>
    <w:p>
      <w:pPr>
        <w:spacing w:after="0" w:line="160" w:lineRule="exact"/>
        <w:rPr>
          <w:sz w:val="20"/>
          <w:szCs w:val="20"/>
          <w:color w:val="auto"/>
        </w:rPr>
      </w:pPr>
    </w:p>
    <w:p>
      <w:pPr>
        <w:jc w:val="both"/>
        <w:ind w:left="20" w:right="60"/>
        <w:spacing w:after="0" w:line="252"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including under “Executive Compensation.” This summary does not contain all of the information that you should consider and you should read the entire Proxy Statement carefully before voting.</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Annual Meeting of Shareholders</w:t>
      </w:r>
    </w:p>
    <w:p>
      <w:pPr>
        <w:spacing w:after="0" w:line="117"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ind w:left="160"/>
              <w:spacing w:after="0"/>
              <w:rPr>
                <w:sz w:val="20"/>
                <w:szCs w:val="20"/>
                <w:color w:val="auto"/>
              </w:rPr>
            </w:pPr>
            <w:r>
              <w:rPr>
                <w:rFonts w:ascii="Arial" w:cs="Arial" w:eastAsia="Arial" w:hAnsi="Arial"/>
                <w:sz w:val="18"/>
                <w:szCs w:val="18"/>
                <w:color w:val="auto"/>
              </w:rPr>
              <w:t>Date and Time</w:t>
            </w:r>
          </w:p>
        </w:tc>
        <w:tc>
          <w:tcPr>
            <w:tcW w:w="3360" w:type="dxa"/>
            <w:vAlign w:val="bottom"/>
          </w:tcPr>
          <w:p>
            <w:pPr>
              <w:ind w:left="140"/>
              <w:spacing w:after="0"/>
              <w:rPr>
                <w:sz w:val="20"/>
                <w:szCs w:val="20"/>
                <w:color w:val="auto"/>
              </w:rPr>
            </w:pPr>
            <w:r>
              <w:rPr>
                <w:rFonts w:ascii="Arial" w:cs="Arial" w:eastAsia="Arial" w:hAnsi="Arial"/>
                <w:sz w:val="18"/>
                <w:szCs w:val="18"/>
                <w:color w:val="auto"/>
                <w:w w:val="99"/>
              </w:rPr>
              <w:t>May 25, 2022 at 9:00 a.m. Eastern Time</w:t>
            </w:r>
          </w:p>
        </w:tc>
      </w:tr>
      <w:tr>
        <w:trPr>
          <w:trHeight w:val="31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ind w:left="160"/>
              <w:spacing w:after="0"/>
              <w:rPr>
                <w:sz w:val="20"/>
                <w:szCs w:val="20"/>
                <w:color w:val="auto"/>
              </w:rPr>
            </w:pPr>
            <w:r>
              <w:rPr>
                <w:rFonts w:ascii="Arial" w:cs="Arial" w:eastAsia="Arial" w:hAnsi="Arial"/>
                <w:sz w:val="18"/>
                <w:szCs w:val="18"/>
                <w:color w:val="auto"/>
              </w:rPr>
              <w:t>Record Date</w:t>
            </w:r>
          </w:p>
        </w:tc>
        <w:tc>
          <w:tcPr>
            <w:tcW w:w="3360" w:type="dxa"/>
            <w:vAlign w:val="bottom"/>
          </w:tcPr>
          <w:p>
            <w:pPr>
              <w:ind w:left="140"/>
              <w:spacing w:after="0"/>
              <w:rPr>
                <w:sz w:val="20"/>
                <w:szCs w:val="20"/>
                <w:color w:val="auto"/>
              </w:rPr>
            </w:pPr>
            <w:r>
              <w:rPr>
                <w:rFonts w:ascii="Arial" w:cs="Arial" w:eastAsia="Arial" w:hAnsi="Arial"/>
                <w:sz w:val="18"/>
                <w:szCs w:val="18"/>
                <w:color w:val="auto"/>
              </w:rPr>
              <w:t>April 1, 2022</w:t>
            </w: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ind w:left="160"/>
              <w:spacing w:after="0"/>
              <w:rPr>
                <w:sz w:val="20"/>
                <w:szCs w:val="20"/>
                <w:color w:val="auto"/>
              </w:rPr>
            </w:pPr>
            <w:r>
              <w:rPr>
                <w:rFonts w:ascii="Arial" w:cs="Arial" w:eastAsia="Arial" w:hAnsi="Arial"/>
                <w:sz w:val="18"/>
                <w:szCs w:val="18"/>
                <w:color w:val="auto"/>
              </w:rPr>
              <w:t>Format</w:t>
            </w:r>
          </w:p>
        </w:tc>
        <w:tc>
          <w:tcPr>
            <w:tcW w:w="3360" w:type="dxa"/>
            <w:vAlign w:val="bottom"/>
          </w:tcPr>
          <w:p>
            <w:pPr>
              <w:ind w:left="140"/>
              <w:spacing w:after="0"/>
              <w:rPr>
                <w:sz w:val="20"/>
                <w:szCs w:val="20"/>
                <w:color w:val="auto"/>
              </w:rPr>
            </w:pPr>
            <w:r>
              <w:rPr>
                <w:rFonts w:ascii="Arial" w:cs="Arial" w:eastAsia="Arial" w:hAnsi="Arial"/>
                <w:sz w:val="18"/>
                <w:szCs w:val="18"/>
                <w:color w:val="auto"/>
              </w:rPr>
              <w:t>Virtual</w:t>
            </w:r>
          </w:p>
        </w:tc>
      </w:tr>
    </w:tbl>
    <w:p>
      <w:pPr>
        <w:spacing w:after="0" w:line="207"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color w:val="auto"/>
        </w:rPr>
        <w:t>These materials were first sent or made available to shareholders on April 8, 2022. The Company’s principal executive offices are located at 6 Sylvan Way, Parsippany, NJ 07054.</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Voting Matters and Voting Recommendations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rPr>
              <w:t>Proposal</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9"/>
              </w:rPr>
              <w:t>Our Board’s Voting</w:t>
            </w:r>
          </w:p>
        </w:tc>
      </w:tr>
      <w:tr>
        <w:trPr>
          <w:trHeight w:val="247"/>
        </w:trPr>
        <w:tc>
          <w:tcPr>
            <w:tcW w:w="6840" w:type="dxa"/>
            <w:vAlign w:val="bottom"/>
            <w:gridSpan w:val="9"/>
          </w:tcPr>
          <w:p>
            <w:pPr>
              <w:ind w:left="100"/>
              <w:spacing w:after="0"/>
              <w:rPr>
                <w:sz w:val="20"/>
                <w:szCs w:val="20"/>
                <w:color w:val="auto"/>
              </w:rPr>
            </w:pPr>
            <w:r>
              <w:rPr>
                <w:rFonts w:ascii="Arial" w:cs="Arial" w:eastAsia="Arial" w:hAnsi="Arial"/>
                <w:sz w:val="18"/>
                <w:szCs w:val="18"/>
                <w:b w:val="1"/>
                <w:bCs w:val="1"/>
                <w:color w:val="auto"/>
              </w:rPr>
              <w:t>Voting Matters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rPr>
              <w:t>No.</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9"/>
              </w:rPr>
              <w:t>Recommendation</w:t>
            </w:r>
          </w:p>
        </w:tc>
      </w:tr>
      <w:tr>
        <w:trPr>
          <w:trHeight w:val="42"/>
        </w:trPr>
        <w:tc>
          <w:tcPr>
            <w:tcW w:w="2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r>
      <w:tr>
        <w:trPr>
          <w:trHeight w:val="237"/>
        </w:trPr>
        <w:tc>
          <w:tcPr>
            <w:tcW w:w="6840" w:type="dxa"/>
            <w:vAlign w:val="bottom"/>
            <w:gridSpan w:val="9"/>
            <w:shd w:val="clear" w:color="auto" w:fill="CCCCCC"/>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Election of Directors (page </w:t>
            </w:r>
            <w:hyperlink w:anchor="page12">
              <w:r>
                <w:rPr>
                  <w:rFonts w:ascii="Arial" w:cs="Arial" w:eastAsia="Arial" w:hAnsi="Arial"/>
                  <w:sz w:val="18"/>
                  <w:szCs w:val="18"/>
                  <w:color w:val="0000EE"/>
                </w:rPr>
                <w:t>7</w:t>
              </w:r>
            </w:hyperlink>
            <w:r>
              <w:rPr>
                <w:rFonts w:ascii="Arial" w:cs="Arial" w:eastAsia="Arial" w:hAnsi="Arial"/>
                <w:sz w:val="18"/>
                <w:szCs w:val="18"/>
                <w:color w:val="auto"/>
              </w:rPr>
              <w:t>)</w:t>
            </w:r>
          </w:p>
        </w:tc>
        <w:tc>
          <w:tcPr>
            <w:tcW w:w="104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1</w:t>
            </w:r>
          </w:p>
        </w:tc>
        <w:tc>
          <w:tcPr>
            <w:tcW w:w="20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FOR ALL NOMINEES</w:t>
            </w:r>
          </w:p>
        </w:tc>
      </w:tr>
      <w:tr>
        <w:trPr>
          <w:trHeight w:val="74"/>
        </w:trPr>
        <w:tc>
          <w:tcPr>
            <w:tcW w:w="2260" w:type="dxa"/>
            <w:vAlign w:val="bottom"/>
            <w:tcBorders>
              <w:top w:val="single" w:sz="8" w:color="CCCCCC"/>
              <w:bottom w:val="single" w:sz="8" w:color="auto"/>
            </w:tcBorders>
            <w:shd w:val="clear" w:color="auto" w:fill="CCCCCC"/>
          </w:tcPr>
          <w:p>
            <w:pPr>
              <w:spacing w:after="0"/>
              <w:rPr>
                <w:sz w:val="6"/>
                <w:szCs w:val="6"/>
                <w:color w:val="auto"/>
              </w:rPr>
            </w:pPr>
          </w:p>
        </w:tc>
        <w:tc>
          <w:tcPr>
            <w:tcW w:w="100" w:type="dxa"/>
            <w:vAlign w:val="bottom"/>
            <w:tcBorders>
              <w:top w:val="single" w:sz="8" w:color="0000EE"/>
              <w:bottom w:val="single" w:sz="8" w:color="auto"/>
            </w:tcBorders>
            <w:shd w:val="clear" w:color="auto" w:fill="CCCCCC"/>
          </w:tcPr>
          <w:p>
            <w:pPr>
              <w:spacing w:after="0"/>
              <w:rPr>
                <w:sz w:val="6"/>
                <w:szCs w:val="6"/>
                <w:color w:val="auto"/>
              </w:rPr>
            </w:pPr>
          </w:p>
        </w:tc>
        <w:tc>
          <w:tcPr>
            <w:tcW w:w="1440" w:type="dxa"/>
            <w:vAlign w:val="bottom"/>
            <w:tcBorders>
              <w:top w:val="single" w:sz="8" w:color="CCCCCC"/>
              <w:bottom w:val="single" w:sz="8" w:color="auto"/>
            </w:tcBorders>
            <w:shd w:val="clear" w:color="auto" w:fill="CCCCCC"/>
          </w:tcPr>
          <w:p>
            <w:pPr>
              <w:spacing w:after="0"/>
              <w:rPr>
                <w:sz w:val="6"/>
                <w:szCs w:val="6"/>
                <w:color w:val="auto"/>
              </w:rPr>
            </w:pPr>
          </w:p>
        </w:tc>
        <w:tc>
          <w:tcPr>
            <w:tcW w:w="200" w:type="dxa"/>
            <w:vAlign w:val="bottom"/>
            <w:tcBorders>
              <w:top w:val="single" w:sz="8" w:color="CCCCCC"/>
              <w:bottom w:val="single" w:sz="8" w:color="auto"/>
            </w:tcBorders>
            <w:shd w:val="clear" w:color="auto" w:fill="CCCCCC"/>
          </w:tcPr>
          <w:p>
            <w:pPr>
              <w:spacing w:after="0"/>
              <w:rPr>
                <w:sz w:val="6"/>
                <w:szCs w:val="6"/>
                <w:color w:val="auto"/>
              </w:rPr>
            </w:pPr>
          </w:p>
        </w:tc>
        <w:tc>
          <w:tcPr>
            <w:tcW w:w="60" w:type="dxa"/>
            <w:vAlign w:val="bottom"/>
            <w:tcBorders>
              <w:top w:val="single" w:sz="8" w:color="CCCCCC"/>
              <w:bottom w:val="single" w:sz="8" w:color="auto"/>
            </w:tcBorders>
            <w:shd w:val="clear" w:color="auto" w:fill="CCCCCC"/>
          </w:tcPr>
          <w:p>
            <w:pPr>
              <w:spacing w:after="0"/>
              <w:rPr>
                <w:sz w:val="6"/>
                <w:szCs w:val="6"/>
                <w:color w:val="auto"/>
              </w:rPr>
            </w:pPr>
          </w:p>
        </w:tc>
        <w:tc>
          <w:tcPr>
            <w:tcW w:w="200" w:type="dxa"/>
            <w:vAlign w:val="bottom"/>
            <w:tcBorders>
              <w:top w:val="single" w:sz="8" w:color="CCCCCC"/>
              <w:bottom w:val="single" w:sz="8" w:color="auto"/>
            </w:tcBorders>
            <w:shd w:val="clear" w:color="auto" w:fill="CCCCCC"/>
          </w:tcPr>
          <w:p>
            <w:pPr>
              <w:spacing w:after="0"/>
              <w:rPr>
                <w:sz w:val="6"/>
                <w:szCs w:val="6"/>
                <w:color w:val="auto"/>
              </w:rPr>
            </w:pPr>
          </w:p>
        </w:tc>
        <w:tc>
          <w:tcPr>
            <w:tcW w:w="2180" w:type="dxa"/>
            <w:vAlign w:val="bottom"/>
            <w:tcBorders>
              <w:top w:val="single" w:sz="8" w:color="CCCCCC"/>
              <w:bottom w:val="single" w:sz="8" w:color="auto"/>
            </w:tcBorders>
            <w:shd w:val="clear" w:color="auto" w:fill="CCCCCC"/>
          </w:tcPr>
          <w:p>
            <w:pPr>
              <w:spacing w:after="0"/>
              <w:rPr>
                <w:sz w:val="6"/>
                <w:szCs w:val="6"/>
                <w:color w:val="auto"/>
              </w:rPr>
            </w:pPr>
          </w:p>
        </w:tc>
        <w:tc>
          <w:tcPr>
            <w:tcW w:w="200" w:type="dxa"/>
            <w:vAlign w:val="bottom"/>
            <w:tcBorders>
              <w:top w:val="single" w:sz="8" w:color="CCCCCC"/>
              <w:bottom w:val="single" w:sz="8" w:color="auto"/>
            </w:tcBorders>
            <w:shd w:val="clear" w:color="auto" w:fill="CCCCCC"/>
          </w:tcPr>
          <w:p>
            <w:pPr>
              <w:spacing w:after="0"/>
              <w:rPr>
                <w:sz w:val="6"/>
                <w:szCs w:val="6"/>
                <w:color w:val="auto"/>
              </w:rPr>
            </w:pPr>
          </w:p>
        </w:tc>
        <w:tc>
          <w:tcPr>
            <w:tcW w:w="200" w:type="dxa"/>
            <w:vAlign w:val="bottom"/>
            <w:tcBorders>
              <w:top w:val="single" w:sz="8" w:color="CCCCCC"/>
              <w:bottom w:val="single" w:sz="8" w:color="auto"/>
            </w:tcBorders>
            <w:shd w:val="clear" w:color="auto" w:fill="CCCCCC"/>
          </w:tcPr>
          <w:p>
            <w:pPr>
              <w:spacing w:after="0"/>
              <w:rPr>
                <w:sz w:val="6"/>
                <w:szCs w:val="6"/>
                <w:color w:val="auto"/>
              </w:rPr>
            </w:pPr>
          </w:p>
        </w:tc>
        <w:tc>
          <w:tcPr>
            <w:tcW w:w="1040" w:type="dxa"/>
            <w:vAlign w:val="bottom"/>
            <w:tcBorders>
              <w:top w:val="single" w:sz="8" w:color="CCCCCC"/>
              <w:bottom w:val="single" w:sz="8" w:color="auto"/>
            </w:tcBorders>
            <w:shd w:val="clear" w:color="auto" w:fill="CCCCCC"/>
          </w:tcPr>
          <w:p>
            <w:pPr>
              <w:spacing w:after="0"/>
              <w:rPr>
                <w:sz w:val="6"/>
                <w:szCs w:val="6"/>
                <w:color w:val="auto"/>
              </w:rPr>
            </w:pPr>
          </w:p>
        </w:tc>
        <w:tc>
          <w:tcPr>
            <w:tcW w:w="2020" w:type="dxa"/>
            <w:vAlign w:val="bottom"/>
            <w:tcBorders>
              <w:top w:val="single" w:sz="8" w:color="CCCCCC"/>
              <w:bottom w:val="single" w:sz="8" w:color="auto"/>
            </w:tcBorders>
            <w:shd w:val="clear" w:color="auto" w:fill="CCCCCC"/>
          </w:tcPr>
          <w:p>
            <w:pPr>
              <w:spacing w:after="0"/>
              <w:rPr>
                <w:sz w:val="6"/>
                <w:szCs w:val="6"/>
                <w:color w:val="auto"/>
              </w:rPr>
            </w:pPr>
          </w:p>
        </w:tc>
      </w:tr>
      <w:tr>
        <w:trPr>
          <w:trHeight w:val="237"/>
        </w:trPr>
        <w:tc>
          <w:tcPr>
            <w:tcW w:w="6840" w:type="dxa"/>
            <w:vAlign w:val="bottom"/>
            <w:gridSpan w:val="9"/>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Ratification of Appointment of Auditors (pages </w:t>
            </w:r>
            <w:hyperlink w:anchor="page49">
              <w:r>
                <w:rPr>
                  <w:rFonts w:ascii="Arial" w:cs="Arial" w:eastAsia="Arial" w:hAnsi="Arial"/>
                  <w:sz w:val="18"/>
                  <w:szCs w:val="18"/>
                  <w:color w:val="0000EE"/>
                </w:rPr>
                <w:t>44</w:t>
              </w:r>
            </w:hyperlink>
            <w:r>
              <w:rPr>
                <w:rFonts w:ascii="Arial" w:cs="Arial" w:eastAsia="Arial" w:hAnsi="Arial"/>
                <w:sz w:val="18"/>
                <w:szCs w:val="18"/>
                <w:color w:val="auto"/>
              </w:rPr>
              <w:t>-</w:t>
            </w:r>
            <w:hyperlink w:anchor="page50">
              <w:r>
                <w:rPr>
                  <w:rFonts w:ascii="Arial" w:cs="Arial" w:eastAsia="Arial" w:hAnsi="Arial"/>
                  <w:sz w:val="18"/>
                  <w:szCs w:val="18"/>
                  <w:color w:val="0000EE"/>
                </w:rPr>
                <w:t>45</w:t>
              </w:r>
            </w:hyperlink>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FOR</w:t>
            </w:r>
          </w:p>
        </w:tc>
      </w:tr>
      <w:tr>
        <w:trPr>
          <w:trHeight w:val="74"/>
        </w:trPr>
        <w:tc>
          <w:tcPr>
            <w:tcW w:w="2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r>
      <w:tr>
        <w:trPr>
          <w:trHeight w:val="291"/>
        </w:trPr>
        <w:tc>
          <w:tcPr>
            <w:tcW w:w="6840" w:type="dxa"/>
            <w:vAlign w:val="bottom"/>
            <w:tcBorders>
              <w:bottom w:val="single" w:sz="8" w:color="auto"/>
            </w:tcBorders>
            <w:gridSpan w:val="9"/>
            <w:shd w:val="clear" w:color="auto" w:fill="CCCCCC"/>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Advisory Approval of the Compensation of our Named Executive Officers (page </w:t>
            </w:r>
            <w:hyperlink w:anchor="page51">
              <w:r>
                <w:rPr>
                  <w:rFonts w:ascii="Arial" w:cs="Arial" w:eastAsia="Arial" w:hAnsi="Arial"/>
                  <w:sz w:val="18"/>
                  <w:szCs w:val="18"/>
                  <w:color w:val="0000EE"/>
                </w:rPr>
                <w:t>46</w:t>
              </w:r>
            </w:hyperlink>
            <w:r>
              <w:rPr>
                <w:rFonts w:ascii="Arial" w:cs="Arial" w:eastAsia="Arial" w:hAnsi="Arial"/>
                <w:sz w:val="18"/>
                <w:szCs w:val="18"/>
                <w:color w:val="auto"/>
              </w:rPr>
              <w:t>)</w:t>
            </w:r>
          </w:p>
        </w:tc>
        <w:tc>
          <w:tcPr>
            <w:tcW w:w="10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3</w:t>
            </w:r>
          </w:p>
        </w:tc>
        <w:tc>
          <w:tcPr>
            <w:tcW w:w="20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FOR</w:t>
            </w:r>
          </w:p>
        </w:tc>
      </w:tr>
    </w:tbl>
    <w:p>
      <w:pPr>
        <w:spacing w:after="0" w:line="30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Corporate Governance Highlights</w:t>
      </w:r>
    </w:p>
    <w:p>
      <w:pPr>
        <w:spacing w:after="0" w:line="139" w:lineRule="exact"/>
        <w:rPr>
          <w:sz w:val="20"/>
          <w:szCs w:val="20"/>
          <w:color w:val="auto"/>
        </w:rPr>
      </w:pPr>
    </w:p>
    <w:p>
      <w:pPr>
        <w:ind w:left="360" w:hanging="350"/>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 of 6 (83%) of our directors are diverse by gender, ethnicity or race</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Executive Chairman is the only management director</w:t>
      </w:r>
    </w:p>
    <w:p>
      <w:pPr>
        <w:spacing w:after="0" w:line="130" w:lineRule="exact"/>
        <w:rPr>
          <w:rFonts w:ascii="Arial" w:cs="Arial" w:eastAsia="Arial" w:hAnsi="Arial"/>
          <w:sz w:val="18"/>
          <w:szCs w:val="18"/>
          <w:color w:val="auto"/>
        </w:rPr>
      </w:pPr>
    </w:p>
    <w:p>
      <w:pPr>
        <w:ind w:left="360" w:hanging="350"/>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members of our Compensation, Corporate Governance and Audit Committees are independent</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election of all directors</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Majority voting (of votes cast) with a director resignation policy for directors in uncontested elections</w:t>
      </w:r>
    </w:p>
    <w:p>
      <w:pPr>
        <w:spacing w:after="0" w:line="130" w:lineRule="exact"/>
        <w:rPr>
          <w:rFonts w:ascii="Arial" w:cs="Arial" w:eastAsia="Arial" w:hAnsi="Arial"/>
          <w:sz w:val="18"/>
          <w:szCs w:val="18"/>
          <w:color w:val="auto"/>
        </w:rPr>
      </w:pPr>
    </w:p>
    <w:p>
      <w:pPr>
        <w:ind w:left="360" w:hanging="350"/>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Robust executive and director stock ownership guidelines</w:t>
      </w:r>
    </w:p>
    <w:p>
      <w:pPr>
        <w:spacing w:after="0" w:line="144" w:lineRule="exact"/>
        <w:rPr>
          <w:rFonts w:ascii="Arial" w:cs="Arial" w:eastAsia="Arial" w:hAnsi="Arial"/>
          <w:sz w:val="18"/>
          <w:szCs w:val="18"/>
          <w:color w:val="auto"/>
        </w:rPr>
      </w:pPr>
    </w:p>
    <w:p>
      <w:pPr>
        <w:ind w:left="360" w:right="80" w:hanging="350"/>
        <w:spacing w:after="0" w:line="271"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director nominee who served on the Board in 2021 attended at least 75% of Board and Committee meetings held in 2021</w:t>
      </w:r>
    </w:p>
    <w:p>
      <w:pPr>
        <w:spacing w:after="0" w:line="86" w:lineRule="exact"/>
        <w:rPr>
          <w:rFonts w:ascii="Arial" w:cs="Arial" w:eastAsia="Arial" w:hAnsi="Arial"/>
          <w:sz w:val="18"/>
          <w:szCs w:val="18"/>
          <w:color w:val="auto"/>
        </w:rPr>
      </w:pPr>
    </w:p>
    <w:p>
      <w:pPr>
        <w:ind w:left="360" w:hanging="350"/>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Policy requiring annual performance evaluation of the Board</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Company Performance and Executive Compensation</w:t>
      </w:r>
    </w:p>
    <w:p>
      <w:pPr>
        <w:spacing w:after="0" w:line="139" w:lineRule="exact"/>
        <w:rPr>
          <w:sz w:val="20"/>
          <w:szCs w:val="20"/>
          <w:color w:val="auto"/>
        </w:rPr>
      </w:pPr>
    </w:p>
    <w:p>
      <w:pPr>
        <w:jc w:val="both"/>
        <w:ind w:left="20" w:right="60"/>
        <w:spacing w:after="0"/>
        <w:rPr>
          <w:sz w:val="20"/>
          <w:szCs w:val="20"/>
          <w:color w:val="auto"/>
        </w:rPr>
      </w:pPr>
      <w:r>
        <w:rPr>
          <w:rFonts w:ascii="Arial" w:cs="Arial" w:eastAsia="Arial" w:hAnsi="Arial"/>
          <w:sz w:val="18"/>
          <w:szCs w:val="18"/>
          <w:color w:val="auto"/>
        </w:rPr>
        <w:t>The global economy and our business were significantly impacted by the COVID-19 pandemic in 2020. However, due to the continued distribution of effective vaccines, along with other protective measures, over the past year travel advisories and restrictions have eased, primarily in the Americas. The positive momentum from the fourth quarter of 2020 carried throughout 2021. For the year ended December 31, 2021, we generated revenues of $ 9.3 billion, net income of $1.3 billion, and Adjusted EBITDA of $2.4 billion. These results were driven by increased demand for rental vehicles, improved pricing across the industry, disciplined cost removal achieved in 2020 and continued fleet management. Our closing stock price on December 31, 2021 of $207.37 reflected an increase of more than 450% compared to our closing stock price on December 31, 2020 of $37.30.</w:t>
      </w:r>
    </w:p>
    <w:p>
      <w:pPr>
        <w:spacing w:after="0" w:line="99" w:lineRule="exact"/>
        <w:rPr>
          <w:sz w:val="20"/>
          <w:szCs w:val="20"/>
          <w:color w:val="auto"/>
        </w:rPr>
      </w:pPr>
    </w:p>
    <w:p>
      <w:pPr>
        <w:jc w:val="both"/>
        <w:ind w:left="20" w:right="60"/>
        <w:spacing w:after="0" w:line="253" w:lineRule="auto"/>
        <w:rPr>
          <w:sz w:val="20"/>
          <w:szCs w:val="20"/>
          <w:color w:val="auto"/>
        </w:rPr>
      </w:pPr>
      <w:r>
        <w:rPr>
          <w:rFonts w:ascii="Arial" w:cs="Arial" w:eastAsia="Arial" w:hAnsi="Arial"/>
          <w:sz w:val="18"/>
          <w:szCs w:val="18"/>
          <w:color w:val="auto"/>
        </w:rPr>
        <w:t>As a result of this strong financial performance during 2021, the compensation reported for our CEO and other named executive officers increased for 2021, as described further in the “Compensation Discussion &amp; Analysis” section below. In particular, exceeding the Adjusted EBITDA performance targets under our annual incentive plan resulted in above-target</w:t>
      </w: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900"/>
          </w:cols>
          <w:pgMar w:left="1020" w:top="263" w:right="979" w:bottom="1440" w:gutter="0" w:footer="0" w:header="0"/>
        </w:sectPr>
      </w:pPr>
    </w:p>
    <w:bookmarkStart w:id="6" w:name="page7"/>
    <w:bookmarkEnd w:id="6"/>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payouts (compared to no payout for 2020), with the maximum potential payouts reduced from prior years. In addition, in furtherance of its “pay-for-performance” philosophy, the Compensation Committee increased the amount of the long-term incentive award granted to the CEO during 2021 compared to 2020, with 50% of the target amount dependent on financial performance goals.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36"/>
          <w:szCs w:val="36"/>
          <w:color w:val="auto"/>
        </w:rPr>
        <w:t>About the Annual Meeting</w:t>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Why am I receiving proxy materials?</w:t>
      </w:r>
    </w:p>
    <w:p>
      <w:pPr>
        <w:spacing w:after="0" w:line="139"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Board of Directors (the “Board”) of Avis Budget Group, Inc. (the “Company” or “Avis Budget”) is soliciting your vote at the 2022 Annual Meeting of Shareholders, and any adjournment or postponement thereof (the “Meeting”), to be held virtually on May 25, 2022 at 9:00 a.m. Eastern Time, for the purposes set forth in this Proxy Statement.</w:t>
      </w:r>
    </w:p>
    <w:p>
      <w:pPr>
        <w:spacing w:after="0" w:line="88"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On or about April 8, 2022, the Company will first mail to certain shareholders of record the Notice of Internet Availability of Proxy Materials containing instructions on how to access this Proxy Statement online, or in the alternative, request a paper copy of the proxy materials and a proxy card, and also will first mail to certain other shareholders this Proxy Statement and the accompanying proxy card.</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When and where will the Meeting be held?</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Meeting is scheduled to be held in a virtual-only format at 9:00 a.m. Eastern Time, on May 25, 2022.</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can I attend the Meeting?</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Shareholders at the close of business on April 1, 2022 (the “Record Date”) are entitled to virtually attend the Meeting.</w:t>
      </w:r>
    </w:p>
    <w:p>
      <w:pPr>
        <w:spacing w:after="0" w:line="144"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i w:val="1"/>
          <w:iCs w:val="1"/>
          <w:color w:val="auto"/>
        </w:rPr>
        <w:t xml:space="preserve">Registered Shareholders: </w:t>
      </w:r>
      <w:r>
        <w:rPr>
          <w:rFonts w:ascii="Arial" w:cs="Arial" w:eastAsia="Arial" w:hAnsi="Arial"/>
          <w:sz w:val="18"/>
          <w:szCs w:val="18"/>
          <w:color w:val="auto"/>
        </w:rPr>
        <w:t>If you were a holder of record of the Company’s Common Stock as of the Record Date (</w:t>
      </w:r>
      <w:r>
        <w:rPr>
          <w:rFonts w:ascii="Arial" w:cs="Arial" w:eastAsia="Arial" w:hAnsi="Arial"/>
          <w:sz w:val="18"/>
          <w:szCs w:val="18"/>
          <w:i w:val="1"/>
          <w:iCs w:val="1"/>
          <w:color w:val="auto"/>
        </w:rPr>
        <w:t>i.e.</w:t>
      </w:r>
      <w:r>
        <w:rPr>
          <w:rFonts w:ascii="Arial" w:cs="Arial" w:eastAsia="Arial" w:hAnsi="Arial"/>
          <w:sz w:val="18"/>
          <w:szCs w:val="18"/>
          <w:color w:val="auto"/>
        </w:rPr>
        <w:t>, you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held your shares in your own name as reflected in the records of our transfer agent, Computershare), you can attend the Meeting by accessing </w:t>
      </w:r>
      <w:r>
        <w:rPr>
          <w:rFonts w:ascii="Arial" w:cs="Arial" w:eastAsia="Arial" w:hAnsi="Arial"/>
          <w:sz w:val="18"/>
          <w:szCs w:val="18"/>
          <w:i w:val="1"/>
          <w:iCs w:val="1"/>
          <w:color w:val="auto"/>
        </w:rPr>
        <w:t>www.meetnow.global/MU7SMJM</w:t>
      </w:r>
      <w:r>
        <w:rPr>
          <w:rFonts w:ascii="Arial" w:cs="Arial" w:eastAsia="Arial" w:hAnsi="Arial"/>
          <w:sz w:val="18"/>
          <w:szCs w:val="18"/>
          <w:color w:val="auto"/>
        </w:rPr>
        <w:t xml:space="preserve"> and entering the 15-digit control number found on the proxy card or notice. No password is required. You may also vote your shares during the Meeting by following the online instructions.</w:t>
      </w:r>
    </w:p>
    <w:p>
      <w:pPr>
        <w:spacing w:after="0" w:line="106" w:lineRule="exact"/>
        <w:rPr>
          <w:sz w:val="20"/>
          <w:szCs w:val="20"/>
          <w:color w:val="auto"/>
        </w:rPr>
      </w:pPr>
    </w:p>
    <w:p>
      <w:pPr>
        <w:jc w:val="both"/>
        <w:ind w:left="20"/>
        <w:spacing w:after="0"/>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hold your shares through an intermediary, such as a bank, broker or other agent, you must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register in advance to attend the Meeting. To register, you must obtain and submit a legal proxy from the holder of record, reflecting the number of shares of the Company’s Common Stock you held as of the Record Date, along with your name and e-mail address, to Computershare. You must send an e-mail from your broker, bank or other agent, or an image of your legal proxy to </w:t>
      </w:r>
      <w:r>
        <w:rPr>
          <w:rFonts w:ascii="Arial" w:cs="Arial" w:eastAsia="Arial" w:hAnsi="Arial"/>
          <w:sz w:val="18"/>
          <w:szCs w:val="18"/>
          <w:i w:val="1"/>
          <w:iCs w:val="1"/>
          <w:color w:val="auto"/>
        </w:rPr>
        <w:t>legalproxy@computershare.com</w:t>
      </w:r>
      <w:r>
        <w:rPr>
          <w:rFonts w:ascii="Arial" w:cs="Arial" w:eastAsia="Arial" w:hAnsi="Arial"/>
          <w:sz w:val="18"/>
          <w:szCs w:val="18"/>
          <w:color w:val="auto"/>
        </w:rPr>
        <w:t>. Requests for registration must be labeled as “Legal Proxy” and be received no later than 5:00 p.m. (Eastern Time) on May 19, 2022. You will receive a confirmation of your registration by e-mail directly from Computershare.</w:t>
      </w:r>
    </w:p>
    <w:p>
      <w:pPr>
        <w:spacing w:after="0" w:line="104"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Those without a control number or legal proxy may attend the Meeting as a guest but will not have the option to vote or ask questions at the Meeting. We encourage you to access the Meeting prior to the start time and allow sufficient time to log into the Meeting.</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items will I be voting on and what are the Board’s voting recommendations?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8"/>
              </w:rPr>
              <w:t>Board’s Voting</w:t>
            </w:r>
          </w:p>
        </w:tc>
      </w:tr>
      <w:tr>
        <w:trPr>
          <w:trHeight w:val="247"/>
        </w:trPr>
        <w:tc>
          <w:tcPr>
            <w:tcW w:w="7880" w:type="dxa"/>
            <w:vAlign w:val="bottom"/>
            <w:gridSpan w:val="9"/>
          </w:tcPr>
          <w:p>
            <w:pPr>
              <w:ind w:left="100"/>
              <w:spacing w:after="0"/>
              <w:rPr>
                <w:sz w:val="20"/>
                <w:szCs w:val="20"/>
                <w:color w:val="auto"/>
              </w:rPr>
            </w:pPr>
            <w:r>
              <w:rPr>
                <w:rFonts w:ascii="Arial" w:cs="Arial" w:eastAsia="Arial" w:hAnsi="Arial"/>
                <w:sz w:val="18"/>
                <w:szCs w:val="18"/>
                <w:b w:val="1"/>
                <w:bCs w:val="1"/>
                <w:color w:val="auto"/>
              </w:rPr>
              <w:t>Proposal</w:t>
            </w:r>
          </w:p>
        </w:tc>
        <w:tc>
          <w:tcPr>
            <w:tcW w:w="19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Recommendation</w:t>
            </w:r>
          </w:p>
        </w:tc>
      </w:tr>
      <w:tr>
        <w:trPr>
          <w:trHeight w:val="42"/>
        </w:trPr>
        <w:tc>
          <w:tcPr>
            <w:tcW w:w="3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37"/>
        </w:trPr>
        <w:tc>
          <w:tcPr>
            <w:tcW w:w="7880" w:type="dxa"/>
            <w:vAlign w:val="bottom"/>
            <w:gridSpan w:val="9"/>
            <w:shd w:val="clear" w:color="auto" w:fill="CCCCCC"/>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No. 1: Election of Directors (see page </w:t>
            </w:r>
            <w:hyperlink w:anchor="page12">
              <w:r>
                <w:rPr>
                  <w:rFonts w:ascii="Arial" w:cs="Arial" w:eastAsia="Arial" w:hAnsi="Arial"/>
                  <w:sz w:val="18"/>
                  <w:szCs w:val="18"/>
                  <w:color w:val="0000EE"/>
                </w:rPr>
                <w:t>7</w:t>
              </w:r>
            </w:hyperlink>
            <w:r>
              <w:rPr>
                <w:rFonts w:ascii="Arial" w:cs="Arial" w:eastAsia="Arial" w:hAnsi="Arial"/>
                <w:sz w:val="18"/>
                <w:szCs w:val="18"/>
                <w:color w:val="auto"/>
              </w:rPr>
              <w:t>)</w:t>
            </w:r>
          </w:p>
        </w:tc>
        <w:tc>
          <w:tcPr>
            <w:tcW w:w="1960" w:type="dxa"/>
            <w:vAlign w:val="bottom"/>
            <w:shd w:val="clear" w:color="auto" w:fill="CCCCCC"/>
          </w:tcPr>
          <w:p>
            <w:pPr>
              <w:jc w:val="center"/>
              <w:ind w:left="10"/>
              <w:spacing w:after="0"/>
              <w:rPr>
                <w:sz w:val="20"/>
                <w:szCs w:val="20"/>
                <w:color w:val="auto"/>
              </w:rPr>
            </w:pPr>
            <w:r>
              <w:rPr>
                <w:rFonts w:ascii="Arial" w:cs="Arial" w:eastAsia="Arial" w:hAnsi="Arial"/>
                <w:sz w:val="18"/>
                <w:szCs w:val="18"/>
                <w:color w:val="auto"/>
                <w:w w:val="98"/>
              </w:rPr>
              <w:t>FOR ALL</w:t>
            </w:r>
          </w:p>
        </w:tc>
      </w:tr>
      <w:tr>
        <w:trPr>
          <w:trHeight w:val="282"/>
        </w:trPr>
        <w:tc>
          <w:tcPr>
            <w:tcW w:w="3140" w:type="dxa"/>
            <w:vAlign w:val="bottom"/>
            <w:tcBorders>
              <w:top w:val="single" w:sz="8" w:color="CCCCCC"/>
              <w:bottom w:val="single" w:sz="8" w:color="CCCCCC"/>
            </w:tcBorders>
            <w:shd w:val="clear" w:color="auto" w:fill="CCCCCC"/>
          </w:tcPr>
          <w:p>
            <w:pPr>
              <w:spacing w:after="0"/>
              <w:rPr>
                <w:sz w:val="24"/>
                <w:szCs w:val="24"/>
                <w:color w:val="auto"/>
              </w:rPr>
            </w:pPr>
          </w:p>
        </w:tc>
        <w:tc>
          <w:tcPr>
            <w:tcW w:w="100" w:type="dxa"/>
            <w:vAlign w:val="bottom"/>
            <w:tcBorders>
              <w:top w:val="single" w:sz="8" w:color="0000EE"/>
              <w:bottom w:val="single" w:sz="8" w:color="CCCCCC"/>
            </w:tcBorders>
            <w:shd w:val="clear" w:color="auto" w:fill="CCCCCC"/>
          </w:tcPr>
          <w:p>
            <w:pPr>
              <w:spacing w:after="0"/>
              <w:rPr>
                <w:sz w:val="24"/>
                <w:szCs w:val="24"/>
                <w:color w:val="auto"/>
              </w:rPr>
            </w:pPr>
          </w:p>
        </w:tc>
        <w:tc>
          <w:tcPr>
            <w:tcW w:w="1440" w:type="dxa"/>
            <w:vAlign w:val="bottom"/>
            <w:tcBorders>
              <w:top w:val="single" w:sz="8" w:color="CCCCCC"/>
              <w:bottom w:val="single" w:sz="8" w:color="CCCCCC"/>
            </w:tcBorders>
            <w:shd w:val="clear" w:color="auto" w:fill="CCCCCC"/>
          </w:tcPr>
          <w:p>
            <w:pPr>
              <w:spacing w:after="0"/>
              <w:rPr>
                <w:sz w:val="24"/>
                <w:szCs w:val="24"/>
                <w:color w:val="auto"/>
              </w:rPr>
            </w:pPr>
          </w:p>
        </w:tc>
        <w:tc>
          <w:tcPr>
            <w:tcW w:w="200" w:type="dxa"/>
            <w:vAlign w:val="bottom"/>
            <w:tcBorders>
              <w:top w:val="single" w:sz="8" w:color="CCCCCC"/>
              <w:bottom w:val="single" w:sz="8" w:color="CCCCCC"/>
            </w:tcBorders>
            <w:shd w:val="clear" w:color="auto" w:fill="CCCCCC"/>
          </w:tcPr>
          <w:p>
            <w:pPr>
              <w:spacing w:after="0"/>
              <w:rPr>
                <w:sz w:val="24"/>
                <w:szCs w:val="24"/>
                <w:color w:val="auto"/>
              </w:rPr>
            </w:pPr>
          </w:p>
        </w:tc>
        <w:tc>
          <w:tcPr>
            <w:tcW w:w="60" w:type="dxa"/>
            <w:vAlign w:val="bottom"/>
            <w:tcBorders>
              <w:top w:val="single" w:sz="8" w:color="CCCCCC"/>
              <w:bottom w:val="single" w:sz="8" w:color="CCCCCC"/>
            </w:tcBorders>
            <w:shd w:val="clear" w:color="auto" w:fill="CCCCCC"/>
          </w:tcPr>
          <w:p>
            <w:pPr>
              <w:spacing w:after="0"/>
              <w:rPr>
                <w:sz w:val="24"/>
                <w:szCs w:val="24"/>
                <w:color w:val="auto"/>
              </w:rPr>
            </w:pPr>
          </w:p>
        </w:tc>
        <w:tc>
          <w:tcPr>
            <w:tcW w:w="200" w:type="dxa"/>
            <w:vAlign w:val="bottom"/>
            <w:tcBorders>
              <w:top w:val="single" w:sz="8" w:color="CCCCCC"/>
              <w:bottom w:val="single" w:sz="8" w:color="CCCCCC"/>
            </w:tcBorders>
            <w:shd w:val="clear" w:color="auto" w:fill="CCCCCC"/>
          </w:tcPr>
          <w:p>
            <w:pPr>
              <w:spacing w:after="0"/>
              <w:rPr>
                <w:sz w:val="24"/>
                <w:szCs w:val="24"/>
                <w:color w:val="auto"/>
              </w:rPr>
            </w:pPr>
          </w:p>
        </w:tc>
        <w:tc>
          <w:tcPr>
            <w:tcW w:w="2200" w:type="dxa"/>
            <w:vAlign w:val="bottom"/>
            <w:tcBorders>
              <w:top w:val="single" w:sz="8" w:color="CCCCCC"/>
              <w:bottom w:val="single" w:sz="8" w:color="CCCCCC"/>
            </w:tcBorders>
            <w:shd w:val="clear" w:color="auto" w:fill="CCCCCC"/>
          </w:tcPr>
          <w:p>
            <w:pPr>
              <w:spacing w:after="0"/>
              <w:rPr>
                <w:sz w:val="24"/>
                <w:szCs w:val="24"/>
                <w:color w:val="auto"/>
              </w:rPr>
            </w:pPr>
          </w:p>
        </w:tc>
        <w:tc>
          <w:tcPr>
            <w:tcW w:w="200" w:type="dxa"/>
            <w:vAlign w:val="bottom"/>
            <w:tcBorders>
              <w:top w:val="single" w:sz="8" w:color="CCCCCC"/>
              <w:bottom w:val="single" w:sz="8" w:color="CCCCCC"/>
            </w:tcBorders>
            <w:shd w:val="clear" w:color="auto" w:fill="CCCCCC"/>
          </w:tcPr>
          <w:p>
            <w:pPr>
              <w:spacing w:after="0"/>
              <w:rPr>
                <w:sz w:val="24"/>
                <w:szCs w:val="24"/>
                <w:color w:val="auto"/>
              </w:rPr>
            </w:pPr>
          </w:p>
        </w:tc>
        <w:tc>
          <w:tcPr>
            <w:tcW w:w="340" w:type="dxa"/>
            <w:vAlign w:val="bottom"/>
            <w:tcBorders>
              <w:top w:val="single" w:sz="8" w:color="CCCCCC"/>
              <w:bottom w:val="single" w:sz="8" w:color="CCCCCC"/>
            </w:tcBorders>
            <w:shd w:val="clear" w:color="auto" w:fill="CCCCCC"/>
          </w:tcPr>
          <w:p>
            <w:pPr>
              <w:spacing w:after="0"/>
              <w:rPr>
                <w:sz w:val="24"/>
                <w:szCs w:val="24"/>
                <w:color w:val="auto"/>
              </w:rPr>
            </w:pPr>
          </w:p>
        </w:tc>
        <w:tc>
          <w:tcPr>
            <w:tcW w:w="1960" w:type="dxa"/>
            <w:vAlign w:val="bottom"/>
            <w:tcBorders>
              <w:top w:val="single" w:sz="8" w:color="CCCCCC"/>
              <w:bottom w:val="single" w:sz="8" w:color="CCCCCC"/>
            </w:tcBorders>
            <w:shd w:val="clear" w:color="auto" w:fill="CCCCCC"/>
          </w:tcPr>
          <w:p>
            <w:pPr>
              <w:jc w:val="center"/>
              <w:ind w:left="30"/>
              <w:spacing w:after="0"/>
              <w:rPr>
                <w:sz w:val="20"/>
                <w:szCs w:val="20"/>
                <w:color w:val="auto"/>
              </w:rPr>
            </w:pPr>
            <w:r>
              <w:rPr>
                <w:rFonts w:ascii="Arial" w:cs="Arial" w:eastAsia="Arial" w:hAnsi="Arial"/>
                <w:sz w:val="18"/>
                <w:szCs w:val="18"/>
                <w:color w:val="auto"/>
                <w:w w:val="99"/>
              </w:rPr>
              <w:t>NOMINEES</w:t>
            </w:r>
          </w:p>
        </w:tc>
      </w:tr>
      <w:tr>
        <w:trPr>
          <w:trHeight w:val="236"/>
        </w:trPr>
        <w:tc>
          <w:tcPr>
            <w:tcW w:w="7880" w:type="dxa"/>
            <w:vAlign w:val="bottom"/>
            <w:tcBorders>
              <w:top w:val="single" w:sz="8" w:color="auto"/>
            </w:tcBorders>
            <w:gridSpan w:val="9"/>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No. 2: Ratification of Appointment of Auditors (see pages </w:t>
            </w:r>
            <w:hyperlink w:anchor="page49">
              <w:r>
                <w:rPr>
                  <w:rFonts w:ascii="Arial" w:cs="Arial" w:eastAsia="Arial" w:hAnsi="Arial"/>
                  <w:sz w:val="18"/>
                  <w:szCs w:val="18"/>
                  <w:color w:val="0000EE"/>
                </w:rPr>
                <w:t>44</w:t>
              </w:r>
            </w:hyperlink>
            <w:r>
              <w:rPr>
                <w:rFonts w:ascii="Arial" w:cs="Arial" w:eastAsia="Arial" w:hAnsi="Arial"/>
                <w:sz w:val="18"/>
                <w:szCs w:val="18"/>
                <w:color w:val="auto"/>
              </w:rPr>
              <w:t>-</w:t>
            </w:r>
            <w:hyperlink w:anchor="page50">
              <w:r>
                <w:rPr>
                  <w:rFonts w:ascii="Arial" w:cs="Arial" w:eastAsia="Arial" w:hAnsi="Arial"/>
                  <w:sz w:val="18"/>
                  <w:szCs w:val="18"/>
                  <w:color w:val="0000EE"/>
                </w:rPr>
                <w:t>45</w:t>
              </w:r>
            </w:hyperlink>
            <w:r>
              <w:rPr>
                <w:rFonts w:ascii="Arial" w:cs="Arial" w:eastAsia="Arial" w:hAnsi="Arial"/>
                <w:sz w:val="18"/>
                <w:szCs w:val="18"/>
                <w:color w:val="auto"/>
              </w:rPr>
              <w:t>)</w:t>
            </w:r>
          </w:p>
        </w:tc>
        <w:tc>
          <w:tcPr>
            <w:tcW w:w="196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9"/>
              </w:rPr>
              <w:t>FOR</w:t>
            </w:r>
          </w:p>
        </w:tc>
      </w:tr>
      <w:tr>
        <w:trPr>
          <w:trHeight w:val="75"/>
        </w:trPr>
        <w:tc>
          <w:tcPr>
            <w:tcW w:w="3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r>
      <w:tr>
        <w:trPr>
          <w:trHeight w:val="290"/>
        </w:trPr>
        <w:tc>
          <w:tcPr>
            <w:tcW w:w="7880" w:type="dxa"/>
            <w:vAlign w:val="bottom"/>
            <w:tcBorders>
              <w:bottom w:val="single" w:sz="8" w:color="auto"/>
            </w:tcBorders>
            <w:gridSpan w:val="9"/>
            <w:shd w:val="clear" w:color="auto" w:fill="CCCCCC"/>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No. 3: Advisory Approval of the Compensation of our Named Executive Officers (see page </w:t>
            </w:r>
            <w:hyperlink w:anchor="page51">
              <w:r>
                <w:rPr>
                  <w:rFonts w:ascii="Arial" w:cs="Arial" w:eastAsia="Arial" w:hAnsi="Arial"/>
                  <w:sz w:val="18"/>
                  <w:szCs w:val="18"/>
                  <w:color w:val="0000EE"/>
                </w:rPr>
                <w:t>46</w:t>
              </w:r>
            </w:hyperlink>
            <w:r>
              <w:rPr>
                <w:rFonts w:ascii="Arial" w:cs="Arial" w:eastAsia="Arial" w:hAnsi="Arial"/>
                <w:sz w:val="18"/>
                <w:szCs w:val="18"/>
                <w:color w:val="auto"/>
              </w:rPr>
              <w:t>)</w:t>
            </w:r>
          </w:p>
        </w:tc>
        <w:tc>
          <w:tcPr>
            <w:tcW w:w="1960" w:type="dxa"/>
            <w:vAlign w:val="bottom"/>
            <w:tcBorders>
              <w:bottom w:val="single" w:sz="8" w:color="auto"/>
            </w:tcBorders>
            <w:shd w:val="clear" w:color="auto" w:fill="CCCCCC"/>
          </w:tcPr>
          <w:p>
            <w:pPr>
              <w:jc w:val="center"/>
              <w:ind w:left="10"/>
              <w:spacing w:after="0"/>
              <w:rPr>
                <w:sz w:val="20"/>
                <w:szCs w:val="20"/>
                <w:color w:val="auto"/>
              </w:rPr>
            </w:pPr>
            <w:r>
              <w:rPr>
                <w:rFonts w:ascii="Arial" w:cs="Arial" w:eastAsia="Arial" w:hAnsi="Arial"/>
                <w:sz w:val="18"/>
                <w:szCs w:val="18"/>
                <w:color w:val="auto"/>
                <w:w w:val="99"/>
              </w:rPr>
              <w:t>FOR</w:t>
            </w:r>
          </w:p>
        </w:tc>
      </w:tr>
    </w:tbl>
    <w:p>
      <w:pPr>
        <w:spacing w:after="0" w:line="30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Could other matters be decided at the Meeting?</w:t>
      </w:r>
    </w:p>
    <w:p>
      <w:pPr>
        <w:spacing w:after="0" w:line="139"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Board is not aware of any other matters to be brought before the Meeting. However, if any other matters properly come before the Meeting, the individuals named as proxies, or their duly constituted substitutes acting at the Meeting, will be authorized to vote or otherwise act thereon in accordance with their judgment on such matters.</w:t>
      </w:r>
    </w:p>
    <w:p>
      <w:pPr>
        <w:sectPr>
          <w:pgSz w:w="11900" w:h="16838" w:orient="portrait"/>
          <w:cols w:equalWidth="0" w:num="1">
            <w:col w:w="9840"/>
          </w:cols>
          <w:pgMar w:left="1020" w:top="263" w:right="1039" w:bottom="1440" w:gutter="0" w:footer="0" w:header="0"/>
        </w:sect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161925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type w:val="continuous"/>
        </w:sectPr>
      </w:pPr>
    </w:p>
    <w:bookmarkStart w:id="7" w:name="page8"/>
    <w:bookmarkEnd w:id="7"/>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do I have?</w:t>
      </w:r>
    </w:p>
    <w:p>
      <w:pPr>
        <w:spacing w:after="0" w:line="139"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You will have one vote for every share of the Company’s common stock, par value $0.01 per share (the “Common Stock”), you owned as of the close of business on the Record Date.</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can be cast by all shareholders?</w:t>
      </w:r>
    </w:p>
    <w:p>
      <w:pPr>
        <w:spacing w:after="0" w:line="139"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49,790,909 votes, consisting of one vote for each share of Common Stock outstanding on the Record Date. There is no cumulative voting, and the holders of the Common Stock vote together as a single class.</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must be present to hold the Meeting?</w:t>
      </w:r>
    </w:p>
    <w:p>
      <w:pPr>
        <w:spacing w:after="0" w:line="139"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One-third of the outstanding shares of Common Stock entitled to vote at the Meeting, or 16,596,970 votes, must be present, in person or by proxy, to constitute a quorum at the Meeting. Abstentions and broker non-votes, if any, will be counted for the purpose of determining whether a quorum is present.</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are required to elect directors and adopt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57785</wp:posOffset>
            </wp:positionV>
            <wp:extent cx="6240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820" w:type="dxa"/>
            <w:vAlign w:val="bottom"/>
          </w:tcPr>
          <w:p>
            <w:pPr>
              <w:ind w:left="100"/>
              <w:spacing w:after="0"/>
              <w:rPr>
                <w:sz w:val="20"/>
                <w:szCs w:val="20"/>
                <w:color w:val="auto"/>
              </w:rPr>
            </w:pPr>
            <w:r>
              <w:rPr>
                <w:rFonts w:ascii="Arial" w:cs="Arial" w:eastAsia="Arial" w:hAnsi="Arial"/>
                <w:sz w:val="18"/>
                <w:szCs w:val="18"/>
                <w:b w:val="1"/>
                <w:bCs w:val="1"/>
                <w:color w:val="auto"/>
              </w:rPr>
              <w:t>Proposal</w:t>
            </w:r>
          </w:p>
        </w:tc>
        <w:tc>
          <w:tcPr>
            <w:tcW w:w="3380" w:type="dxa"/>
            <w:vAlign w:val="bottom"/>
            <w:gridSpan w:val="2"/>
          </w:tcPr>
          <w:p>
            <w:pPr>
              <w:ind w:left="560"/>
              <w:spacing w:after="0"/>
              <w:rPr>
                <w:sz w:val="20"/>
                <w:szCs w:val="20"/>
                <w:color w:val="auto"/>
              </w:rPr>
            </w:pPr>
            <w:r>
              <w:rPr>
                <w:rFonts w:ascii="Arial" w:cs="Arial" w:eastAsia="Arial" w:hAnsi="Arial"/>
                <w:sz w:val="18"/>
                <w:szCs w:val="18"/>
                <w:b w:val="1"/>
                <w:bCs w:val="1"/>
                <w:color w:val="auto"/>
              </w:rPr>
              <w:t>Vote Requirement</w:t>
            </w:r>
          </w:p>
        </w:tc>
        <w:tc>
          <w:tcPr>
            <w:tcW w:w="3640" w:type="dxa"/>
            <w:vAlign w:val="bottom"/>
          </w:tcPr>
          <w:p>
            <w:pPr>
              <w:ind w:left="500"/>
              <w:spacing w:after="0"/>
              <w:rPr>
                <w:sz w:val="20"/>
                <w:szCs w:val="20"/>
                <w:color w:val="auto"/>
              </w:rPr>
            </w:pPr>
            <w:r>
              <w:rPr>
                <w:rFonts w:ascii="Arial" w:cs="Arial" w:eastAsia="Arial" w:hAnsi="Arial"/>
                <w:sz w:val="18"/>
                <w:szCs w:val="18"/>
                <w:b w:val="1"/>
                <w:bCs w:val="1"/>
                <w:color w:val="auto"/>
              </w:rPr>
              <w:t>Impact of Abstentions</w:t>
            </w:r>
          </w:p>
        </w:tc>
      </w:tr>
      <w:tr>
        <w:trPr>
          <w:trHeight w:val="42"/>
        </w:trPr>
        <w:tc>
          <w:tcPr>
            <w:tcW w:w="28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r>
      <w:tr>
        <w:trPr>
          <w:trHeight w:val="245"/>
        </w:trPr>
        <w:tc>
          <w:tcPr>
            <w:tcW w:w="2820" w:type="dxa"/>
            <w:vAlign w:val="bottom"/>
            <w:shd w:val="clear" w:color="auto" w:fill="CCCCCC"/>
          </w:tcPr>
          <w:p>
            <w:pPr>
              <w:ind w:left="100"/>
              <w:spacing w:after="0"/>
              <w:rPr>
                <w:sz w:val="20"/>
                <w:szCs w:val="20"/>
                <w:color w:val="auto"/>
              </w:rPr>
            </w:pPr>
            <w:r>
              <w:rPr>
                <w:rFonts w:ascii="Arial" w:cs="Arial" w:eastAsia="Arial" w:hAnsi="Arial"/>
                <w:sz w:val="18"/>
                <w:szCs w:val="18"/>
                <w:color w:val="auto"/>
              </w:rPr>
              <w:t>No. 1: Election of Directors</w:t>
            </w:r>
          </w:p>
        </w:tc>
        <w:tc>
          <w:tcPr>
            <w:tcW w:w="720" w:type="dxa"/>
            <w:vAlign w:val="bottom"/>
            <w:shd w:val="clear" w:color="auto" w:fill="CCCCCC"/>
          </w:tcPr>
          <w:p>
            <w:pPr>
              <w:ind w:left="560"/>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CCCC"/>
          </w:tcPr>
          <w:p>
            <w:pPr>
              <w:ind w:left="80"/>
              <w:spacing w:after="0"/>
              <w:rPr>
                <w:sz w:val="20"/>
                <w:szCs w:val="20"/>
                <w:color w:val="auto"/>
              </w:rPr>
            </w:pPr>
            <w:r>
              <w:rPr>
                <w:rFonts w:ascii="Arial" w:cs="Arial" w:eastAsia="Arial" w:hAnsi="Arial"/>
                <w:sz w:val="18"/>
                <w:szCs w:val="18"/>
                <w:color w:val="auto"/>
              </w:rPr>
              <w:t>Uncontested  Election  (applies</w:t>
            </w:r>
          </w:p>
        </w:tc>
        <w:tc>
          <w:tcPr>
            <w:tcW w:w="3640" w:type="dxa"/>
            <w:vAlign w:val="bottom"/>
            <w:shd w:val="clear" w:color="auto" w:fill="CCCCCC"/>
          </w:tcPr>
          <w:p>
            <w:pPr>
              <w:ind w:left="120"/>
              <w:spacing w:after="0"/>
              <w:rPr>
                <w:sz w:val="20"/>
                <w:szCs w:val="20"/>
                <w:color w:val="auto"/>
              </w:rPr>
            </w:pPr>
            <w:r>
              <w:rPr>
                <w:rFonts w:ascii="Arial" w:cs="Arial" w:eastAsia="Arial" w:hAnsi="Arial"/>
                <w:sz w:val="18"/>
                <w:szCs w:val="18"/>
                <w:color w:val="auto"/>
              </w:rPr>
              <w:t>to   Will have no effect on the outcome</w:t>
            </w:r>
          </w:p>
        </w:tc>
      </w:tr>
      <w:tr>
        <w:trPr>
          <w:trHeight w:val="203"/>
        </w:trPr>
        <w:tc>
          <w:tcPr>
            <w:tcW w:w="2820" w:type="dxa"/>
            <w:vAlign w:val="bottom"/>
            <w:shd w:val="clear" w:color="auto" w:fill="CCCCCC"/>
          </w:tcPr>
          <w:p>
            <w:pPr>
              <w:spacing w:after="0"/>
              <w:rPr>
                <w:sz w:val="17"/>
                <w:szCs w:val="17"/>
                <w:color w:val="auto"/>
              </w:rPr>
            </w:pPr>
          </w:p>
        </w:tc>
        <w:tc>
          <w:tcPr>
            <w:tcW w:w="720" w:type="dxa"/>
            <w:vAlign w:val="bottom"/>
            <w:shd w:val="clear" w:color="auto" w:fill="CCCCCC"/>
          </w:tcPr>
          <w:p>
            <w:pPr>
              <w:spacing w:after="0"/>
              <w:rPr>
                <w:sz w:val="17"/>
                <w:szCs w:val="17"/>
                <w:color w:val="auto"/>
              </w:rPr>
            </w:pPr>
          </w:p>
        </w:tc>
        <w:tc>
          <w:tcPr>
            <w:tcW w:w="6300" w:type="dxa"/>
            <w:vAlign w:val="bottom"/>
            <w:gridSpan w:val="2"/>
            <w:shd w:val="clear" w:color="auto" w:fill="CCCCCC"/>
          </w:tcPr>
          <w:p>
            <w:pPr>
              <w:ind w:left="100"/>
              <w:spacing w:after="0" w:line="202" w:lineRule="exact"/>
              <w:rPr>
                <w:sz w:val="20"/>
                <w:szCs w:val="20"/>
                <w:color w:val="auto"/>
              </w:rPr>
            </w:pPr>
            <w:r>
              <w:rPr>
                <w:rFonts w:ascii="Arial" w:cs="Arial" w:eastAsia="Arial" w:hAnsi="Arial"/>
                <w:sz w:val="18"/>
                <w:szCs w:val="18"/>
                <w:color w:val="auto"/>
              </w:rPr>
              <w:t>the Meeting): Directors are elected</w:t>
            </w:r>
          </w:p>
        </w:tc>
      </w:tr>
      <w:tr>
        <w:trPr>
          <w:trHeight w:val="203"/>
        </w:trPr>
        <w:tc>
          <w:tcPr>
            <w:tcW w:w="2820" w:type="dxa"/>
            <w:vAlign w:val="bottom"/>
            <w:shd w:val="clear" w:color="auto" w:fill="CCCCCC"/>
          </w:tcPr>
          <w:p>
            <w:pPr>
              <w:spacing w:after="0"/>
              <w:rPr>
                <w:sz w:val="17"/>
                <w:szCs w:val="17"/>
                <w:color w:val="auto"/>
              </w:rPr>
            </w:pPr>
          </w:p>
        </w:tc>
        <w:tc>
          <w:tcPr>
            <w:tcW w:w="720" w:type="dxa"/>
            <w:vAlign w:val="bottom"/>
            <w:shd w:val="clear" w:color="auto" w:fill="CCCCCC"/>
          </w:tcPr>
          <w:p>
            <w:pPr>
              <w:spacing w:after="0"/>
              <w:rPr>
                <w:sz w:val="17"/>
                <w:szCs w:val="17"/>
                <w:color w:val="auto"/>
              </w:rPr>
            </w:pPr>
          </w:p>
        </w:tc>
        <w:tc>
          <w:tcPr>
            <w:tcW w:w="6300" w:type="dxa"/>
            <w:vAlign w:val="bottom"/>
            <w:gridSpan w:val="2"/>
            <w:shd w:val="clear" w:color="auto" w:fill="CCCCCC"/>
          </w:tcPr>
          <w:p>
            <w:pPr>
              <w:ind w:left="100"/>
              <w:spacing w:after="0" w:line="202" w:lineRule="exact"/>
              <w:rPr>
                <w:sz w:val="20"/>
                <w:szCs w:val="20"/>
                <w:color w:val="auto"/>
              </w:rPr>
            </w:pPr>
            <w:r>
              <w:rPr>
                <w:rFonts w:ascii="Arial" w:cs="Arial" w:eastAsia="Arial" w:hAnsi="Arial"/>
                <w:sz w:val="18"/>
                <w:szCs w:val="18"/>
                <w:color w:val="auto"/>
              </w:rPr>
              <w:t>by a majority of votes cast (number</w:t>
            </w:r>
          </w:p>
        </w:tc>
      </w:tr>
      <w:tr>
        <w:trPr>
          <w:trHeight w:val="203"/>
        </w:trPr>
        <w:tc>
          <w:tcPr>
            <w:tcW w:w="2820" w:type="dxa"/>
            <w:vAlign w:val="bottom"/>
            <w:shd w:val="clear" w:color="auto" w:fill="CCCCCC"/>
          </w:tcPr>
          <w:p>
            <w:pPr>
              <w:spacing w:after="0"/>
              <w:rPr>
                <w:sz w:val="17"/>
                <w:szCs w:val="17"/>
                <w:color w:val="auto"/>
              </w:rPr>
            </w:pPr>
          </w:p>
        </w:tc>
        <w:tc>
          <w:tcPr>
            <w:tcW w:w="720" w:type="dxa"/>
            <w:vAlign w:val="bottom"/>
            <w:shd w:val="clear" w:color="auto" w:fill="CCCCCC"/>
          </w:tcPr>
          <w:p>
            <w:pPr>
              <w:spacing w:after="0"/>
              <w:rPr>
                <w:sz w:val="17"/>
                <w:szCs w:val="17"/>
                <w:color w:val="auto"/>
              </w:rPr>
            </w:pPr>
          </w:p>
        </w:tc>
        <w:tc>
          <w:tcPr>
            <w:tcW w:w="6300" w:type="dxa"/>
            <w:vAlign w:val="bottom"/>
            <w:gridSpan w:val="2"/>
            <w:shd w:val="clear" w:color="auto" w:fill="CCCCCC"/>
          </w:tcPr>
          <w:p>
            <w:pPr>
              <w:ind w:left="100"/>
              <w:spacing w:after="0" w:line="202" w:lineRule="exact"/>
              <w:rPr>
                <w:sz w:val="20"/>
                <w:szCs w:val="20"/>
                <w:color w:val="auto"/>
              </w:rPr>
            </w:pPr>
            <w:r>
              <w:rPr>
                <w:rFonts w:ascii="Arial" w:cs="Arial" w:eastAsia="Arial" w:hAnsi="Arial"/>
                <w:sz w:val="18"/>
                <w:szCs w:val="18"/>
                <w:color w:val="auto"/>
              </w:rPr>
              <w:t>of votes cast “for” each nominee</w:t>
            </w:r>
          </w:p>
        </w:tc>
      </w:tr>
      <w:tr>
        <w:trPr>
          <w:trHeight w:val="203"/>
        </w:trPr>
        <w:tc>
          <w:tcPr>
            <w:tcW w:w="2820" w:type="dxa"/>
            <w:vAlign w:val="bottom"/>
            <w:shd w:val="clear" w:color="auto" w:fill="CCCCCC"/>
          </w:tcPr>
          <w:p>
            <w:pPr>
              <w:spacing w:after="0"/>
              <w:rPr>
                <w:sz w:val="17"/>
                <w:szCs w:val="17"/>
                <w:color w:val="auto"/>
              </w:rPr>
            </w:pPr>
          </w:p>
        </w:tc>
        <w:tc>
          <w:tcPr>
            <w:tcW w:w="720" w:type="dxa"/>
            <w:vAlign w:val="bottom"/>
            <w:shd w:val="clear" w:color="auto" w:fill="CCCCCC"/>
          </w:tcPr>
          <w:p>
            <w:pPr>
              <w:spacing w:after="0"/>
              <w:rPr>
                <w:sz w:val="17"/>
                <w:szCs w:val="17"/>
                <w:color w:val="auto"/>
              </w:rPr>
            </w:pPr>
          </w:p>
        </w:tc>
        <w:tc>
          <w:tcPr>
            <w:tcW w:w="6300" w:type="dxa"/>
            <w:vAlign w:val="bottom"/>
            <w:gridSpan w:val="2"/>
            <w:shd w:val="clear" w:color="auto" w:fill="CCCCCC"/>
          </w:tcPr>
          <w:p>
            <w:pPr>
              <w:ind w:left="100"/>
              <w:spacing w:after="0" w:line="202" w:lineRule="exact"/>
              <w:rPr>
                <w:sz w:val="20"/>
                <w:szCs w:val="20"/>
                <w:color w:val="auto"/>
              </w:rPr>
            </w:pPr>
            <w:r>
              <w:rPr>
                <w:rFonts w:ascii="Arial" w:cs="Arial" w:eastAsia="Arial" w:hAnsi="Arial"/>
                <w:sz w:val="18"/>
                <w:szCs w:val="18"/>
                <w:color w:val="auto"/>
              </w:rPr>
              <w:t>must exceed the number of votes</w:t>
            </w:r>
          </w:p>
        </w:tc>
      </w:tr>
      <w:tr>
        <w:trPr>
          <w:trHeight w:val="239"/>
        </w:trPr>
        <w:tc>
          <w:tcPr>
            <w:tcW w:w="2820" w:type="dxa"/>
            <w:vAlign w:val="bottom"/>
            <w:shd w:val="clear" w:color="auto" w:fill="CCCCCC"/>
          </w:tcPr>
          <w:p>
            <w:pPr>
              <w:spacing w:after="0"/>
              <w:rPr>
                <w:sz w:val="20"/>
                <w:szCs w:val="20"/>
                <w:color w:val="auto"/>
              </w:rPr>
            </w:pPr>
          </w:p>
        </w:tc>
        <w:tc>
          <w:tcPr>
            <w:tcW w:w="720" w:type="dxa"/>
            <w:vAlign w:val="bottom"/>
            <w:shd w:val="clear" w:color="auto" w:fill="CCCCCC"/>
          </w:tcPr>
          <w:p>
            <w:pPr>
              <w:spacing w:after="0"/>
              <w:rPr>
                <w:sz w:val="20"/>
                <w:szCs w:val="20"/>
                <w:color w:val="auto"/>
              </w:rPr>
            </w:pPr>
          </w:p>
        </w:tc>
        <w:tc>
          <w:tcPr>
            <w:tcW w:w="2660" w:type="dxa"/>
            <w:vAlign w:val="bottom"/>
            <w:shd w:val="clear" w:color="auto" w:fill="CCCCCC"/>
          </w:tcPr>
          <w:p>
            <w:pPr>
              <w:ind w:left="100"/>
              <w:spacing w:after="0"/>
              <w:rPr>
                <w:sz w:val="20"/>
                <w:szCs w:val="20"/>
                <w:color w:val="auto"/>
              </w:rPr>
            </w:pPr>
            <w:r>
              <w:rPr>
                <w:rFonts w:ascii="Arial" w:cs="Arial" w:eastAsia="Arial" w:hAnsi="Arial"/>
                <w:sz w:val="18"/>
                <w:szCs w:val="18"/>
                <w:color w:val="auto"/>
              </w:rPr>
              <w:t>cast “against” that nominee)</w:t>
            </w:r>
          </w:p>
        </w:tc>
        <w:tc>
          <w:tcPr>
            <w:tcW w:w="3640" w:type="dxa"/>
            <w:vAlign w:val="bottom"/>
            <w:shd w:val="clear" w:color="auto" w:fill="CCCCCC"/>
          </w:tcPr>
          <w:p>
            <w:pPr>
              <w:spacing w:after="0"/>
              <w:rPr>
                <w:sz w:val="20"/>
                <w:szCs w:val="20"/>
                <w:color w:val="auto"/>
              </w:rPr>
            </w:pPr>
          </w:p>
        </w:tc>
      </w:tr>
      <w:tr>
        <w:trPr>
          <w:trHeight w:val="274"/>
        </w:trPr>
        <w:tc>
          <w:tcPr>
            <w:tcW w:w="2820" w:type="dxa"/>
            <w:vAlign w:val="bottom"/>
            <w:shd w:val="clear" w:color="auto" w:fill="CCCCCC"/>
          </w:tcPr>
          <w:p>
            <w:pPr>
              <w:spacing w:after="0"/>
              <w:rPr>
                <w:sz w:val="23"/>
                <w:szCs w:val="23"/>
                <w:color w:val="auto"/>
              </w:rPr>
            </w:pPr>
          </w:p>
        </w:tc>
        <w:tc>
          <w:tcPr>
            <w:tcW w:w="720" w:type="dxa"/>
            <w:vAlign w:val="bottom"/>
            <w:shd w:val="clear" w:color="auto" w:fill="CCCCCC"/>
          </w:tcPr>
          <w:p>
            <w:pPr>
              <w:ind w:left="560"/>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CCCC"/>
          </w:tcPr>
          <w:p>
            <w:pPr>
              <w:ind w:left="80"/>
              <w:spacing w:after="0"/>
              <w:rPr>
                <w:sz w:val="20"/>
                <w:szCs w:val="20"/>
                <w:color w:val="auto"/>
              </w:rPr>
            </w:pPr>
            <w:r>
              <w:rPr>
                <w:rFonts w:ascii="Arial" w:cs="Arial" w:eastAsia="Arial" w:hAnsi="Arial"/>
                <w:sz w:val="18"/>
                <w:szCs w:val="18"/>
                <w:color w:val="auto"/>
              </w:rPr>
              <w:t>Contested Election: Directors</w:t>
            </w:r>
          </w:p>
        </w:tc>
        <w:tc>
          <w:tcPr>
            <w:tcW w:w="3640" w:type="dxa"/>
            <w:vAlign w:val="bottom"/>
            <w:shd w:val="clear" w:color="auto" w:fill="CCCCCC"/>
          </w:tcPr>
          <w:p>
            <w:pPr>
              <w:ind w:left="20"/>
              <w:spacing w:after="0"/>
              <w:rPr>
                <w:sz w:val="20"/>
                <w:szCs w:val="20"/>
                <w:color w:val="auto"/>
              </w:rPr>
            </w:pPr>
            <w:r>
              <w:rPr>
                <w:rFonts w:ascii="Arial" w:cs="Arial" w:eastAsia="Arial" w:hAnsi="Arial"/>
                <w:sz w:val="18"/>
                <w:szCs w:val="18"/>
                <w:color w:val="auto"/>
              </w:rPr>
              <w:t>are</w:t>
            </w:r>
          </w:p>
        </w:tc>
      </w:tr>
      <w:tr>
        <w:trPr>
          <w:trHeight w:val="203"/>
        </w:trPr>
        <w:tc>
          <w:tcPr>
            <w:tcW w:w="2820" w:type="dxa"/>
            <w:vAlign w:val="bottom"/>
            <w:shd w:val="clear" w:color="auto" w:fill="CCCCCC"/>
          </w:tcPr>
          <w:p>
            <w:pPr>
              <w:spacing w:after="0"/>
              <w:rPr>
                <w:sz w:val="17"/>
                <w:szCs w:val="17"/>
                <w:color w:val="auto"/>
              </w:rPr>
            </w:pPr>
          </w:p>
        </w:tc>
        <w:tc>
          <w:tcPr>
            <w:tcW w:w="720" w:type="dxa"/>
            <w:vAlign w:val="bottom"/>
            <w:shd w:val="clear" w:color="auto" w:fill="CCCCCC"/>
          </w:tcPr>
          <w:p>
            <w:pPr>
              <w:spacing w:after="0"/>
              <w:rPr>
                <w:sz w:val="17"/>
                <w:szCs w:val="17"/>
                <w:color w:val="auto"/>
              </w:rPr>
            </w:pPr>
          </w:p>
        </w:tc>
        <w:tc>
          <w:tcPr>
            <w:tcW w:w="6300" w:type="dxa"/>
            <w:vAlign w:val="bottom"/>
            <w:gridSpan w:val="2"/>
            <w:shd w:val="clear" w:color="auto" w:fill="CCCCCC"/>
          </w:tcPr>
          <w:p>
            <w:pPr>
              <w:ind w:left="100"/>
              <w:spacing w:after="0" w:line="202" w:lineRule="exact"/>
              <w:rPr>
                <w:sz w:val="20"/>
                <w:szCs w:val="20"/>
                <w:color w:val="auto"/>
              </w:rPr>
            </w:pPr>
            <w:r>
              <w:rPr>
                <w:rFonts w:ascii="Arial" w:cs="Arial" w:eastAsia="Arial" w:hAnsi="Arial"/>
                <w:sz w:val="18"/>
                <w:szCs w:val="18"/>
                <w:color w:val="auto"/>
              </w:rPr>
              <w:t>elected  by  a  plurality  of  shares</w:t>
            </w:r>
          </w:p>
        </w:tc>
      </w:tr>
      <w:tr>
        <w:trPr>
          <w:trHeight w:val="203"/>
        </w:trPr>
        <w:tc>
          <w:tcPr>
            <w:tcW w:w="2820" w:type="dxa"/>
            <w:vAlign w:val="bottom"/>
            <w:shd w:val="clear" w:color="auto" w:fill="CCCCCC"/>
          </w:tcPr>
          <w:p>
            <w:pPr>
              <w:spacing w:after="0"/>
              <w:rPr>
                <w:sz w:val="17"/>
                <w:szCs w:val="17"/>
                <w:color w:val="auto"/>
              </w:rPr>
            </w:pPr>
          </w:p>
        </w:tc>
        <w:tc>
          <w:tcPr>
            <w:tcW w:w="720" w:type="dxa"/>
            <w:vAlign w:val="bottom"/>
            <w:shd w:val="clear" w:color="auto" w:fill="CCCCCC"/>
          </w:tcPr>
          <w:p>
            <w:pPr>
              <w:spacing w:after="0"/>
              <w:rPr>
                <w:sz w:val="17"/>
                <w:szCs w:val="17"/>
                <w:color w:val="auto"/>
              </w:rPr>
            </w:pPr>
          </w:p>
        </w:tc>
        <w:tc>
          <w:tcPr>
            <w:tcW w:w="6300" w:type="dxa"/>
            <w:vAlign w:val="bottom"/>
            <w:gridSpan w:val="2"/>
            <w:shd w:val="clear" w:color="auto" w:fill="CCCCCC"/>
          </w:tcPr>
          <w:p>
            <w:pPr>
              <w:ind w:left="100"/>
              <w:spacing w:after="0" w:line="202" w:lineRule="exact"/>
              <w:rPr>
                <w:sz w:val="20"/>
                <w:szCs w:val="20"/>
                <w:color w:val="auto"/>
              </w:rPr>
            </w:pPr>
            <w:r>
              <w:rPr>
                <w:rFonts w:ascii="Arial" w:cs="Arial" w:eastAsia="Arial" w:hAnsi="Arial"/>
                <w:sz w:val="18"/>
                <w:szCs w:val="18"/>
                <w:color w:val="auto"/>
              </w:rPr>
              <w:t>present, in person or by proxy, and</w:t>
            </w:r>
          </w:p>
        </w:tc>
      </w:tr>
      <w:tr>
        <w:trPr>
          <w:trHeight w:val="269"/>
        </w:trPr>
        <w:tc>
          <w:tcPr>
            <w:tcW w:w="2820" w:type="dxa"/>
            <w:vAlign w:val="bottom"/>
            <w:tcBorders>
              <w:bottom w:val="single" w:sz="8" w:color="CCCCCC"/>
            </w:tcBorders>
            <w:shd w:val="clear" w:color="auto" w:fill="CCCCCC"/>
          </w:tcPr>
          <w:p>
            <w:pPr>
              <w:spacing w:after="0"/>
              <w:rPr>
                <w:sz w:val="23"/>
                <w:szCs w:val="23"/>
                <w:color w:val="auto"/>
              </w:rPr>
            </w:pPr>
          </w:p>
        </w:tc>
        <w:tc>
          <w:tcPr>
            <w:tcW w:w="720" w:type="dxa"/>
            <w:vAlign w:val="bottom"/>
            <w:tcBorders>
              <w:bottom w:val="single" w:sz="8" w:color="CCCCCC"/>
            </w:tcBorders>
            <w:shd w:val="clear" w:color="auto" w:fill="CCCCCC"/>
          </w:tcPr>
          <w:p>
            <w:pPr>
              <w:spacing w:after="0"/>
              <w:rPr>
                <w:sz w:val="23"/>
                <w:szCs w:val="23"/>
                <w:color w:val="auto"/>
              </w:rPr>
            </w:pPr>
          </w:p>
        </w:tc>
        <w:tc>
          <w:tcPr>
            <w:tcW w:w="266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entitled to vote</w:t>
            </w:r>
          </w:p>
        </w:tc>
        <w:tc>
          <w:tcPr>
            <w:tcW w:w="3640" w:type="dxa"/>
            <w:vAlign w:val="bottom"/>
            <w:tcBorders>
              <w:bottom w:val="single" w:sz="8" w:color="CCCCCC"/>
            </w:tcBorders>
            <w:shd w:val="clear" w:color="auto" w:fill="CCCCCC"/>
          </w:tcPr>
          <w:p>
            <w:pPr>
              <w:spacing w:after="0"/>
              <w:rPr>
                <w:sz w:val="23"/>
                <w:szCs w:val="23"/>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9840"/>
          </w:cols>
          <w:pgMar w:left="1020" w:top="263" w:right="1039" w:bottom="1440" w:gutter="0" w:footer="0" w:header="0"/>
        </w:sectPr>
      </w:pPr>
    </w:p>
    <w:p>
      <w:pPr>
        <w:ind w:left="100"/>
        <w:spacing w:after="0"/>
        <w:tabs>
          <w:tab w:leader="none" w:pos="3360" w:val="left"/>
        </w:tabs>
        <w:rPr>
          <w:sz w:val="20"/>
          <w:szCs w:val="20"/>
          <w:color w:val="auto"/>
        </w:rPr>
      </w:pPr>
      <w:r>
        <w:rPr>
          <w:rFonts w:ascii="Arial" w:cs="Arial" w:eastAsia="Arial" w:hAnsi="Arial"/>
          <w:sz w:val="18"/>
          <w:szCs w:val="18"/>
          <w:color w:val="auto"/>
        </w:rPr>
        <w:t>No. 2: Ratification of Appointment of</w:t>
      </w:r>
      <w:r>
        <w:rPr>
          <w:sz w:val="20"/>
          <w:szCs w:val="20"/>
          <w:color w:val="auto"/>
        </w:rPr>
        <w:tab/>
      </w:r>
      <w:r>
        <w:rPr>
          <w:rFonts w:ascii="Arial" w:cs="Arial" w:eastAsia="Arial" w:hAnsi="Arial"/>
          <w:sz w:val="18"/>
          <w:szCs w:val="18"/>
          <w:color w:val="auto"/>
        </w:rPr>
        <w:t>Majority of shares present, in person</w:t>
      </w:r>
    </w:p>
    <w:p>
      <w:pPr>
        <w:spacing w:after="0" w:line="14" w:lineRule="exact"/>
        <w:rPr>
          <w:sz w:val="20"/>
          <w:szCs w:val="20"/>
          <w:color w:val="auto"/>
        </w:rPr>
      </w:pPr>
    </w:p>
    <w:p>
      <w:pPr>
        <w:ind w:left="100"/>
        <w:spacing w:after="0"/>
        <w:tabs>
          <w:tab w:leader="none" w:pos="3360" w:val="left"/>
        </w:tabs>
        <w:rPr>
          <w:sz w:val="20"/>
          <w:szCs w:val="20"/>
          <w:color w:val="auto"/>
        </w:rPr>
      </w:pPr>
      <w:r>
        <w:rPr>
          <w:rFonts w:ascii="Arial" w:cs="Arial" w:eastAsia="Arial" w:hAnsi="Arial"/>
          <w:sz w:val="18"/>
          <w:szCs w:val="18"/>
          <w:color w:val="auto"/>
        </w:rPr>
        <w:t>Auditors</w:t>
      </w:r>
      <w:r>
        <w:rPr>
          <w:sz w:val="20"/>
          <w:szCs w:val="20"/>
          <w:color w:val="auto"/>
        </w:rPr>
        <w:tab/>
      </w:r>
      <w:r>
        <w:rPr>
          <w:rFonts w:ascii="Arial" w:cs="Arial" w:eastAsia="Arial" w:hAnsi="Arial"/>
          <w:sz w:val="18"/>
          <w:szCs w:val="18"/>
          <w:color w:val="auto"/>
        </w:rPr>
        <w:t>or by proxy, and entitled to vote</w:t>
      </w:r>
    </w:p>
    <w:p>
      <w:pPr>
        <w:spacing w:after="0" w:line="20" w:lineRule="exact"/>
        <w:rPr>
          <w:sz w:val="20"/>
          <w:szCs w:val="20"/>
          <w:color w:val="auto"/>
        </w:rPr>
      </w:pPr>
      <w:r>
        <w:rPr>
          <w:sz w:val="20"/>
          <w:szCs w:val="20"/>
          <w:color w:val="auto"/>
        </w:rPr>
        <w:br w:type="column"/>
      </w:r>
    </w:p>
    <w:p>
      <w:pPr>
        <w:ind w:right="60"/>
        <w:spacing w:after="0" w:line="271" w:lineRule="auto"/>
        <w:rPr>
          <w:sz w:val="20"/>
          <w:szCs w:val="20"/>
          <w:color w:val="auto"/>
        </w:rPr>
      </w:pPr>
      <w:r>
        <w:rPr>
          <w:rFonts w:ascii="Arial" w:cs="Arial" w:eastAsia="Arial" w:hAnsi="Arial"/>
          <w:sz w:val="18"/>
          <w:szCs w:val="18"/>
          <w:color w:val="auto"/>
        </w:rPr>
        <w:t>Counted and will have the same effect as a vote against such proposal</w:t>
      </w:r>
    </w:p>
    <w:p>
      <w:pPr>
        <w:spacing w:after="0" w:line="4" w:lineRule="exact"/>
        <w:rPr>
          <w:sz w:val="20"/>
          <w:szCs w:val="20"/>
          <w:color w:val="auto"/>
        </w:rPr>
      </w:pPr>
    </w:p>
    <w:p>
      <w:pPr>
        <w:sectPr>
          <w:pgSz w:w="11900" w:h="16838" w:orient="portrait"/>
          <w:cols w:equalWidth="0" w:num="2">
            <w:col w:w="6480" w:space="220"/>
            <w:col w:w="3140"/>
          </w:cols>
          <w:pgMar w:left="1020" w:top="263" w:right="10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298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No. 3: Advisory Approval of the</w:t>
            </w:r>
          </w:p>
        </w:tc>
        <w:tc>
          <w:tcPr>
            <w:tcW w:w="3600" w:type="dxa"/>
            <w:vAlign w:val="bottom"/>
            <w:tcBorders>
              <w:top w:val="single" w:sz="8" w:color="auto"/>
            </w:tcBorders>
            <w:shd w:val="clear" w:color="auto" w:fill="CCCCCC"/>
          </w:tcPr>
          <w:p>
            <w:pPr>
              <w:ind w:left="400"/>
              <w:spacing w:after="0"/>
              <w:rPr>
                <w:sz w:val="20"/>
                <w:szCs w:val="20"/>
                <w:color w:val="auto"/>
              </w:rPr>
            </w:pPr>
            <w:r>
              <w:rPr>
                <w:rFonts w:ascii="Arial" w:cs="Arial" w:eastAsia="Arial" w:hAnsi="Arial"/>
                <w:sz w:val="18"/>
                <w:szCs w:val="18"/>
                <w:color w:val="auto"/>
              </w:rPr>
              <w:t>Majority of shares present, in person</w:t>
            </w:r>
          </w:p>
        </w:tc>
        <w:tc>
          <w:tcPr>
            <w:tcW w:w="3260" w:type="dxa"/>
            <w:vAlign w:val="bottom"/>
            <w:tcBorders>
              <w:top w:val="single" w:sz="8" w:color="auto"/>
            </w:tcBorders>
            <w:shd w:val="clear" w:color="auto" w:fill="CCCCCC"/>
          </w:tcPr>
          <w:p>
            <w:pPr>
              <w:ind w:left="120"/>
              <w:spacing w:after="0"/>
              <w:rPr>
                <w:sz w:val="20"/>
                <w:szCs w:val="20"/>
                <w:color w:val="auto"/>
              </w:rPr>
            </w:pPr>
            <w:r>
              <w:rPr>
                <w:rFonts w:ascii="Arial" w:cs="Arial" w:eastAsia="Arial" w:hAnsi="Arial"/>
                <w:sz w:val="18"/>
                <w:szCs w:val="18"/>
                <w:color w:val="auto"/>
              </w:rPr>
              <w:t>Counted and will have the same effect</w:t>
            </w:r>
          </w:p>
        </w:tc>
      </w:tr>
      <w:tr>
        <w:trPr>
          <w:trHeight w:val="203"/>
        </w:trPr>
        <w:tc>
          <w:tcPr>
            <w:tcW w:w="298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Compensation of our Named</w:t>
            </w:r>
          </w:p>
        </w:tc>
        <w:tc>
          <w:tcPr>
            <w:tcW w:w="3600" w:type="dxa"/>
            <w:vAlign w:val="bottom"/>
            <w:shd w:val="clear" w:color="auto" w:fill="CCCCCC"/>
          </w:tcPr>
          <w:p>
            <w:pPr>
              <w:ind w:left="400"/>
              <w:spacing w:after="0" w:line="202" w:lineRule="exact"/>
              <w:rPr>
                <w:sz w:val="20"/>
                <w:szCs w:val="20"/>
                <w:color w:val="auto"/>
              </w:rPr>
            </w:pPr>
            <w:r>
              <w:rPr>
                <w:rFonts w:ascii="Arial" w:cs="Arial" w:eastAsia="Arial" w:hAnsi="Arial"/>
                <w:sz w:val="18"/>
                <w:szCs w:val="18"/>
                <w:color w:val="auto"/>
              </w:rPr>
              <w:t>or by proxy, and entitled to vote</w:t>
            </w:r>
          </w:p>
        </w:tc>
        <w:tc>
          <w:tcPr>
            <w:tcW w:w="326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as a vote against such proposal</w:t>
            </w:r>
          </w:p>
        </w:tc>
      </w:tr>
      <w:tr>
        <w:trPr>
          <w:trHeight w:val="244"/>
        </w:trPr>
        <w:tc>
          <w:tcPr>
            <w:tcW w:w="298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Executive Officers</w:t>
            </w:r>
          </w:p>
        </w:tc>
        <w:tc>
          <w:tcPr>
            <w:tcW w:w="3600" w:type="dxa"/>
            <w:vAlign w:val="bottom"/>
            <w:tcBorders>
              <w:bottom w:val="single" w:sz="8" w:color="auto"/>
            </w:tcBorders>
            <w:shd w:val="clear" w:color="auto" w:fill="CCCCCC"/>
          </w:tcPr>
          <w:p>
            <w:pPr>
              <w:spacing w:after="0"/>
              <w:rPr>
                <w:sz w:val="21"/>
                <w:szCs w:val="21"/>
                <w:color w:val="auto"/>
              </w:rPr>
            </w:pPr>
          </w:p>
        </w:tc>
        <w:tc>
          <w:tcPr>
            <w:tcW w:w="3260" w:type="dxa"/>
            <w:vAlign w:val="bottom"/>
            <w:tcBorders>
              <w:bottom w:val="single" w:sz="8" w:color="auto"/>
            </w:tcBorders>
            <w:shd w:val="clear" w:color="auto" w:fill="CCCCCC"/>
          </w:tcPr>
          <w:p>
            <w:pPr>
              <w:spacing w:after="0"/>
              <w:rPr>
                <w:sz w:val="21"/>
                <w:szCs w:val="21"/>
                <w:color w:val="auto"/>
              </w:rPr>
            </w:pPr>
          </w:p>
        </w:tc>
      </w:tr>
    </w:tbl>
    <w:p>
      <w:pPr>
        <w:spacing w:after="0" w:line="197"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Under the Company’s Amended and Restated By-laws (the “By-laws”),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w:t>
      </w:r>
    </w:p>
    <w:p>
      <w:pPr>
        <w:spacing w:after="0" w:line="95"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If for some reason any director nominee is unable to serve, or for good cause will not serve if elected, the persons named as proxies may vote for a substitute nominee recommended by the Board and, unless you indicate otherwise on the proxy card, your shares will be voted in favor of the remaining nominees. If any substitute nominees are designated prior to the Meeting, the Company will file an amended proxy statement, that, as applicable, identifies the substitute nominees, discloses that such nominees have consented to being named in the revised proxy statement and to serve if elected, and includes certain biographical and other information about such nominee as required by the rules of the Securities and Exchange Commission (the “SEC”). Alternatively, the Board may decide, under certain circumstances, to reduce the size of the Board.</w:t>
      </w:r>
    </w:p>
    <w:p>
      <w:pPr>
        <w:spacing w:after="0" w:line="113"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Pursuant to the By-laws, written notice by shareholders of qualifying nominations for election to the Board must have been received by our Secretary by February 25, 2022.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type w:val="continuous"/>
        </w:sectPr>
      </w:pPr>
    </w:p>
    <w:bookmarkStart w:id="8" w:name="page9"/>
    <w:bookmarkEnd w:id="8"/>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 broker non-vote?</w:t>
      </w:r>
    </w:p>
    <w:p>
      <w:pPr>
        <w:spacing w:after="0" w:line="139"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Meeting, your shares of Common Stock will not be voted by the broker for Proposal Nos. 1 (Election of Directors), or 3 (Advisory Approval of Named Executive Officer Compensation), but the broker will have the discretion to vote your shares of Common Stock on Proposal No. 2 (Ratification of Appointment of Auditors). As a result, broker non-votes will have no effect on the outcome of Proposal Nos. 1 or 3.</w:t>
      </w:r>
    </w:p>
    <w:p>
      <w:pPr>
        <w:spacing w:after="0" w:line="288" w:lineRule="exact"/>
        <w:rPr>
          <w:sz w:val="20"/>
          <w:szCs w:val="20"/>
          <w:color w:val="auto"/>
        </w:rPr>
      </w:pPr>
    </w:p>
    <w:p>
      <w:pPr>
        <w:ind w:left="20" w:right="60"/>
        <w:spacing w:after="0" w:line="270" w:lineRule="auto"/>
        <w:rPr>
          <w:sz w:val="20"/>
          <w:szCs w:val="20"/>
          <w:color w:val="auto"/>
        </w:rPr>
      </w:pPr>
      <w:r>
        <w:rPr>
          <w:rFonts w:ascii="Arial" w:cs="Arial" w:eastAsia="Arial" w:hAnsi="Arial"/>
          <w:sz w:val="20"/>
          <w:szCs w:val="20"/>
          <w:b w:val="1"/>
          <w:bCs w:val="1"/>
          <w:color w:val="auto"/>
        </w:rPr>
        <w:t>Why did certain shareholders receive in the mail a one-page Notice regarding Internet availability of this Proxy Statement rather than a printed copy?</w:t>
      </w:r>
    </w:p>
    <w:p>
      <w:pPr>
        <w:spacing w:after="0" w:line="68"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We are sending to virtually all of our shareholders a Notice (the “Notice” or “Notice of Internet Availability”) containing instructions on how to access this Proxy Statement online, as permitted by SEC rules. If you received a Notice of Internet Availability by mail, you will not receive a printed copy of this Proxy Statement in the mail. Instructions on how to access this Proxy Statement over the Internet or how to obtain printed copies, if you prefer, are set forth in such Notice.</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vote?</w:t>
      </w:r>
    </w:p>
    <w:p>
      <w:pPr>
        <w:spacing w:after="0" w:line="139"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You should submit your proxy card or voting instruction form as soon as possible. If you received or requested printed copies of the proxy materials by mail, the materials will include a proxy card for registered stockholders (that is, if you hold your shares of Common Stock directly in your name through our transfer agent), or a vote instruction form for beneficial owners (if your shares of Common Stock are held in “street name,” such as in a stock brokerage account or through a bank or other nominee). Whether you are a registered stockholder or hold any of your shares in “street name,” you may vote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31115</wp:posOffset>
            </wp:positionV>
            <wp:extent cx="62407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880" w:type="dxa"/>
            <w:vAlign w:val="bottom"/>
          </w:tcPr>
          <w:p>
            <w:pPr>
              <w:ind w:left="100"/>
              <w:spacing w:after="0"/>
              <w:rPr>
                <w:sz w:val="20"/>
                <w:szCs w:val="20"/>
                <w:color w:val="auto"/>
              </w:rPr>
            </w:pPr>
            <w:r>
              <w:rPr>
                <w:rFonts w:ascii="Arial" w:cs="Arial" w:eastAsia="Arial" w:hAnsi="Arial"/>
                <w:sz w:val="18"/>
                <w:szCs w:val="18"/>
                <w:b w:val="1"/>
                <w:bCs w:val="1"/>
                <w:color w:val="auto"/>
              </w:rPr>
              <w:t>By Phone</w:t>
            </w:r>
          </w:p>
        </w:tc>
        <w:tc>
          <w:tcPr>
            <w:tcW w:w="4960" w:type="dxa"/>
            <w:vAlign w:val="bottom"/>
          </w:tcPr>
          <w:p>
            <w:pPr>
              <w:ind w:left="160"/>
              <w:spacing w:after="0"/>
              <w:rPr>
                <w:sz w:val="20"/>
                <w:szCs w:val="20"/>
                <w:color w:val="auto"/>
              </w:rPr>
            </w:pPr>
            <w:r>
              <w:rPr>
                <w:rFonts w:ascii="Arial" w:cs="Arial" w:eastAsia="Arial" w:hAnsi="Arial"/>
                <w:sz w:val="18"/>
                <w:szCs w:val="18"/>
                <w:b w:val="1"/>
                <w:bCs w:val="1"/>
                <w:color w:val="auto"/>
              </w:rPr>
              <w:t>By Mail</w:t>
            </w:r>
          </w:p>
        </w:tc>
      </w:tr>
      <w:tr>
        <w:trPr>
          <w:trHeight w:val="42"/>
        </w:trPr>
        <w:tc>
          <w:tcPr>
            <w:tcW w:w="488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45"/>
        </w:trPr>
        <w:tc>
          <w:tcPr>
            <w:tcW w:w="4880" w:type="dxa"/>
            <w:vAlign w:val="bottom"/>
            <w:shd w:val="clear" w:color="auto" w:fill="CCCCCC"/>
          </w:tcPr>
          <w:p>
            <w:pPr>
              <w:ind w:left="100"/>
              <w:spacing w:after="0"/>
              <w:rPr>
                <w:sz w:val="20"/>
                <w:szCs w:val="20"/>
                <w:color w:val="auto"/>
              </w:rPr>
            </w:pPr>
            <w:r>
              <w:rPr>
                <w:rFonts w:ascii="Arial" w:cs="Arial" w:eastAsia="Arial" w:hAnsi="Arial"/>
                <w:sz w:val="18"/>
                <w:szCs w:val="18"/>
                <w:color w:val="auto"/>
              </w:rPr>
              <w:t>If you received or requested printed copies of the proxy</w:t>
            </w:r>
          </w:p>
        </w:tc>
        <w:tc>
          <w:tcPr>
            <w:tcW w:w="4960" w:type="dxa"/>
            <w:vAlign w:val="bottom"/>
            <w:shd w:val="clear" w:color="auto" w:fill="CCCCCC"/>
          </w:tcPr>
          <w:p>
            <w:pPr>
              <w:ind w:left="160"/>
              <w:spacing w:after="0"/>
              <w:rPr>
                <w:sz w:val="20"/>
                <w:szCs w:val="20"/>
                <w:color w:val="auto"/>
              </w:rPr>
            </w:pPr>
            <w:r>
              <w:rPr>
                <w:rFonts w:ascii="Arial" w:cs="Arial" w:eastAsia="Arial" w:hAnsi="Arial"/>
                <w:sz w:val="18"/>
                <w:szCs w:val="18"/>
                <w:color w:val="auto"/>
              </w:rPr>
              <w:t>If you received or requested printed copies of the proxy</w:t>
            </w:r>
          </w:p>
        </w:tc>
      </w:tr>
      <w:tr>
        <w:trPr>
          <w:trHeight w:val="203"/>
        </w:trPr>
        <w:tc>
          <w:tcPr>
            <w:tcW w:w="488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materials by mail, vote by dialing the number on the proxy</w:t>
            </w:r>
          </w:p>
        </w:tc>
        <w:tc>
          <w:tcPr>
            <w:tcW w:w="496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materials by mail, vote by marking, signing and dating the</w:t>
            </w:r>
          </w:p>
        </w:tc>
      </w:tr>
      <w:tr>
        <w:trPr>
          <w:trHeight w:val="203"/>
        </w:trPr>
        <w:tc>
          <w:tcPr>
            <w:tcW w:w="488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card/voting instruction form and following the easy voice</w:t>
            </w:r>
          </w:p>
        </w:tc>
        <w:tc>
          <w:tcPr>
            <w:tcW w:w="496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proxy card/voting instruction form and returning it promptly</w:t>
            </w:r>
          </w:p>
        </w:tc>
      </w:tr>
      <w:tr>
        <w:trPr>
          <w:trHeight w:val="294"/>
        </w:trPr>
        <w:tc>
          <w:tcPr>
            <w:tcW w:w="48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prompts</w:t>
            </w:r>
          </w:p>
        </w:tc>
        <w:tc>
          <w:tcPr>
            <w:tcW w:w="4960" w:type="dxa"/>
            <w:vAlign w:val="bottom"/>
            <w:tcBorders>
              <w:bottom w:val="single" w:sz="8" w:color="CCCCCC"/>
            </w:tcBorders>
            <w:shd w:val="clear" w:color="auto" w:fill="CCCCCC"/>
          </w:tcPr>
          <w:p>
            <w:pPr>
              <w:ind w:left="160"/>
              <w:spacing w:after="0"/>
              <w:rPr>
                <w:sz w:val="20"/>
                <w:szCs w:val="20"/>
                <w:color w:val="auto"/>
              </w:rPr>
            </w:pPr>
            <w:r>
              <w:rPr>
                <w:rFonts w:ascii="Arial" w:cs="Arial" w:eastAsia="Arial" w:hAnsi="Arial"/>
                <w:sz w:val="18"/>
                <w:szCs w:val="18"/>
                <w:color w:val="auto"/>
              </w:rPr>
              <w:t>in the envelope provided</w:t>
            </w:r>
          </w:p>
        </w:tc>
      </w:tr>
      <w:tr>
        <w:trPr>
          <w:trHeight w:val="289"/>
        </w:trPr>
        <w:tc>
          <w:tcPr>
            <w:tcW w:w="48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By Internet Before the Meeting</w:t>
            </w:r>
          </w:p>
        </w:tc>
        <w:tc>
          <w:tcPr>
            <w:tcW w:w="49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By Internet During the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wp:posOffset>
            </wp:positionV>
            <wp:extent cx="6240780"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40780" cy="32575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p>
      <w:pPr>
        <w:spacing w:after="0" w:line="104" w:lineRule="exact"/>
        <w:rPr>
          <w:sz w:val="20"/>
          <w:szCs w:val="20"/>
          <w:color w:val="auto"/>
        </w:rPr>
      </w:pPr>
    </w:p>
    <w:p>
      <w:pPr>
        <w:ind w:left="100"/>
        <w:spacing w:after="0" w:line="271" w:lineRule="auto"/>
        <w:rPr>
          <w:sz w:val="20"/>
          <w:szCs w:val="20"/>
          <w:color w:val="auto"/>
        </w:rPr>
      </w:pPr>
      <w:r>
        <w:rPr>
          <w:rFonts w:ascii="Arial" w:cs="Arial" w:eastAsia="Arial" w:hAnsi="Arial"/>
          <w:sz w:val="18"/>
          <w:szCs w:val="18"/>
          <w:color w:val="auto"/>
        </w:rPr>
        <w:t>Follow the instructions included on the proxy card/voting instruction form or Notice of Internet Availability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Vote during the virtual Meeting while the polls remain open by following the online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-10160</wp:posOffset>
            </wp:positionV>
            <wp:extent cx="62407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580" w:space="460"/>
            <w:col w:w="4800"/>
          </w:cols>
          <w:pgMar w:left="1020" w:top="263" w:right="1039" w:bottom="1440" w:gutter="0" w:footer="0" w:header="0"/>
          <w:type w:val="continuous"/>
        </w:sectPr>
      </w:pPr>
    </w:p>
    <w:p>
      <w:pPr>
        <w:jc w:val="both"/>
        <w:ind w:left="20"/>
        <w:spacing w:after="0" w:line="247" w:lineRule="auto"/>
        <w:rPr>
          <w:sz w:val="20"/>
          <w:szCs w:val="20"/>
          <w:color w:val="auto"/>
        </w:rPr>
      </w:pPr>
      <w:r>
        <w:rPr>
          <w:rFonts w:ascii="Arial" w:cs="Arial" w:eastAsia="Arial" w:hAnsi="Arial"/>
          <w:sz w:val="18"/>
          <w:szCs w:val="18"/>
          <w:color w:val="auto"/>
        </w:rPr>
        <w:t>The deadline for voting by telephone or by Internet will vary depending upon how you vote your shares—please follow the instructions shown on your proxy card/voting instruction form or Notice of Internet Availability. If you are not the shareholder of record, please refer to the voting instructions provided by your bank, broker or other nominee to direct it how to vote your shares. Your vote is important.</w:t>
      </w:r>
    </w:p>
    <w:p>
      <w:pPr>
        <w:spacing w:after="0" w:line="106"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Certain of our shareholders hold their shares in more than one account and may receive separate proxy cards/voting instruction forms or Notices of Internet Availability for each of those accounts. To ensure that all of your shares are represented at the Meeting, we recommend that you follow the instructions included on each proxy card/voting instruction form or Notice of Internet Availability you receive.</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change my vote?</w:t>
      </w:r>
    </w:p>
    <w:p>
      <w:pPr>
        <w:spacing w:after="0" w:line="139"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Yes. If you are a registered stockholder, you may revoke your proxy at any time prior to the voting at the Meeting if, in accordance with the voting procedures described above, you:</w:t>
      </w:r>
    </w:p>
    <w:p>
      <w:pPr>
        <w:spacing w:after="0" w:line="73" w:lineRule="exact"/>
        <w:rPr>
          <w:sz w:val="20"/>
          <w:szCs w:val="20"/>
          <w:color w:val="auto"/>
        </w:rPr>
      </w:pPr>
    </w:p>
    <w:p>
      <w:pPr>
        <w:ind w:left="360" w:hanging="350"/>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again (including by phone or Internet by the applicable deadline); or</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sign, date and return a new proxy card or voting instruction form with a later date; or</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give timely written notice of such revocation to our Corporate Secretary at 6 Sylvan Way, Parsippany, N.J. 07054; or</w:t>
      </w:r>
    </w:p>
    <w:p>
      <w:pPr>
        <w:spacing w:after="0" w:line="130" w:lineRule="exact"/>
        <w:rPr>
          <w:rFonts w:ascii="Arial" w:cs="Arial" w:eastAsia="Arial" w:hAnsi="Arial"/>
          <w:sz w:val="18"/>
          <w:szCs w:val="18"/>
          <w:color w:val="auto"/>
        </w:rPr>
      </w:pPr>
    </w:p>
    <w:p>
      <w:pPr>
        <w:ind w:left="360" w:hanging="350"/>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during the virtual Meeting while the polls remain open.</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type w:val="continuous"/>
        </w:sectPr>
      </w:pPr>
    </w:p>
    <w:bookmarkStart w:id="9" w:name="page10"/>
    <w:bookmarkEnd w:id="9"/>
    <w:p>
      <w:pPr>
        <w:ind w:left="1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If your shares are held in “street name” (</w:t>
      </w:r>
      <w:r>
        <w:rPr>
          <w:rFonts w:ascii="Arial" w:cs="Arial" w:eastAsia="Arial" w:hAnsi="Arial"/>
          <w:sz w:val="18"/>
          <w:szCs w:val="18"/>
          <w:i w:val="1"/>
          <w:iCs w:val="1"/>
          <w:color w:val="auto"/>
        </w:rPr>
        <w:t>i.e.</w:t>
      </w:r>
      <w:r>
        <w:rPr>
          <w:rFonts w:ascii="Arial" w:cs="Arial" w:eastAsia="Arial" w:hAnsi="Arial"/>
          <w:sz w:val="18"/>
          <w:szCs w:val="18"/>
          <w:color w:val="auto"/>
        </w:rPr>
        <w:t>, the shares are held of record by a broker, bank or other nominee) and you wish to revoke a proxy, you should contact your bank, broker or nominee and follow its procedures for changing your voting instructions. You also may vote during the virtual Meeting if you obtain a legal proxy from your bank, broker or other nominee.</w:t>
      </w:r>
    </w:p>
    <w:p>
      <w:pPr>
        <w:spacing w:after="0" w:line="147" w:lineRule="exact"/>
        <w:rPr>
          <w:sz w:val="20"/>
          <w:szCs w:val="20"/>
          <w:color w:val="auto"/>
        </w:rPr>
      </w:pPr>
    </w:p>
    <w:p>
      <w:pPr>
        <w:ind w:left="10"/>
        <w:spacing w:after="0"/>
        <w:rPr>
          <w:sz w:val="20"/>
          <w:szCs w:val="20"/>
          <w:color w:val="auto"/>
        </w:rPr>
      </w:pPr>
      <w:r>
        <w:rPr>
          <w:rFonts w:ascii="Arial" w:cs="Arial" w:eastAsia="Arial" w:hAnsi="Arial"/>
          <w:sz w:val="18"/>
          <w:szCs w:val="18"/>
          <w:color w:val="auto"/>
        </w:rPr>
        <w:t>Only the latest validly executed proxy that you submit will be counted.</w:t>
      </w:r>
    </w:p>
    <w:p>
      <w:pPr>
        <w:spacing w:after="0" w:line="36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What if I do not vote with respect to some of the proposals?</w:t>
      </w:r>
    </w:p>
    <w:p>
      <w:pPr>
        <w:spacing w:after="0" w:line="126"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Shares of Common Stock represented by proxies received by the Company (whether through the return of a proxy card or voting instruction form) that do not contain voting instructions (or if you vote by telephone or electronically via the Internet without indicating how you want to vote) will be voted in accordance with the recommendations of the Board, including:</w:t>
      </w:r>
    </w:p>
    <w:p>
      <w:pPr>
        <w:spacing w:after="0" w:line="101" w:lineRule="exact"/>
        <w:rPr>
          <w:sz w:val="20"/>
          <w:szCs w:val="20"/>
          <w:color w:val="auto"/>
        </w:rPr>
      </w:pPr>
    </w:p>
    <w:p>
      <w:pPr>
        <w:ind w:left="350" w:hanging="350"/>
        <w:spacing w:after="0"/>
        <w:tabs>
          <w:tab w:leader="none" w:pos="35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ALL” of the nominees recommended by the Board (Proposal No. 1);</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appointment of auditors (Proposal No. 2); and</w:t>
      </w:r>
    </w:p>
    <w:p>
      <w:pPr>
        <w:spacing w:after="0" w:line="130" w:lineRule="exact"/>
        <w:rPr>
          <w:rFonts w:ascii="Arial" w:cs="Arial" w:eastAsia="Arial" w:hAnsi="Arial"/>
          <w:sz w:val="18"/>
          <w:szCs w:val="18"/>
          <w:color w:val="auto"/>
        </w:rPr>
      </w:pPr>
    </w:p>
    <w:p>
      <w:pPr>
        <w:ind w:left="350" w:hanging="350"/>
        <w:spacing w:after="0"/>
        <w:tabs>
          <w:tab w:leader="none" w:pos="35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proposal regarding advisory approval of the compensation of our named executive officers (Proposal No. 3).</w:t>
      </w:r>
    </w:p>
    <w:p>
      <w:pPr>
        <w:spacing w:after="0" w:line="36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How do participants in savings plans vote?</w:t>
      </w:r>
    </w:p>
    <w:p>
      <w:pPr>
        <w:spacing w:after="0" w:line="126" w:lineRule="exact"/>
        <w:rPr>
          <w:sz w:val="20"/>
          <w:szCs w:val="20"/>
          <w:color w:val="auto"/>
        </w:rPr>
      </w:pPr>
    </w:p>
    <w:p>
      <w:pPr>
        <w:jc w:val="both"/>
        <w:ind w:left="10"/>
        <w:spacing w:after="0" w:line="239" w:lineRule="auto"/>
        <w:rPr>
          <w:sz w:val="20"/>
          <w:szCs w:val="20"/>
          <w:color w:val="auto"/>
        </w:rPr>
      </w:pPr>
      <w:r>
        <w:rPr>
          <w:rFonts w:ascii="Arial" w:cs="Arial" w:eastAsia="Arial" w:hAnsi="Arial"/>
          <w:sz w:val="18"/>
          <w:szCs w:val="18"/>
          <w:color w:val="auto"/>
        </w:rPr>
        <w:t>If you hold shares of Common Stock in the “Avis Budget Group, Inc. Employee Savings Plan” or the “AB Car Rental Services Retirement Savings Plan for Bargaining Hourly Employees” (collectively, the “Savings Plans”), you will receive a proxy card that covers shares of Common Stock held for you in the Savings Plans. In accordance with the provisions of the Savings Plans, the respective trustees will vote your shares of Common Stock as you have directed. To the extent such instructions are not received prior to noon Eastern Time on May 18, 2022, the trustees of the Savings Plans will vote the shares of Common Stock with respect to which they have not received instructions proportionately in accordance with the shares of Common Stock for which they have received instructions. Instructions given with respect to shares of Common Stock in accounts of the Savings Plans may be changed or revoked only in writing, and no such instructions may be revoked after noon Eastern Time on May 18, 2022. Participants in the Savings Plans are not entitled to vote in person at the Meeting.</w:t>
      </w:r>
    </w:p>
    <w:p>
      <w:pPr>
        <w:spacing w:after="0" w:line="283" w:lineRule="exact"/>
        <w:rPr>
          <w:sz w:val="20"/>
          <w:szCs w:val="20"/>
          <w:color w:val="auto"/>
        </w:rPr>
      </w:pPr>
    </w:p>
    <w:p>
      <w:pPr>
        <w:jc w:val="both"/>
        <w:ind w:left="10"/>
        <w:spacing w:after="0" w:line="270" w:lineRule="auto"/>
        <w:rPr>
          <w:sz w:val="20"/>
          <w:szCs w:val="20"/>
          <w:color w:val="auto"/>
        </w:rPr>
      </w:pPr>
      <w:r>
        <w:rPr>
          <w:rFonts w:ascii="Arial" w:cs="Arial" w:eastAsia="Arial" w:hAnsi="Arial"/>
          <w:sz w:val="20"/>
          <w:szCs w:val="20"/>
          <w:b w:val="1"/>
          <w:bCs w:val="1"/>
          <w:color w:val="auto"/>
        </w:rPr>
        <w:t>How do I vote my shares that were purchased under the former Avis Budget Group, Inc. Employee Stock Purchase Plan (“ESPP”)?</w:t>
      </w:r>
    </w:p>
    <w:p>
      <w:pPr>
        <w:spacing w:after="0" w:line="68"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If you hold shares of Common Stock that were purchased through the Company’s former ESPP, which was terminated effective December 1, 2020, you will receive a proxy card or notice that covers shares of Common Stock held for you in your Computershare account. You may vote your shares of Common Stock via the Internet, by telephone or mail in the same manner as described above for registered stockholders. If you vote your ESPP shares by noon Eastern Time, on May 18, 2022, Computershare will vote the shares as you have directed. If voting instructions are not received in time, Computershare will not vote your shares for any proposal.</w:t>
      </w:r>
    </w:p>
    <w:p>
      <w:pPr>
        <w:spacing w:after="0" w:line="322"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How can I find the voting results of the Annual Meeting?</w:t>
      </w:r>
    </w:p>
    <w:p>
      <w:pPr>
        <w:spacing w:after="0" w:line="139"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Voting results will be tallied by the inspector of election. The Company will report the results in a Current Report on Form 8-K, to be filed with the SEC within four business days following the Meeting.</w:t>
      </w:r>
    </w:p>
    <w:p>
      <w:pPr>
        <w:spacing w:after="0" w:line="29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How can I access the Company’s proxy materials and annual report electronically?</w:t>
      </w:r>
    </w:p>
    <w:p>
      <w:pPr>
        <w:spacing w:after="0" w:line="139"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 xml:space="preserve">This Proxy Statement and the 2021 Annual Report may be viewed online at </w:t>
      </w:r>
      <w:r>
        <w:rPr>
          <w:rFonts w:ascii="Arial" w:cs="Arial" w:eastAsia="Arial" w:hAnsi="Arial"/>
          <w:sz w:val="18"/>
          <w:szCs w:val="18"/>
          <w:i w:val="1"/>
          <w:iCs w:val="1"/>
          <w:color w:val="auto"/>
        </w:rPr>
        <w:t>www.edocumentview.com/CAR</w:t>
      </w:r>
      <w:r>
        <w:rPr>
          <w:rFonts w:ascii="Arial" w:cs="Arial" w:eastAsia="Arial" w:hAnsi="Arial"/>
          <w:sz w:val="18"/>
          <w:szCs w:val="18"/>
          <w:color w:val="auto"/>
        </w:rPr>
        <w:t xml:space="preserve">. If you are a shareholder of record, you can elect to receive future annual reports and proxy statements electronically by enrolling at </w:t>
      </w:r>
      <w:r>
        <w:rPr>
          <w:rFonts w:ascii="Arial" w:cs="Arial" w:eastAsia="Arial" w:hAnsi="Arial"/>
          <w:sz w:val="18"/>
          <w:szCs w:val="18"/>
          <w:i w:val="1"/>
          <w:iCs w:val="1"/>
          <w:color w:val="auto"/>
        </w:rPr>
        <w:t>www.envisionreports.com/CAR</w:t>
      </w:r>
      <w:r>
        <w:rPr>
          <w:rFonts w:ascii="Arial" w:cs="Arial" w:eastAsia="Arial" w:hAnsi="Arial"/>
          <w:sz w:val="18"/>
          <w:szCs w:val="18"/>
          <w:color w:val="auto"/>
        </w:rPr>
        <w:t>. If you choose this option, you will receive a proxy form in April 2023 listing the website</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 where proxy materials will be posted,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28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does a shareholder nominate someone to be a director?</w:t>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Director nominations may be made by a shareholder so long as the qualifying shareholder follows the procedures outlined in the By-laws. Pursuant to the By-laws, for a nomination to be made by a shareholder, such shareholder must have given the proper notice within the specific time limits set forth in the relevant provision therein. For the 2023 annual meeting, the Company must receive this notice on or before February 24, 2023. Such notice and nomination should be submitted in writing to the Corporate Secretary of the Company and should include the information required for shareholder nominations set forth in the By-laws.</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A copy of the full text of the provision of the By-laws describing the procedure for shareholder nominations may be accessed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Nothing contained in any section of the Company’s website is incorporated by reference into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Proxy Statement.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11" w:name="page12"/>
    <w:bookmarkEnd w:id="11"/>
    <w:p>
      <w:pPr>
        <w:ind w:left="1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18" w:lineRule="exact"/>
        <w:rPr>
          <w:sz w:val="20"/>
          <w:szCs w:val="20"/>
          <w:color w:val="auto"/>
        </w:rPr>
      </w:pPr>
    </w:p>
    <w:p>
      <w:pPr>
        <w:ind w:left="10" w:right="3980"/>
        <w:spacing w:after="0" w:line="279" w:lineRule="auto"/>
        <w:rPr>
          <w:sz w:val="20"/>
          <w:szCs w:val="20"/>
          <w:color w:val="auto"/>
        </w:rPr>
      </w:pPr>
      <w:r>
        <w:rPr>
          <w:rFonts w:ascii="Arial" w:cs="Arial" w:eastAsia="Arial" w:hAnsi="Arial"/>
          <w:sz w:val="36"/>
          <w:szCs w:val="36"/>
          <w:color w:val="auto"/>
        </w:rPr>
        <w:t>Proposals to Be Voted on at Meeting Proposal No. 1</w:t>
      </w:r>
    </w:p>
    <w:p>
      <w:pPr>
        <w:spacing w:after="0" w:line="144"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Election of Directors</w:t>
      </w:r>
    </w:p>
    <w:p>
      <w:pPr>
        <w:spacing w:after="0" w:line="164" w:lineRule="exact"/>
        <w:rPr>
          <w:sz w:val="20"/>
          <w:szCs w:val="20"/>
          <w:color w:val="auto"/>
        </w:rPr>
      </w:pPr>
    </w:p>
    <w:p>
      <w:pPr>
        <w:jc w:val="both"/>
        <w:ind w:left="10"/>
        <w:spacing w:after="0"/>
        <w:rPr>
          <w:sz w:val="20"/>
          <w:szCs w:val="20"/>
          <w:color w:val="auto"/>
        </w:rPr>
      </w:pPr>
      <w:r>
        <w:rPr>
          <w:rFonts w:ascii="Arial" w:cs="Arial" w:eastAsia="Arial" w:hAnsi="Arial"/>
          <w:sz w:val="18"/>
          <w:szCs w:val="18"/>
          <w:color w:val="auto"/>
        </w:rPr>
        <w:t>The Board of Directors (the “Board”) has nominated Bernardo Hees, Jagdeep Pahwa, Anu Hariharan, Lynn Krominga, Glenn Lurie and Karthik Sarma to be elected at the 2022 Annual Meeting of Shareholders (the “Meeting”) to serve as directors for a one-year term ending at the 2023 annual meeting of shareholders and until his or her successor is duly elected and qualified or until his or her earlier resignation or removal. The nominations of Mr. Pahwa and Mr. Sarma are in accordance with the terms of the Third Amended and Restated Cooperation Agreement (as amended through the date hereof, the “Cooperation Agreement”), dated as of February 23, 2020, between the Company and SRS and certain of its affiliates.</w:t>
      </w:r>
    </w:p>
    <w:p>
      <w:pPr>
        <w:spacing w:after="0" w:line="179"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Biographical Information for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2407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84" w:lineRule="exact"/>
        <w:rPr>
          <w:sz w:val="20"/>
          <w:szCs w:val="20"/>
          <w:color w:val="auto"/>
        </w:rPr>
      </w:pPr>
    </w:p>
    <w:p>
      <w:pPr>
        <w:jc w:val="both"/>
        <w:ind w:left="10" w:right="20"/>
        <w:spacing w:after="0" w:line="253" w:lineRule="auto"/>
        <w:rPr>
          <w:sz w:val="20"/>
          <w:szCs w:val="20"/>
          <w:color w:val="auto"/>
        </w:rPr>
      </w:pPr>
      <w:r>
        <w:rPr>
          <w:rFonts w:ascii="Arial" w:cs="Arial" w:eastAsia="Arial" w:hAnsi="Arial"/>
          <w:sz w:val="18"/>
          <w:szCs w:val="18"/>
          <w:color w:val="auto"/>
        </w:rPr>
        <w:t>The following material contains information concerning the Board’s nominees, including their period of service as a director, their recent employment, other directorships, including those held during the past five years with a public company or registered investment company, and age as of the Meeting.</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22"/>
          <w:szCs w:val="22"/>
          <w:b w:val="1"/>
          <w:bCs w:val="1"/>
          <w:i w:val="1"/>
          <w:iCs w:val="1"/>
          <w:color w:val="auto"/>
        </w:rPr>
        <w:t>BERNARDO 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2407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6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Executive Chairman of the Board</w:t>
      </w:r>
    </w:p>
    <w:p>
      <w:pPr>
        <w:spacing w:after="0" w:line="131" w:lineRule="exact"/>
        <w:rPr>
          <w:sz w:val="20"/>
          <w:szCs w:val="20"/>
          <w:color w:val="auto"/>
        </w:rPr>
      </w:pPr>
    </w:p>
    <w:p>
      <w:pPr>
        <w:jc w:val="both"/>
        <w:ind w:left="10"/>
        <w:spacing w:after="0"/>
        <w:rPr>
          <w:sz w:val="20"/>
          <w:szCs w:val="20"/>
          <w:color w:val="auto"/>
        </w:rPr>
      </w:pPr>
      <w:r>
        <w:rPr>
          <w:rFonts w:ascii="Arial" w:cs="Arial" w:eastAsia="Arial" w:hAnsi="Arial"/>
          <w:sz w:val="18"/>
          <w:szCs w:val="18"/>
          <w:b w:val="1"/>
          <w:bCs w:val="1"/>
          <w:color w:val="auto"/>
        </w:rPr>
        <w:t>Mr. Hees</w:t>
      </w:r>
      <w:r>
        <w:rPr>
          <w:rFonts w:ascii="Arial" w:cs="Arial" w:eastAsia="Arial" w:hAnsi="Arial"/>
          <w:sz w:val="18"/>
          <w:szCs w:val="18"/>
          <w:color w:val="auto"/>
        </w:rPr>
        <w:t>, age 52, has been a director since February 2020 and Executive Chairman since July 2020. Previously, Mr. Hees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Chief Executive Officer of The Kraft Heinz Company from 2015 to June 2019. He served as Chief Executive Officer of H.J. Heinz Holding Corporation from 2013 until its merger with Kraft Foods Group in 2015. From 2010 to 2013, Mr. Hees served as Chief Executive Officer of Burger King Worldwide Holdings, Inc., a global fast food restaurant chain, and Burger King Worldwide, Inc. from 2012 to 2013. From 2005 to 2010, he was Chief Executive Officer of América Latina Logística, a Brazilian logistics company. Mr. Hees was also a partner at 3G Capital, a global investment firm, from 2010 to 2019. Mr. Hees is also a director of Bunge Limited, which files reports pursuant to the Exchange Act of 1934, as amended (the “Exchange Act”).</w:t>
      </w:r>
    </w:p>
    <w:p>
      <w:pPr>
        <w:spacing w:after="0" w:line="32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04" w:lineRule="exact"/>
        <w:rPr>
          <w:sz w:val="20"/>
          <w:szCs w:val="20"/>
          <w:color w:val="auto"/>
        </w:rPr>
      </w:pPr>
    </w:p>
    <w:p>
      <w:pPr>
        <w:ind w:left="350" w:hanging="350"/>
        <w:spacing w:after="0"/>
        <w:tabs>
          <w:tab w:leader="none" w:pos="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Chief Executive Officer experience</w:t>
      </w:r>
    </w:p>
    <w:p>
      <w:pPr>
        <w:spacing w:after="0" w:line="103" w:lineRule="exact"/>
        <w:rPr>
          <w:rFonts w:ascii="Arial" w:cs="Arial" w:eastAsia="Arial" w:hAnsi="Arial"/>
          <w:sz w:val="18"/>
          <w:szCs w:val="18"/>
          <w:color w:val="auto"/>
        </w:rPr>
      </w:pPr>
    </w:p>
    <w:p>
      <w:pPr>
        <w:ind w:left="350" w:hanging="350"/>
        <w:spacing w:after="0"/>
        <w:tabs>
          <w:tab w:leader="none" w:pos="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103" w:lineRule="exact"/>
        <w:rPr>
          <w:rFonts w:ascii="Arial" w:cs="Arial" w:eastAsia="Arial" w:hAnsi="Arial"/>
          <w:sz w:val="18"/>
          <w:szCs w:val="18"/>
          <w:color w:val="auto"/>
        </w:rPr>
      </w:pPr>
    </w:p>
    <w:p>
      <w:pPr>
        <w:ind w:left="350" w:hanging="350"/>
        <w:spacing w:after="0"/>
        <w:tabs>
          <w:tab w:leader="none" w:pos="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103" w:lineRule="exact"/>
        <w:rPr>
          <w:rFonts w:ascii="Arial" w:cs="Arial" w:eastAsia="Arial" w:hAnsi="Arial"/>
          <w:sz w:val="18"/>
          <w:szCs w:val="18"/>
          <w:color w:val="auto"/>
        </w:rPr>
      </w:pPr>
    </w:p>
    <w:p>
      <w:pPr>
        <w:ind w:left="350" w:hanging="350"/>
        <w:spacing w:after="0"/>
        <w:tabs>
          <w:tab w:leader="none" w:pos="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204" w:lineRule="exact"/>
        <w:rPr>
          <w:sz w:val="20"/>
          <w:szCs w:val="20"/>
          <w:color w:val="auto"/>
        </w:rPr>
      </w:pPr>
    </w:p>
    <w:p>
      <w:pPr>
        <w:ind w:left="10"/>
        <w:spacing w:after="0"/>
        <w:rPr>
          <w:sz w:val="20"/>
          <w:szCs w:val="20"/>
          <w:color w:val="auto"/>
        </w:rPr>
      </w:pPr>
      <w:r>
        <w:rPr>
          <w:rFonts w:ascii="Arial" w:cs="Arial" w:eastAsia="Arial" w:hAnsi="Arial"/>
          <w:sz w:val="22"/>
          <w:szCs w:val="22"/>
          <w:b w:val="1"/>
          <w:bCs w:val="1"/>
          <w:i w:val="1"/>
          <w:iCs w:val="1"/>
          <w:color w:val="auto"/>
        </w:rPr>
        <w:t>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2407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5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Vice Chairman of the Board</w:t>
      </w:r>
    </w:p>
    <w:p>
      <w:pPr>
        <w:spacing w:after="0" w:line="144"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b w:val="1"/>
          <w:bCs w:val="1"/>
          <w:color w:val="auto"/>
        </w:rPr>
        <w:t>Mr. Pahwa</w:t>
      </w:r>
      <w:r>
        <w:rPr>
          <w:rFonts w:ascii="Arial" w:cs="Arial" w:eastAsia="Arial" w:hAnsi="Arial"/>
          <w:sz w:val="18"/>
          <w:szCs w:val="18"/>
          <w:color w:val="auto"/>
        </w:rPr>
        <w:t>, age 48, has been a director since April 2018 and Vice Chairman since February 2020. Mr. Pahwa has been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SRS Investment Management, LLC since 2017 and has led SRS’s private equity business since 2006. Previously, Mr. Pahwa worked at McKinsey &amp; Company in the U.S. and India, where he led client engagements in the telecom, technology and real estate sectors. Prior thereto, Mr. Pahwa worked in the Mergers &amp; Acquisitions group of Lehman Brothers in New York. Mr. Pahwa received a Bachelor of Technology from the Indian Institute of Technology, Delhi, and an M.S. from Princeton University and an M.B.A. from Harvard Business School.</w:t>
      </w:r>
    </w:p>
    <w:p>
      <w:pPr>
        <w:spacing w:after="0" w:line="32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04" w:lineRule="exact"/>
        <w:rPr>
          <w:sz w:val="20"/>
          <w:szCs w:val="20"/>
          <w:color w:val="auto"/>
        </w:rPr>
      </w:pPr>
    </w:p>
    <w:p>
      <w:pPr>
        <w:ind w:left="350" w:hanging="350"/>
        <w:spacing w:after="0"/>
        <w:tabs>
          <w:tab w:leader="none" w:pos="35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and investment expertise</w:t>
      </w:r>
    </w:p>
    <w:p>
      <w:pPr>
        <w:spacing w:after="0" w:line="103" w:lineRule="exact"/>
        <w:rPr>
          <w:rFonts w:ascii="Arial" w:cs="Arial" w:eastAsia="Arial" w:hAnsi="Arial"/>
          <w:sz w:val="18"/>
          <w:szCs w:val="18"/>
          <w:color w:val="auto"/>
        </w:rPr>
      </w:pPr>
    </w:p>
    <w:p>
      <w:pPr>
        <w:ind w:left="350" w:hanging="350"/>
        <w:spacing w:after="0"/>
        <w:tabs>
          <w:tab w:leader="none" w:pos="35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Advisory experience in business strategy and growth</w:t>
      </w:r>
    </w:p>
    <w:p>
      <w:pPr>
        <w:spacing w:after="0" w:line="103" w:lineRule="exact"/>
        <w:rPr>
          <w:rFonts w:ascii="Arial" w:cs="Arial" w:eastAsia="Arial" w:hAnsi="Arial"/>
          <w:sz w:val="18"/>
          <w:szCs w:val="18"/>
          <w:color w:val="auto"/>
        </w:rPr>
      </w:pPr>
    </w:p>
    <w:p>
      <w:pPr>
        <w:ind w:left="350" w:hanging="350"/>
        <w:spacing w:after="0"/>
        <w:tabs>
          <w:tab w:leader="none" w:pos="35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Broad international experience and understanding of the technology sector</w:t>
      </w:r>
    </w:p>
    <w:p>
      <w:pPr>
        <w:spacing w:after="0" w:line="103" w:lineRule="exact"/>
        <w:rPr>
          <w:rFonts w:ascii="Arial" w:cs="Arial" w:eastAsia="Arial" w:hAnsi="Arial"/>
          <w:sz w:val="18"/>
          <w:szCs w:val="18"/>
          <w:color w:val="auto"/>
        </w:rPr>
      </w:pPr>
    </w:p>
    <w:p>
      <w:pPr>
        <w:ind w:left="350" w:hanging="350"/>
        <w:spacing w:after="0"/>
        <w:tabs>
          <w:tab w:leader="none" w:pos="35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Diverse personal background</w:t>
      </w:r>
    </w:p>
    <w:p>
      <w:pPr>
        <w:sectPr>
          <w:pgSz w:w="11900" w:h="16838" w:orient="portrait"/>
          <w:cols w:equalWidth="0" w:num="1">
            <w:col w:w="9830"/>
          </w:cols>
          <w:pgMar w:left="1030" w:top="263" w:right="1039" w:bottom="1440" w:gutter="0" w:footer="0" w:header="0"/>
        </w:sectPr>
      </w:pPr>
    </w:p>
    <w:p>
      <w:pPr>
        <w:spacing w:after="0" w:line="320"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161925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type w:val="continuous"/>
        </w:sectPr>
      </w:pPr>
    </w:p>
    <w:bookmarkStart w:id="12" w:name="page13"/>
    <w:bookmarkEnd w:id="12"/>
    <w:p>
      <w:pPr>
        <w:ind w:left="1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10"/>
        <w:spacing w:after="0"/>
        <w:rPr>
          <w:sz w:val="20"/>
          <w:szCs w:val="20"/>
          <w:color w:val="auto"/>
        </w:rPr>
      </w:pPr>
      <w:r>
        <w:rPr>
          <w:rFonts w:ascii="Arial" w:cs="Arial" w:eastAsia="Arial" w:hAnsi="Arial"/>
          <w:sz w:val="22"/>
          <w:szCs w:val="22"/>
          <w:b w:val="1"/>
          <w:bCs w:val="1"/>
          <w:i w:val="1"/>
          <w:iCs w:val="1"/>
          <w:color w:val="auto"/>
        </w:rPr>
        <w:t>ANU HARIHARAN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240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6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Board Committees: Audit</w:t>
      </w:r>
    </w:p>
    <w:p>
      <w:pPr>
        <w:spacing w:after="0" w:line="131" w:lineRule="exact"/>
        <w:rPr>
          <w:sz w:val="20"/>
          <w:szCs w:val="20"/>
          <w:color w:val="auto"/>
        </w:rPr>
      </w:pPr>
    </w:p>
    <w:p>
      <w:pPr>
        <w:jc w:val="both"/>
        <w:ind w:left="10"/>
        <w:spacing w:after="0"/>
        <w:rPr>
          <w:sz w:val="20"/>
          <w:szCs w:val="20"/>
          <w:color w:val="auto"/>
        </w:rPr>
      </w:pPr>
      <w:r>
        <w:rPr>
          <w:rFonts w:ascii="Arial" w:cs="Arial" w:eastAsia="Arial" w:hAnsi="Arial"/>
          <w:sz w:val="18"/>
          <w:szCs w:val="18"/>
          <w:b w:val="1"/>
          <w:bCs w:val="1"/>
          <w:color w:val="auto"/>
        </w:rPr>
        <w:t>Ms. Hariharan</w:t>
      </w:r>
      <w:r>
        <w:rPr>
          <w:rFonts w:ascii="Arial" w:cs="Arial" w:eastAsia="Arial" w:hAnsi="Arial"/>
          <w:sz w:val="18"/>
          <w:szCs w:val="18"/>
          <w:color w:val="auto"/>
        </w:rPr>
        <w:t>, age 41, has been a director since January 2022. Ms. Hariharan is a Partner at Y Combinator’s Continuity</w:t>
      </w:r>
      <w:r>
        <w:rPr>
          <w:rFonts w:ascii="Arial" w:cs="Arial" w:eastAsia="Arial" w:hAnsi="Arial"/>
          <w:sz w:val="18"/>
          <w:szCs w:val="18"/>
          <w:b w:val="1"/>
          <w:bCs w:val="1"/>
          <w:color w:val="auto"/>
        </w:rPr>
        <w:t xml:space="preserve"> </w:t>
      </w:r>
      <w:r>
        <w:rPr>
          <w:rFonts w:ascii="Arial" w:cs="Arial" w:eastAsia="Arial" w:hAnsi="Arial"/>
          <w:sz w:val="18"/>
          <w:szCs w:val="18"/>
          <w:color w:val="auto"/>
        </w:rPr>
        <w:t>Fund focused on growth stage investments, where she has led investments in Convoy, Brex, Gusto and Faire, among many others. Prior to joining Y Combinator in 2016, Ms. Hariharan was a Partner with the investment team at Andreessen Horowitz, from 2014 to 2016. Previously, Ms. Hariharan was a Principal with The Boston Consulting Group, from 2010 to 2014, and, prior to that, a senior software engineer with Qualcomm. Ms. Hariharan is a director of Altimeter Growth Corp. 2, a special purpose acquisition company listed on the New York Stock Exchange. Ms. Hariharan holds a B.E. from the National Institute of Technology Karnataka, an M.S. from Virginia Tech and an M.B.A. from The Wharton School at the University of Pennsylvania.</w:t>
      </w:r>
    </w:p>
    <w:p>
      <w:pPr>
        <w:spacing w:after="0" w:line="32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44" w:lineRule="exact"/>
        <w:rPr>
          <w:sz w:val="20"/>
          <w:szCs w:val="20"/>
          <w:color w:val="auto"/>
        </w:rPr>
      </w:pPr>
    </w:p>
    <w:p>
      <w:pPr>
        <w:ind w:left="350" w:hanging="350"/>
        <w:spacing w:after="0"/>
        <w:tabs>
          <w:tab w:leader="none" w:pos="3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Advisory experience in business strategy and growth</w:t>
      </w:r>
    </w:p>
    <w:p>
      <w:pPr>
        <w:spacing w:after="0" w:line="130" w:lineRule="exact"/>
        <w:rPr>
          <w:rFonts w:ascii="Arial" w:cs="Arial" w:eastAsia="Arial" w:hAnsi="Arial"/>
          <w:sz w:val="18"/>
          <w:szCs w:val="18"/>
          <w:color w:val="auto"/>
        </w:rPr>
      </w:pPr>
    </w:p>
    <w:p>
      <w:pPr>
        <w:ind w:left="350" w:hanging="350"/>
        <w:spacing w:after="0"/>
        <w:tabs>
          <w:tab w:leader="none" w:pos="3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and technology experience</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204" w:lineRule="exact"/>
        <w:rPr>
          <w:sz w:val="20"/>
          <w:szCs w:val="20"/>
          <w:color w:val="auto"/>
        </w:rPr>
      </w:pPr>
    </w:p>
    <w:p>
      <w:pPr>
        <w:ind w:left="10"/>
        <w:spacing w:after="0"/>
        <w:rPr>
          <w:sz w:val="20"/>
          <w:szCs w:val="20"/>
          <w:color w:val="auto"/>
        </w:rPr>
      </w:pPr>
      <w:r>
        <w:rPr>
          <w:rFonts w:ascii="Arial" w:cs="Arial" w:eastAsia="Arial" w:hAnsi="Arial"/>
          <w:sz w:val="22"/>
          <w:szCs w:val="22"/>
          <w:b w:val="1"/>
          <w:bCs w:val="1"/>
          <w:i w:val="1"/>
          <w:iCs w:val="1"/>
          <w:color w:val="auto"/>
        </w:rPr>
        <w:t>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240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5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Board Committees: Audit, Compensation, Corporate Governance (Chair)</w:t>
      </w:r>
    </w:p>
    <w:p>
      <w:pPr>
        <w:spacing w:after="0" w:line="144" w:lineRule="exact"/>
        <w:rPr>
          <w:sz w:val="20"/>
          <w:szCs w:val="20"/>
          <w:color w:val="auto"/>
        </w:rPr>
      </w:pPr>
    </w:p>
    <w:p>
      <w:pPr>
        <w:jc w:val="both"/>
        <w:ind w:left="10"/>
        <w:spacing w:after="0" w:line="237" w:lineRule="auto"/>
        <w:rPr>
          <w:sz w:val="20"/>
          <w:szCs w:val="20"/>
          <w:color w:val="auto"/>
        </w:rPr>
      </w:pPr>
      <w:r>
        <w:rPr>
          <w:rFonts w:ascii="Arial" w:cs="Arial" w:eastAsia="Arial" w:hAnsi="Arial"/>
          <w:sz w:val="18"/>
          <w:szCs w:val="18"/>
          <w:b w:val="1"/>
          <w:bCs w:val="1"/>
          <w:color w:val="auto"/>
        </w:rPr>
        <w:t>Ms. Krominga</w:t>
      </w:r>
      <w:r>
        <w:rPr>
          <w:rFonts w:ascii="Arial" w:cs="Arial" w:eastAsia="Arial" w:hAnsi="Arial"/>
          <w:sz w:val="18"/>
          <w:szCs w:val="18"/>
          <w:color w:val="auto"/>
        </w:rPr>
        <w:t>, age 71, has been a director since October 2006. Ms. Krominga is an attorney, management consultant and</w:t>
      </w:r>
      <w:r>
        <w:rPr>
          <w:rFonts w:ascii="Arial" w:cs="Arial" w:eastAsia="Arial" w:hAnsi="Arial"/>
          <w:sz w:val="18"/>
          <w:szCs w:val="18"/>
          <w:b w:val="1"/>
          <w:bCs w:val="1"/>
          <w:color w:val="auto"/>
        </w:rPr>
        <w:t xml:space="preserve"> </w:t>
      </w:r>
      <w:r>
        <w:rPr>
          <w:rFonts w:ascii="Arial" w:cs="Arial" w:eastAsia="Arial" w:hAnsi="Arial"/>
          <w:sz w:val="18"/>
          <w:szCs w:val="18"/>
          <w:color w:val="auto"/>
        </w:rPr>
        <w:t>former senior executive of global businesses. Ms. Krominga has served on the boards of directors of public, private and not-for-profit companies, as well as advisory boards of start-up and early stage technology and personal care businesses in the U.S. and abroad. Since 1999, she has been a consultant to private equity, venture capital, hedge funds and angel investors, in which capacity she served in a number of operating and board roles, including Chief Executive Officer of Fashion Wire Daily, Inc.; director and audit committee member of AHAVA Dead Sea Laboratories, Ltd. (a global cosmeceuticals business); advisor to London-based Apax Partners for acquisitions in Israel and the United States; director of StructuredWeb, Inc; board of advisors of Makeover Studios, Inc.; General Manager-North America of Electric Fuel, Inc. (an early stage fuel cell-based technology business); and Internet Consultant for private websites in the U.S. and Europe. From 2007 until January 2013, Ms. Krominga served as a director of publicly traded Sunrise Senior Living, Inc., one of the world’s largest assisted living companies, with operations in the U.S., Canada, the U.K. and Germany. From March through November 2008, she served as Chairman of the Board of Sunrise Senior Living and as Lead Director thereafter until January 2013 (when the company was sold). She also served as Chairman of the Compensation Committee (2008-2011), and as a member of the Audit, Compensation and Governance Committees from 2007-2013. Ms. Krominga is the former President of the Revlon and Coleman Worldwide Licensing Divisions, and previously served as General Counsel and International Counsel for Revlon’s global operations. Prior to joining Revlon, she was Senior Counsel at American Express Company and an associate at Cleary, Gottlieb, Steen &amp; Hamilton.</w:t>
      </w:r>
    </w:p>
    <w:p>
      <w:pPr>
        <w:spacing w:after="0" w:line="33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31" w:lineRule="exact"/>
        <w:rPr>
          <w:sz w:val="20"/>
          <w:szCs w:val="20"/>
          <w:color w:val="auto"/>
        </w:rPr>
      </w:pPr>
    </w:p>
    <w:p>
      <w:pPr>
        <w:ind w:left="350" w:hanging="350"/>
        <w:spacing w:after="0"/>
        <w:tabs>
          <w:tab w:leader="none" w:pos="3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legal, governance, licensing, technology and regulatory expertise</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management experience and financial expertise</w:t>
      </w:r>
    </w:p>
    <w:p>
      <w:pPr>
        <w:spacing w:after="0" w:line="130" w:lineRule="exact"/>
        <w:rPr>
          <w:rFonts w:ascii="Arial" w:cs="Arial" w:eastAsia="Arial" w:hAnsi="Arial"/>
          <w:sz w:val="18"/>
          <w:szCs w:val="18"/>
          <w:color w:val="auto"/>
        </w:rPr>
      </w:pPr>
    </w:p>
    <w:p>
      <w:pPr>
        <w:ind w:left="350" w:hanging="350"/>
        <w:spacing w:after="0"/>
        <w:tabs>
          <w:tab w:leader="none" w:pos="3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32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13" w:name="page14"/>
    <w:bookmarkEnd w:id="13"/>
    <w:p>
      <w:pPr>
        <w:ind w:left="1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48" w:lineRule="exact"/>
        <w:rPr>
          <w:sz w:val="20"/>
          <w:szCs w:val="20"/>
          <w:color w:val="auto"/>
        </w:rPr>
      </w:pPr>
    </w:p>
    <w:p>
      <w:pPr>
        <w:ind w:left="10"/>
        <w:spacing w:after="0"/>
        <w:rPr>
          <w:sz w:val="20"/>
          <w:szCs w:val="20"/>
          <w:color w:val="auto"/>
        </w:rPr>
      </w:pPr>
      <w:r>
        <w:rPr>
          <w:rFonts w:ascii="Arial" w:cs="Arial" w:eastAsia="Arial" w:hAnsi="Arial"/>
          <w:sz w:val="22"/>
          <w:szCs w:val="22"/>
          <w:b w:val="1"/>
          <w:bCs w:val="1"/>
          <w:i w:val="1"/>
          <w:iCs w:val="1"/>
          <w:color w:val="auto"/>
        </w:rPr>
        <w:t>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2407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6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Board Committees: Audit (Chair), Compensation</w:t>
      </w:r>
    </w:p>
    <w:p>
      <w:pPr>
        <w:spacing w:after="0" w:line="131" w:lineRule="exact"/>
        <w:rPr>
          <w:sz w:val="20"/>
          <w:szCs w:val="20"/>
          <w:color w:val="auto"/>
        </w:rPr>
      </w:pPr>
    </w:p>
    <w:p>
      <w:pPr>
        <w:jc w:val="both"/>
        <w:ind w:left="10"/>
        <w:spacing w:after="0" w:line="237" w:lineRule="auto"/>
        <w:rPr>
          <w:sz w:val="20"/>
          <w:szCs w:val="20"/>
          <w:color w:val="auto"/>
        </w:rPr>
      </w:pPr>
      <w:r>
        <w:rPr>
          <w:rFonts w:ascii="Arial" w:cs="Arial" w:eastAsia="Arial" w:hAnsi="Arial"/>
          <w:sz w:val="18"/>
          <w:szCs w:val="18"/>
          <w:b w:val="1"/>
          <w:bCs w:val="1"/>
          <w:color w:val="auto"/>
        </w:rPr>
        <w:t>Mr. Lurie</w:t>
      </w:r>
      <w:r>
        <w:rPr>
          <w:rFonts w:ascii="Arial" w:cs="Arial" w:eastAsia="Arial" w:hAnsi="Arial"/>
          <w:sz w:val="18"/>
          <w:szCs w:val="18"/>
          <w:color w:val="auto"/>
        </w:rPr>
        <w:t>, age 56, has been a director since May 2018. Mr. Lurie was the President and Chief Executive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Synchronoss Technologies, Inc. from 2017 to 2020. Prior to joining Synchronoss, Mr. Lurie was employed by AT&amp;T for 27+ years and was President and Chief Executive Officer of AT&amp;T Mobility and Consumer Operations when he retired in September of 2017. Mr. Lurie helped usher in the smartphone era by leading negotiations for AT&amp;T with Apple for the first iPhone and then for the first iPad. He built three groundbreaking businesses at AT&amp;T: IoT (Internet of Things) business – bringing wireless connectivity to tablets, cars, connected cities and consumer electronics; Digital Life – AT&amp;T’s home automation and security business; and the launch of Aio Wireless – now Cricket Wireless, the company’s industry-leading prepaid flanker brand. At AT&amp;T, Mr. Lurie served in a variety of leadership roles, including as President and Chief Executive Officer of Mobility and Consumer Operations from 2016 to 2017, President and Chief Executive Officer of AT&amp;T Mobility from 2014 to 2016, President of Emerging Enterprises and Partnerships Organization from 2011 to 2014 and President of Emerging Devices Organization (now IoT Organization) from 2008 to 2011. Mr. Lurie previously served as a director of Synchronoss, which files reports pursuant to the Exchange Act. Mr. Lurie also serves as a director of Teal Communications, a global eSIM and IoT connectivity platform provider; Blue Link Wireless, an AT&amp;T Authorized Dealer and service provider; and Pivotal Commware, Inc., which develops 5G network platforms, services and applications.</w:t>
      </w:r>
    </w:p>
    <w:p>
      <w:pPr>
        <w:spacing w:after="0" w:line="33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44" w:lineRule="exact"/>
        <w:rPr>
          <w:sz w:val="20"/>
          <w:szCs w:val="20"/>
          <w:color w:val="auto"/>
        </w:rPr>
      </w:pPr>
    </w:p>
    <w:p>
      <w:pPr>
        <w:ind w:left="350" w:hanging="350"/>
        <w:spacing w:after="0"/>
        <w:tabs>
          <w:tab w:leader="none" w:pos="3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Chief Executive Officer experience</w:t>
      </w:r>
    </w:p>
    <w:p>
      <w:pPr>
        <w:spacing w:after="0" w:line="130" w:lineRule="exact"/>
        <w:rPr>
          <w:rFonts w:ascii="Arial" w:cs="Arial" w:eastAsia="Arial" w:hAnsi="Arial"/>
          <w:sz w:val="18"/>
          <w:szCs w:val="18"/>
          <w:color w:val="auto"/>
        </w:rPr>
      </w:pPr>
    </w:p>
    <w:p>
      <w:pPr>
        <w:ind w:left="350" w:hanging="350"/>
        <w:spacing w:after="0"/>
        <w:tabs>
          <w:tab w:leader="none" w:pos="3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operations, strategy, and business development experience</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204" w:lineRule="exact"/>
        <w:rPr>
          <w:sz w:val="20"/>
          <w:szCs w:val="20"/>
          <w:color w:val="auto"/>
        </w:rPr>
      </w:pPr>
    </w:p>
    <w:p>
      <w:pPr>
        <w:ind w:left="10"/>
        <w:spacing w:after="0"/>
        <w:rPr>
          <w:sz w:val="20"/>
          <w:szCs w:val="20"/>
          <w:color w:val="auto"/>
        </w:rPr>
      </w:pPr>
      <w:r>
        <w:rPr>
          <w:rFonts w:ascii="Arial" w:cs="Arial" w:eastAsia="Arial" w:hAnsi="Arial"/>
          <w:sz w:val="22"/>
          <w:szCs w:val="22"/>
          <w:b w:val="1"/>
          <w:bCs w:val="1"/>
          <w:i w:val="1"/>
          <w:iCs w:val="1"/>
          <w:color w:val="auto"/>
        </w:rPr>
        <w:t>KARTHIK SARMA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2407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5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Board Committees: Compensation (Chair), Corporate Governance</w:t>
      </w:r>
    </w:p>
    <w:p>
      <w:pPr>
        <w:spacing w:after="0" w:line="144"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b w:val="1"/>
          <w:bCs w:val="1"/>
          <w:color w:val="auto"/>
        </w:rPr>
        <w:t>Mr. Sarma</w:t>
      </w:r>
      <w:r>
        <w:rPr>
          <w:rFonts w:ascii="Arial" w:cs="Arial" w:eastAsia="Arial" w:hAnsi="Arial"/>
          <w:sz w:val="18"/>
          <w:szCs w:val="18"/>
          <w:color w:val="auto"/>
        </w:rPr>
        <w:t>, age 47, has been a director since May 2020. Mr. Sarma is the Managing Partner at SRS, which he founded in</w:t>
      </w:r>
      <w:r>
        <w:rPr>
          <w:rFonts w:ascii="Arial" w:cs="Arial" w:eastAsia="Arial" w:hAnsi="Arial"/>
          <w:sz w:val="18"/>
          <w:szCs w:val="18"/>
          <w:b w:val="1"/>
          <w:bCs w:val="1"/>
          <w:color w:val="auto"/>
        </w:rPr>
        <w:t xml:space="preserve"> </w:t>
      </w:r>
      <w:r>
        <w:rPr>
          <w:rFonts w:ascii="Arial" w:cs="Arial" w:eastAsia="Arial" w:hAnsi="Arial"/>
          <w:sz w:val="18"/>
          <w:szCs w:val="18"/>
          <w:color w:val="auto"/>
        </w:rPr>
        <w:t>2006. Prior to founding SRS, Mr. Sarma was a Managing Director at Tiger Global Management, LLC, which he joined within a few months of its launch in 2001. Prior to joining Tiger Global, Mr. Sarma worked as a consultant at McKinsey &amp; Company in its New York office. Mr. Sarma received a Bachelor of Technology from the Indian Institute of Technology, Chennai and an M.S. from Princeton University.</w:t>
      </w:r>
    </w:p>
    <w:p>
      <w:pPr>
        <w:spacing w:after="0" w:line="32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31" w:lineRule="exact"/>
        <w:rPr>
          <w:sz w:val="20"/>
          <w:szCs w:val="20"/>
          <w:color w:val="auto"/>
        </w:rPr>
      </w:pPr>
    </w:p>
    <w:p>
      <w:pPr>
        <w:ind w:left="350" w:hanging="350"/>
        <w:spacing w:after="0"/>
        <w:tabs>
          <w:tab w:leader="none" w:pos="3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the technology sector</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and investment expertise</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providing strategic and operational advice</w:t>
      </w:r>
    </w:p>
    <w:p>
      <w:pPr>
        <w:spacing w:after="0" w:line="130" w:lineRule="exact"/>
        <w:rPr>
          <w:rFonts w:ascii="Arial" w:cs="Arial" w:eastAsia="Arial" w:hAnsi="Arial"/>
          <w:sz w:val="18"/>
          <w:szCs w:val="18"/>
          <w:color w:val="auto"/>
        </w:rPr>
      </w:pPr>
    </w:p>
    <w:p>
      <w:pPr>
        <w:ind w:left="350" w:hanging="350"/>
        <w:spacing w:after="0"/>
        <w:tabs>
          <w:tab w:leader="none" w:pos="3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354"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2407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84" w:lineRule="exact"/>
        <w:rPr>
          <w:sz w:val="20"/>
          <w:szCs w:val="20"/>
          <w:color w:val="auto"/>
        </w:rPr>
      </w:pPr>
    </w:p>
    <w:p>
      <w:pPr>
        <w:ind w:left="10"/>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For additional information regarding the director nomination process, please see the section titled “Director Nomination Procedures” on page </w:t>
      </w:r>
      <w:hyperlink w:anchor="page18">
        <w:r>
          <w:rPr>
            <w:rFonts w:ascii="Arial" w:cs="Arial" w:eastAsia="Arial" w:hAnsi="Arial"/>
            <w:sz w:val="18"/>
            <w:szCs w:val="18"/>
            <w:u w:val="single" w:color="auto"/>
            <w:color w:val="0000EE"/>
          </w:rPr>
          <w:t>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
        <w:spacing w:after="0"/>
        <w:rPr>
          <w:sz w:val="20"/>
          <w:szCs w:val="20"/>
          <w:color w:val="auto"/>
        </w:rPr>
      </w:pPr>
      <w:r>
        <w:rPr>
          <w:rFonts w:ascii="Arial" w:cs="Arial" w:eastAsia="Arial" w:hAnsi="Arial"/>
          <w:sz w:val="22"/>
          <w:szCs w:val="22"/>
          <w:b w:val="1"/>
          <w:bCs w:val="1"/>
          <w:color w:val="auto"/>
        </w:rPr>
        <w:t>THE BOARD OF DIRECTORS RECOMMENDS A VOTE “FOR ALL” OF THE NOMINEES.</w:t>
      </w:r>
    </w:p>
    <w:p>
      <w:pPr>
        <w:spacing w:after="0" w:line="32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14" w:name="page15"/>
    <w:bookmarkEnd w:id="14"/>
    <w:p>
      <w:pPr>
        <w:ind w:left="1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18" w:lineRule="exact"/>
        <w:rPr>
          <w:sz w:val="20"/>
          <w:szCs w:val="20"/>
          <w:color w:val="auto"/>
        </w:rPr>
      </w:pPr>
    </w:p>
    <w:p>
      <w:pPr>
        <w:ind w:left="10"/>
        <w:spacing w:after="0"/>
        <w:rPr>
          <w:sz w:val="20"/>
          <w:szCs w:val="20"/>
          <w:color w:val="auto"/>
        </w:rPr>
      </w:pPr>
      <w:r>
        <w:rPr>
          <w:rFonts w:ascii="Arial" w:cs="Arial" w:eastAsia="Arial" w:hAnsi="Arial"/>
          <w:sz w:val="36"/>
          <w:szCs w:val="36"/>
          <w:color w:val="auto"/>
        </w:rPr>
        <w:t>Corporate Governance</w:t>
      </w:r>
    </w:p>
    <w:p>
      <w:pPr>
        <w:spacing w:after="0" w:line="274"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Functions and 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2407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98"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 xml:space="preserve">The Company’s corporate governance guidelines, director independence criteria, committee charters, codes of conduct and other documents setting forth the Company’s corporate governance practices can be accessed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auto"/>
        </w:rPr>
        <w:t>Director Independence</w:t>
      </w:r>
    </w:p>
    <w:p>
      <w:pPr>
        <w:spacing w:after="0" w:line="148" w:lineRule="exact"/>
        <w:rPr>
          <w:sz w:val="20"/>
          <w:szCs w:val="20"/>
          <w:color w:val="auto"/>
        </w:rPr>
      </w:pPr>
    </w:p>
    <w:p>
      <w:pPr>
        <w:jc w:val="both"/>
        <w:ind w:left="10"/>
        <w:spacing w:after="0"/>
        <w:rPr>
          <w:sz w:val="20"/>
          <w:szCs w:val="20"/>
          <w:color w:val="auto"/>
        </w:rPr>
      </w:pPr>
      <w:r>
        <w:rPr>
          <w:rFonts w:ascii="Arial" w:cs="Arial" w:eastAsia="Arial" w:hAnsi="Arial"/>
          <w:sz w:val="18"/>
          <w:szCs w:val="18"/>
          <w:color w:val="auto"/>
        </w:rPr>
        <w:t xml:space="preserve">To determine director independence, our Board of Directors reviews, among other things, commercial and charitable relationships of each director to evaluate such director’s independence in accordance with the listing standards of the Nasdaq Stock Market LLC (“Nasdaq”) and pursuant to our own director independence criteria, which are consistent with Nasdaq listing standards and can be accessed on our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In conducting its review, the Board of Directors considers a number of factors, including the director’s and his or her family members’ relationships with the Company and its subsidiaries, affiliates, executive officers and auditors and his or her relationships with foundations, universities and other non-profit organizations to which the Company has made a certain level of contributions during the past three years.</w:t>
      </w:r>
    </w:p>
    <w:p>
      <w:pPr>
        <w:spacing w:after="0" w:line="32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Independent Nominees</w:t>
      </w:r>
    </w:p>
    <w:p>
      <w:pPr>
        <w:spacing w:after="0" w:line="131" w:lineRule="exact"/>
        <w:rPr>
          <w:sz w:val="20"/>
          <w:szCs w:val="20"/>
          <w:color w:val="auto"/>
        </w:rPr>
      </w:pPr>
    </w:p>
    <w:p>
      <w:pPr>
        <w:jc w:val="both"/>
        <w:ind w:left="10" w:right="20"/>
        <w:spacing w:after="0" w:line="271" w:lineRule="auto"/>
        <w:rPr>
          <w:sz w:val="20"/>
          <w:szCs w:val="20"/>
          <w:color w:val="auto"/>
        </w:rPr>
      </w:pPr>
      <w:r>
        <w:rPr>
          <w:rFonts w:ascii="Arial" w:cs="Arial" w:eastAsia="Arial" w:hAnsi="Arial"/>
          <w:sz w:val="18"/>
          <w:szCs w:val="18"/>
          <w:color w:val="auto"/>
        </w:rPr>
        <w:t>After evaluating the factors described above, the Board of Directors has affirmatively determined that each of the following director nominees is independent in accordance with Nasdaq rules and our own director independence criteria.</w:t>
      </w:r>
    </w:p>
    <w:p>
      <w:pPr>
        <w:spacing w:after="0" w:line="73" w:lineRule="exact"/>
        <w:rPr>
          <w:sz w:val="20"/>
          <w:szCs w:val="20"/>
          <w:color w:val="auto"/>
        </w:rPr>
      </w:pPr>
    </w:p>
    <w:p>
      <w:pPr>
        <w:ind w:left="1850"/>
        <w:spacing w:after="0"/>
        <w:tabs>
          <w:tab w:leader="none" w:pos="5010" w:val="left"/>
        </w:tabs>
        <w:rPr>
          <w:sz w:val="20"/>
          <w:szCs w:val="20"/>
          <w:color w:val="auto"/>
        </w:rPr>
      </w:pPr>
      <w:r>
        <w:rPr>
          <w:rFonts w:ascii="Arial" w:cs="Arial" w:eastAsia="Arial" w:hAnsi="Arial"/>
          <w:sz w:val="18"/>
          <w:szCs w:val="18"/>
          <w:color w:val="auto"/>
        </w:rPr>
        <w:t>Lynn Krominga</w:t>
      </w:r>
      <w:r>
        <w:rPr>
          <w:sz w:val="20"/>
          <w:szCs w:val="20"/>
          <w:color w:val="auto"/>
        </w:rPr>
        <w:tab/>
      </w:r>
      <w:r>
        <w:rPr>
          <w:rFonts w:ascii="Arial" w:cs="Arial" w:eastAsia="Arial" w:hAnsi="Arial"/>
          <w:sz w:val="17"/>
          <w:szCs w:val="17"/>
          <w:color w:val="auto"/>
        </w:rPr>
        <w:t>Karthik Sarma</w:t>
      </w:r>
    </w:p>
    <w:p>
      <w:pPr>
        <w:spacing w:after="0" w:line="104" w:lineRule="exact"/>
        <w:rPr>
          <w:sz w:val="20"/>
          <w:szCs w:val="20"/>
          <w:color w:val="auto"/>
        </w:rPr>
      </w:pPr>
    </w:p>
    <w:p>
      <w:pPr>
        <w:ind w:left="1970"/>
        <w:spacing w:after="0"/>
        <w:tabs>
          <w:tab w:leader="none" w:pos="5010" w:val="left"/>
        </w:tabs>
        <w:rPr>
          <w:sz w:val="20"/>
          <w:szCs w:val="20"/>
          <w:color w:val="auto"/>
        </w:rPr>
      </w:pPr>
      <w:r>
        <w:rPr>
          <w:rFonts w:ascii="Arial" w:cs="Arial" w:eastAsia="Arial" w:hAnsi="Arial"/>
          <w:sz w:val="18"/>
          <w:szCs w:val="18"/>
          <w:color w:val="auto"/>
        </w:rPr>
        <w:t>Glenn Lurie</w:t>
      </w:r>
      <w:r>
        <w:rPr>
          <w:sz w:val="20"/>
          <w:szCs w:val="20"/>
          <w:color w:val="auto"/>
        </w:rPr>
        <w:tab/>
      </w:r>
      <w:r>
        <w:rPr>
          <w:rFonts w:ascii="Arial" w:cs="Arial" w:eastAsia="Arial" w:hAnsi="Arial"/>
          <w:sz w:val="17"/>
          <w:szCs w:val="17"/>
          <w:color w:val="auto"/>
        </w:rPr>
        <w:t>Anu Hariharan</w:t>
      </w:r>
    </w:p>
    <w:p>
      <w:pPr>
        <w:spacing w:after="0" w:line="239"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color w:val="auto"/>
        </w:rPr>
        <w:t>The Board has determined that Mr. Hees is not independent because of his status as Executive Chairman of the Board and that Mr. Pahwa is not independent because his brother-in-law is a partner at Deloitte Haskins &amp; Sells LLP, which is affiliated with Deloitte &amp; Touche, LLP, our independent auditor. All of the directors currently serving on our Corporate Governance Committee, Compensation Committee, and Audit Committee are independent based upon Nasdaq corporate governance listing standards and our own director independence criteria.</w:t>
      </w:r>
    </w:p>
    <w:p>
      <w:pPr>
        <w:spacing w:after="0" w:line="167"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auto"/>
        </w:rPr>
        <w:t>Board Leadership Structure</w:t>
      </w:r>
    </w:p>
    <w:p>
      <w:pPr>
        <w:spacing w:after="0" w:line="162" w:lineRule="exact"/>
        <w:rPr>
          <w:sz w:val="20"/>
          <w:szCs w:val="20"/>
          <w:color w:val="auto"/>
        </w:rPr>
      </w:pPr>
    </w:p>
    <w:p>
      <w:pPr>
        <w:ind w:left="10"/>
        <w:spacing w:after="0"/>
        <w:rPr>
          <w:sz w:val="20"/>
          <w:szCs w:val="20"/>
          <w:color w:val="auto"/>
        </w:rPr>
      </w:pPr>
      <w:r>
        <w:rPr>
          <w:rFonts w:ascii="Arial" w:cs="Arial" w:eastAsia="Arial" w:hAnsi="Arial"/>
          <w:sz w:val="18"/>
          <w:szCs w:val="18"/>
          <w:color w:val="auto"/>
        </w:rPr>
        <w:t>Our current Board leadership structure consists of:</w:t>
      </w:r>
    </w:p>
    <w:p>
      <w:pPr>
        <w:spacing w:after="0" w:line="131" w:lineRule="exact"/>
        <w:rPr>
          <w:sz w:val="20"/>
          <w:szCs w:val="20"/>
          <w:color w:val="auto"/>
        </w:rPr>
      </w:pPr>
    </w:p>
    <w:p>
      <w:pPr>
        <w:ind w:left="350" w:hanging="350"/>
        <w:spacing w:after="0"/>
        <w:tabs>
          <w:tab w:leader="none" w:pos="3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Chairman of the Board: Bernardo Hees;</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Vice Chairman of the Board: Jagdeep Pahwa; and</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Fully independent Compensation, Corporate Governance and Audit Committees.</w:t>
      </w:r>
    </w:p>
    <w:p>
      <w:pPr>
        <w:spacing w:after="0" w:line="131"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The Board of Directors is responsible for establishing and maintaining the most effective leadership structure for the Company. The Board regularly reviews its leadership structure to determine the most appropriate arrangement. The Board, which is comprised of individuals who have extensive experience with board processes, has determined that the current leadership structure, as described above, best serves the Company and its shareholders at this time.</w:t>
      </w:r>
    </w:p>
    <w:p>
      <w:pPr>
        <w:spacing w:after="0" w:line="106"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The roles of Chief Executive Officer and Chairman were separated in 2015. Mr. Hees was named Executive Chairman of the Board in July 2020, after having joined the Board as independent Board Chair in February 2020. Under the Company’s by-laws, the Board may elect one or more Vice Chairmen to preside at Board and stockholder meetings, in the absence of the Chairman of the Board, and to perform such other duties as may be delegated by the Board. The Board believes that Board leadership is enhanced by the appointment of a Vice Chairman, and appointed Mr. Pahwa as Vice Chairman in February 2020.</w:t>
      </w:r>
    </w:p>
    <w:p>
      <w:pPr>
        <w:spacing w:after="0" w:line="111"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To maintain flexibility in carrying out its responsibility with respect to leadership structure, the Board does not currently have a requirement that the roles of Chief Executive Officer and Chairman of the Board be separated, or if separated, that the Chairman be independent. Under the Company’s corporate governance guidelines, if the Chairman of the Board is not an independent director, the Board may, but is not required to, designate an independent lead director. The Board believes it is in the best interest of our Company to make these determinations based on the position and direction of our Company and the constitution of the Board and management team from time to time.</w:t>
      </w:r>
    </w:p>
    <w:p>
      <w:pPr>
        <w:sectPr>
          <w:pgSz w:w="11900" w:h="16838" w:orient="portrait"/>
          <w:cols w:equalWidth="0" w:num="1">
            <w:col w:w="9830"/>
          </w:cols>
          <w:pgMar w:left="1030" w:top="263" w:right="1039" w:bottom="1440" w:gutter="0" w:footer="0" w:header="0"/>
        </w:sectPr>
      </w:pPr>
    </w:p>
    <w:p>
      <w:pPr>
        <w:spacing w:after="0" w:line="287"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161925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type w:val="continuous"/>
        </w:sectPr>
      </w:pPr>
    </w:p>
    <w:bookmarkStart w:id="15" w:name="page16"/>
    <w:bookmarkEnd w:id="15"/>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Risk Management and Risk Assessment</w:t>
      </w:r>
    </w:p>
    <w:p>
      <w:pPr>
        <w:spacing w:after="0" w:line="148"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Management is responsible for assessing risk and for day-to-day risk management activities. The Board executes its oversight responsibility for risk assessment and risk management, acting directly and through its Committees,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20" w:type="dxa"/>
            <w:vAlign w:val="bottom"/>
          </w:tcPr>
          <w:p>
            <w:pPr>
              <w:ind w:left="100"/>
              <w:spacing w:after="0"/>
              <w:rPr>
                <w:sz w:val="20"/>
                <w:szCs w:val="20"/>
                <w:color w:val="auto"/>
              </w:rPr>
            </w:pPr>
            <w:r>
              <w:rPr>
                <w:rFonts w:ascii="Arial" w:cs="Arial" w:eastAsia="Arial" w:hAnsi="Arial"/>
                <w:sz w:val="18"/>
                <w:szCs w:val="18"/>
                <w:b w:val="1"/>
                <w:bCs w:val="1"/>
                <w:color w:val="auto"/>
              </w:rPr>
              <w:t>Board/Committee</w:t>
            </w:r>
          </w:p>
        </w:tc>
        <w:tc>
          <w:tcPr>
            <w:tcW w:w="7420" w:type="dxa"/>
            <w:vAlign w:val="bottom"/>
          </w:tcPr>
          <w:p>
            <w:pPr>
              <w:ind w:left="240"/>
              <w:spacing w:after="0"/>
              <w:rPr>
                <w:sz w:val="20"/>
                <w:szCs w:val="20"/>
                <w:color w:val="auto"/>
              </w:rPr>
            </w:pPr>
            <w:r>
              <w:rPr>
                <w:rFonts w:ascii="Arial" w:cs="Arial" w:eastAsia="Arial" w:hAnsi="Arial"/>
                <w:sz w:val="18"/>
                <w:szCs w:val="18"/>
                <w:b w:val="1"/>
                <w:bCs w:val="1"/>
                <w:color w:val="auto"/>
              </w:rPr>
              <w:t>Responsibility/Role</w:t>
            </w:r>
          </w:p>
        </w:tc>
      </w:tr>
      <w:tr>
        <w:trPr>
          <w:trHeight w:val="42"/>
        </w:trPr>
        <w:tc>
          <w:tcPr>
            <w:tcW w:w="2420" w:type="dxa"/>
            <w:vAlign w:val="bottom"/>
            <w:tcBorders>
              <w:bottom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r>
      <w:tr>
        <w:trPr>
          <w:trHeight w:val="245"/>
        </w:trPr>
        <w:tc>
          <w:tcPr>
            <w:tcW w:w="2420" w:type="dxa"/>
            <w:vAlign w:val="bottom"/>
            <w:shd w:val="clear" w:color="auto" w:fill="CCCCCC"/>
          </w:tcPr>
          <w:p>
            <w:pPr>
              <w:ind w:left="100"/>
              <w:spacing w:after="0"/>
              <w:rPr>
                <w:sz w:val="20"/>
                <w:szCs w:val="20"/>
                <w:color w:val="auto"/>
              </w:rPr>
            </w:pPr>
            <w:r>
              <w:rPr>
                <w:rFonts w:ascii="Arial" w:cs="Arial" w:eastAsia="Arial" w:hAnsi="Arial"/>
                <w:sz w:val="18"/>
                <w:szCs w:val="18"/>
                <w:color w:val="auto"/>
              </w:rPr>
              <w:t>Audit Committee</w:t>
            </w:r>
          </w:p>
        </w:tc>
        <w:tc>
          <w:tcPr>
            <w:tcW w:w="7420" w:type="dxa"/>
            <w:vAlign w:val="bottom"/>
            <w:shd w:val="clear" w:color="auto" w:fill="CCCCCC"/>
          </w:tcPr>
          <w:p>
            <w:pPr>
              <w:ind w:left="240"/>
              <w:spacing w:after="0"/>
              <w:rPr>
                <w:sz w:val="20"/>
                <w:szCs w:val="20"/>
                <w:color w:val="auto"/>
              </w:rPr>
            </w:pPr>
            <w:r>
              <w:rPr>
                <w:rFonts w:ascii="Arial" w:cs="Arial" w:eastAsia="Arial" w:hAnsi="Arial"/>
                <w:sz w:val="18"/>
                <w:szCs w:val="18"/>
                <w:color w:val="auto"/>
              </w:rPr>
              <w:t>•  Assists in the Board’s oversight of the Company’s:</w:t>
            </w:r>
          </w:p>
        </w:tc>
      </w:tr>
      <w:tr>
        <w:trPr>
          <w:trHeight w:val="203"/>
        </w:trPr>
        <w:tc>
          <w:tcPr>
            <w:tcW w:w="2420" w:type="dxa"/>
            <w:vAlign w:val="bottom"/>
            <w:shd w:val="clear" w:color="auto" w:fill="CCCCCC"/>
          </w:tcPr>
          <w:p>
            <w:pPr>
              <w:spacing w:after="0"/>
              <w:rPr>
                <w:sz w:val="17"/>
                <w:szCs w:val="17"/>
                <w:color w:val="auto"/>
              </w:rPr>
            </w:pPr>
          </w:p>
        </w:tc>
        <w:tc>
          <w:tcPr>
            <w:tcW w:w="7420" w:type="dxa"/>
            <w:vAlign w:val="bottom"/>
            <w:shd w:val="clear" w:color="auto" w:fill="CCCCCC"/>
          </w:tcPr>
          <w:p>
            <w:pPr>
              <w:ind w:left="680"/>
              <w:spacing w:after="0" w:line="202" w:lineRule="exact"/>
              <w:rPr>
                <w:sz w:val="20"/>
                <w:szCs w:val="20"/>
                <w:color w:val="auto"/>
              </w:rPr>
            </w:pPr>
            <w:r>
              <w:rPr>
                <w:rFonts w:ascii="Arial" w:cs="Arial" w:eastAsia="Arial" w:hAnsi="Arial"/>
                <w:sz w:val="18"/>
                <w:szCs w:val="18"/>
                <w:color w:val="auto"/>
              </w:rPr>
              <w:t>►  Major financial risk exposures and the steps management has undertaken to</w:t>
            </w:r>
          </w:p>
        </w:tc>
      </w:tr>
      <w:tr>
        <w:trPr>
          <w:trHeight w:val="239"/>
        </w:trPr>
        <w:tc>
          <w:tcPr>
            <w:tcW w:w="2420" w:type="dxa"/>
            <w:vAlign w:val="bottom"/>
            <w:shd w:val="clear" w:color="auto" w:fill="CCCCCC"/>
          </w:tcPr>
          <w:p>
            <w:pPr>
              <w:spacing w:after="0"/>
              <w:rPr>
                <w:sz w:val="20"/>
                <w:szCs w:val="20"/>
                <w:color w:val="auto"/>
              </w:rPr>
            </w:pPr>
          </w:p>
        </w:tc>
        <w:tc>
          <w:tcPr>
            <w:tcW w:w="7420" w:type="dxa"/>
            <w:vAlign w:val="bottom"/>
            <w:shd w:val="clear" w:color="auto" w:fill="CCCCCC"/>
          </w:tcPr>
          <w:p>
            <w:pPr>
              <w:ind w:left="1040"/>
              <w:spacing w:after="0"/>
              <w:rPr>
                <w:sz w:val="20"/>
                <w:szCs w:val="20"/>
                <w:color w:val="auto"/>
              </w:rPr>
            </w:pPr>
            <w:r>
              <w:rPr>
                <w:rFonts w:ascii="Arial" w:cs="Arial" w:eastAsia="Arial" w:hAnsi="Arial"/>
                <w:sz w:val="18"/>
                <w:szCs w:val="18"/>
                <w:color w:val="auto"/>
              </w:rPr>
              <w:t>control such risks.</w:t>
            </w:r>
          </w:p>
        </w:tc>
      </w:tr>
      <w:tr>
        <w:trPr>
          <w:trHeight w:val="369"/>
        </w:trPr>
        <w:tc>
          <w:tcPr>
            <w:tcW w:w="2420" w:type="dxa"/>
            <w:vAlign w:val="bottom"/>
            <w:shd w:val="clear" w:color="auto" w:fill="CCCCCC"/>
          </w:tcPr>
          <w:p>
            <w:pPr>
              <w:spacing w:after="0"/>
              <w:rPr>
                <w:sz w:val="24"/>
                <w:szCs w:val="24"/>
                <w:color w:val="auto"/>
              </w:rPr>
            </w:pPr>
          </w:p>
        </w:tc>
        <w:tc>
          <w:tcPr>
            <w:tcW w:w="7420" w:type="dxa"/>
            <w:vAlign w:val="bottom"/>
            <w:shd w:val="clear" w:color="auto" w:fill="CCCCCC"/>
          </w:tcPr>
          <w:p>
            <w:pPr>
              <w:ind w:left="680"/>
              <w:spacing w:after="0"/>
              <w:rPr>
                <w:sz w:val="20"/>
                <w:szCs w:val="20"/>
                <w:color w:val="auto"/>
              </w:rPr>
            </w:pPr>
            <w:r>
              <w:rPr>
                <w:rFonts w:ascii="Arial" w:cs="Arial" w:eastAsia="Arial" w:hAnsi="Arial"/>
                <w:sz w:val="18"/>
                <w:szCs w:val="18"/>
                <w:color w:val="auto"/>
              </w:rPr>
              <w:t>►  Risks associated with information technology and cybersecurity, and the Audit</w:t>
            </w:r>
          </w:p>
        </w:tc>
      </w:tr>
      <w:tr>
        <w:trPr>
          <w:trHeight w:val="203"/>
        </w:trPr>
        <w:tc>
          <w:tcPr>
            <w:tcW w:w="2420" w:type="dxa"/>
            <w:vAlign w:val="bottom"/>
            <w:shd w:val="clear" w:color="auto" w:fill="CCCCCC"/>
          </w:tcPr>
          <w:p>
            <w:pPr>
              <w:spacing w:after="0"/>
              <w:rPr>
                <w:sz w:val="17"/>
                <w:szCs w:val="17"/>
                <w:color w:val="auto"/>
              </w:rPr>
            </w:pPr>
          </w:p>
        </w:tc>
        <w:tc>
          <w:tcPr>
            <w:tcW w:w="7420" w:type="dxa"/>
            <w:vAlign w:val="bottom"/>
            <w:shd w:val="clear" w:color="auto" w:fill="CCCCCC"/>
          </w:tcPr>
          <w:p>
            <w:pPr>
              <w:ind w:left="1040"/>
              <w:spacing w:after="0" w:line="202" w:lineRule="exact"/>
              <w:rPr>
                <w:sz w:val="20"/>
                <w:szCs w:val="20"/>
                <w:color w:val="auto"/>
              </w:rPr>
            </w:pPr>
            <w:r>
              <w:rPr>
                <w:rFonts w:ascii="Arial" w:cs="Arial" w:eastAsia="Arial" w:hAnsi="Arial"/>
                <w:sz w:val="18"/>
                <w:szCs w:val="18"/>
                <w:color w:val="auto"/>
              </w:rPr>
              <w:t>Committee receives regular quarterly reports on these matters from the</w:t>
            </w:r>
          </w:p>
        </w:tc>
      </w:tr>
      <w:tr>
        <w:trPr>
          <w:trHeight w:val="239"/>
        </w:trPr>
        <w:tc>
          <w:tcPr>
            <w:tcW w:w="2420" w:type="dxa"/>
            <w:vAlign w:val="bottom"/>
            <w:shd w:val="clear" w:color="auto" w:fill="CCCCCC"/>
          </w:tcPr>
          <w:p>
            <w:pPr>
              <w:spacing w:after="0"/>
              <w:rPr>
                <w:sz w:val="20"/>
                <w:szCs w:val="20"/>
                <w:color w:val="auto"/>
              </w:rPr>
            </w:pPr>
          </w:p>
        </w:tc>
        <w:tc>
          <w:tcPr>
            <w:tcW w:w="7420" w:type="dxa"/>
            <w:vAlign w:val="bottom"/>
            <w:shd w:val="clear" w:color="auto" w:fill="CCCCCC"/>
          </w:tcPr>
          <w:p>
            <w:pPr>
              <w:ind w:left="1040"/>
              <w:spacing w:after="0"/>
              <w:rPr>
                <w:sz w:val="20"/>
                <w:szCs w:val="20"/>
                <w:color w:val="auto"/>
              </w:rPr>
            </w:pPr>
            <w:r>
              <w:rPr>
                <w:rFonts w:ascii="Arial" w:cs="Arial" w:eastAsia="Arial" w:hAnsi="Arial"/>
                <w:sz w:val="18"/>
                <w:szCs w:val="18"/>
                <w:color w:val="auto"/>
              </w:rPr>
              <w:t>Company’s Chief Information Officer.</w:t>
            </w:r>
          </w:p>
        </w:tc>
      </w:tr>
      <w:tr>
        <w:trPr>
          <w:trHeight w:val="460"/>
        </w:trPr>
        <w:tc>
          <w:tcPr>
            <w:tcW w:w="2420" w:type="dxa"/>
            <w:vAlign w:val="bottom"/>
            <w:tcBorders>
              <w:bottom w:val="single" w:sz="8" w:color="CCCCCC"/>
            </w:tcBorders>
            <w:shd w:val="clear" w:color="auto" w:fill="CCCCCC"/>
          </w:tcPr>
          <w:p>
            <w:pPr>
              <w:spacing w:after="0"/>
              <w:rPr>
                <w:sz w:val="24"/>
                <w:szCs w:val="24"/>
                <w:color w:val="auto"/>
              </w:rPr>
            </w:pPr>
          </w:p>
        </w:tc>
        <w:tc>
          <w:tcPr>
            <w:tcW w:w="7420" w:type="dxa"/>
            <w:vAlign w:val="bottom"/>
            <w:tcBorders>
              <w:bottom w:val="single" w:sz="8" w:color="CCCCCC"/>
            </w:tcBorders>
            <w:shd w:val="clear" w:color="auto" w:fill="CCCCCC"/>
          </w:tcPr>
          <w:p>
            <w:pPr>
              <w:ind w:left="680"/>
              <w:spacing w:after="0"/>
              <w:rPr>
                <w:sz w:val="20"/>
                <w:szCs w:val="20"/>
                <w:color w:val="auto"/>
              </w:rPr>
            </w:pPr>
            <w:r>
              <w:rPr>
                <w:rFonts w:ascii="Arial" w:cs="Arial" w:eastAsia="Arial" w:hAnsi="Arial"/>
                <w:sz w:val="18"/>
                <w:szCs w:val="18"/>
                <w:color w:val="auto"/>
              </w:rPr>
              <w:t>►  Compliance with legal and regulatory requirements.</w:t>
            </w:r>
          </w:p>
        </w:tc>
      </w:tr>
      <w:tr>
        <w:trPr>
          <w:trHeight w:val="245"/>
        </w:trPr>
        <w:tc>
          <w:tcPr>
            <w:tcW w:w="24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Compensation Committee</w:t>
            </w:r>
          </w:p>
        </w:tc>
        <w:tc>
          <w:tcPr>
            <w:tcW w:w="7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  Oversees risks associated with our compensation policies and practices with respect</w:t>
            </w:r>
          </w:p>
        </w:tc>
      </w:tr>
      <w:tr>
        <w:trPr>
          <w:trHeight w:val="239"/>
        </w:trPr>
        <w:tc>
          <w:tcPr>
            <w:tcW w:w="2420" w:type="dxa"/>
            <w:vAlign w:val="bottom"/>
          </w:tcPr>
          <w:p>
            <w:pPr>
              <w:spacing w:after="0"/>
              <w:rPr>
                <w:sz w:val="20"/>
                <w:szCs w:val="20"/>
                <w:color w:val="auto"/>
              </w:rPr>
            </w:pPr>
          </w:p>
        </w:tc>
        <w:tc>
          <w:tcPr>
            <w:tcW w:w="7420" w:type="dxa"/>
            <w:vAlign w:val="bottom"/>
          </w:tcPr>
          <w:p>
            <w:pPr>
              <w:ind w:left="500"/>
              <w:spacing w:after="0"/>
              <w:rPr>
                <w:sz w:val="20"/>
                <w:szCs w:val="20"/>
                <w:color w:val="auto"/>
              </w:rPr>
            </w:pPr>
            <w:r>
              <w:rPr>
                <w:rFonts w:ascii="Arial" w:cs="Arial" w:eastAsia="Arial" w:hAnsi="Arial"/>
                <w:sz w:val="18"/>
                <w:szCs w:val="18"/>
                <w:color w:val="auto"/>
              </w:rPr>
              <w:t>to executive compensation.</w:t>
            </w:r>
          </w:p>
        </w:tc>
      </w:tr>
      <w:tr>
        <w:trPr>
          <w:trHeight w:val="50"/>
        </w:trPr>
        <w:tc>
          <w:tcPr>
            <w:tcW w:w="2420" w:type="dxa"/>
            <w:vAlign w:val="bottom"/>
            <w:tcBorders>
              <w:bottom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r>
      <w:tr>
        <w:trPr>
          <w:trHeight w:val="245"/>
        </w:trPr>
        <w:tc>
          <w:tcPr>
            <w:tcW w:w="2420" w:type="dxa"/>
            <w:vAlign w:val="bottom"/>
            <w:shd w:val="clear" w:color="auto" w:fill="CCCCCC"/>
          </w:tcPr>
          <w:p>
            <w:pPr>
              <w:ind w:left="100"/>
              <w:spacing w:after="0"/>
              <w:rPr>
                <w:sz w:val="20"/>
                <w:szCs w:val="20"/>
                <w:color w:val="auto"/>
              </w:rPr>
            </w:pPr>
            <w:r>
              <w:rPr>
                <w:rFonts w:ascii="Arial" w:cs="Arial" w:eastAsia="Arial" w:hAnsi="Arial"/>
                <w:sz w:val="18"/>
                <w:szCs w:val="18"/>
                <w:color w:val="auto"/>
              </w:rPr>
              <w:t>Corporate Governance</w:t>
            </w:r>
          </w:p>
        </w:tc>
        <w:tc>
          <w:tcPr>
            <w:tcW w:w="7420" w:type="dxa"/>
            <w:vAlign w:val="bottom"/>
            <w:shd w:val="clear" w:color="auto" w:fill="CCCCCC"/>
          </w:tcPr>
          <w:p>
            <w:pPr>
              <w:ind w:left="240"/>
              <w:spacing w:after="0"/>
              <w:rPr>
                <w:sz w:val="20"/>
                <w:szCs w:val="20"/>
                <w:color w:val="auto"/>
              </w:rPr>
            </w:pPr>
            <w:r>
              <w:rPr>
                <w:rFonts w:ascii="Arial" w:cs="Arial" w:eastAsia="Arial" w:hAnsi="Arial"/>
                <w:sz w:val="18"/>
                <w:szCs w:val="18"/>
                <w:color w:val="auto"/>
              </w:rPr>
              <w:t>•  Oversees risks associated with corporate governance, including ESG risks.</w:t>
            </w:r>
          </w:p>
        </w:tc>
      </w:tr>
      <w:tr>
        <w:trPr>
          <w:trHeight w:val="294"/>
        </w:trPr>
        <w:tc>
          <w:tcPr>
            <w:tcW w:w="242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Committee</w:t>
            </w:r>
          </w:p>
        </w:tc>
        <w:tc>
          <w:tcPr>
            <w:tcW w:w="7420" w:type="dxa"/>
            <w:vAlign w:val="bottom"/>
            <w:tcBorders>
              <w:bottom w:val="single" w:sz="8" w:color="CCCCCC"/>
            </w:tcBorders>
            <w:shd w:val="clear" w:color="auto" w:fill="CCCCCC"/>
          </w:tcPr>
          <w:p>
            <w:pPr>
              <w:spacing w:after="0"/>
              <w:rPr>
                <w:sz w:val="24"/>
                <w:szCs w:val="24"/>
                <w:color w:val="auto"/>
              </w:rPr>
            </w:pPr>
          </w:p>
        </w:tc>
      </w:tr>
      <w:tr>
        <w:trPr>
          <w:trHeight w:val="281"/>
        </w:trPr>
        <w:tc>
          <w:tcPr>
            <w:tcW w:w="24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Full Board</w:t>
            </w:r>
          </w:p>
        </w:tc>
        <w:tc>
          <w:tcPr>
            <w:tcW w:w="7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  Receives reports from the Committees at every regular Board meeting.</w:t>
            </w:r>
          </w:p>
        </w:tc>
      </w:tr>
      <w:tr>
        <w:trPr>
          <w:trHeight w:val="405"/>
        </w:trPr>
        <w:tc>
          <w:tcPr>
            <w:tcW w:w="2420" w:type="dxa"/>
            <w:vAlign w:val="bottom"/>
          </w:tcPr>
          <w:p>
            <w:pPr>
              <w:spacing w:after="0"/>
              <w:rPr>
                <w:sz w:val="24"/>
                <w:szCs w:val="24"/>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  Considers specific risk topics.</w:t>
            </w:r>
          </w:p>
        </w:tc>
      </w:tr>
      <w:tr>
        <w:trPr>
          <w:trHeight w:val="369"/>
        </w:trPr>
        <w:tc>
          <w:tcPr>
            <w:tcW w:w="2420" w:type="dxa"/>
            <w:vAlign w:val="bottom"/>
          </w:tcPr>
          <w:p>
            <w:pPr>
              <w:spacing w:after="0"/>
              <w:rPr>
                <w:sz w:val="24"/>
                <w:szCs w:val="24"/>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  Receives regular reports from members of senior management that include discussion</w:t>
            </w:r>
          </w:p>
        </w:tc>
      </w:tr>
      <w:tr>
        <w:trPr>
          <w:trHeight w:val="203"/>
        </w:trPr>
        <w:tc>
          <w:tcPr>
            <w:tcW w:w="2420" w:type="dxa"/>
            <w:vAlign w:val="bottom"/>
          </w:tcPr>
          <w:p>
            <w:pPr>
              <w:spacing w:after="0"/>
              <w:rPr>
                <w:sz w:val="17"/>
                <w:szCs w:val="17"/>
                <w:color w:val="auto"/>
              </w:rPr>
            </w:pPr>
          </w:p>
        </w:tc>
        <w:tc>
          <w:tcPr>
            <w:tcW w:w="7420" w:type="dxa"/>
            <w:vAlign w:val="bottom"/>
          </w:tcPr>
          <w:p>
            <w:pPr>
              <w:ind w:left="500"/>
              <w:spacing w:after="0" w:line="202" w:lineRule="exact"/>
              <w:rPr>
                <w:sz w:val="20"/>
                <w:szCs w:val="20"/>
                <w:color w:val="auto"/>
              </w:rPr>
            </w:pPr>
            <w:r>
              <w:rPr>
                <w:rFonts w:ascii="Arial" w:cs="Arial" w:eastAsia="Arial" w:hAnsi="Arial"/>
                <w:sz w:val="18"/>
                <w:szCs w:val="18"/>
                <w:color w:val="auto"/>
              </w:rPr>
              <w:t>of the risks and exposures involved in their respective areas of responsibility. Such</w:t>
            </w:r>
          </w:p>
        </w:tc>
      </w:tr>
      <w:tr>
        <w:trPr>
          <w:trHeight w:val="244"/>
        </w:trPr>
        <w:tc>
          <w:tcPr>
            <w:tcW w:w="2420" w:type="dxa"/>
            <w:vAlign w:val="bottom"/>
            <w:tcBorders>
              <w:bottom w:val="single" w:sz="8" w:color="auto"/>
            </w:tcBorders>
          </w:tcPr>
          <w:p>
            <w:pPr>
              <w:spacing w:after="0"/>
              <w:rPr>
                <w:sz w:val="21"/>
                <w:szCs w:val="21"/>
                <w:color w:val="auto"/>
              </w:rPr>
            </w:pPr>
          </w:p>
        </w:tc>
        <w:tc>
          <w:tcPr>
            <w:tcW w:w="74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reports are provided in connection with and discussed at Board meetings.</w:t>
            </w:r>
          </w:p>
        </w:tc>
      </w:tr>
    </w:tbl>
    <w:p>
      <w:pPr>
        <w:spacing w:after="0" w:line="197"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Management annually reviews the Company’s compensation policies and practices for employees generally as they relate to risk management. As part of this process, management reviews the Company’s incentive compensation programs applicable to all employees with the Compensation Committee and the compensation consultant engaged by the Compensation Committee to determine whether such programs create incentives that might motivate inappropriate or excessive risk-taking. In the course of such review, mitigating features of the Company’s incentive compensation programs are considered, including: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 Company has determined that risks arising from the Company’s compensation policies and practices are not reasonably likely to have a material adverse effect on the Company.</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Communicating with the Board of Directors</w:t>
      </w:r>
    </w:p>
    <w:p>
      <w:pPr>
        <w:spacing w:after="0" w:line="148"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 xml:space="preserve">Shareholders and other interested parties may send communications directly to the Board of Directors by writing to the Board of Directors, c/o the Corporate Secretary, Avis Budget Group, Inc., 6 Sylvan Way, Parsippany, N.J. 07054. In addition, all parties interested in communicating directly with the Chairman of the Board or with any other independent director may do so by writing to Avis Budget Group, Inc. at the same address, Attention: Chairman of the Board, c/o the Corporate Secretary, via e-mail at </w:t>
      </w:r>
      <w:r>
        <w:rPr>
          <w:rFonts w:ascii="Arial" w:cs="Arial" w:eastAsia="Arial" w:hAnsi="Arial"/>
          <w:sz w:val="18"/>
          <w:szCs w:val="18"/>
          <w:i w:val="1"/>
          <w:iCs w:val="1"/>
          <w:color w:val="auto"/>
        </w:rPr>
        <w:t>chairman@avisbudget.com</w:t>
      </w:r>
      <w:r>
        <w:rPr>
          <w:rFonts w:ascii="Arial" w:cs="Arial" w:eastAsia="Arial" w:hAnsi="Arial"/>
          <w:sz w:val="18"/>
          <w:szCs w:val="18"/>
          <w:color w:val="auto"/>
        </w:rPr>
        <w:t xml:space="preserve">, or by using the form available in the “Contact the Board”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Chairman is responsible for reviewing and distributing all interested parties’ communications received to the intended recipients and/or to the full Board of Directors, as appropriate.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Codes of Conduct</w:t>
      </w:r>
    </w:p>
    <w:p>
      <w:pPr>
        <w:spacing w:after="0" w:line="148"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 xml:space="preserve">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 Relations —Corporate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purpose of these codes of conduct is to</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16" w:name="page17"/>
    <w:bookmarkEnd w:id="16"/>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Board of Directors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62407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8"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The Board of Directors held seven meetings during 2021. In 2021, all directors attended at least 75% of the meetings of the Board of Directors and committees of the Board of Directors on which they served during such director’s period of service. We expect all directors to attend each regularly scheduled Board of Directors meeting. All directors are welcome to attend the Company’s annual meeting of shareholders, and while there is no formal policy regarding attendance at annual meetings, we encourage at least one representative of each of the Audit Committee, Compensation Committee and Corporate Governance Committee to be present at each annual meeting. The 2021 Annual Meeting of Shareholders was attended by three of our director nominees.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62407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8"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The standing committees of the Board include the Audit Committee, the Compensation Committee and the Corporate Governance Committee.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Corporate</w:t>
            </w:r>
          </w:p>
        </w:tc>
      </w:tr>
      <w:tr>
        <w:trPr>
          <w:trHeight w:val="247"/>
        </w:trPr>
        <w:tc>
          <w:tcPr>
            <w:tcW w:w="4460" w:type="dxa"/>
            <w:vAlign w:val="bottom"/>
          </w:tcPr>
          <w:p>
            <w:pPr>
              <w:ind w:left="100"/>
              <w:spacing w:after="0"/>
              <w:rPr>
                <w:sz w:val="20"/>
                <w:szCs w:val="20"/>
                <w:color w:val="auto"/>
              </w:rPr>
            </w:pPr>
            <w:r>
              <w:rPr>
                <w:rFonts w:ascii="Arial" w:cs="Arial" w:eastAsia="Arial" w:hAnsi="Arial"/>
                <w:sz w:val="18"/>
                <w:szCs w:val="18"/>
                <w:b w:val="1"/>
                <w:bCs w:val="1"/>
                <w:color w:val="auto"/>
              </w:rPr>
              <w:t>Name</w:t>
            </w:r>
          </w:p>
        </w:tc>
        <w:tc>
          <w:tcPr>
            <w:tcW w:w="2200" w:type="dxa"/>
            <w:vAlign w:val="bottom"/>
          </w:tcPr>
          <w:p>
            <w:pPr>
              <w:ind w:left="1500"/>
              <w:spacing w:after="0"/>
              <w:rPr>
                <w:sz w:val="20"/>
                <w:szCs w:val="20"/>
                <w:color w:val="auto"/>
              </w:rPr>
            </w:pPr>
            <w:r>
              <w:rPr>
                <w:rFonts w:ascii="Arial" w:cs="Arial" w:eastAsia="Arial" w:hAnsi="Arial"/>
                <w:sz w:val="18"/>
                <w:szCs w:val="18"/>
                <w:b w:val="1"/>
                <w:bCs w:val="1"/>
                <w:color w:val="auto"/>
              </w:rPr>
              <w:t>Audit</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9"/>
              </w:rPr>
              <w:t>Compensation</w:t>
            </w:r>
          </w:p>
        </w:tc>
        <w:tc>
          <w:tcPr>
            <w:tcW w:w="144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Governance</w:t>
            </w:r>
          </w:p>
        </w:tc>
      </w:tr>
      <w:tr>
        <w:trPr>
          <w:trHeight w:val="42"/>
        </w:trPr>
        <w:tc>
          <w:tcPr>
            <w:tcW w:w="44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336"/>
        </w:trPr>
        <w:tc>
          <w:tcPr>
            <w:tcW w:w="446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Bernardo Hees</w:t>
            </w:r>
          </w:p>
        </w:tc>
        <w:tc>
          <w:tcPr>
            <w:tcW w:w="2200" w:type="dxa"/>
            <w:vAlign w:val="bottom"/>
            <w:tcBorders>
              <w:bottom w:val="single" w:sz="8" w:color="CCCCCC"/>
            </w:tcBorders>
            <w:shd w:val="clear" w:color="auto" w:fill="CCCCCC"/>
          </w:tcPr>
          <w:p>
            <w:pPr>
              <w:spacing w:after="0"/>
              <w:rPr>
                <w:sz w:val="24"/>
                <w:szCs w:val="24"/>
                <w:color w:val="auto"/>
              </w:rPr>
            </w:pPr>
          </w:p>
        </w:tc>
        <w:tc>
          <w:tcPr>
            <w:tcW w:w="1740" w:type="dxa"/>
            <w:vAlign w:val="bottom"/>
            <w:tcBorders>
              <w:bottom w:val="single" w:sz="8" w:color="CCCCCC"/>
            </w:tcBorders>
            <w:shd w:val="clear" w:color="auto" w:fill="CCCCCC"/>
          </w:tcPr>
          <w:p>
            <w:pPr>
              <w:spacing w:after="0"/>
              <w:rPr>
                <w:sz w:val="24"/>
                <w:szCs w:val="24"/>
                <w:color w:val="auto"/>
              </w:rPr>
            </w:pPr>
          </w:p>
        </w:tc>
        <w:tc>
          <w:tcPr>
            <w:tcW w:w="1440" w:type="dxa"/>
            <w:vAlign w:val="bottom"/>
            <w:tcBorders>
              <w:bottom w:val="single" w:sz="8" w:color="CCCCCC"/>
            </w:tcBorders>
            <w:shd w:val="clear" w:color="auto" w:fill="CCCCCC"/>
          </w:tcPr>
          <w:p>
            <w:pPr>
              <w:spacing w:after="0"/>
              <w:rPr>
                <w:sz w:val="24"/>
                <w:szCs w:val="24"/>
                <w:color w:val="auto"/>
              </w:rPr>
            </w:pPr>
          </w:p>
        </w:tc>
      </w:tr>
      <w:tr>
        <w:trPr>
          <w:trHeight w:val="297"/>
        </w:trPr>
        <w:tc>
          <w:tcPr>
            <w:tcW w:w="4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Anu Hariharan</w:t>
            </w:r>
          </w:p>
        </w:tc>
        <w:tc>
          <w:tcPr>
            <w:tcW w:w="2200" w:type="dxa"/>
            <w:vAlign w:val="bottom"/>
            <w:tcBorders>
              <w:top w:val="single" w:sz="8" w:color="auto"/>
            </w:tcBorders>
          </w:tcPr>
          <w:p>
            <w:pPr>
              <w:jc w:val="center"/>
              <w:ind w:left="1170"/>
              <w:spacing w:after="0" w:line="181" w:lineRule="exact"/>
              <w:rPr>
                <w:sz w:val="20"/>
                <w:szCs w:val="20"/>
                <w:color w:val="auto"/>
              </w:rPr>
            </w:pPr>
            <w:r>
              <w:rPr>
                <w:rFonts w:ascii="MS PGothic" w:cs="MS PGothic" w:eastAsia="MS PGothic" w:hAnsi="MS PGothic"/>
                <w:sz w:val="18"/>
                <w:szCs w:val="18"/>
                <w:color w:val="auto"/>
                <w:w w:val="77"/>
              </w:rPr>
              <w:t>✔</w:t>
            </w:r>
          </w:p>
        </w:tc>
        <w:tc>
          <w:tcPr>
            <w:tcW w:w="17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34"/>
        </w:trPr>
        <w:tc>
          <w:tcPr>
            <w:tcW w:w="44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36"/>
        </w:trPr>
        <w:tc>
          <w:tcPr>
            <w:tcW w:w="446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Lynn Krominga</w:t>
            </w:r>
          </w:p>
        </w:tc>
        <w:tc>
          <w:tcPr>
            <w:tcW w:w="2200" w:type="dxa"/>
            <w:vAlign w:val="bottom"/>
            <w:tcBorders>
              <w:bottom w:val="single" w:sz="8" w:color="CCCCCC"/>
            </w:tcBorders>
            <w:shd w:val="clear" w:color="auto" w:fill="CCCCCC"/>
          </w:tcPr>
          <w:p>
            <w:pPr>
              <w:jc w:val="center"/>
              <w:ind w:left="1170"/>
              <w:spacing w:after="0" w:line="181" w:lineRule="exact"/>
              <w:rPr>
                <w:sz w:val="20"/>
                <w:szCs w:val="20"/>
                <w:color w:val="auto"/>
              </w:rPr>
            </w:pPr>
            <w:r>
              <w:rPr>
                <w:rFonts w:ascii="MS PGothic" w:cs="MS PGothic" w:eastAsia="MS PGothic" w:hAnsi="MS PGothic"/>
                <w:sz w:val="18"/>
                <w:szCs w:val="18"/>
                <w:color w:val="auto"/>
                <w:w w:val="77"/>
              </w:rPr>
              <w:t>✔</w:t>
            </w:r>
          </w:p>
        </w:tc>
        <w:tc>
          <w:tcPr>
            <w:tcW w:w="1740" w:type="dxa"/>
            <w:vAlign w:val="bottom"/>
            <w:tcBorders>
              <w:bottom w:val="single" w:sz="8" w:color="CCCCCC"/>
            </w:tcBorders>
            <w:shd w:val="clear" w:color="auto" w:fill="CCCCCC"/>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Borders>
              <w:bottom w:val="single" w:sz="8" w:color="CCCCCC"/>
            </w:tcBorders>
            <w:shd w:val="clear" w:color="auto" w:fill="CCCCCC"/>
          </w:tcPr>
          <w:p>
            <w:pPr>
              <w:jc w:val="center"/>
              <w:ind w:left="30"/>
              <w:spacing w:after="0"/>
              <w:rPr>
                <w:sz w:val="20"/>
                <w:szCs w:val="20"/>
                <w:color w:val="auto"/>
              </w:rPr>
            </w:pPr>
            <w:r>
              <w:rPr>
                <w:rFonts w:ascii="Arial" w:cs="Arial" w:eastAsia="Arial" w:hAnsi="Arial"/>
                <w:sz w:val="18"/>
                <w:szCs w:val="18"/>
                <w:color w:val="auto"/>
              </w:rPr>
              <w:t>Chair</w:t>
            </w:r>
          </w:p>
        </w:tc>
      </w:tr>
      <w:tr>
        <w:trPr>
          <w:trHeight w:val="297"/>
        </w:trPr>
        <w:tc>
          <w:tcPr>
            <w:tcW w:w="4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Glenn Lurie</w:t>
            </w:r>
          </w:p>
        </w:tc>
        <w:tc>
          <w:tcPr>
            <w:tcW w:w="22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Chair</w:t>
            </w:r>
          </w:p>
        </w:tc>
        <w:tc>
          <w:tcPr>
            <w:tcW w:w="174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Borders>
              <w:top w:val="single" w:sz="8" w:color="auto"/>
            </w:tcBorders>
          </w:tcPr>
          <w:p>
            <w:pPr>
              <w:spacing w:after="0"/>
              <w:rPr>
                <w:sz w:val="24"/>
                <w:szCs w:val="24"/>
                <w:color w:val="auto"/>
              </w:rPr>
            </w:pPr>
          </w:p>
        </w:tc>
      </w:tr>
      <w:tr>
        <w:trPr>
          <w:trHeight w:val="34"/>
        </w:trPr>
        <w:tc>
          <w:tcPr>
            <w:tcW w:w="44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36"/>
        </w:trPr>
        <w:tc>
          <w:tcPr>
            <w:tcW w:w="446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Jagdeep Pahwa</w:t>
            </w:r>
          </w:p>
        </w:tc>
        <w:tc>
          <w:tcPr>
            <w:tcW w:w="2200" w:type="dxa"/>
            <w:vAlign w:val="bottom"/>
            <w:tcBorders>
              <w:bottom w:val="single" w:sz="8" w:color="CCCCCC"/>
            </w:tcBorders>
            <w:shd w:val="clear" w:color="auto" w:fill="CCCCCC"/>
          </w:tcPr>
          <w:p>
            <w:pPr>
              <w:spacing w:after="0"/>
              <w:rPr>
                <w:sz w:val="24"/>
                <w:szCs w:val="24"/>
                <w:color w:val="auto"/>
              </w:rPr>
            </w:pPr>
          </w:p>
        </w:tc>
        <w:tc>
          <w:tcPr>
            <w:tcW w:w="1740" w:type="dxa"/>
            <w:vAlign w:val="bottom"/>
            <w:tcBorders>
              <w:bottom w:val="single" w:sz="8" w:color="CCCCCC"/>
            </w:tcBorders>
            <w:shd w:val="clear" w:color="auto" w:fill="CCCCCC"/>
          </w:tcPr>
          <w:p>
            <w:pPr>
              <w:spacing w:after="0"/>
              <w:rPr>
                <w:sz w:val="24"/>
                <w:szCs w:val="24"/>
                <w:color w:val="auto"/>
              </w:rPr>
            </w:pPr>
          </w:p>
        </w:tc>
        <w:tc>
          <w:tcPr>
            <w:tcW w:w="1440" w:type="dxa"/>
            <w:vAlign w:val="bottom"/>
            <w:tcBorders>
              <w:bottom w:val="single" w:sz="8" w:color="CCCCCC"/>
            </w:tcBorders>
            <w:shd w:val="clear" w:color="auto" w:fill="CCCCCC"/>
          </w:tcPr>
          <w:p>
            <w:pPr>
              <w:spacing w:after="0"/>
              <w:rPr>
                <w:sz w:val="24"/>
                <w:szCs w:val="24"/>
                <w:color w:val="auto"/>
              </w:rPr>
            </w:pPr>
          </w:p>
        </w:tc>
      </w:tr>
      <w:tr>
        <w:trPr>
          <w:trHeight w:val="297"/>
        </w:trPr>
        <w:tc>
          <w:tcPr>
            <w:tcW w:w="4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Karthik Sarma</w:t>
            </w:r>
          </w:p>
        </w:tc>
        <w:tc>
          <w:tcPr>
            <w:tcW w:w="220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Chair</w:t>
            </w:r>
          </w:p>
        </w:tc>
        <w:tc>
          <w:tcPr>
            <w:tcW w:w="1440" w:type="dxa"/>
            <w:vAlign w:val="bottom"/>
            <w:tcBorders>
              <w:top w:val="single" w:sz="8" w:color="auto"/>
            </w:tcBorders>
          </w:tcPr>
          <w:p>
            <w:pPr>
              <w:jc w:val="center"/>
              <w:ind w:left="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4"/>
        </w:trPr>
        <w:tc>
          <w:tcPr>
            <w:tcW w:w="44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90"/>
        </w:trPr>
        <w:tc>
          <w:tcPr>
            <w:tcW w:w="446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Committee Meetings Held in 2021</w:t>
            </w:r>
          </w:p>
        </w:tc>
        <w:tc>
          <w:tcPr>
            <w:tcW w:w="2200" w:type="dxa"/>
            <w:vAlign w:val="bottom"/>
            <w:tcBorders>
              <w:bottom w:val="single" w:sz="8" w:color="auto"/>
            </w:tcBorders>
            <w:shd w:val="clear" w:color="auto" w:fill="CCCCCC"/>
          </w:tcPr>
          <w:p>
            <w:pPr>
              <w:jc w:val="center"/>
              <w:ind w:left="1170"/>
              <w:spacing w:after="0"/>
              <w:rPr>
                <w:sz w:val="20"/>
                <w:szCs w:val="20"/>
                <w:color w:val="auto"/>
              </w:rPr>
            </w:pPr>
            <w:r>
              <w:rPr>
                <w:rFonts w:ascii="Arial" w:cs="Arial" w:eastAsia="Arial" w:hAnsi="Arial"/>
                <w:sz w:val="18"/>
                <w:szCs w:val="18"/>
                <w:color w:val="auto"/>
                <w:w w:val="99"/>
              </w:rPr>
              <w:t>4</w:t>
            </w:r>
          </w:p>
        </w:tc>
        <w:tc>
          <w:tcPr>
            <w:tcW w:w="17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4</w:t>
            </w:r>
          </w:p>
        </w:tc>
        <w:tc>
          <w:tcPr>
            <w:tcW w:w="1440" w:type="dxa"/>
            <w:vAlign w:val="bottom"/>
            <w:tcBorders>
              <w:bottom w:val="single" w:sz="8" w:color="auto"/>
            </w:tcBorders>
            <w:shd w:val="clear" w:color="auto" w:fill="CCCCCC"/>
          </w:tcPr>
          <w:p>
            <w:pPr>
              <w:jc w:val="right"/>
              <w:ind w:right="530"/>
              <w:spacing w:after="0"/>
              <w:rPr>
                <w:sz w:val="20"/>
                <w:szCs w:val="20"/>
                <w:color w:val="auto"/>
              </w:rPr>
            </w:pPr>
            <w:r>
              <w:rPr>
                <w:rFonts w:ascii="Arial" w:cs="Arial" w:eastAsia="Arial" w:hAnsi="Arial"/>
                <w:sz w:val="18"/>
                <w:szCs w:val="18"/>
                <w:color w:val="auto"/>
              </w:rPr>
              <w:t>4</w:t>
            </w:r>
          </w:p>
        </w:tc>
      </w:tr>
    </w:tbl>
    <w:p>
      <w:pPr>
        <w:spacing w:after="0" w:line="197"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 xml:space="preserve">The charters of each of the Audit, Compensation and Corporate Governance Committees, respectively, can be found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Audit Committee</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Audit Committee assists in the Board’s oversight of:</w:t>
      </w:r>
    </w:p>
    <w:p>
      <w:pPr>
        <w:spacing w:after="0" w:line="131" w:lineRule="exact"/>
        <w:rPr>
          <w:sz w:val="20"/>
          <w:szCs w:val="20"/>
          <w:color w:val="auto"/>
        </w:rPr>
      </w:pPr>
    </w:p>
    <w:p>
      <w:pPr>
        <w:ind w:left="360" w:hanging="350"/>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integrity of the Company’s consolidated financial statements;</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independent auditors’ qualifications and independence;</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of the Company’s independent auditors and the Company’s internal audit function;</w:t>
      </w:r>
    </w:p>
    <w:p>
      <w:pPr>
        <w:spacing w:after="0" w:line="130" w:lineRule="exact"/>
        <w:rPr>
          <w:rFonts w:ascii="Arial" w:cs="Arial" w:eastAsia="Arial" w:hAnsi="Arial"/>
          <w:sz w:val="18"/>
          <w:szCs w:val="18"/>
          <w:color w:val="auto"/>
        </w:rPr>
      </w:pPr>
    </w:p>
    <w:p>
      <w:pPr>
        <w:ind w:left="360" w:hanging="350"/>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systems of disclosure controls and procedures, and internal controls over financial reporting; and</w:t>
      </w:r>
    </w:p>
    <w:p>
      <w:pPr>
        <w:spacing w:after="0" w:line="130" w:lineRule="exact"/>
        <w:rPr>
          <w:rFonts w:ascii="Arial" w:cs="Arial" w:eastAsia="Arial" w:hAnsi="Arial"/>
          <w:sz w:val="18"/>
          <w:szCs w:val="18"/>
          <w:color w:val="auto"/>
        </w:rPr>
      </w:pPr>
    </w:p>
    <w:p>
      <w:pPr>
        <w:ind w:left="360" w:hanging="350"/>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major financial risk exposures and the steps management has undertaken to control such risks.</w:t>
      </w:r>
    </w:p>
    <w:p>
      <w:pPr>
        <w:spacing w:after="0" w:line="144"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Board of Directors has determined that all members of the Audit Committee are independent directors under the Company’s Director Independence Criteria and within the meaning of applicable Nasdaq rules, and that each member of the Audit Committee has the ability to read and understand fundamental financial statements. The Board of Directors has determined that each of Mr. Lurie and Ms. Krominga qualifies as an “audit committee financial expert” as defined by the rules of the SEC and satisfies Nasdaq’s “financial sophistication” requirement.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17" w:name="page18"/>
    <w:bookmarkEnd w:id="17"/>
    <w:p>
      <w:pPr>
        <w:ind w:left="1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19"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auto"/>
        </w:rPr>
        <w:t>Compensation Committee</w:t>
      </w:r>
    </w:p>
    <w:p>
      <w:pPr>
        <w:spacing w:after="0" w:line="175"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Compensation Committee assists in the Board’s oversight of the Company’s compensation policies and programs by:</w:t>
      </w:r>
    </w:p>
    <w:p>
      <w:pPr>
        <w:spacing w:after="0" w:line="144" w:lineRule="exact"/>
        <w:rPr>
          <w:sz w:val="20"/>
          <w:szCs w:val="20"/>
          <w:color w:val="auto"/>
        </w:rPr>
      </w:pPr>
    </w:p>
    <w:p>
      <w:pPr>
        <w:ind w:left="350" w:hanging="350"/>
        <w:spacing w:after="0" w:line="271" w:lineRule="auto"/>
        <w:tabs>
          <w:tab w:leader="none" w:pos="3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the Chief Executive Officer and determining and approving the Chief Executive Officer’s compensation;</w:t>
      </w:r>
    </w:p>
    <w:p>
      <w:pPr>
        <w:spacing w:after="0" w:line="72" w:lineRule="exact"/>
        <w:rPr>
          <w:rFonts w:ascii="Arial" w:cs="Arial" w:eastAsia="Arial" w:hAnsi="Arial"/>
          <w:sz w:val="18"/>
          <w:szCs w:val="18"/>
          <w:color w:val="auto"/>
        </w:rPr>
      </w:pPr>
    </w:p>
    <w:p>
      <w:pPr>
        <w:ind w:left="350" w:hanging="350"/>
        <w:spacing w:after="0"/>
        <w:tabs>
          <w:tab w:leader="none" w:pos="3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individual elements of total compensation for our other executive officers;</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our annual and long-term incentive compensation programs and plans;</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all stock option and other equity awards;</w:t>
      </w:r>
    </w:p>
    <w:p>
      <w:pPr>
        <w:spacing w:after="0" w:line="130" w:lineRule="exact"/>
        <w:rPr>
          <w:rFonts w:ascii="Arial" w:cs="Arial" w:eastAsia="Arial" w:hAnsi="Arial"/>
          <w:sz w:val="18"/>
          <w:szCs w:val="18"/>
          <w:color w:val="auto"/>
        </w:rPr>
      </w:pPr>
    </w:p>
    <w:p>
      <w:pPr>
        <w:ind w:left="350" w:hanging="350"/>
        <w:spacing w:after="0"/>
        <w:tabs>
          <w:tab w:leader="none" w:pos="3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assessing the results of the Company’s most recent advisory vote on executive compensation; and</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evaluating whether compensation arrangements for executive officers incentivize unnecessary risk-taking.</w:t>
      </w:r>
    </w:p>
    <w:p>
      <w:pPr>
        <w:spacing w:after="0" w:line="144"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We refer you to “Executive Compensation” below for additional information regarding the Compensation Committee’s processes and procedures.</w:t>
      </w:r>
    </w:p>
    <w:p>
      <w:pPr>
        <w:spacing w:after="0" w:line="73"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The Board of Directors has determined that each member of the Compensation Committee is an independent director in accordance with Nasdaq rules and the Company’s Director Independence Criteria and a non-employee director for purposes of Section 16 of the Exchange Act.</w:t>
      </w:r>
    </w:p>
    <w:p>
      <w:pPr>
        <w:spacing w:after="0" w:line="173"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auto"/>
        </w:rPr>
        <w:t>Corporate Governance Committee</w:t>
      </w:r>
    </w:p>
    <w:p>
      <w:pPr>
        <w:spacing w:after="0" w:line="13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General</w:t>
      </w:r>
    </w:p>
    <w:p>
      <w:pPr>
        <w:spacing w:after="0" w:line="139"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The responsibilities of the Corporate Governance Committee include identifying and recommending to the Board of Directors appropriate director nominee candidates and providing oversight with respect to corporate governance matters. The Board of Directors has determined that each of the current members of the Corporate Governance Committee qualifies as an independent director under applicable Nasdaq rules and the Company’s Director Independence Criteria.</w:t>
      </w:r>
    </w:p>
    <w:p>
      <w:pPr>
        <w:spacing w:after="0" w:line="31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Director Nomination Procedures</w:t>
      </w:r>
    </w:p>
    <w:p>
      <w:pPr>
        <w:spacing w:after="0" w:line="139"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color w:val="auto"/>
        </w:rPr>
        <w:t>The Corporate Governance Committee considers the appropriate balance of experience, skills and characteristics required of members of the Board of Directors.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95" w:lineRule="exact"/>
        <w:rPr>
          <w:sz w:val="20"/>
          <w:szCs w:val="20"/>
          <w:color w:val="auto"/>
        </w:rPr>
      </w:pPr>
    </w:p>
    <w:p>
      <w:pPr>
        <w:jc w:val="both"/>
        <w:ind w:left="10"/>
        <w:spacing w:after="0" w:line="238" w:lineRule="auto"/>
        <w:rPr>
          <w:sz w:val="20"/>
          <w:szCs w:val="20"/>
          <w:color w:val="auto"/>
        </w:rPr>
      </w:pPr>
      <w:r>
        <w:rPr>
          <w:rFonts w:ascii="Arial" w:cs="Arial" w:eastAsia="Arial" w:hAnsi="Arial"/>
          <w:sz w:val="18"/>
          <w:szCs w:val="18"/>
          <w:color w:val="auto"/>
        </w:rPr>
        <w:t>The Corporate Governance Committee will consider written proposals from shareholders for candidates to be nominees for director positions. In considering candidates submitted by shareholders, the Corporate Governance Committee will take into consideration the needs of the Board of Directors and the qualifications of the candidate. Any such proposal should be submitted to the Corporate Governance Committee, c/o the Corporate Secretary of the Company, at Avis Budget Group, Inc., 6 Sylvan Way, Parsippany, N.J. 07054, and should include the following: (a) the name of the shareholder and evidence of such shareholder’s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as a director, if selected by the Corporate Governance Committee, nominated by the Board of Directors and elected. The written proposal should be submitted in the time frame and consistent with the requirements described in the Company’s By-laws and under the caption “Shareholder Proposals for 2023 Annual Meeting” below.</w:t>
      </w:r>
    </w:p>
    <w:p>
      <w:pPr>
        <w:spacing w:after="0" w:line="118" w:lineRule="exact"/>
        <w:rPr>
          <w:sz w:val="20"/>
          <w:szCs w:val="20"/>
          <w:color w:val="auto"/>
        </w:rPr>
      </w:pPr>
    </w:p>
    <w:p>
      <w:pPr>
        <w:jc w:val="both"/>
        <w:ind w:left="10"/>
        <w:spacing w:after="0" w:line="239" w:lineRule="auto"/>
        <w:rPr>
          <w:sz w:val="20"/>
          <w:szCs w:val="20"/>
          <w:color w:val="auto"/>
        </w:rPr>
      </w:pPr>
      <w:r>
        <w:rPr>
          <w:rFonts w:ascii="Arial" w:cs="Arial" w:eastAsia="Arial" w:hAnsi="Arial"/>
          <w:sz w:val="18"/>
          <w:szCs w:val="18"/>
          <w:color w:val="auto"/>
        </w:rPr>
        <w:t>The Corporate Governance Committee’s process for identifying and evaluating candidates to be nominees to the Board of Directors is typically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which would help the Board to identify candidates. As part of the search process, the Corporate Governance Committee includes women and historically underrepresented candidates in the pool of candidates and instructs any search firm the Committee engages to do so (often called a “Rooney Rule”). These candidates are evaluated by the Corporate Governance Committee by reviewing such candidates’ biographical information and qualifications and checking the candidates’ references. The Corporate Governance Committee evaluates whether the candidate is qualified to serve as a director and whether the Corporate Governance Committee should recommend to the</w:t>
      </w:r>
    </w:p>
    <w:p>
      <w:pPr>
        <w:spacing w:after="0" w:line="28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18" w:name="page19"/>
    <w:bookmarkEnd w:id="18"/>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Board of Directors that the Board nominate the candidate or elect the candidate to fill a vacancy on the Board of Directors. Candidates recommended by the Corporate Governance Committee are presented to the Board of Directors for selection as nominees to be presented for the approval of the shareholders or for election to fill a vacancy.</w:t>
      </w:r>
    </w:p>
    <w:p>
      <w:pPr>
        <w:spacing w:after="0" w:line="101"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In general, the Corporate Governance Committee expects that a similar evaluation process would be used to evaluate director candidates recommended by shareholders.</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Diversity</w:t>
      </w:r>
    </w:p>
    <w:p>
      <w:pPr>
        <w:spacing w:after="0" w:line="139"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As set forth in its charter and the Company’s corporate governance guidelines, the Corporate Governance Committee believes it is important that nominees for the Board represent diverse viewpoints and backgrounds. The Corporate Governance Committee is committed to advancing Board diversity, defined to include differences of viewpoint, professional experience, education, skill, race, gender and national origin. The Company’s corporate governance guidelines affirm the Committee’s commitment to diversity to include, and shall have any search firm it engages include, women and historically underrepresented candidates in the pool from which the Corporate Governance Committee selects director candidates. The Corporate Governance Committee implements that policy by actively considering diversity in the mix of qualifications, experience, attributes or skills included in its process of identifying and evaluating candidates to be nominees to the Board in accordance with its charter. The Company believes that its nominees further its commitment to enhancing diversity at the Board level.</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Board Diversity Matrix as of April 8, 2022</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41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Total Number of Directors</w:t>
            </w:r>
          </w:p>
        </w:tc>
        <w:tc>
          <w:tcPr>
            <w:tcW w:w="14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gridSpan w:val="2"/>
          </w:tcPr>
          <w:p>
            <w:pPr>
              <w:jc w:val="right"/>
              <w:ind w:right="1330"/>
              <w:spacing w:after="0"/>
              <w:rPr>
                <w:sz w:val="20"/>
                <w:szCs w:val="20"/>
                <w:color w:val="auto"/>
              </w:rPr>
            </w:pPr>
            <w:r>
              <w:rPr>
                <w:rFonts w:ascii="Arial" w:cs="Arial" w:eastAsia="Arial" w:hAnsi="Arial"/>
                <w:sz w:val="18"/>
                <w:szCs w:val="18"/>
                <w:b w:val="1"/>
                <w:bCs w:val="1"/>
                <w:color w:val="auto"/>
              </w:rPr>
              <w:t>6</w:t>
            </w:r>
          </w:p>
        </w:tc>
        <w:tc>
          <w:tcPr>
            <w:tcW w:w="1300" w:type="dxa"/>
            <w:vAlign w:val="bottom"/>
            <w:tcBorders>
              <w:top w:val="single" w:sz="8" w:color="auto"/>
              <w:right w:val="single" w:sz="8" w:color="auto"/>
            </w:tcBorders>
          </w:tcPr>
          <w:p>
            <w:pPr>
              <w:spacing w:after="0"/>
              <w:rPr>
                <w:sz w:val="24"/>
                <w:szCs w:val="24"/>
                <w:color w:val="auto"/>
              </w:rPr>
            </w:pPr>
          </w:p>
        </w:tc>
      </w:tr>
      <w:tr>
        <w:trPr>
          <w:trHeight w:val="42"/>
        </w:trPr>
        <w:tc>
          <w:tcPr>
            <w:tcW w:w="418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r>
      <w:tr>
        <w:trPr>
          <w:trHeight w:val="245"/>
        </w:trPr>
        <w:tc>
          <w:tcPr>
            <w:tcW w:w="4180" w:type="dxa"/>
            <w:vAlign w:val="bottom"/>
            <w:tcBorders>
              <w:left w:val="single" w:sz="8" w:color="auto"/>
              <w:right w:val="single" w:sz="8" w:color="auto"/>
            </w:tcBorders>
            <w:shd w:val="clear" w:color="auto" w:fill="CCCCCC"/>
          </w:tcPr>
          <w:p>
            <w:pPr>
              <w:spacing w:after="0"/>
              <w:rPr>
                <w:sz w:val="21"/>
                <w:szCs w:val="21"/>
                <w:color w:val="auto"/>
              </w:rPr>
            </w:pPr>
          </w:p>
        </w:tc>
        <w:tc>
          <w:tcPr>
            <w:tcW w:w="1460" w:type="dxa"/>
            <w:vAlign w:val="bottom"/>
            <w:tcBorders>
              <w:right w:val="single" w:sz="8" w:color="auto"/>
            </w:tcBorders>
            <w:shd w:val="clear" w:color="auto" w:fill="CCCCCC"/>
          </w:tcPr>
          <w:p>
            <w:pPr>
              <w:spacing w:after="0"/>
              <w:rPr>
                <w:sz w:val="21"/>
                <w:szCs w:val="21"/>
                <w:color w:val="auto"/>
              </w:rPr>
            </w:pPr>
          </w:p>
        </w:tc>
        <w:tc>
          <w:tcPr>
            <w:tcW w:w="1140" w:type="dxa"/>
            <w:vAlign w:val="bottom"/>
            <w:shd w:val="clear" w:color="auto" w:fill="CCCCCC"/>
          </w:tcPr>
          <w:p>
            <w:pPr>
              <w:spacing w:after="0"/>
              <w:rPr>
                <w:sz w:val="21"/>
                <w:szCs w:val="21"/>
                <w:color w:val="auto"/>
              </w:rPr>
            </w:pPr>
          </w:p>
        </w:tc>
        <w:tc>
          <w:tcPr>
            <w:tcW w:w="320" w:type="dxa"/>
            <w:vAlign w:val="bottom"/>
            <w:tcBorders>
              <w:right w:val="single" w:sz="8" w:color="auto"/>
            </w:tcBorders>
            <w:shd w:val="clear" w:color="auto" w:fill="CCCCCC"/>
          </w:tcPr>
          <w:p>
            <w:pPr>
              <w:spacing w:after="0"/>
              <w:rPr>
                <w:sz w:val="21"/>
                <w:szCs w:val="21"/>
                <w:color w:val="auto"/>
              </w:rPr>
            </w:pPr>
          </w:p>
        </w:tc>
        <w:tc>
          <w:tcPr>
            <w:tcW w:w="1440" w:type="dxa"/>
            <w:vAlign w:val="bottom"/>
            <w:tcBorders>
              <w:right w:val="single" w:sz="8" w:color="auto"/>
            </w:tcBorders>
            <w:shd w:val="clear" w:color="auto" w:fill="CCCCCC"/>
          </w:tcPr>
          <w:p>
            <w:pPr>
              <w:spacing w:after="0"/>
              <w:rPr>
                <w:sz w:val="21"/>
                <w:szCs w:val="21"/>
                <w:color w:val="auto"/>
              </w:rPr>
            </w:pPr>
          </w:p>
        </w:tc>
        <w:tc>
          <w:tcPr>
            <w:tcW w:w="130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9"/>
              </w:rPr>
              <w:t>Did Not</w:t>
            </w:r>
          </w:p>
        </w:tc>
      </w:tr>
      <w:tr>
        <w:trPr>
          <w:trHeight w:val="203"/>
        </w:trPr>
        <w:tc>
          <w:tcPr>
            <w:tcW w:w="4180" w:type="dxa"/>
            <w:vAlign w:val="bottom"/>
            <w:tcBorders>
              <w:left w:val="single" w:sz="8" w:color="auto"/>
              <w:right w:val="single" w:sz="8" w:color="auto"/>
            </w:tcBorders>
            <w:shd w:val="clear" w:color="auto" w:fill="CCCCCC"/>
          </w:tcPr>
          <w:p>
            <w:pPr>
              <w:spacing w:after="0"/>
              <w:rPr>
                <w:sz w:val="17"/>
                <w:szCs w:val="17"/>
                <w:color w:val="auto"/>
              </w:rPr>
            </w:pPr>
          </w:p>
        </w:tc>
        <w:tc>
          <w:tcPr>
            <w:tcW w:w="1460" w:type="dxa"/>
            <w:vAlign w:val="bottom"/>
            <w:tcBorders>
              <w:right w:val="single" w:sz="8" w:color="auto"/>
            </w:tcBorders>
            <w:shd w:val="clear" w:color="auto" w:fill="CCCCCC"/>
          </w:tcPr>
          <w:p>
            <w:pPr>
              <w:jc w:val="center"/>
              <w:spacing w:after="0" w:line="202" w:lineRule="exact"/>
              <w:rPr>
                <w:sz w:val="20"/>
                <w:szCs w:val="20"/>
                <w:color w:val="auto"/>
              </w:rPr>
            </w:pPr>
            <w:r>
              <w:rPr>
                <w:rFonts w:ascii="Arial" w:cs="Arial" w:eastAsia="Arial" w:hAnsi="Arial"/>
                <w:sz w:val="18"/>
                <w:szCs w:val="18"/>
                <w:b w:val="1"/>
                <w:bCs w:val="1"/>
                <w:color w:val="auto"/>
                <w:w w:val="99"/>
              </w:rPr>
              <w:t>Female</w:t>
            </w:r>
          </w:p>
        </w:tc>
        <w:tc>
          <w:tcPr>
            <w:tcW w:w="1140" w:type="dxa"/>
            <w:vAlign w:val="bottom"/>
            <w:shd w:val="clear" w:color="auto" w:fill="CCCCCC"/>
          </w:tcPr>
          <w:p>
            <w:pPr>
              <w:jc w:val="center"/>
              <w:ind w:left="170"/>
              <w:spacing w:after="0" w:line="202" w:lineRule="exact"/>
              <w:rPr>
                <w:sz w:val="20"/>
                <w:szCs w:val="20"/>
                <w:color w:val="auto"/>
              </w:rPr>
            </w:pPr>
            <w:r>
              <w:rPr>
                <w:rFonts w:ascii="Arial" w:cs="Arial" w:eastAsia="Arial" w:hAnsi="Arial"/>
                <w:sz w:val="18"/>
                <w:szCs w:val="18"/>
                <w:b w:val="1"/>
                <w:bCs w:val="1"/>
                <w:color w:val="auto"/>
                <w:w w:val="99"/>
              </w:rPr>
              <w:t>Male</w:t>
            </w:r>
          </w:p>
        </w:tc>
        <w:tc>
          <w:tcPr>
            <w:tcW w:w="320" w:type="dxa"/>
            <w:vAlign w:val="bottom"/>
            <w:tcBorders>
              <w:right w:val="single" w:sz="8" w:color="auto"/>
            </w:tcBorders>
            <w:shd w:val="clear" w:color="auto" w:fill="CCCCCC"/>
          </w:tcPr>
          <w:p>
            <w:pPr>
              <w:spacing w:after="0"/>
              <w:rPr>
                <w:sz w:val="17"/>
                <w:szCs w:val="17"/>
                <w:color w:val="auto"/>
              </w:rPr>
            </w:pPr>
          </w:p>
        </w:tc>
        <w:tc>
          <w:tcPr>
            <w:tcW w:w="1440" w:type="dxa"/>
            <w:vAlign w:val="bottom"/>
            <w:tcBorders>
              <w:right w:val="single" w:sz="8" w:color="auto"/>
            </w:tcBorders>
            <w:shd w:val="clear" w:color="auto" w:fill="CCCCCC"/>
          </w:tcPr>
          <w:p>
            <w:pPr>
              <w:jc w:val="center"/>
              <w:spacing w:after="0" w:line="202" w:lineRule="exact"/>
              <w:rPr>
                <w:sz w:val="20"/>
                <w:szCs w:val="20"/>
                <w:color w:val="auto"/>
              </w:rPr>
            </w:pPr>
            <w:r>
              <w:rPr>
                <w:rFonts w:ascii="Arial" w:cs="Arial" w:eastAsia="Arial" w:hAnsi="Arial"/>
                <w:sz w:val="18"/>
                <w:szCs w:val="18"/>
                <w:b w:val="1"/>
                <w:bCs w:val="1"/>
                <w:color w:val="auto"/>
                <w:w w:val="98"/>
              </w:rPr>
              <w:t>Non-Binary</w:t>
            </w:r>
          </w:p>
        </w:tc>
        <w:tc>
          <w:tcPr>
            <w:tcW w:w="1300" w:type="dxa"/>
            <w:vAlign w:val="bottom"/>
            <w:tcBorders>
              <w:right w:val="single" w:sz="8" w:color="auto"/>
            </w:tcBorders>
            <w:shd w:val="clear" w:color="auto" w:fill="CCCCCC"/>
          </w:tcPr>
          <w:p>
            <w:pPr>
              <w:jc w:val="center"/>
              <w:spacing w:after="0" w:line="202" w:lineRule="exact"/>
              <w:rPr>
                <w:sz w:val="20"/>
                <w:szCs w:val="20"/>
                <w:color w:val="auto"/>
              </w:rPr>
            </w:pPr>
            <w:r>
              <w:rPr>
                <w:rFonts w:ascii="Arial" w:cs="Arial" w:eastAsia="Arial" w:hAnsi="Arial"/>
                <w:sz w:val="18"/>
                <w:szCs w:val="18"/>
                <w:b w:val="1"/>
                <w:bCs w:val="1"/>
                <w:color w:val="auto"/>
                <w:w w:val="99"/>
              </w:rPr>
              <w:t>Disclose</w:t>
            </w:r>
          </w:p>
        </w:tc>
      </w:tr>
      <w:tr>
        <w:trPr>
          <w:trHeight w:val="294"/>
        </w:trPr>
        <w:tc>
          <w:tcPr>
            <w:tcW w:w="4180" w:type="dxa"/>
            <w:vAlign w:val="bottom"/>
            <w:tcBorders>
              <w:left w:val="single" w:sz="8" w:color="auto"/>
              <w:bottom w:val="single" w:sz="8" w:color="CCCCCC"/>
              <w:right w:val="single" w:sz="8" w:color="auto"/>
            </w:tcBorders>
            <w:shd w:val="clear" w:color="auto" w:fill="CCCCCC"/>
          </w:tcPr>
          <w:p>
            <w:pPr>
              <w:spacing w:after="0"/>
              <w:rPr>
                <w:sz w:val="24"/>
                <w:szCs w:val="24"/>
                <w:color w:val="auto"/>
              </w:rPr>
            </w:pPr>
          </w:p>
        </w:tc>
        <w:tc>
          <w:tcPr>
            <w:tcW w:w="1460" w:type="dxa"/>
            <w:vAlign w:val="bottom"/>
            <w:tcBorders>
              <w:bottom w:val="single" w:sz="8" w:color="CCCCCC"/>
              <w:right w:val="single" w:sz="8" w:color="auto"/>
            </w:tcBorders>
            <w:shd w:val="clear" w:color="auto" w:fill="CCCCCC"/>
          </w:tcPr>
          <w:p>
            <w:pPr>
              <w:spacing w:after="0"/>
              <w:rPr>
                <w:sz w:val="24"/>
                <w:szCs w:val="24"/>
                <w:color w:val="auto"/>
              </w:rPr>
            </w:pPr>
          </w:p>
        </w:tc>
        <w:tc>
          <w:tcPr>
            <w:tcW w:w="1140" w:type="dxa"/>
            <w:vAlign w:val="bottom"/>
            <w:tcBorders>
              <w:bottom w:val="single" w:sz="8" w:color="CCCCCC"/>
            </w:tcBorders>
            <w:shd w:val="clear" w:color="auto" w:fill="CCCCCC"/>
          </w:tcPr>
          <w:p>
            <w:pPr>
              <w:spacing w:after="0"/>
              <w:rPr>
                <w:sz w:val="24"/>
                <w:szCs w:val="24"/>
                <w:color w:val="auto"/>
              </w:rPr>
            </w:pPr>
          </w:p>
        </w:tc>
        <w:tc>
          <w:tcPr>
            <w:tcW w:w="320" w:type="dxa"/>
            <w:vAlign w:val="bottom"/>
            <w:tcBorders>
              <w:bottom w:val="single" w:sz="8" w:color="CCCCCC"/>
              <w:right w:val="single" w:sz="8" w:color="auto"/>
            </w:tcBorders>
            <w:shd w:val="clear" w:color="auto" w:fill="CCCCCC"/>
          </w:tcPr>
          <w:p>
            <w:pPr>
              <w:spacing w:after="0"/>
              <w:rPr>
                <w:sz w:val="24"/>
                <w:szCs w:val="24"/>
                <w:color w:val="auto"/>
              </w:rPr>
            </w:pPr>
          </w:p>
        </w:tc>
        <w:tc>
          <w:tcPr>
            <w:tcW w:w="1440" w:type="dxa"/>
            <w:vAlign w:val="bottom"/>
            <w:tcBorders>
              <w:bottom w:val="single" w:sz="8" w:color="CCCCCC"/>
              <w:right w:val="single" w:sz="8" w:color="auto"/>
            </w:tcBorders>
            <w:shd w:val="clear" w:color="auto" w:fill="CCCCCC"/>
          </w:tcPr>
          <w:p>
            <w:pPr>
              <w:spacing w:after="0"/>
              <w:rPr>
                <w:sz w:val="24"/>
                <w:szCs w:val="24"/>
                <w:color w:val="auto"/>
              </w:rPr>
            </w:pPr>
          </w:p>
        </w:tc>
        <w:tc>
          <w:tcPr>
            <w:tcW w:w="1300" w:type="dxa"/>
            <w:vAlign w:val="bottom"/>
            <w:tcBorders>
              <w:bottom w:val="single" w:sz="8" w:color="CCCCCC"/>
              <w:right w:val="single" w:sz="8" w:color="auto"/>
            </w:tcBorders>
            <w:shd w:val="clear" w:color="auto" w:fill="CCCCCC"/>
          </w:tcPr>
          <w:p>
            <w:pPr>
              <w:jc w:val="center"/>
              <w:ind w:left="10"/>
              <w:spacing w:after="0"/>
              <w:rPr>
                <w:sz w:val="20"/>
                <w:szCs w:val="20"/>
                <w:color w:val="auto"/>
              </w:rPr>
            </w:pPr>
            <w:r>
              <w:rPr>
                <w:rFonts w:ascii="Arial" w:cs="Arial" w:eastAsia="Arial" w:hAnsi="Arial"/>
                <w:sz w:val="18"/>
                <w:szCs w:val="18"/>
                <w:b w:val="1"/>
                <w:bCs w:val="1"/>
                <w:color w:val="auto"/>
              </w:rPr>
              <w:t>Gender</w:t>
            </w:r>
          </w:p>
        </w:tc>
      </w:tr>
      <w:tr>
        <w:trPr>
          <w:trHeight w:val="336"/>
        </w:trPr>
        <w:tc>
          <w:tcPr>
            <w:tcW w:w="4180" w:type="dxa"/>
            <w:vAlign w:val="bottom"/>
            <w:tcBorders>
              <w:top w:val="single" w:sz="8" w:color="auto"/>
              <w:left w:val="single" w:sz="8" w:color="auto"/>
              <w:bottom w:val="single" w:sz="8" w:color="CCCCCC"/>
              <w:right w:val="single" w:sz="8" w:color="CCCCCC"/>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Gender Identity</w:t>
            </w:r>
          </w:p>
        </w:tc>
        <w:tc>
          <w:tcPr>
            <w:tcW w:w="146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1140" w:type="dxa"/>
            <w:vAlign w:val="bottom"/>
            <w:tcBorders>
              <w:top w:val="single" w:sz="8" w:color="auto"/>
              <w:bottom w:val="single" w:sz="8" w:color="CCCCCC"/>
            </w:tcBorders>
            <w:shd w:val="clear" w:color="auto" w:fill="CCCCCC"/>
          </w:tcPr>
          <w:p>
            <w:pPr>
              <w:spacing w:after="0"/>
              <w:rPr>
                <w:sz w:val="24"/>
                <w:szCs w:val="24"/>
                <w:color w:val="auto"/>
              </w:rPr>
            </w:pPr>
          </w:p>
        </w:tc>
        <w:tc>
          <w:tcPr>
            <w:tcW w:w="32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144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1300" w:type="dxa"/>
            <w:vAlign w:val="bottom"/>
            <w:tcBorders>
              <w:top w:val="single" w:sz="8" w:color="auto"/>
              <w:bottom w:val="single" w:sz="8" w:color="CCCCCC"/>
              <w:right w:val="single" w:sz="8" w:color="auto"/>
            </w:tcBorders>
            <w:shd w:val="clear" w:color="auto" w:fill="CCCCCC"/>
          </w:tcPr>
          <w:p>
            <w:pPr>
              <w:spacing w:after="0"/>
              <w:rPr>
                <w:sz w:val="24"/>
                <w:szCs w:val="24"/>
                <w:color w:val="auto"/>
              </w:rPr>
            </w:pPr>
          </w:p>
        </w:tc>
      </w:tr>
      <w:tr>
        <w:trPr>
          <w:trHeight w:val="281"/>
        </w:trPr>
        <w:tc>
          <w:tcPr>
            <w:tcW w:w="41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Directors</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14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9"/>
              </w:rPr>
              <w:t>4</w:t>
            </w:r>
          </w:p>
        </w:tc>
        <w:tc>
          <w:tcPr>
            <w:tcW w:w="320" w:type="dxa"/>
            <w:vAlign w:val="bottom"/>
            <w:tcBorders>
              <w:top w:val="single" w:sz="8" w:color="auto"/>
              <w:right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00" w:type="dxa"/>
            <w:vAlign w:val="bottom"/>
            <w:tcBorders>
              <w:top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0</w:t>
            </w:r>
          </w:p>
        </w:tc>
      </w:tr>
      <w:tr>
        <w:trPr>
          <w:trHeight w:val="50"/>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r>
      <w:tr>
        <w:trPr>
          <w:trHeight w:val="336"/>
        </w:trPr>
        <w:tc>
          <w:tcPr>
            <w:tcW w:w="4180" w:type="dxa"/>
            <w:vAlign w:val="bottom"/>
            <w:tcBorders>
              <w:left w:val="single" w:sz="8" w:color="auto"/>
              <w:bottom w:val="single" w:sz="8" w:color="CCCCCC"/>
              <w:right w:val="single" w:sz="8" w:color="CCCCCC"/>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Demographic Background</w:t>
            </w:r>
          </w:p>
        </w:tc>
        <w:tc>
          <w:tcPr>
            <w:tcW w:w="1460" w:type="dxa"/>
            <w:vAlign w:val="bottom"/>
            <w:tcBorders>
              <w:bottom w:val="single" w:sz="8" w:color="CCCCCC"/>
              <w:right w:val="single" w:sz="8" w:color="CCCCCC"/>
            </w:tcBorders>
            <w:shd w:val="clear" w:color="auto" w:fill="CCCCCC"/>
          </w:tcPr>
          <w:p>
            <w:pPr>
              <w:spacing w:after="0"/>
              <w:rPr>
                <w:sz w:val="24"/>
                <w:szCs w:val="24"/>
                <w:color w:val="auto"/>
              </w:rPr>
            </w:pPr>
          </w:p>
        </w:tc>
        <w:tc>
          <w:tcPr>
            <w:tcW w:w="1140" w:type="dxa"/>
            <w:vAlign w:val="bottom"/>
            <w:tcBorders>
              <w:bottom w:val="single" w:sz="8" w:color="CCCCCC"/>
            </w:tcBorders>
            <w:shd w:val="clear" w:color="auto" w:fill="CCCCCC"/>
          </w:tcPr>
          <w:p>
            <w:pPr>
              <w:spacing w:after="0"/>
              <w:rPr>
                <w:sz w:val="24"/>
                <w:szCs w:val="24"/>
                <w:color w:val="auto"/>
              </w:rPr>
            </w:pPr>
          </w:p>
        </w:tc>
        <w:tc>
          <w:tcPr>
            <w:tcW w:w="320" w:type="dxa"/>
            <w:vAlign w:val="bottom"/>
            <w:tcBorders>
              <w:bottom w:val="single" w:sz="8" w:color="CCCCCC"/>
              <w:right w:val="single" w:sz="8" w:color="CCCCCC"/>
            </w:tcBorders>
            <w:shd w:val="clear" w:color="auto" w:fill="CCCCCC"/>
          </w:tcPr>
          <w:p>
            <w:pPr>
              <w:spacing w:after="0"/>
              <w:rPr>
                <w:sz w:val="24"/>
                <w:szCs w:val="24"/>
                <w:color w:val="auto"/>
              </w:rPr>
            </w:pPr>
          </w:p>
        </w:tc>
        <w:tc>
          <w:tcPr>
            <w:tcW w:w="1440" w:type="dxa"/>
            <w:vAlign w:val="bottom"/>
            <w:tcBorders>
              <w:bottom w:val="single" w:sz="8" w:color="CCCCCC"/>
              <w:right w:val="single" w:sz="8" w:color="CCCCCC"/>
            </w:tcBorders>
            <w:shd w:val="clear" w:color="auto" w:fill="CCCCCC"/>
          </w:tcPr>
          <w:p>
            <w:pPr>
              <w:spacing w:after="0"/>
              <w:rPr>
                <w:sz w:val="24"/>
                <w:szCs w:val="24"/>
                <w:color w:val="auto"/>
              </w:rPr>
            </w:pPr>
          </w:p>
        </w:tc>
        <w:tc>
          <w:tcPr>
            <w:tcW w:w="1300" w:type="dxa"/>
            <w:vAlign w:val="bottom"/>
            <w:tcBorders>
              <w:bottom w:val="single" w:sz="8" w:color="CCCCCC"/>
              <w:right w:val="single" w:sz="8" w:color="auto"/>
            </w:tcBorders>
            <w:shd w:val="clear" w:color="auto" w:fill="CCCCCC"/>
          </w:tcPr>
          <w:p>
            <w:pPr>
              <w:spacing w:after="0"/>
              <w:rPr>
                <w:sz w:val="24"/>
                <w:szCs w:val="24"/>
                <w:color w:val="auto"/>
              </w:rPr>
            </w:pPr>
          </w:p>
        </w:tc>
      </w:tr>
      <w:tr>
        <w:trPr>
          <w:trHeight w:val="281"/>
        </w:trPr>
        <w:tc>
          <w:tcPr>
            <w:tcW w:w="41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African American or Black</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4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9"/>
              </w:rPr>
              <w:t>0</w:t>
            </w:r>
          </w:p>
        </w:tc>
        <w:tc>
          <w:tcPr>
            <w:tcW w:w="320" w:type="dxa"/>
            <w:vAlign w:val="bottom"/>
            <w:tcBorders>
              <w:top w:val="single" w:sz="8" w:color="auto"/>
              <w:right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00" w:type="dxa"/>
            <w:vAlign w:val="bottom"/>
            <w:tcBorders>
              <w:top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0</w:t>
            </w:r>
          </w:p>
        </w:tc>
      </w:tr>
      <w:tr>
        <w:trPr>
          <w:trHeight w:val="50"/>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r>
      <w:tr>
        <w:trPr>
          <w:trHeight w:val="281"/>
        </w:trPr>
        <w:tc>
          <w:tcPr>
            <w:tcW w:w="4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Alaskan Native or Native American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40" w:type="dxa"/>
            <w:vAlign w:val="bottom"/>
          </w:tcPr>
          <w:p>
            <w:pPr>
              <w:jc w:val="center"/>
              <w:ind w:left="190"/>
              <w:spacing w:after="0"/>
              <w:rPr>
                <w:sz w:val="20"/>
                <w:szCs w:val="20"/>
                <w:color w:val="auto"/>
              </w:rPr>
            </w:pPr>
            <w:r>
              <w:rPr>
                <w:rFonts w:ascii="Arial" w:cs="Arial" w:eastAsia="Arial" w:hAnsi="Arial"/>
                <w:sz w:val="18"/>
                <w:szCs w:val="18"/>
                <w:color w:val="auto"/>
                <w:w w:val="99"/>
              </w:rPr>
              <w:t>0</w:t>
            </w:r>
          </w:p>
        </w:tc>
        <w:tc>
          <w:tcPr>
            <w:tcW w:w="3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0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0</w:t>
            </w:r>
          </w:p>
        </w:tc>
      </w:tr>
      <w:tr>
        <w:trPr>
          <w:trHeight w:val="50"/>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r>
      <w:tr>
        <w:trPr>
          <w:trHeight w:val="281"/>
        </w:trPr>
        <w:tc>
          <w:tcPr>
            <w:tcW w:w="4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Asian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Pr>
          <w:p>
            <w:pPr>
              <w:jc w:val="center"/>
              <w:ind w:left="190"/>
              <w:spacing w:after="0"/>
              <w:rPr>
                <w:sz w:val="20"/>
                <w:szCs w:val="20"/>
                <w:color w:val="auto"/>
              </w:rPr>
            </w:pPr>
            <w:r>
              <w:rPr>
                <w:rFonts w:ascii="Arial" w:cs="Arial" w:eastAsia="Arial" w:hAnsi="Arial"/>
                <w:sz w:val="18"/>
                <w:szCs w:val="18"/>
                <w:color w:val="auto"/>
                <w:w w:val="99"/>
              </w:rPr>
              <w:t>2</w:t>
            </w:r>
          </w:p>
        </w:tc>
        <w:tc>
          <w:tcPr>
            <w:tcW w:w="3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0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0</w:t>
            </w:r>
          </w:p>
        </w:tc>
      </w:tr>
      <w:tr>
        <w:trPr>
          <w:trHeight w:val="50"/>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r>
      <w:tr>
        <w:trPr>
          <w:trHeight w:val="281"/>
        </w:trPr>
        <w:tc>
          <w:tcPr>
            <w:tcW w:w="4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Hispanic or Latinx</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40" w:type="dxa"/>
            <w:vAlign w:val="bottom"/>
          </w:tcPr>
          <w:p>
            <w:pPr>
              <w:jc w:val="center"/>
              <w:ind w:left="190"/>
              <w:spacing w:after="0"/>
              <w:rPr>
                <w:sz w:val="20"/>
                <w:szCs w:val="20"/>
                <w:color w:val="auto"/>
              </w:rPr>
            </w:pPr>
            <w:r>
              <w:rPr>
                <w:rFonts w:ascii="Arial" w:cs="Arial" w:eastAsia="Arial" w:hAnsi="Arial"/>
                <w:sz w:val="18"/>
                <w:szCs w:val="18"/>
                <w:color w:val="auto"/>
                <w:w w:val="99"/>
              </w:rPr>
              <w:t>1</w:t>
            </w:r>
          </w:p>
        </w:tc>
        <w:tc>
          <w:tcPr>
            <w:tcW w:w="3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0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0</w:t>
            </w:r>
          </w:p>
        </w:tc>
      </w:tr>
      <w:tr>
        <w:trPr>
          <w:trHeight w:val="50"/>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r>
      <w:tr>
        <w:trPr>
          <w:trHeight w:val="281"/>
        </w:trPr>
        <w:tc>
          <w:tcPr>
            <w:tcW w:w="4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Native Hawaiian or Pacific Islander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40" w:type="dxa"/>
            <w:vAlign w:val="bottom"/>
          </w:tcPr>
          <w:p>
            <w:pPr>
              <w:jc w:val="center"/>
              <w:ind w:left="190"/>
              <w:spacing w:after="0"/>
              <w:rPr>
                <w:sz w:val="20"/>
                <w:szCs w:val="20"/>
                <w:color w:val="auto"/>
              </w:rPr>
            </w:pPr>
            <w:r>
              <w:rPr>
                <w:rFonts w:ascii="Arial" w:cs="Arial" w:eastAsia="Arial" w:hAnsi="Arial"/>
                <w:sz w:val="18"/>
                <w:szCs w:val="18"/>
                <w:color w:val="auto"/>
                <w:w w:val="99"/>
              </w:rPr>
              <w:t>0</w:t>
            </w:r>
          </w:p>
        </w:tc>
        <w:tc>
          <w:tcPr>
            <w:tcW w:w="3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0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0</w:t>
            </w:r>
          </w:p>
        </w:tc>
      </w:tr>
      <w:tr>
        <w:trPr>
          <w:trHeight w:val="50"/>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r>
      <w:tr>
        <w:trPr>
          <w:trHeight w:val="281"/>
        </w:trPr>
        <w:tc>
          <w:tcPr>
            <w:tcW w:w="4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White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Pr>
          <w:p>
            <w:pPr>
              <w:jc w:val="center"/>
              <w:ind w:left="190"/>
              <w:spacing w:after="0"/>
              <w:rPr>
                <w:sz w:val="20"/>
                <w:szCs w:val="20"/>
                <w:color w:val="auto"/>
              </w:rPr>
            </w:pPr>
            <w:r>
              <w:rPr>
                <w:rFonts w:ascii="Arial" w:cs="Arial" w:eastAsia="Arial" w:hAnsi="Arial"/>
                <w:sz w:val="18"/>
                <w:szCs w:val="18"/>
                <w:color w:val="auto"/>
                <w:w w:val="99"/>
              </w:rPr>
              <w:t>1</w:t>
            </w:r>
          </w:p>
        </w:tc>
        <w:tc>
          <w:tcPr>
            <w:tcW w:w="3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0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0</w:t>
            </w:r>
          </w:p>
        </w:tc>
      </w:tr>
      <w:tr>
        <w:trPr>
          <w:trHeight w:val="50"/>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r>
      <w:tr>
        <w:trPr>
          <w:trHeight w:val="281"/>
        </w:trPr>
        <w:tc>
          <w:tcPr>
            <w:tcW w:w="4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Two or More Races or Ethnicities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40" w:type="dxa"/>
            <w:vAlign w:val="bottom"/>
          </w:tcPr>
          <w:p>
            <w:pPr>
              <w:jc w:val="center"/>
              <w:ind w:left="190"/>
              <w:spacing w:after="0"/>
              <w:rPr>
                <w:sz w:val="20"/>
                <w:szCs w:val="20"/>
                <w:color w:val="auto"/>
              </w:rPr>
            </w:pPr>
            <w:r>
              <w:rPr>
                <w:rFonts w:ascii="Arial" w:cs="Arial" w:eastAsia="Arial" w:hAnsi="Arial"/>
                <w:sz w:val="18"/>
                <w:szCs w:val="18"/>
                <w:color w:val="auto"/>
                <w:w w:val="99"/>
              </w:rPr>
              <w:t>0</w:t>
            </w:r>
          </w:p>
        </w:tc>
        <w:tc>
          <w:tcPr>
            <w:tcW w:w="3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0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0</w:t>
            </w:r>
          </w:p>
        </w:tc>
      </w:tr>
      <w:tr>
        <w:trPr>
          <w:trHeight w:val="50"/>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r>
      <w:tr>
        <w:trPr>
          <w:trHeight w:val="281"/>
        </w:trPr>
        <w:tc>
          <w:tcPr>
            <w:tcW w:w="4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LGBTQ+</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60" w:type="dxa"/>
            <w:vAlign w:val="bottom"/>
            <w:gridSpan w:val="2"/>
          </w:tcPr>
          <w:p>
            <w:pPr>
              <w:jc w:val="right"/>
              <w:ind w:right="1330"/>
              <w:spacing w:after="0"/>
              <w:rPr>
                <w:sz w:val="20"/>
                <w:szCs w:val="20"/>
                <w:color w:val="auto"/>
              </w:rPr>
            </w:pPr>
            <w:r>
              <w:rPr>
                <w:rFonts w:ascii="Arial" w:cs="Arial" w:eastAsia="Arial" w:hAnsi="Arial"/>
                <w:sz w:val="18"/>
                <w:szCs w:val="18"/>
                <w:color w:val="auto"/>
              </w:rPr>
              <w:t>0</w:t>
            </w:r>
          </w:p>
        </w:tc>
        <w:tc>
          <w:tcPr>
            <w:tcW w:w="1300" w:type="dxa"/>
            <w:vAlign w:val="bottom"/>
            <w:tcBorders>
              <w:right w:val="single" w:sz="8" w:color="auto"/>
            </w:tcBorders>
          </w:tcPr>
          <w:p>
            <w:pPr>
              <w:spacing w:after="0"/>
              <w:rPr>
                <w:sz w:val="24"/>
                <w:szCs w:val="24"/>
                <w:color w:val="auto"/>
              </w:rPr>
            </w:pPr>
          </w:p>
        </w:tc>
      </w:tr>
      <w:tr>
        <w:trPr>
          <w:trHeight w:val="50"/>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r>
      <w:tr>
        <w:trPr>
          <w:trHeight w:val="286"/>
        </w:trPr>
        <w:tc>
          <w:tcPr>
            <w:tcW w:w="41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Did Not Disclose Demographic Background</w:t>
            </w:r>
          </w:p>
        </w:tc>
        <w:tc>
          <w:tcPr>
            <w:tcW w:w="1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color w:val="auto"/>
              </w:rPr>
              <w:t>0</w:t>
            </w:r>
          </w:p>
        </w:tc>
        <w:tc>
          <w:tcPr>
            <w:tcW w:w="130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1978025</wp:posOffset>
            </wp:positionH>
            <wp:positionV relativeFrom="paragraph">
              <wp:posOffset>214630</wp:posOffset>
            </wp:positionV>
            <wp:extent cx="2305685" cy="18688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05685" cy="186880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170815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type w:val="continuous"/>
        </w:sectPr>
      </w:pPr>
    </w:p>
    <w:bookmarkStart w:id="19" w:name="page20"/>
    <w:bookmarkEnd w:id="19"/>
    <w:p>
      <w:pPr>
        <w:ind w:left="1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Oversight of Environmental, Social and Governance (“ESG”) Matters</w:t>
      </w:r>
    </w:p>
    <w:p>
      <w:pPr>
        <w:spacing w:after="0" w:line="139"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The Board and our management recognize the importance of oversight of ESG matters. Oversight responsibilities of the Corporate Governance Committee for ESG matters for the Company are memorialized in the Committee’s charter to specify its responsibility to:</w:t>
      </w:r>
    </w:p>
    <w:p>
      <w:pPr>
        <w:spacing w:after="0" w:line="101" w:lineRule="exact"/>
        <w:rPr>
          <w:sz w:val="20"/>
          <w:szCs w:val="20"/>
          <w:color w:val="auto"/>
        </w:rPr>
      </w:pPr>
    </w:p>
    <w:p>
      <w:pPr>
        <w:ind w:left="350" w:hanging="350"/>
        <w:spacing w:after="0"/>
        <w:tabs>
          <w:tab w:leader="none" w:pos="3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discuss emerging best practices, trends and key issues related to ESG matters; and</w:t>
      </w:r>
    </w:p>
    <w:p>
      <w:pPr>
        <w:spacing w:after="0" w:line="130" w:lineRule="exact"/>
        <w:rPr>
          <w:rFonts w:ascii="Arial" w:cs="Arial" w:eastAsia="Arial" w:hAnsi="Arial"/>
          <w:sz w:val="18"/>
          <w:szCs w:val="18"/>
          <w:color w:val="auto"/>
        </w:rPr>
      </w:pPr>
    </w:p>
    <w:p>
      <w:pPr>
        <w:ind w:left="350" w:hanging="350"/>
        <w:spacing w:after="0"/>
        <w:tabs>
          <w:tab w:leader="none" w:pos="3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the Company’s strategy and governance of ESG matters and to advise the Board on such matters.</w:t>
      </w:r>
    </w:p>
    <w:p>
      <w:pPr>
        <w:spacing w:after="0" w:line="144"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The Corporate Governance Committee also oversees the Company’s risks and disclosures related to ESG and annual ESG reporting, which cover matters such as the environment, human rights, labor, health and safety, workforce diversity, supply chain, governance and similar matters affecting our stakeholders, and causes a briefing on ESG matters to be provided to the Board on at least an annual basis.</w:t>
      </w:r>
    </w:p>
    <w:p>
      <w:pPr>
        <w:spacing w:after="0" w:line="106" w:lineRule="exact"/>
        <w:rPr>
          <w:sz w:val="20"/>
          <w:szCs w:val="20"/>
          <w:color w:val="auto"/>
        </w:rPr>
      </w:pPr>
    </w:p>
    <w:p>
      <w:pPr>
        <w:jc w:val="both"/>
        <w:ind w:left="10" w:right="20"/>
        <w:spacing w:after="0" w:line="247" w:lineRule="auto"/>
        <w:rPr>
          <w:sz w:val="20"/>
          <w:szCs w:val="20"/>
          <w:color w:val="auto"/>
        </w:rPr>
      </w:pPr>
      <w:r>
        <w:rPr>
          <w:rFonts w:ascii="Arial" w:cs="Arial" w:eastAsia="Arial" w:hAnsi="Arial"/>
          <w:sz w:val="18"/>
          <w:szCs w:val="18"/>
          <w:color w:val="auto"/>
        </w:rPr>
        <w:t>In addition, the Corporate Governance Committee conducts periodic reviews of the Company’s programs, policies and procedures in the area of ESG. This includes, among other things, directing senior management to report to the Corporate Governance Committee, on a periodic basis, assessments and progress against both longer- and shorter-term key objectives, metrics and program enhancements set by senior management and reviewed by the Committee.</w:t>
      </w:r>
    </w:p>
    <w:p>
      <w:pPr>
        <w:spacing w:after="0" w:line="168"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2407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8"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color w:val="auto"/>
        </w:rPr>
        <w:t>The Board of Directors is responsible for the development, implementation and periodic review of a succession plan for the Chief Executive Officer and for overseeing the development, implementation and periodic review of a succession plan for senior executives. 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w:t>
      </w:r>
    </w:p>
    <w:p>
      <w:pPr>
        <w:spacing w:after="0" w:line="109" w:lineRule="exact"/>
        <w:rPr>
          <w:sz w:val="20"/>
          <w:szCs w:val="20"/>
          <w:color w:val="auto"/>
        </w:rPr>
      </w:pPr>
    </w:p>
    <w:p>
      <w:pPr>
        <w:jc w:val="both"/>
        <w:ind w:left="10"/>
        <w:spacing w:after="0"/>
        <w:rPr>
          <w:sz w:val="20"/>
          <w:szCs w:val="20"/>
          <w:color w:val="auto"/>
        </w:rPr>
      </w:pPr>
      <w:r>
        <w:rPr>
          <w:rFonts w:ascii="Arial" w:cs="Arial" w:eastAsia="Arial" w:hAnsi="Arial"/>
          <w:sz w:val="18"/>
          <w:szCs w:val="18"/>
          <w:color w:val="auto"/>
        </w:rPr>
        <w:t>The Board of Directors views succession planning as an ongoing process and will continue its review of available talent, both internal and external, to ensure the uninterrupted strength of the entire management team. In order to ensure that qualified candidates are available for senior executive positions, the Board of Directors oversees the development of internal candidates, maintenance of talent development plans to strengthen the skills and qualifications of such candidates and is responsible, if necessary, for the identification of suitable external successor candidates. The Board of Directors also maintains an “emergency” succession plan in the event of an unexpected disability or inability of any of our senior executives to perform his or her duties.</w:t>
      </w:r>
    </w:p>
    <w:p>
      <w:pPr>
        <w:spacing w:after="0" w:line="179"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240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8"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The Company has adopted written procedures for the review, approval or ratification of transactions with related persons that apply to any transaction, arrangement or relationship in which:</w:t>
      </w:r>
    </w:p>
    <w:p>
      <w:pPr>
        <w:spacing w:after="0" w:line="86" w:lineRule="exact"/>
        <w:rPr>
          <w:sz w:val="20"/>
          <w:szCs w:val="20"/>
          <w:color w:val="auto"/>
        </w:rPr>
      </w:pPr>
    </w:p>
    <w:p>
      <w:pPr>
        <w:ind w:left="350" w:hanging="350"/>
        <w:spacing w:after="0"/>
        <w:tabs>
          <w:tab w:leader="none" w:pos="3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(including any of its subsidiaries) was, is or will be a participant; and</w:t>
      </w:r>
    </w:p>
    <w:p>
      <w:pPr>
        <w:spacing w:after="0" w:line="130" w:lineRule="exact"/>
        <w:rPr>
          <w:rFonts w:ascii="Arial" w:cs="Arial" w:eastAsia="Arial" w:hAnsi="Arial"/>
          <w:sz w:val="18"/>
          <w:szCs w:val="18"/>
          <w:color w:val="auto"/>
        </w:rPr>
      </w:pPr>
    </w:p>
    <w:p>
      <w:pPr>
        <w:jc w:val="both"/>
        <w:ind w:left="350" w:hanging="350"/>
        <w:spacing w:after="0" w:line="247" w:lineRule="auto"/>
        <w:tabs>
          <w:tab w:leader="none" w:pos="3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related person (</w:t>
      </w:r>
      <w:r>
        <w:rPr>
          <w:rFonts w:ascii="Arial" w:cs="Arial" w:eastAsia="Arial" w:hAnsi="Arial"/>
          <w:sz w:val="18"/>
          <w:szCs w:val="18"/>
          <w:i w:val="1"/>
          <w:iCs w:val="1"/>
          <w:color w:val="auto"/>
        </w:rPr>
        <w:t>i.e.</w:t>
      </w:r>
      <w:r>
        <w:rPr>
          <w:rFonts w:ascii="Arial" w:cs="Arial" w:eastAsia="Arial" w:hAnsi="Arial"/>
          <w:sz w:val="18"/>
          <w:szCs w:val="18"/>
          <w:color w:val="auto"/>
        </w:rPr>
        <w:t>, a director, executive officer, director nominee, or any greater than 5% beneficial owner, or any immediate family member of the foregoing, or any entity in which any of the foregoing persons is employed, or is a partner, principal or in a similar position, or has any greater than 5% beneficial interest) had, has or will have a direct or indirect interest.</w:t>
      </w:r>
    </w:p>
    <w:p>
      <w:pPr>
        <w:spacing w:after="0" w:line="106"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Under the Company’s related persons policy, transactions with related persons are reviewed in advance by the General Counsel, Chief Compliance Officer and Corporate Secretary of the Company, or in certain circumstances, as soon as possible thereafter. If it is determined by such officer that the transaction is a related person transaction and the amount involved exceeds $120,000:</w:t>
      </w:r>
    </w:p>
    <w:p>
      <w:pPr>
        <w:spacing w:after="0" w:line="93" w:lineRule="exact"/>
        <w:rPr>
          <w:sz w:val="20"/>
          <w:szCs w:val="20"/>
          <w:color w:val="auto"/>
        </w:rPr>
      </w:pPr>
    </w:p>
    <w:p>
      <w:pPr>
        <w:ind w:left="350" w:hanging="350"/>
        <w:spacing w:after="0" w:line="271" w:lineRule="auto"/>
        <w:tabs>
          <w:tab w:leader="none" w:pos="3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transaction will be submitted for review to the Audit Committee, or, under certain circumstances, to the Chairman of the Audit Committee.</w:t>
      </w:r>
    </w:p>
    <w:p>
      <w:pPr>
        <w:spacing w:after="0" w:line="86" w:lineRule="exact"/>
        <w:rPr>
          <w:rFonts w:ascii="Arial" w:cs="Arial" w:eastAsia="Arial" w:hAnsi="Arial"/>
          <w:sz w:val="18"/>
          <w:szCs w:val="18"/>
          <w:color w:val="auto"/>
        </w:rPr>
      </w:pPr>
    </w:p>
    <w:p>
      <w:pPr>
        <w:ind w:left="350" w:hanging="350"/>
        <w:spacing w:after="0"/>
        <w:tabs>
          <w:tab w:leader="none" w:pos="3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Audit Committee or its Chairman will then consider all relevant facts and circumstances available.</w:t>
      </w:r>
    </w:p>
    <w:p>
      <w:pPr>
        <w:spacing w:after="0" w:line="144"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Audit Committee or its Chairman will approve only those transactions, determined in good faith to be in, or not inconsistent with, the best interests of the Company and its shareholders.</w:t>
      </w:r>
    </w:p>
    <w:p>
      <w:pPr>
        <w:spacing w:after="0" w:line="26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20" w:name="page21"/>
    <w:bookmarkEnd w:id="20"/>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Additionally, under certain circumstances, the General Counsel or Chairman of the Audit Committee may recommend that the independent members of the Board consider the advisability of a related person transaction. The Audit Committee reviews on an annual basis contributions by the Company in excess of $1,000, in the aggregate (other than contributions made pursuant to the Company’s matching contribution program for employees and directors), to a charitable organization at which a related person is actively involved with fund-raising or serves as a director, trustee or in a similar capacity.</w:t>
      </w:r>
    </w:p>
    <w:p>
      <w:pPr>
        <w:spacing w:after="0" w:line="109"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For the period since the beginning of the Company’s last fiscal year, the Company had one related person transaction that required disclosure under SEC rules. In August 2021, SRS Mobility Ventures, LLC acquired a 33 1/3% Class A Membership Interest in one of our subsidiaries at fair value of $37.5 million. SRS Mobility Ventures, LLC is an affiliate of our largest shareholder, SRS Investment Management, LLC.</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62407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8"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We regularly conduct engagement and outreach efforts in order to communicate with existing and prospective shareholders, lenders, research analysts, rating agencies, governance firms and others. In 2021, our key engagement activities included numerous group and one-on-one investor meetings, conference calls accessible to all shareholders following each of our quarterly earnings releases, presentations at various investor conferences, and our 2021 Annual Meeting of Shareholders. Members of management, in addition to our Chief Executive Officer and Chief Financial Officer, participated in these activities, each of which contained opportunities for shareholders and other constituents to provide feedback to management. We value the input and insights of our shareholders and are committed to continued engagement with investors. Key topics of focus in 2021 included our strategy and results as well as travel and industry trends in light of developments with respect to emerging from the pandemic.</w:t>
      </w:r>
    </w:p>
    <w:p>
      <w:pPr>
        <w:spacing w:after="0" w:line="102"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From time to time, certain of our independent Board members attend investor meetings, in addition to attending the Annual Meeting of Shareholders.</w:t>
      </w:r>
    </w:p>
    <w:p>
      <w:pPr>
        <w:spacing w:after="0" w:line="86"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 xml:space="preserve">Our investor relations department is the key point of contact for shareholder interaction with the Company. Shareholders and other interested parties may access investor information about our Company through our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investor relations department coordinates institutional investor meetings with</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appearances at investor conferences and our quarterly earnings calls. We consider shareholder requests to meet with members of our Board of Directors on a case-by-case basis.</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36"/>
          <w:szCs w:val="36"/>
          <w:color w:val="auto"/>
        </w:rPr>
        <w:t>Stock Ownership</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62407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98"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and restricted stock units under all of our existing equity compensation plans as of December 31, 2021.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240" w:type="dxa"/>
            <w:vAlign w:val="bottom"/>
          </w:tcPr>
          <w:p>
            <w:pPr>
              <w:jc w:val="center"/>
              <w:ind w:left="123"/>
              <w:spacing w:after="0"/>
              <w:rPr>
                <w:sz w:val="20"/>
                <w:szCs w:val="20"/>
                <w:color w:val="auto"/>
              </w:rPr>
            </w:pPr>
            <w:r>
              <w:rPr>
                <w:rFonts w:ascii="Arial" w:cs="Arial" w:eastAsia="Arial" w:hAnsi="Arial"/>
                <w:sz w:val="14"/>
                <w:szCs w:val="14"/>
                <w:b w:val="1"/>
                <w:bCs w:val="1"/>
                <w:color w:val="auto"/>
              </w:rPr>
              <w:t>Number of Securities to</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1860" w:type="dxa"/>
            <w:vAlign w:val="bottom"/>
          </w:tcPr>
          <w:p>
            <w:pPr>
              <w:jc w:val="center"/>
              <w:ind w:left="23"/>
              <w:spacing w:after="0"/>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w w:val="97"/>
              </w:rPr>
              <w:t>be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rPr>
              <w:t>Issued Upon Exercise of</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rPr>
              <w:t>Outstanding Options,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rPr>
              <w:t>Warrants, Rights and</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(Excludes Restricted</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rPr>
              <w:t>Restricted Stock Units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First Column)</w:t>
            </w:r>
          </w:p>
        </w:tc>
        <w:tc>
          <w:tcPr>
            <w:tcW w:w="0" w:type="dxa"/>
            <w:vAlign w:val="bottom"/>
          </w:tcPr>
          <w:p>
            <w:pPr>
              <w:spacing w:after="0"/>
              <w:rPr>
                <w:sz w:val="1"/>
                <w:szCs w:val="1"/>
                <w:color w:val="auto"/>
              </w:rPr>
            </w:pPr>
          </w:p>
        </w:tc>
      </w:tr>
      <w:tr>
        <w:trPr>
          <w:trHeight w:val="196"/>
        </w:trPr>
        <w:tc>
          <w:tcPr>
            <w:tcW w:w="3940" w:type="dxa"/>
            <w:vAlign w:val="bottom"/>
          </w:tcPr>
          <w:p>
            <w:pPr>
              <w:ind w:left="100"/>
              <w:spacing w:after="0"/>
              <w:rPr>
                <w:sz w:val="20"/>
                <w:szCs w:val="20"/>
                <w:color w:val="auto"/>
              </w:rPr>
            </w:pPr>
            <w:r>
              <w:rPr>
                <w:rFonts w:ascii="Arial" w:cs="Arial" w:eastAsia="Arial" w:hAnsi="Arial"/>
                <w:sz w:val="14"/>
                <w:szCs w:val="14"/>
                <w:b w:val="1"/>
                <w:bCs w:val="1"/>
                <w:color w:val="auto"/>
              </w:rPr>
              <w:t>Plan Category</w:t>
            </w:r>
          </w:p>
        </w:tc>
        <w:tc>
          <w:tcPr>
            <w:tcW w:w="2240" w:type="dxa"/>
            <w:vAlign w:val="bottom"/>
          </w:tcPr>
          <w:p>
            <w:pPr>
              <w:jc w:val="center"/>
              <w:ind w:left="123"/>
              <w:spacing w:after="0"/>
              <w:rPr>
                <w:sz w:val="20"/>
                <w:szCs w:val="20"/>
                <w:color w:val="auto"/>
              </w:rPr>
            </w:pPr>
            <w:r>
              <w:rPr>
                <w:rFonts w:ascii="Arial" w:cs="Arial" w:eastAsia="Arial" w:hAnsi="Arial"/>
                <w:sz w:val="14"/>
                <w:szCs w:val="14"/>
                <w:b w:val="1"/>
                <w:bCs w:val="1"/>
                <w:color w:val="auto"/>
                <w:w w:val="93"/>
              </w:rPr>
              <w:t>(a)</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60" w:type="dxa"/>
            <w:vAlign w:val="bottom"/>
          </w:tcPr>
          <w:p>
            <w:pPr>
              <w:jc w:val="center"/>
              <w:ind w:left="3"/>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43"/>
        </w:trPr>
        <w:tc>
          <w:tcPr>
            <w:tcW w:w="39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940" w:type="dxa"/>
            <w:vAlign w:val="bottom"/>
            <w:shd w:val="clear" w:color="auto" w:fill="CCCCCC"/>
          </w:tcPr>
          <w:p>
            <w:pPr>
              <w:ind w:left="100"/>
              <w:spacing w:after="0"/>
              <w:rPr>
                <w:sz w:val="20"/>
                <w:szCs w:val="20"/>
                <w:color w:val="auto"/>
              </w:rPr>
            </w:pPr>
            <w:r>
              <w:rPr>
                <w:rFonts w:ascii="Arial" w:cs="Arial" w:eastAsia="Arial" w:hAnsi="Arial"/>
                <w:sz w:val="18"/>
                <w:szCs w:val="18"/>
                <w:color w:val="auto"/>
              </w:rPr>
              <w:t>Equity compensation plans approved by</w:t>
            </w:r>
          </w:p>
        </w:tc>
        <w:tc>
          <w:tcPr>
            <w:tcW w:w="2240" w:type="dxa"/>
            <w:vAlign w:val="bottom"/>
            <w:vMerge w:val="restart"/>
            <w:shd w:val="clear" w:color="auto" w:fill="CCCCCC"/>
          </w:tcPr>
          <w:p>
            <w:pPr>
              <w:jc w:val="center"/>
              <w:ind w:left="123"/>
              <w:spacing w:after="0"/>
              <w:rPr>
                <w:sz w:val="20"/>
                <w:szCs w:val="20"/>
                <w:color w:val="auto"/>
              </w:rPr>
            </w:pPr>
            <w:r>
              <w:rPr>
                <w:rFonts w:ascii="Arial" w:cs="Arial" w:eastAsia="Arial" w:hAnsi="Arial"/>
                <w:sz w:val="18"/>
                <w:szCs w:val="18"/>
                <w:color w:val="auto"/>
                <w:w w:val="99"/>
              </w:rPr>
              <w:t>1,627,189</w:t>
            </w:r>
          </w:p>
        </w:tc>
        <w:tc>
          <w:tcPr>
            <w:tcW w:w="1800" w:type="dxa"/>
            <w:vAlign w:val="bottom"/>
            <w:vMerge w:val="restart"/>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vMerge w:val="restart"/>
            <w:shd w:val="clear" w:color="auto" w:fill="CCCCCC"/>
          </w:tcPr>
          <w:p>
            <w:pPr>
              <w:jc w:val="center"/>
              <w:ind w:left="23"/>
              <w:spacing w:after="0"/>
              <w:rPr>
                <w:sz w:val="20"/>
                <w:szCs w:val="20"/>
                <w:color w:val="auto"/>
              </w:rPr>
            </w:pPr>
            <w:r>
              <w:rPr>
                <w:rFonts w:ascii="Arial" w:cs="Arial" w:eastAsia="Arial" w:hAnsi="Arial"/>
                <w:sz w:val="18"/>
                <w:szCs w:val="18"/>
                <w:color w:val="auto"/>
                <w:w w:val="99"/>
              </w:rPr>
              <w:t>4,347,884</w:t>
            </w:r>
          </w:p>
        </w:tc>
        <w:tc>
          <w:tcPr>
            <w:tcW w:w="0" w:type="dxa"/>
            <w:vAlign w:val="bottom"/>
          </w:tcPr>
          <w:p>
            <w:pPr>
              <w:spacing w:after="0"/>
              <w:rPr>
                <w:sz w:val="1"/>
                <w:szCs w:val="1"/>
                <w:color w:val="auto"/>
              </w:rPr>
            </w:pPr>
          </w:p>
        </w:tc>
      </w:tr>
      <w:tr>
        <w:trPr>
          <w:trHeight w:val="131"/>
        </w:trPr>
        <w:tc>
          <w:tcPr>
            <w:tcW w:w="3940" w:type="dxa"/>
            <w:vAlign w:val="bottom"/>
            <w:vMerge w:val="restart"/>
            <w:shd w:val="clear" w:color="auto" w:fill="CCCCCC"/>
          </w:tcPr>
          <w:p>
            <w:pPr>
              <w:ind w:left="100"/>
              <w:spacing w:after="0"/>
              <w:rPr>
                <w:sz w:val="20"/>
                <w:szCs w:val="20"/>
                <w:color w:val="auto"/>
              </w:rPr>
            </w:pPr>
            <w:r>
              <w:rPr>
                <w:rFonts w:ascii="Arial" w:cs="Arial" w:eastAsia="Arial" w:hAnsi="Arial"/>
                <w:sz w:val="18"/>
                <w:szCs w:val="18"/>
                <w:color w:val="auto"/>
              </w:rPr>
              <w:t>security holders</w:t>
            </w:r>
          </w:p>
        </w:tc>
        <w:tc>
          <w:tcPr>
            <w:tcW w:w="2240" w:type="dxa"/>
            <w:vAlign w:val="bottom"/>
            <w:vMerge w:val="continue"/>
            <w:shd w:val="clear" w:color="auto" w:fill="CCCCCC"/>
          </w:tcPr>
          <w:p>
            <w:pPr>
              <w:spacing w:after="0"/>
              <w:rPr>
                <w:sz w:val="11"/>
                <w:szCs w:val="11"/>
                <w:color w:val="auto"/>
              </w:rPr>
            </w:pPr>
          </w:p>
        </w:tc>
        <w:tc>
          <w:tcPr>
            <w:tcW w:w="1800" w:type="dxa"/>
            <w:vAlign w:val="bottom"/>
            <w:vMerge w:val="continue"/>
            <w:shd w:val="clear" w:color="auto" w:fill="CCCCCC"/>
          </w:tcPr>
          <w:p>
            <w:pPr>
              <w:spacing w:after="0"/>
              <w:rPr>
                <w:sz w:val="11"/>
                <w:szCs w:val="11"/>
                <w:color w:val="auto"/>
              </w:rPr>
            </w:pPr>
          </w:p>
        </w:tc>
        <w:tc>
          <w:tcPr>
            <w:tcW w:w="1860" w:type="dxa"/>
            <w:vAlign w:val="bottom"/>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940" w:type="dxa"/>
            <w:vAlign w:val="bottom"/>
            <w:tcBorders>
              <w:bottom w:val="single" w:sz="8" w:color="CCCCCC"/>
            </w:tcBorders>
            <w:vMerge w:val="continue"/>
            <w:shd w:val="clear" w:color="auto" w:fill="CCCCCC"/>
          </w:tcPr>
          <w:p>
            <w:pPr>
              <w:spacing w:after="0"/>
              <w:rPr>
                <w:sz w:val="13"/>
                <w:szCs w:val="13"/>
                <w:color w:val="auto"/>
              </w:rPr>
            </w:pPr>
          </w:p>
        </w:tc>
        <w:tc>
          <w:tcPr>
            <w:tcW w:w="2240" w:type="dxa"/>
            <w:vAlign w:val="bottom"/>
            <w:tcBorders>
              <w:bottom w:val="single" w:sz="8" w:color="CCCCCC"/>
            </w:tcBorders>
            <w:shd w:val="clear" w:color="auto" w:fill="CCCCCC"/>
          </w:tcPr>
          <w:p>
            <w:pPr>
              <w:spacing w:after="0"/>
              <w:rPr>
                <w:sz w:val="13"/>
                <w:szCs w:val="13"/>
                <w:color w:val="auto"/>
              </w:rPr>
            </w:pPr>
          </w:p>
        </w:tc>
        <w:tc>
          <w:tcPr>
            <w:tcW w:w="1800" w:type="dxa"/>
            <w:vAlign w:val="bottom"/>
            <w:tcBorders>
              <w:bottom w:val="single" w:sz="8" w:color="CCCCCC"/>
            </w:tcBorders>
            <w:shd w:val="clear" w:color="auto" w:fill="CCCCCC"/>
          </w:tcPr>
          <w:p>
            <w:pPr>
              <w:spacing w:after="0"/>
              <w:rPr>
                <w:sz w:val="13"/>
                <w:szCs w:val="13"/>
                <w:color w:val="auto"/>
              </w:rPr>
            </w:pPr>
          </w:p>
        </w:tc>
        <w:tc>
          <w:tcPr>
            <w:tcW w:w="1860" w:type="dxa"/>
            <w:vAlign w:val="bottom"/>
            <w:tcBorders>
              <w:bottom w:val="single" w:sz="8" w:color="CCCCCC"/>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39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Equity compensation plans not approved by</w:t>
            </w:r>
          </w:p>
        </w:tc>
        <w:tc>
          <w:tcPr>
            <w:tcW w:w="2240" w:type="dxa"/>
            <w:vAlign w:val="bottom"/>
            <w:tcBorders>
              <w:top w:val="single" w:sz="8" w:color="auto"/>
            </w:tcBorders>
            <w:vMerge w:val="restart"/>
          </w:tcPr>
          <w:p>
            <w:pPr>
              <w:ind w:left="144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vMerge w:val="restart"/>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3940" w:type="dxa"/>
            <w:vAlign w:val="bottom"/>
            <w:vMerge w:val="restart"/>
          </w:tcPr>
          <w:p>
            <w:pPr>
              <w:ind w:left="100"/>
              <w:spacing w:after="0"/>
              <w:rPr>
                <w:sz w:val="20"/>
                <w:szCs w:val="20"/>
                <w:color w:val="auto"/>
              </w:rPr>
            </w:pPr>
            <w:r>
              <w:rPr>
                <w:rFonts w:ascii="Arial" w:cs="Arial" w:eastAsia="Arial" w:hAnsi="Arial"/>
                <w:sz w:val="18"/>
                <w:szCs w:val="18"/>
                <w:color w:val="auto"/>
              </w:rPr>
              <w:t>security holders</w:t>
            </w:r>
          </w:p>
        </w:tc>
        <w:tc>
          <w:tcPr>
            <w:tcW w:w="224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94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39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394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shd w:val="clear" w:color="auto" w:fill="CCCCCC"/>
          </w:tcPr>
          <w:p>
            <w:pPr>
              <w:jc w:val="center"/>
              <w:ind w:left="123"/>
              <w:spacing w:after="0"/>
              <w:rPr>
                <w:sz w:val="20"/>
                <w:szCs w:val="20"/>
                <w:color w:val="auto"/>
              </w:rPr>
            </w:pPr>
            <w:r>
              <w:rPr>
                <w:rFonts w:ascii="Arial" w:cs="Arial" w:eastAsia="Arial" w:hAnsi="Arial"/>
                <w:sz w:val="18"/>
                <w:szCs w:val="18"/>
                <w:color w:val="auto"/>
                <w:w w:val="99"/>
              </w:rPr>
              <w:t>1,627,189</w:t>
            </w:r>
          </w:p>
        </w:tc>
        <w:tc>
          <w:tcPr>
            <w:tcW w:w="18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CCCC"/>
          </w:tcPr>
          <w:p>
            <w:pPr>
              <w:jc w:val="center"/>
              <w:ind w:left="23"/>
              <w:spacing w:after="0"/>
              <w:rPr>
                <w:sz w:val="20"/>
                <w:szCs w:val="20"/>
                <w:color w:val="auto"/>
              </w:rPr>
            </w:pPr>
            <w:r>
              <w:rPr>
                <w:rFonts w:ascii="Arial" w:cs="Arial" w:eastAsia="Arial" w:hAnsi="Arial"/>
                <w:sz w:val="18"/>
                <w:szCs w:val="18"/>
                <w:color w:val="auto"/>
                <w:w w:val="99"/>
              </w:rPr>
              <w:t>4,347,884</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60" w:hanging="350"/>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awards granted under the Amended and Restated Equity and Incentive Plan, which plan was approved by stockholders.</w:t>
      </w:r>
    </w:p>
    <w:p>
      <w:pPr>
        <w:spacing w:after="0" w:line="82" w:lineRule="exact"/>
        <w:rPr>
          <w:rFonts w:ascii="Arial" w:cs="Arial" w:eastAsia="Arial" w:hAnsi="Arial"/>
          <w:sz w:val="14"/>
          <w:szCs w:val="14"/>
          <w:color w:val="auto"/>
        </w:rPr>
      </w:pPr>
    </w:p>
    <w:p>
      <w:pPr>
        <w:ind w:left="360" w:hanging="350"/>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4,347,884 shares available for issuance under the Amended and Restated Equity and Incentive Plan.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21" w:name="page22"/>
    <w:bookmarkEnd w:id="21"/>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5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62407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98" w:lineRule="exact"/>
        <w:rPr>
          <w:sz w:val="20"/>
          <w:szCs w:val="20"/>
          <w:color w:val="auto"/>
        </w:rPr>
      </w:pPr>
    </w:p>
    <w:p>
      <w:pPr>
        <w:jc w:val="both"/>
        <w:ind w:left="20"/>
        <w:spacing w:after="0" w:line="245" w:lineRule="auto"/>
        <w:rPr>
          <w:sz w:val="20"/>
          <w:szCs w:val="20"/>
          <w:color w:val="auto"/>
        </w:rPr>
      </w:pPr>
      <w:r>
        <w:rPr>
          <w:rFonts w:ascii="Arial" w:cs="Arial" w:eastAsia="Arial" w:hAnsi="Arial"/>
          <w:sz w:val="18"/>
          <w:szCs w:val="18"/>
          <w:color w:val="auto"/>
        </w:rPr>
        <w:t>The following table sets forth information regarding beneficial ownership of shares of Common Stock as of March 15, 2022, by (i) each person who is known by us to beneficially own more than 5% of the outstanding shares of Common Stock,</w:t>
      </w:r>
    </w:p>
    <w:p>
      <w:pPr>
        <w:ind w:left="20" w:hanging="10"/>
        <w:spacing w:after="0" w:line="250"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the Company’s directors and each of its named executive officers, and (iii) all of the Company’s directors, nominees and current executive officers, as a group.</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Percent of</w:t>
            </w:r>
          </w:p>
        </w:tc>
        <w:tc>
          <w:tcPr>
            <w:tcW w:w="2420" w:type="dxa"/>
            <w:vAlign w:val="bottom"/>
          </w:tcPr>
          <w:p>
            <w:pPr>
              <w:jc w:val="center"/>
              <w:ind w:left="128"/>
              <w:spacing w:after="0"/>
              <w:rPr>
                <w:sz w:val="20"/>
                <w:szCs w:val="20"/>
                <w:color w:val="auto"/>
              </w:rPr>
            </w:pPr>
            <w:r>
              <w:rPr>
                <w:rFonts w:ascii="Arial" w:cs="Arial" w:eastAsia="Arial" w:hAnsi="Arial"/>
                <w:sz w:val="14"/>
                <w:szCs w:val="14"/>
                <w:b w:val="1"/>
                <w:bCs w:val="1"/>
                <w:color w:val="auto"/>
              </w:rPr>
              <w:t>Of the Total Number of Shares</w:t>
            </w:r>
          </w:p>
        </w:tc>
      </w:tr>
      <w:tr>
        <w:trPr>
          <w:trHeight w:val="162"/>
        </w:trPr>
        <w:tc>
          <w:tcPr>
            <w:tcW w:w="3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420" w:type="dxa"/>
            <w:vAlign w:val="bottom"/>
          </w:tcPr>
          <w:p>
            <w:pPr>
              <w:jc w:val="center"/>
              <w:ind w:left="68"/>
              <w:spacing w:after="0"/>
              <w:rPr>
                <w:sz w:val="20"/>
                <w:szCs w:val="20"/>
                <w:color w:val="auto"/>
              </w:rPr>
            </w:pPr>
            <w:r>
              <w:rPr>
                <w:rFonts w:ascii="Arial" w:cs="Arial" w:eastAsia="Arial" w:hAnsi="Arial"/>
                <w:sz w:val="14"/>
                <w:szCs w:val="14"/>
                <w:b w:val="1"/>
                <w:bCs w:val="1"/>
                <w:color w:val="auto"/>
              </w:rPr>
              <w:t>Beneficially Owned, Shares</w:t>
            </w:r>
          </w:p>
        </w:tc>
      </w:tr>
      <w:tr>
        <w:trPr>
          <w:trHeight w:val="145"/>
        </w:trPr>
        <w:tc>
          <w:tcPr>
            <w:tcW w:w="3980" w:type="dxa"/>
            <w:vAlign w:val="bottom"/>
          </w:tcPr>
          <w:p>
            <w:pPr>
              <w:spacing w:after="0"/>
              <w:rPr>
                <w:sz w:val="12"/>
                <w:szCs w:val="12"/>
                <w:color w:val="auto"/>
              </w:rPr>
            </w:pPr>
          </w:p>
        </w:tc>
        <w:tc>
          <w:tcPr>
            <w:tcW w:w="2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Total Amount of Shares</w:t>
            </w: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Stock</w:t>
            </w:r>
          </w:p>
        </w:tc>
        <w:tc>
          <w:tcPr>
            <w:tcW w:w="2420" w:type="dxa"/>
            <w:vAlign w:val="bottom"/>
          </w:tcPr>
          <w:p>
            <w:pPr>
              <w:jc w:val="center"/>
              <w:ind w:left="128"/>
              <w:spacing w:after="0" w:line="145" w:lineRule="exact"/>
              <w:rPr>
                <w:sz w:val="20"/>
                <w:szCs w:val="20"/>
                <w:color w:val="auto"/>
              </w:rPr>
            </w:pPr>
            <w:r>
              <w:rPr>
                <w:rFonts w:ascii="Arial" w:cs="Arial" w:eastAsia="Arial" w:hAnsi="Arial"/>
                <w:sz w:val="14"/>
                <w:szCs w:val="14"/>
                <w:b w:val="1"/>
                <w:bCs w:val="1"/>
                <w:color w:val="auto"/>
              </w:rPr>
              <w:t>which May be Acquired within</w:t>
            </w:r>
          </w:p>
        </w:tc>
      </w:tr>
      <w:tr>
        <w:trPr>
          <w:trHeight w:val="255"/>
        </w:trPr>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 of Beneficial Owner</w:t>
            </w:r>
          </w:p>
        </w:tc>
        <w:tc>
          <w:tcPr>
            <w:tcW w:w="2200" w:type="dxa"/>
            <w:vAlign w:val="bottom"/>
            <w:tcBorders>
              <w:bottom w:val="single" w:sz="8" w:color="auto"/>
            </w:tcBorders>
          </w:tcPr>
          <w:p>
            <w:pPr>
              <w:jc w:val="center"/>
              <w:spacing w:after="0" w:line="255" w:lineRule="exact"/>
              <w:rPr>
                <w:sz w:val="20"/>
                <w:szCs w:val="20"/>
                <w:color w:val="auto"/>
              </w:rPr>
            </w:pPr>
            <w:r>
              <w:rPr>
                <w:rFonts w:ascii="Arial" w:cs="Arial" w:eastAsia="Arial" w:hAnsi="Arial"/>
                <w:sz w:val="14"/>
                <w:szCs w:val="14"/>
                <w:b w:val="1"/>
                <w:bCs w:val="1"/>
                <w:color w:val="auto"/>
                <w:w w:val="99"/>
              </w:rPr>
              <w:t>Beneficially Owned</w:t>
            </w:r>
            <w:r>
              <w:rPr>
                <w:rFonts w:ascii="Arial" w:cs="Arial" w:eastAsia="Arial" w:hAnsi="Arial"/>
                <w:sz w:val="23"/>
                <w:szCs w:val="23"/>
                <w:b w:val="1"/>
                <w:bCs w:val="1"/>
                <w:color w:val="auto"/>
                <w:w w:val="99"/>
                <w:vertAlign w:val="superscript"/>
              </w:rPr>
              <w:t>(1)</w:t>
            </w:r>
          </w:p>
        </w:tc>
        <w:tc>
          <w:tcPr>
            <w:tcW w:w="1240" w:type="dxa"/>
            <w:vAlign w:val="bottom"/>
            <w:tcBorders>
              <w:bottom w:val="single" w:sz="8" w:color="auto"/>
            </w:tcBorders>
          </w:tcPr>
          <w:p>
            <w:pPr>
              <w:jc w:val="center"/>
              <w:spacing w:after="0" w:line="255" w:lineRule="exact"/>
              <w:rPr>
                <w:sz w:val="20"/>
                <w:szCs w:val="20"/>
                <w:color w:val="auto"/>
              </w:rPr>
            </w:pPr>
            <w:r>
              <w:rPr>
                <w:rFonts w:ascii="Arial" w:cs="Arial" w:eastAsia="Arial" w:hAnsi="Arial"/>
                <w:sz w:val="14"/>
                <w:szCs w:val="14"/>
                <w:b w:val="1"/>
                <w:bCs w:val="1"/>
                <w:color w:val="auto"/>
                <w:w w:val="97"/>
              </w:rPr>
              <w:t>Owned</w:t>
            </w:r>
            <w:r>
              <w:rPr>
                <w:rFonts w:ascii="Arial" w:cs="Arial" w:eastAsia="Arial" w:hAnsi="Arial"/>
                <w:sz w:val="23"/>
                <w:szCs w:val="23"/>
                <w:b w:val="1"/>
                <w:bCs w:val="1"/>
                <w:color w:val="auto"/>
                <w:w w:val="97"/>
                <w:vertAlign w:val="superscript"/>
              </w:rPr>
              <w:t>(2)</w:t>
            </w:r>
          </w:p>
        </w:tc>
        <w:tc>
          <w:tcPr>
            <w:tcW w:w="2420" w:type="dxa"/>
            <w:vAlign w:val="bottom"/>
            <w:tcBorders>
              <w:bottom w:val="single" w:sz="8" w:color="auto"/>
            </w:tcBorders>
          </w:tcPr>
          <w:p>
            <w:pPr>
              <w:jc w:val="center"/>
              <w:ind w:left="108"/>
              <w:spacing w:after="0" w:line="255" w:lineRule="exact"/>
              <w:rPr>
                <w:sz w:val="20"/>
                <w:szCs w:val="20"/>
                <w:color w:val="auto"/>
              </w:rPr>
            </w:pPr>
            <w:r>
              <w:rPr>
                <w:rFonts w:ascii="Arial" w:cs="Arial" w:eastAsia="Arial" w:hAnsi="Arial"/>
                <w:sz w:val="14"/>
                <w:szCs w:val="14"/>
                <w:b w:val="1"/>
                <w:bCs w:val="1"/>
                <w:color w:val="auto"/>
                <w:w w:val="94"/>
              </w:rPr>
              <w:t>60 Days</w:t>
            </w:r>
            <w:r>
              <w:rPr>
                <w:rFonts w:ascii="Arial" w:cs="Arial" w:eastAsia="Arial" w:hAnsi="Arial"/>
                <w:sz w:val="23"/>
                <w:szCs w:val="23"/>
                <w:b w:val="1"/>
                <w:bCs w:val="1"/>
                <w:color w:val="auto"/>
                <w:w w:val="94"/>
                <w:vertAlign w:val="superscript"/>
              </w:rPr>
              <w:t>(3)</w:t>
            </w:r>
          </w:p>
        </w:tc>
      </w:tr>
      <w:tr>
        <w:trPr>
          <w:trHeight w:val="296"/>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b w:val="1"/>
                <w:bCs w:val="1"/>
                <w:color w:val="auto"/>
              </w:rPr>
              <w:t>Principal Shareholders:**</w:t>
            </w:r>
          </w:p>
        </w:tc>
        <w:tc>
          <w:tcPr>
            <w:tcW w:w="2200" w:type="dxa"/>
            <w:vAlign w:val="bottom"/>
            <w:tcBorders>
              <w:bottom w:val="single" w:sz="8" w:color="CCCCCC"/>
            </w:tcBorders>
            <w:shd w:val="clear" w:color="auto" w:fill="CCCCCC"/>
          </w:tcPr>
          <w:p>
            <w:pPr>
              <w:spacing w:after="0"/>
              <w:rPr>
                <w:sz w:val="24"/>
                <w:szCs w:val="24"/>
                <w:color w:val="auto"/>
              </w:rPr>
            </w:pPr>
          </w:p>
        </w:tc>
        <w:tc>
          <w:tcPr>
            <w:tcW w:w="1240" w:type="dxa"/>
            <w:vAlign w:val="bottom"/>
            <w:tcBorders>
              <w:bottom w:val="single" w:sz="8" w:color="CCCCCC"/>
            </w:tcBorders>
            <w:shd w:val="clear" w:color="auto" w:fill="CCCCCC"/>
          </w:tcPr>
          <w:p>
            <w:pPr>
              <w:spacing w:after="0"/>
              <w:rPr>
                <w:sz w:val="24"/>
                <w:szCs w:val="24"/>
                <w:color w:val="auto"/>
              </w:rPr>
            </w:pPr>
          </w:p>
        </w:tc>
        <w:tc>
          <w:tcPr>
            <w:tcW w:w="2420" w:type="dxa"/>
            <w:vAlign w:val="bottom"/>
            <w:tcBorders>
              <w:bottom w:val="single" w:sz="8" w:color="CCCCCC"/>
            </w:tcBorders>
            <w:shd w:val="clear" w:color="auto" w:fill="CCCCCC"/>
          </w:tcPr>
          <w:p>
            <w:pPr>
              <w:spacing w:after="0"/>
              <w:rPr>
                <w:sz w:val="24"/>
                <w:szCs w:val="24"/>
                <w:color w:val="auto"/>
              </w:rPr>
            </w:pPr>
          </w:p>
        </w:tc>
      </w:tr>
      <w:tr>
        <w:trPr>
          <w:trHeight w:val="197"/>
        </w:trPr>
        <w:tc>
          <w:tcPr>
            <w:tcW w:w="3980" w:type="dxa"/>
            <w:vAlign w:val="bottom"/>
            <w:tcBorders>
              <w:top w:val="single" w:sz="8" w:color="auto"/>
            </w:tcBorders>
          </w:tcPr>
          <w:p>
            <w:pPr>
              <w:ind w:left="100"/>
              <w:spacing w:after="0" w:line="197" w:lineRule="exact"/>
              <w:rPr>
                <w:sz w:val="20"/>
                <w:szCs w:val="20"/>
                <w:color w:val="auto"/>
              </w:rPr>
            </w:pPr>
            <w:r>
              <w:rPr>
                <w:rFonts w:ascii="Arial" w:cs="Arial" w:eastAsia="Arial" w:hAnsi="Arial"/>
                <w:sz w:val="14"/>
                <w:szCs w:val="14"/>
                <w:color w:val="auto"/>
              </w:rPr>
              <w:t>SRS Investment Management, LLC</w:t>
            </w:r>
            <w:r>
              <w:rPr>
                <w:rFonts w:ascii="Arial" w:cs="Arial" w:eastAsia="Arial" w:hAnsi="Arial"/>
                <w:sz w:val="22"/>
                <w:szCs w:val="22"/>
                <w:color w:val="auto"/>
                <w:vertAlign w:val="superscript"/>
              </w:rPr>
              <w:t>(4)</w:t>
            </w:r>
          </w:p>
        </w:tc>
        <w:tc>
          <w:tcPr>
            <w:tcW w:w="2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tcPr>
          <w:p>
            <w:pPr>
              <w:spacing w:after="0"/>
              <w:rPr>
                <w:sz w:val="17"/>
                <w:szCs w:val="17"/>
                <w:color w:val="auto"/>
              </w:rPr>
            </w:pPr>
          </w:p>
        </w:tc>
      </w:tr>
      <w:tr>
        <w:trPr>
          <w:trHeight w:val="179"/>
        </w:trPr>
        <w:tc>
          <w:tcPr>
            <w:tcW w:w="3980" w:type="dxa"/>
            <w:vAlign w:val="bottom"/>
          </w:tcPr>
          <w:p>
            <w:pPr>
              <w:ind w:left="100"/>
              <w:spacing w:after="0" w:line="179" w:lineRule="exact"/>
              <w:rPr>
                <w:sz w:val="20"/>
                <w:szCs w:val="20"/>
                <w:color w:val="auto"/>
              </w:rPr>
            </w:pPr>
            <w:r>
              <w:rPr>
                <w:rFonts w:ascii="Arial" w:cs="Arial" w:eastAsia="Arial" w:hAnsi="Arial"/>
                <w:sz w:val="13"/>
                <w:szCs w:val="13"/>
                <w:color w:val="auto"/>
              </w:rPr>
              <w:t>One Bryant Park, 39</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Floor</w:t>
            </w:r>
          </w:p>
        </w:tc>
        <w:tc>
          <w:tcPr>
            <w:tcW w:w="2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190"/>
        </w:trPr>
        <w:tc>
          <w:tcPr>
            <w:tcW w:w="3980" w:type="dxa"/>
            <w:vAlign w:val="bottom"/>
          </w:tcPr>
          <w:p>
            <w:pPr>
              <w:ind w:left="100"/>
              <w:spacing w:after="0"/>
              <w:rPr>
                <w:sz w:val="20"/>
                <w:szCs w:val="20"/>
                <w:color w:val="auto"/>
              </w:rPr>
            </w:pPr>
            <w:r>
              <w:rPr>
                <w:rFonts w:ascii="Arial" w:cs="Arial" w:eastAsia="Arial" w:hAnsi="Arial"/>
                <w:sz w:val="14"/>
                <w:szCs w:val="14"/>
                <w:color w:val="auto"/>
              </w:rPr>
              <w:t>New York, NY 10036</w:t>
            </w:r>
          </w:p>
        </w:tc>
        <w:tc>
          <w:tcPr>
            <w:tcW w:w="2200" w:type="dxa"/>
            <w:vAlign w:val="bottom"/>
          </w:tcPr>
          <w:p>
            <w:pPr>
              <w:jc w:val="center"/>
              <w:spacing w:after="0"/>
              <w:rPr>
                <w:sz w:val="20"/>
                <w:szCs w:val="20"/>
                <w:color w:val="auto"/>
              </w:rPr>
            </w:pPr>
            <w:r>
              <w:rPr>
                <w:rFonts w:ascii="Arial" w:cs="Arial" w:eastAsia="Arial" w:hAnsi="Arial"/>
                <w:sz w:val="14"/>
                <w:szCs w:val="14"/>
                <w:color w:val="auto"/>
              </w:rPr>
              <w:t>18,430,882</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35.7%</w:t>
            </w:r>
          </w:p>
        </w:tc>
        <w:tc>
          <w:tcPr>
            <w:tcW w:w="2420" w:type="dxa"/>
            <w:vAlign w:val="bottom"/>
          </w:tcPr>
          <w:p>
            <w:pPr>
              <w:jc w:val="right"/>
              <w:ind w:right="848"/>
              <w:spacing w:after="0"/>
              <w:rPr>
                <w:sz w:val="20"/>
                <w:szCs w:val="20"/>
                <w:color w:val="auto"/>
              </w:rPr>
            </w:pPr>
            <w:r>
              <w:rPr>
                <w:rFonts w:ascii="Arial" w:cs="Arial" w:eastAsia="Arial" w:hAnsi="Arial"/>
                <w:sz w:val="14"/>
                <w:szCs w:val="14"/>
                <w:color w:val="auto"/>
              </w:rPr>
              <w:t>—</w:t>
            </w:r>
          </w:p>
        </w:tc>
      </w:tr>
      <w:tr>
        <w:trPr>
          <w:trHeight w:val="48"/>
        </w:trPr>
        <w:tc>
          <w:tcPr>
            <w:tcW w:w="39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r>
      <w:tr>
        <w:trPr>
          <w:trHeight w:val="214"/>
        </w:trPr>
        <w:tc>
          <w:tcPr>
            <w:tcW w:w="3980" w:type="dxa"/>
            <w:vAlign w:val="bottom"/>
            <w:shd w:val="clear" w:color="auto" w:fill="CCCCCC"/>
          </w:tcPr>
          <w:p>
            <w:pPr>
              <w:ind w:left="100"/>
              <w:spacing w:after="0" w:line="213" w:lineRule="exact"/>
              <w:rPr>
                <w:sz w:val="20"/>
                <w:szCs w:val="20"/>
                <w:color w:val="auto"/>
              </w:rPr>
            </w:pPr>
            <w:r>
              <w:rPr>
                <w:rFonts w:ascii="Arial" w:cs="Arial" w:eastAsia="Arial" w:hAnsi="Arial"/>
                <w:sz w:val="14"/>
                <w:szCs w:val="14"/>
                <w:color w:val="auto"/>
              </w:rPr>
              <w:t>FMR LLC</w:t>
            </w:r>
            <w:r>
              <w:rPr>
                <w:rFonts w:ascii="Arial" w:cs="Arial" w:eastAsia="Arial" w:hAnsi="Arial"/>
                <w:sz w:val="23"/>
                <w:szCs w:val="23"/>
                <w:color w:val="auto"/>
                <w:vertAlign w:val="superscript"/>
              </w:rPr>
              <w:t>(5)</w:t>
            </w:r>
          </w:p>
        </w:tc>
        <w:tc>
          <w:tcPr>
            <w:tcW w:w="2200" w:type="dxa"/>
            <w:vAlign w:val="bottom"/>
            <w:shd w:val="clear" w:color="auto" w:fill="CCCCCC"/>
          </w:tcPr>
          <w:p>
            <w:pPr>
              <w:spacing w:after="0"/>
              <w:rPr>
                <w:sz w:val="18"/>
                <w:szCs w:val="18"/>
                <w:color w:val="auto"/>
              </w:rPr>
            </w:pPr>
          </w:p>
        </w:tc>
        <w:tc>
          <w:tcPr>
            <w:tcW w:w="1240" w:type="dxa"/>
            <w:vAlign w:val="bottom"/>
            <w:shd w:val="clear" w:color="auto" w:fill="CCCCCC"/>
          </w:tcPr>
          <w:p>
            <w:pPr>
              <w:spacing w:after="0"/>
              <w:rPr>
                <w:sz w:val="18"/>
                <w:szCs w:val="18"/>
                <w:color w:val="auto"/>
              </w:rPr>
            </w:pPr>
          </w:p>
        </w:tc>
        <w:tc>
          <w:tcPr>
            <w:tcW w:w="2420" w:type="dxa"/>
            <w:vAlign w:val="bottom"/>
            <w:shd w:val="clear" w:color="auto" w:fill="CCCCCC"/>
          </w:tcPr>
          <w:p>
            <w:pPr>
              <w:spacing w:after="0"/>
              <w:rPr>
                <w:sz w:val="18"/>
                <w:szCs w:val="18"/>
                <w:color w:val="auto"/>
              </w:rPr>
            </w:pPr>
          </w:p>
        </w:tc>
      </w:tr>
      <w:tr>
        <w:trPr>
          <w:trHeight w:val="162"/>
        </w:trPr>
        <w:tc>
          <w:tcPr>
            <w:tcW w:w="3980" w:type="dxa"/>
            <w:vAlign w:val="bottom"/>
            <w:shd w:val="clear" w:color="auto" w:fill="CCCCCC"/>
          </w:tcPr>
          <w:p>
            <w:pPr>
              <w:ind w:left="100"/>
              <w:spacing w:after="0"/>
              <w:rPr>
                <w:sz w:val="20"/>
                <w:szCs w:val="20"/>
                <w:color w:val="auto"/>
              </w:rPr>
            </w:pPr>
            <w:r>
              <w:rPr>
                <w:rFonts w:ascii="Arial" w:cs="Arial" w:eastAsia="Arial" w:hAnsi="Arial"/>
                <w:sz w:val="14"/>
                <w:szCs w:val="14"/>
                <w:color w:val="auto"/>
              </w:rPr>
              <w:t>245 Summer Street</w:t>
            </w:r>
          </w:p>
        </w:tc>
        <w:tc>
          <w:tcPr>
            <w:tcW w:w="2200" w:type="dxa"/>
            <w:vAlign w:val="bottom"/>
            <w:shd w:val="clear" w:color="auto" w:fill="CCCCCC"/>
          </w:tcPr>
          <w:p>
            <w:pPr>
              <w:spacing w:after="0"/>
              <w:rPr>
                <w:sz w:val="14"/>
                <w:szCs w:val="14"/>
                <w:color w:val="auto"/>
              </w:rPr>
            </w:pPr>
          </w:p>
        </w:tc>
        <w:tc>
          <w:tcPr>
            <w:tcW w:w="1240" w:type="dxa"/>
            <w:vAlign w:val="bottom"/>
            <w:shd w:val="clear" w:color="auto" w:fill="CCCCCC"/>
          </w:tcPr>
          <w:p>
            <w:pPr>
              <w:spacing w:after="0"/>
              <w:rPr>
                <w:sz w:val="14"/>
                <w:szCs w:val="14"/>
                <w:color w:val="auto"/>
              </w:rPr>
            </w:pPr>
          </w:p>
        </w:tc>
        <w:tc>
          <w:tcPr>
            <w:tcW w:w="2420" w:type="dxa"/>
            <w:vAlign w:val="bottom"/>
            <w:shd w:val="clear" w:color="auto" w:fill="CCCCCC"/>
          </w:tcPr>
          <w:p>
            <w:pPr>
              <w:spacing w:after="0"/>
              <w:rPr>
                <w:sz w:val="14"/>
                <w:szCs w:val="14"/>
                <w:color w:val="auto"/>
              </w:rPr>
            </w:pPr>
          </w:p>
        </w:tc>
      </w:tr>
      <w:tr>
        <w:trPr>
          <w:trHeight w:val="244"/>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Boston, Massachusetts 02210</w:t>
            </w:r>
          </w:p>
        </w:tc>
        <w:tc>
          <w:tcPr>
            <w:tcW w:w="2200" w:type="dxa"/>
            <w:vAlign w:val="bottom"/>
            <w:tcBorders>
              <w:bottom w:val="single" w:sz="8" w:color="CCCCCC"/>
            </w:tcBorders>
            <w:shd w:val="clear" w:color="auto" w:fill="CCCCCC"/>
          </w:tcPr>
          <w:p>
            <w:pPr>
              <w:jc w:val="right"/>
              <w:ind w:right="648"/>
              <w:spacing w:after="0"/>
              <w:rPr>
                <w:sz w:val="20"/>
                <w:szCs w:val="20"/>
                <w:color w:val="auto"/>
              </w:rPr>
            </w:pPr>
            <w:r>
              <w:rPr>
                <w:rFonts w:ascii="Arial" w:cs="Arial" w:eastAsia="Arial" w:hAnsi="Arial"/>
                <w:sz w:val="14"/>
                <w:szCs w:val="14"/>
                <w:color w:val="auto"/>
              </w:rPr>
              <w:t>7,730,957</w:t>
            </w:r>
          </w:p>
        </w:tc>
        <w:tc>
          <w:tcPr>
            <w:tcW w:w="1240" w:type="dxa"/>
            <w:vAlign w:val="bottom"/>
            <w:tcBorders>
              <w:bottom w:val="single" w:sz="8" w:color="CCCCCC"/>
            </w:tcBorders>
            <w:shd w:val="clear" w:color="auto" w:fill="CCCCCC"/>
          </w:tcPr>
          <w:p>
            <w:pPr>
              <w:jc w:val="right"/>
              <w:ind w:right="288"/>
              <w:spacing w:after="0"/>
              <w:rPr>
                <w:sz w:val="20"/>
                <w:szCs w:val="20"/>
                <w:color w:val="auto"/>
              </w:rPr>
            </w:pPr>
            <w:r>
              <w:rPr>
                <w:rFonts w:ascii="Arial" w:cs="Arial" w:eastAsia="Arial" w:hAnsi="Arial"/>
                <w:sz w:val="14"/>
                <w:szCs w:val="14"/>
                <w:color w:val="auto"/>
              </w:rPr>
              <w:t>15.0%</w:t>
            </w:r>
          </w:p>
        </w:tc>
        <w:tc>
          <w:tcPr>
            <w:tcW w:w="2420" w:type="dxa"/>
            <w:vAlign w:val="bottom"/>
            <w:tcBorders>
              <w:bottom w:val="single" w:sz="8" w:color="CCCCCC"/>
            </w:tcBorders>
            <w:shd w:val="clear" w:color="auto" w:fill="CCCCCC"/>
          </w:tcPr>
          <w:p>
            <w:pPr>
              <w:jc w:val="right"/>
              <w:ind w:right="848"/>
              <w:spacing w:after="0"/>
              <w:rPr>
                <w:sz w:val="20"/>
                <w:szCs w:val="20"/>
                <w:color w:val="auto"/>
              </w:rPr>
            </w:pPr>
            <w:r>
              <w:rPr>
                <w:rFonts w:ascii="Arial" w:cs="Arial" w:eastAsia="Arial" w:hAnsi="Arial"/>
                <w:sz w:val="14"/>
                <w:szCs w:val="14"/>
                <w:color w:val="auto"/>
              </w:rPr>
              <w:t>—</w:t>
            </w:r>
          </w:p>
        </w:tc>
      </w:tr>
      <w:tr>
        <w:trPr>
          <w:trHeight w:val="197"/>
        </w:trPr>
        <w:tc>
          <w:tcPr>
            <w:tcW w:w="3980" w:type="dxa"/>
            <w:vAlign w:val="bottom"/>
            <w:tcBorders>
              <w:top w:val="single" w:sz="8" w:color="auto"/>
            </w:tcBorders>
          </w:tcPr>
          <w:p>
            <w:pPr>
              <w:ind w:left="100"/>
              <w:spacing w:after="0" w:line="197" w:lineRule="exact"/>
              <w:rPr>
                <w:sz w:val="20"/>
                <w:szCs w:val="20"/>
                <w:color w:val="auto"/>
              </w:rPr>
            </w:pPr>
            <w:r>
              <w:rPr>
                <w:rFonts w:ascii="Arial" w:cs="Arial" w:eastAsia="Arial" w:hAnsi="Arial"/>
                <w:sz w:val="14"/>
                <w:szCs w:val="14"/>
                <w:color w:val="auto"/>
              </w:rPr>
              <w:t>BlackRock, Inc.</w:t>
            </w:r>
            <w:r>
              <w:rPr>
                <w:rFonts w:ascii="Arial" w:cs="Arial" w:eastAsia="Arial" w:hAnsi="Arial"/>
                <w:sz w:val="22"/>
                <w:szCs w:val="22"/>
                <w:color w:val="auto"/>
                <w:vertAlign w:val="superscript"/>
              </w:rPr>
              <w:t>(6)</w:t>
            </w:r>
          </w:p>
        </w:tc>
        <w:tc>
          <w:tcPr>
            <w:tcW w:w="2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tcPr>
          <w:p>
            <w:pPr>
              <w:spacing w:after="0"/>
              <w:rPr>
                <w:sz w:val="17"/>
                <w:szCs w:val="17"/>
                <w:color w:val="auto"/>
              </w:rPr>
            </w:pPr>
          </w:p>
        </w:tc>
      </w:tr>
      <w:tr>
        <w:trPr>
          <w:trHeight w:val="179"/>
        </w:trPr>
        <w:tc>
          <w:tcPr>
            <w:tcW w:w="3980" w:type="dxa"/>
            <w:vAlign w:val="bottom"/>
          </w:tcPr>
          <w:p>
            <w:pPr>
              <w:ind w:left="100"/>
              <w:spacing w:after="0" w:line="179" w:lineRule="exact"/>
              <w:rPr>
                <w:sz w:val="20"/>
                <w:szCs w:val="20"/>
                <w:color w:val="auto"/>
              </w:rPr>
            </w:pPr>
            <w:r>
              <w:rPr>
                <w:rFonts w:ascii="Arial" w:cs="Arial" w:eastAsia="Arial" w:hAnsi="Arial"/>
                <w:sz w:val="13"/>
                <w:szCs w:val="13"/>
                <w:color w:val="auto"/>
              </w:rPr>
              <w:t>55 East 52</w:t>
            </w:r>
            <w:r>
              <w:rPr>
                <w:rFonts w:ascii="Arial" w:cs="Arial" w:eastAsia="Arial" w:hAnsi="Arial"/>
                <w:sz w:val="20"/>
                <w:szCs w:val="20"/>
                <w:color w:val="auto"/>
                <w:vertAlign w:val="superscript"/>
              </w:rPr>
              <w:t>nd</w:t>
            </w:r>
            <w:r>
              <w:rPr>
                <w:rFonts w:ascii="Arial" w:cs="Arial" w:eastAsia="Arial" w:hAnsi="Arial"/>
                <w:sz w:val="13"/>
                <w:szCs w:val="13"/>
                <w:color w:val="auto"/>
              </w:rPr>
              <w:t xml:space="preserve"> Street</w:t>
            </w:r>
          </w:p>
        </w:tc>
        <w:tc>
          <w:tcPr>
            <w:tcW w:w="2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190"/>
        </w:trPr>
        <w:tc>
          <w:tcPr>
            <w:tcW w:w="3980" w:type="dxa"/>
            <w:vAlign w:val="bottom"/>
          </w:tcPr>
          <w:p>
            <w:pPr>
              <w:ind w:left="100"/>
              <w:spacing w:after="0"/>
              <w:rPr>
                <w:sz w:val="20"/>
                <w:szCs w:val="20"/>
                <w:color w:val="auto"/>
              </w:rPr>
            </w:pPr>
            <w:r>
              <w:rPr>
                <w:rFonts w:ascii="Arial" w:cs="Arial" w:eastAsia="Arial" w:hAnsi="Arial"/>
                <w:sz w:val="14"/>
                <w:szCs w:val="14"/>
                <w:color w:val="auto"/>
              </w:rPr>
              <w:t>New York, NY 10055</w:t>
            </w:r>
          </w:p>
        </w:tc>
        <w:tc>
          <w:tcPr>
            <w:tcW w:w="2200" w:type="dxa"/>
            <w:vAlign w:val="bottom"/>
          </w:tcPr>
          <w:p>
            <w:pPr>
              <w:jc w:val="right"/>
              <w:ind w:right="648"/>
              <w:spacing w:after="0"/>
              <w:rPr>
                <w:sz w:val="20"/>
                <w:szCs w:val="20"/>
                <w:color w:val="auto"/>
              </w:rPr>
            </w:pPr>
            <w:r>
              <w:rPr>
                <w:rFonts w:ascii="Arial" w:cs="Arial" w:eastAsia="Arial" w:hAnsi="Arial"/>
                <w:sz w:val="14"/>
                <w:szCs w:val="14"/>
                <w:color w:val="auto"/>
              </w:rPr>
              <w:t>4,684,345</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9.1%</w:t>
            </w:r>
          </w:p>
        </w:tc>
        <w:tc>
          <w:tcPr>
            <w:tcW w:w="2420" w:type="dxa"/>
            <w:vAlign w:val="bottom"/>
          </w:tcPr>
          <w:p>
            <w:pPr>
              <w:jc w:val="right"/>
              <w:ind w:right="848"/>
              <w:spacing w:after="0"/>
              <w:rPr>
                <w:sz w:val="20"/>
                <w:szCs w:val="20"/>
                <w:color w:val="auto"/>
              </w:rPr>
            </w:pPr>
            <w:r>
              <w:rPr>
                <w:rFonts w:ascii="Arial" w:cs="Arial" w:eastAsia="Arial" w:hAnsi="Arial"/>
                <w:sz w:val="14"/>
                <w:szCs w:val="14"/>
                <w:color w:val="auto"/>
              </w:rPr>
              <w:t>—</w:t>
            </w:r>
          </w:p>
        </w:tc>
      </w:tr>
      <w:tr>
        <w:trPr>
          <w:trHeight w:val="49"/>
        </w:trPr>
        <w:tc>
          <w:tcPr>
            <w:tcW w:w="39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r>
      <w:tr>
        <w:trPr>
          <w:trHeight w:val="214"/>
        </w:trPr>
        <w:tc>
          <w:tcPr>
            <w:tcW w:w="3980" w:type="dxa"/>
            <w:vAlign w:val="bottom"/>
            <w:shd w:val="clear" w:color="auto" w:fill="CCCCCC"/>
          </w:tcPr>
          <w:p>
            <w:pPr>
              <w:ind w:left="100"/>
              <w:spacing w:after="0" w:line="213" w:lineRule="exact"/>
              <w:rPr>
                <w:sz w:val="20"/>
                <w:szCs w:val="20"/>
                <w:color w:val="auto"/>
              </w:rPr>
            </w:pPr>
            <w:r>
              <w:rPr>
                <w:rFonts w:ascii="Arial" w:cs="Arial" w:eastAsia="Arial" w:hAnsi="Arial"/>
                <w:sz w:val="14"/>
                <w:szCs w:val="14"/>
                <w:color w:val="auto"/>
              </w:rPr>
              <w:t>Nomura Holdings, Inc.</w:t>
            </w:r>
            <w:r>
              <w:rPr>
                <w:rFonts w:ascii="Arial" w:cs="Arial" w:eastAsia="Arial" w:hAnsi="Arial"/>
                <w:sz w:val="23"/>
                <w:szCs w:val="23"/>
                <w:color w:val="auto"/>
                <w:vertAlign w:val="superscript"/>
              </w:rPr>
              <w:t>(7)</w:t>
            </w:r>
          </w:p>
        </w:tc>
        <w:tc>
          <w:tcPr>
            <w:tcW w:w="2200" w:type="dxa"/>
            <w:vAlign w:val="bottom"/>
            <w:shd w:val="clear" w:color="auto" w:fill="CCCCCC"/>
          </w:tcPr>
          <w:p>
            <w:pPr>
              <w:spacing w:after="0"/>
              <w:rPr>
                <w:sz w:val="18"/>
                <w:szCs w:val="18"/>
                <w:color w:val="auto"/>
              </w:rPr>
            </w:pPr>
          </w:p>
        </w:tc>
        <w:tc>
          <w:tcPr>
            <w:tcW w:w="1240" w:type="dxa"/>
            <w:vAlign w:val="bottom"/>
            <w:shd w:val="clear" w:color="auto" w:fill="CCCCCC"/>
          </w:tcPr>
          <w:p>
            <w:pPr>
              <w:spacing w:after="0"/>
              <w:rPr>
                <w:sz w:val="18"/>
                <w:szCs w:val="18"/>
                <w:color w:val="auto"/>
              </w:rPr>
            </w:pPr>
          </w:p>
        </w:tc>
        <w:tc>
          <w:tcPr>
            <w:tcW w:w="2420" w:type="dxa"/>
            <w:vAlign w:val="bottom"/>
            <w:shd w:val="clear" w:color="auto" w:fill="CCCCCC"/>
          </w:tcPr>
          <w:p>
            <w:pPr>
              <w:spacing w:after="0"/>
              <w:rPr>
                <w:sz w:val="18"/>
                <w:szCs w:val="18"/>
                <w:color w:val="auto"/>
              </w:rPr>
            </w:pPr>
          </w:p>
        </w:tc>
      </w:tr>
      <w:tr>
        <w:trPr>
          <w:trHeight w:val="162"/>
        </w:trPr>
        <w:tc>
          <w:tcPr>
            <w:tcW w:w="3980" w:type="dxa"/>
            <w:vAlign w:val="bottom"/>
            <w:shd w:val="clear" w:color="auto" w:fill="CCCCCC"/>
          </w:tcPr>
          <w:p>
            <w:pPr>
              <w:ind w:left="100"/>
              <w:spacing w:after="0"/>
              <w:rPr>
                <w:sz w:val="20"/>
                <w:szCs w:val="20"/>
                <w:color w:val="auto"/>
              </w:rPr>
            </w:pPr>
            <w:r>
              <w:rPr>
                <w:rFonts w:ascii="Arial" w:cs="Arial" w:eastAsia="Arial" w:hAnsi="Arial"/>
                <w:sz w:val="14"/>
                <w:szCs w:val="14"/>
                <w:color w:val="auto"/>
              </w:rPr>
              <w:t>13-1, Nohonbashi 1-chome</w:t>
            </w:r>
          </w:p>
        </w:tc>
        <w:tc>
          <w:tcPr>
            <w:tcW w:w="2200" w:type="dxa"/>
            <w:vAlign w:val="bottom"/>
            <w:shd w:val="clear" w:color="auto" w:fill="CCCCCC"/>
          </w:tcPr>
          <w:p>
            <w:pPr>
              <w:spacing w:after="0"/>
              <w:rPr>
                <w:sz w:val="14"/>
                <w:szCs w:val="14"/>
                <w:color w:val="auto"/>
              </w:rPr>
            </w:pPr>
          </w:p>
        </w:tc>
        <w:tc>
          <w:tcPr>
            <w:tcW w:w="1240" w:type="dxa"/>
            <w:vAlign w:val="bottom"/>
            <w:shd w:val="clear" w:color="auto" w:fill="CCCCCC"/>
          </w:tcPr>
          <w:p>
            <w:pPr>
              <w:spacing w:after="0"/>
              <w:rPr>
                <w:sz w:val="14"/>
                <w:szCs w:val="14"/>
                <w:color w:val="auto"/>
              </w:rPr>
            </w:pPr>
          </w:p>
        </w:tc>
        <w:tc>
          <w:tcPr>
            <w:tcW w:w="2420" w:type="dxa"/>
            <w:vAlign w:val="bottom"/>
            <w:shd w:val="clear" w:color="auto" w:fill="CCCCCC"/>
          </w:tcPr>
          <w:p>
            <w:pPr>
              <w:spacing w:after="0"/>
              <w:rPr>
                <w:sz w:val="14"/>
                <w:szCs w:val="14"/>
                <w:color w:val="auto"/>
              </w:rPr>
            </w:pPr>
          </w:p>
        </w:tc>
      </w:tr>
      <w:tr>
        <w:trPr>
          <w:trHeight w:val="244"/>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Chuo-ku, Tokyo 103-8645, Japan</w:t>
            </w:r>
          </w:p>
        </w:tc>
        <w:tc>
          <w:tcPr>
            <w:tcW w:w="2200" w:type="dxa"/>
            <w:vAlign w:val="bottom"/>
            <w:tcBorders>
              <w:bottom w:val="single" w:sz="8" w:color="CCCCCC"/>
            </w:tcBorders>
            <w:shd w:val="clear" w:color="auto" w:fill="CCCCCC"/>
          </w:tcPr>
          <w:p>
            <w:pPr>
              <w:jc w:val="right"/>
              <w:ind w:right="648"/>
              <w:spacing w:after="0"/>
              <w:rPr>
                <w:sz w:val="20"/>
                <w:szCs w:val="20"/>
                <w:color w:val="auto"/>
              </w:rPr>
            </w:pPr>
            <w:r>
              <w:rPr>
                <w:rFonts w:ascii="Arial" w:cs="Arial" w:eastAsia="Arial" w:hAnsi="Arial"/>
                <w:sz w:val="14"/>
                <w:szCs w:val="14"/>
                <w:color w:val="auto"/>
              </w:rPr>
              <w:t>3,603,352</w:t>
            </w:r>
          </w:p>
        </w:tc>
        <w:tc>
          <w:tcPr>
            <w:tcW w:w="1240" w:type="dxa"/>
            <w:vAlign w:val="bottom"/>
            <w:tcBorders>
              <w:bottom w:val="single" w:sz="8" w:color="CCCCCC"/>
            </w:tcBorders>
            <w:shd w:val="clear" w:color="auto" w:fill="CCCCCC"/>
          </w:tcPr>
          <w:p>
            <w:pPr>
              <w:jc w:val="right"/>
              <w:ind w:right="288"/>
              <w:spacing w:after="0"/>
              <w:rPr>
                <w:sz w:val="20"/>
                <w:szCs w:val="20"/>
                <w:color w:val="auto"/>
              </w:rPr>
            </w:pPr>
            <w:r>
              <w:rPr>
                <w:rFonts w:ascii="Arial" w:cs="Arial" w:eastAsia="Arial" w:hAnsi="Arial"/>
                <w:sz w:val="14"/>
                <w:szCs w:val="14"/>
                <w:color w:val="auto"/>
              </w:rPr>
              <w:t>7.0%</w:t>
            </w:r>
          </w:p>
        </w:tc>
        <w:tc>
          <w:tcPr>
            <w:tcW w:w="2420" w:type="dxa"/>
            <w:vAlign w:val="bottom"/>
            <w:tcBorders>
              <w:bottom w:val="single" w:sz="8" w:color="CCCCCC"/>
            </w:tcBorders>
            <w:shd w:val="clear" w:color="auto" w:fill="CCCCCC"/>
          </w:tcPr>
          <w:p>
            <w:pPr>
              <w:jc w:val="right"/>
              <w:ind w:right="848"/>
              <w:spacing w:after="0"/>
              <w:rPr>
                <w:sz w:val="20"/>
                <w:szCs w:val="20"/>
                <w:color w:val="auto"/>
              </w:rPr>
            </w:pPr>
            <w:r>
              <w:rPr>
                <w:rFonts w:ascii="Arial" w:cs="Arial" w:eastAsia="Arial" w:hAnsi="Arial"/>
                <w:sz w:val="14"/>
                <w:szCs w:val="14"/>
                <w:color w:val="auto"/>
              </w:rPr>
              <w:t>—</w:t>
            </w:r>
          </w:p>
        </w:tc>
      </w:tr>
      <w:tr>
        <w:trPr>
          <w:trHeight w:val="214"/>
        </w:trPr>
        <w:tc>
          <w:tcPr>
            <w:tcW w:w="3980" w:type="dxa"/>
            <w:vAlign w:val="bottom"/>
            <w:tcBorders>
              <w:top w:val="single" w:sz="8" w:color="auto"/>
            </w:tcBorders>
          </w:tcPr>
          <w:p>
            <w:pPr>
              <w:ind w:left="100"/>
              <w:spacing w:after="0" w:line="213" w:lineRule="exact"/>
              <w:rPr>
                <w:sz w:val="20"/>
                <w:szCs w:val="20"/>
                <w:color w:val="auto"/>
              </w:rPr>
            </w:pPr>
            <w:r>
              <w:rPr>
                <w:rFonts w:ascii="Arial" w:cs="Arial" w:eastAsia="Arial" w:hAnsi="Arial"/>
                <w:sz w:val="14"/>
                <w:szCs w:val="14"/>
                <w:color w:val="auto"/>
              </w:rPr>
              <w:t>Vanguard Group, Inc.</w:t>
            </w:r>
            <w:r>
              <w:rPr>
                <w:rFonts w:ascii="Arial" w:cs="Arial" w:eastAsia="Arial" w:hAnsi="Arial"/>
                <w:sz w:val="23"/>
                <w:szCs w:val="23"/>
                <w:color w:val="auto"/>
                <w:vertAlign w:val="superscript"/>
              </w:rPr>
              <w:t>(8)</w:t>
            </w:r>
          </w:p>
        </w:tc>
        <w:tc>
          <w:tcPr>
            <w:tcW w:w="2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r>
      <w:tr>
        <w:trPr>
          <w:trHeight w:val="162"/>
        </w:trPr>
        <w:tc>
          <w:tcPr>
            <w:tcW w:w="3980" w:type="dxa"/>
            <w:vAlign w:val="bottom"/>
          </w:tcPr>
          <w:p>
            <w:pPr>
              <w:ind w:left="100"/>
              <w:spacing w:after="0"/>
              <w:rPr>
                <w:sz w:val="20"/>
                <w:szCs w:val="20"/>
                <w:color w:val="auto"/>
              </w:rPr>
            </w:pPr>
            <w:r>
              <w:rPr>
                <w:rFonts w:ascii="Arial" w:cs="Arial" w:eastAsia="Arial" w:hAnsi="Arial"/>
                <w:sz w:val="14"/>
                <w:szCs w:val="14"/>
                <w:color w:val="auto"/>
              </w:rPr>
              <w:t>100 Vanguard Blvd.</w:t>
            </w:r>
          </w:p>
        </w:tc>
        <w:tc>
          <w:tcPr>
            <w:tcW w:w="2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90"/>
        </w:trPr>
        <w:tc>
          <w:tcPr>
            <w:tcW w:w="3980" w:type="dxa"/>
            <w:vAlign w:val="bottom"/>
          </w:tcPr>
          <w:p>
            <w:pPr>
              <w:ind w:left="100"/>
              <w:spacing w:after="0"/>
              <w:rPr>
                <w:sz w:val="20"/>
                <w:szCs w:val="20"/>
                <w:color w:val="auto"/>
              </w:rPr>
            </w:pPr>
            <w:r>
              <w:rPr>
                <w:rFonts w:ascii="Arial" w:cs="Arial" w:eastAsia="Arial" w:hAnsi="Arial"/>
                <w:sz w:val="14"/>
                <w:szCs w:val="14"/>
                <w:color w:val="auto"/>
              </w:rPr>
              <w:t>Malvern, PA 19355</w:t>
            </w:r>
          </w:p>
        </w:tc>
        <w:tc>
          <w:tcPr>
            <w:tcW w:w="2200" w:type="dxa"/>
            <w:vAlign w:val="bottom"/>
          </w:tcPr>
          <w:p>
            <w:pPr>
              <w:jc w:val="right"/>
              <w:ind w:right="648"/>
              <w:spacing w:after="0"/>
              <w:rPr>
                <w:sz w:val="20"/>
                <w:szCs w:val="20"/>
                <w:color w:val="auto"/>
              </w:rPr>
            </w:pPr>
            <w:r>
              <w:rPr>
                <w:rFonts w:ascii="Arial" w:cs="Arial" w:eastAsia="Arial" w:hAnsi="Arial"/>
                <w:sz w:val="14"/>
                <w:szCs w:val="14"/>
                <w:color w:val="auto"/>
              </w:rPr>
              <w:t>3,572,506</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6.9%</w:t>
            </w:r>
          </w:p>
        </w:tc>
        <w:tc>
          <w:tcPr>
            <w:tcW w:w="2420" w:type="dxa"/>
            <w:vAlign w:val="bottom"/>
          </w:tcPr>
          <w:p>
            <w:pPr>
              <w:jc w:val="right"/>
              <w:ind w:right="848"/>
              <w:spacing w:after="0"/>
              <w:rPr>
                <w:sz w:val="20"/>
                <w:szCs w:val="20"/>
                <w:color w:val="auto"/>
              </w:rPr>
            </w:pPr>
            <w:r>
              <w:rPr>
                <w:rFonts w:ascii="Arial" w:cs="Arial" w:eastAsia="Arial" w:hAnsi="Arial"/>
                <w:sz w:val="14"/>
                <w:szCs w:val="14"/>
                <w:color w:val="auto"/>
              </w:rPr>
              <w:t>—</w:t>
            </w:r>
          </w:p>
        </w:tc>
      </w:tr>
      <w:tr>
        <w:trPr>
          <w:trHeight w:val="48"/>
        </w:trPr>
        <w:tc>
          <w:tcPr>
            <w:tcW w:w="39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r>
      <w:tr>
        <w:trPr>
          <w:trHeight w:val="296"/>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b w:val="1"/>
                <w:bCs w:val="1"/>
                <w:color w:val="auto"/>
              </w:rPr>
              <w:t>Directors, Nominees and Named Executive Officers:</w:t>
            </w:r>
          </w:p>
        </w:tc>
        <w:tc>
          <w:tcPr>
            <w:tcW w:w="2200" w:type="dxa"/>
            <w:vAlign w:val="bottom"/>
            <w:tcBorders>
              <w:bottom w:val="single" w:sz="8" w:color="CCCCCC"/>
            </w:tcBorders>
            <w:shd w:val="clear" w:color="auto" w:fill="CCCCCC"/>
          </w:tcPr>
          <w:p>
            <w:pPr>
              <w:spacing w:after="0"/>
              <w:rPr>
                <w:sz w:val="24"/>
                <w:szCs w:val="24"/>
                <w:color w:val="auto"/>
              </w:rPr>
            </w:pPr>
          </w:p>
        </w:tc>
        <w:tc>
          <w:tcPr>
            <w:tcW w:w="1240" w:type="dxa"/>
            <w:vAlign w:val="bottom"/>
            <w:tcBorders>
              <w:bottom w:val="single" w:sz="8" w:color="CCCCCC"/>
            </w:tcBorders>
            <w:shd w:val="clear" w:color="auto" w:fill="CCCCCC"/>
          </w:tcPr>
          <w:p>
            <w:pPr>
              <w:spacing w:after="0"/>
              <w:rPr>
                <w:sz w:val="24"/>
                <w:szCs w:val="24"/>
                <w:color w:val="auto"/>
              </w:rPr>
            </w:pPr>
          </w:p>
        </w:tc>
        <w:tc>
          <w:tcPr>
            <w:tcW w:w="2420" w:type="dxa"/>
            <w:vAlign w:val="bottom"/>
            <w:tcBorders>
              <w:bottom w:val="single" w:sz="8" w:color="CCCCCC"/>
            </w:tcBorders>
            <w:shd w:val="clear" w:color="auto" w:fill="CCCCCC"/>
          </w:tcPr>
          <w:p>
            <w:pPr>
              <w:spacing w:after="0"/>
              <w:rPr>
                <w:sz w:val="24"/>
                <w:szCs w:val="24"/>
                <w:color w:val="auto"/>
              </w:rPr>
            </w:pPr>
          </w:p>
        </w:tc>
      </w:tr>
      <w:tr>
        <w:trPr>
          <w:trHeight w:val="242"/>
        </w:trPr>
        <w:tc>
          <w:tcPr>
            <w:tcW w:w="398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Bernardo Hees</w:t>
            </w:r>
          </w:p>
        </w:tc>
        <w:tc>
          <w:tcPr>
            <w:tcW w:w="220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color w:val="auto"/>
              </w:rPr>
              <w:t>397,667</w:t>
            </w:r>
          </w:p>
        </w:tc>
        <w:tc>
          <w:tcPr>
            <w:tcW w:w="12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top w:val="single" w:sz="8" w:color="auto"/>
            </w:tcBorders>
          </w:tcPr>
          <w:p>
            <w:pPr>
              <w:jc w:val="right"/>
              <w:ind w:right="848"/>
              <w:spacing w:after="0"/>
              <w:rPr>
                <w:sz w:val="20"/>
                <w:szCs w:val="20"/>
                <w:color w:val="auto"/>
              </w:rPr>
            </w:pPr>
            <w:r>
              <w:rPr>
                <w:rFonts w:ascii="Arial" w:cs="Arial" w:eastAsia="Arial" w:hAnsi="Arial"/>
                <w:sz w:val="14"/>
                <w:szCs w:val="14"/>
                <w:color w:val="auto"/>
              </w:rPr>
              <w:t>1,525</w:t>
            </w:r>
          </w:p>
        </w:tc>
      </w:tr>
      <w:tr>
        <w:trPr>
          <w:trHeight w:val="49"/>
        </w:trPr>
        <w:tc>
          <w:tcPr>
            <w:tcW w:w="39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r>
      <w:tr>
        <w:trPr>
          <w:trHeight w:val="295"/>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Anu Hariharan</w:t>
            </w:r>
          </w:p>
        </w:tc>
        <w:tc>
          <w:tcPr>
            <w:tcW w:w="2200" w:type="dxa"/>
            <w:vAlign w:val="bottom"/>
            <w:tcBorders>
              <w:bottom w:val="single" w:sz="8" w:color="CCCCCC"/>
            </w:tcBorders>
            <w:shd w:val="clear" w:color="auto" w:fill="CCCCCC"/>
          </w:tcPr>
          <w:p>
            <w:pPr>
              <w:jc w:val="right"/>
              <w:ind w:right="648"/>
              <w:spacing w:after="0"/>
              <w:rPr>
                <w:sz w:val="20"/>
                <w:szCs w:val="20"/>
                <w:color w:val="auto"/>
              </w:rPr>
            </w:pPr>
            <w:r>
              <w:rPr>
                <w:rFonts w:ascii="Arial" w:cs="Arial" w:eastAsia="Arial" w:hAnsi="Arial"/>
                <w:sz w:val="14"/>
                <w:szCs w:val="14"/>
                <w:color w:val="auto"/>
              </w:rPr>
              <w:t>154</w:t>
            </w:r>
          </w:p>
        </w:tc>
        <w:tc>
          <w:tcPr>
            <w:tcW w:w="1240" w:type="dxa"/>
            <w:vAlign w:val="bottom"/>
            <w:tcBorders>
              <w:bottom w:val="single" w:sz="8" w:color="CCCCCC"/>
            </w:tcBorders>
            <w:shd w:val="clear" w:color="auto" w:fill="CCCCCC"/>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CCCCCC"/>
            </w:tcBorders>
            <w:shd w:val="clear" w:color="auto" w:fill="CCCCCC"/>
          </w:tcPr>
          <w:p>
            <w:pPr>
              <w:jc w:val="right"/>
              <w:ind w:right="848"/>
              <w:spacing w:after="0"/>
              <w:rPr>
                <w:sz w:val="20"/>
                <w:szCs w:val="20"/>
                <w:color w:val="auto"/>
              </w:rPr>
            </w:pPr>
            <w:r>
              <w:rPr>
                <w:rFonts w:ascii="Arial" w:cs="Arial" w:eastAsia="Arial" w:hAnsi="Arial"/>
                <w:sz w:val="14"/>
                <w:szCs w:val="14"/>
                <w:color w:val="auto"/>
              </w:rPr>
              <w:t>154</w:t>
            </w:r>
          </w:p>
        </w:tc>
      </w:tr>
      <w:tr>
        <w:trPr>
          <w:trHeight w:val="242"/>
        </w:trPr>
        <w:tc>
          <w:tcPr>
            <w:tcW w:w="398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Lynn Krominga</w:t>
            </w:r>
          </w:p>
        </w:tc>
        <w:tc>
          <w:tcPr>
            <w:tcW w:w="220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color w:val="auto"/>
              </w:rPr>
              <w:t>16,147</w:t>
            </w:r>
          </w:p>
        </w:tc>
        <w:tc>
          <w:tcPr>
            <w:tcW w:w="12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top w:val="single" w:sz="8" w:color="auto"/>
            </w:tcBorders>
          </w:tcPr>
          <w:p>
            <w:pPr>
              <w:jc w:val="center"/>
              <w:ind w:left="108"/>
              <w:spacing w:after="0"/>
              <w:rPr>
                <w:sz w:val="20"/>
                <w:szCs w:val="20"/>
                <w:color w:val="auto"/>
              </w:rPr>
            </w:pPr>
            <w:r>
              <w:rPr>
                <w:rFonts w:ascii="Arial" w:cs="Arial" w:eastAsia="Arial" w:hAnsi="Arial"/>
                <w:sz w:val="14"/>
                <w:szCs w:val="14"/>
                <w:color w:val="auto"/>
              </w:rPr>
              <w:t>16,147</w:t>
            </w:r>
          </w:p>
        </w:tc>
      </w:tr>
      <w:tr>
        <w:trPr>
          <w:trHeight w:val="48"/>
        </w:trPr>
        <w:tc>
          <w:tcPr>
            <w:tcW w:w="39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r>
      <w:tr>
        <w:trPr>
          <w:trHeight w:val="295"/>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Glenn Lurie</w:t>
            </w:r>
          </w:p>
        </w:tc>
        <w:tc>
          <w:tcPr>
            <w:tcW w:w="2200" w:type="dxa"/>
            <w:vAlign w:val="bottom"/>
            <w:tcBorders>
              <w:bottom w:val="single" w:sz="8" w:color="CCCCCC"/>
            </w:tcBorders>
            <w:shd w:val="clear" w:color="auto" w:fill="CCCCCC"/>
          </w:tcPr>
          <w:p>
            <w:pPr>
              <w:jc w:val="right"/>
              <w:ind w:right="648"/>
              <w:spacing w:after="0"/>
              <w:rPr>
                <w:sz w:val="20"/>
                <w:szCs w:val="20"/>
                <w:color w:val="auto"/>
              </w:rPr>
            </w:pPr>
            <w:r>
              <w:rPr>
                <w:rFonts w:ascii="Arial" w:cs="Arial" w:eastAsia="Arial" w:hAnsi="Arial"/>
                <w:sz w:val="14"/>
                <w:szCs w:val="14"/>
                <w:color w:val="auto"/>
              </w:rPr>
              <w:t>12,590</w:t>
            </w:r>
          </w:p>
        </w:tc>
        <w:tc>
          <w:tcPr>
            <w:tcW w:w="1240" w:type="dxa"/>
            <w:vAlign w:val="bottom"/>
            <w:tcBorders>
              <w:bottom w:val="single" w:sz="8" w:color="CCCCCC"/>
            </w:tcBorders>
            <w:shd w:val="clear" w:color="auto" w:fill="CCCCCC"/>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CCCCCC"/>
            </w:tcBorders>
            <w:shd w:val="clear" w:color="auto" w:fill="CCCCCC"/>
          </w:tcPr>
          <w:p>
            <w:pPr>
              <w:jc w:val="right"/>
              <w:ind w:right="848"/>
              <w:spacing w:after="0"/>
              <w:rPr>
                <w:sz w:val="20"/>
                <w:szCs w:val="20"/>
                <w:color w:val="auto"/>
              </w:rPr>
            </w:pPr>
            <w:r>
              <w:rPr>
                <w:rFonts w:ascii="Arial" w:cs="Arial" w:eastAsia="Arial" w:hAnsi="Arial"/>
                <w:sz w:val="14"/>
                <w:szCs w:val="14"/>
                <w:color w:val="auto"/>
              </w:rPr>
              <w:t>11,116</w:t>
            </w:r>
          </w:p>
        </w:tc>
      </w:tr>
      <w:tr>
        <w:trPr>
          <w:trHeight w:val="242"/>
        </w:trPr>
        <w:tc>
          <w:tcPr>
            <w:tcW w:w="398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Jagdeep Pahwa</w:t>
            </w:r>
          </w:p>
        </w:tc>
        <w:tc>
          <w:tcPr>
            <w:tcW w:w="220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top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r>
      <w:tr>
        <w:trPr>
          <w:trHeight w:val="49"/>
        </w:trPr>
        <w:tc>
          <w:tcPr>
            <w:tcW w:w="39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r>
      <w:tr>
        <w:trPr>
          <w:trHeight w:val="290"/>
        </w:trPr>
        <w:tc>
          <w:tcPr>
            <w:tcW w:w="398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Karthik Sarma</w:t>
            </w:r>
            <w:r>
              <w:rPr>
                <w:rFonts w:ascii="Arial" w:cs="Arial" w:eastAsia="Arial" w:hAnsi="Arial"/>
                <w:sz w:val="23"/>
                <w:szCs w:val="23"/>
                <w:color w:val="auto"/>
                <w:vertAlign w:val="superscript"/>
              </w:rPr>
              <w:t>(9)</w:t>
            </w:r>
          </w:p>
        </w:tc>
        <w:tc>
          <w:tcPr>
            <w:tcW w:w="22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18,430,882</w:t>
            </w:r>
          </w:p>
        </w:tc>
        <w:tc>
          <w:tcPr>
            <w:tcW w:w="1240" w:type="dxa"/>
            <w:vAlign w:val="bottom"/>
            <w:tcBorders>
              <w:bottom w:val="single" w:sz="8" w:color="auto"/>
            </w:tcBorders>
            <w:shd w:val="clear" w:color="auto" w:fill="CCCCCC"/>
          </w:tcPr>
          <w:p>
            <w:pPr>
              <w:jc w:val="right"/>
              <w:ind w:right="288"/>
              <w:spacing w:after="0"/>
              <w:rPr>
                <w:sz w:val="20"/>
                <w:szCs w:val="20"/>
                <w:color w:val="auto"/>
              </w:rPr>
            </w:pPr>
            <w:r>
              <w:rPr>
                <w:rFonts w:ascii="Arial" w:cs="Arial" w:eastAsia="Arial" w:hAnsi="Arial"/>
                <w:sz w:val="14"/>
                <w:szCs w:val="14"/>
                <w:color w:val="auto"/>
              </w:rPr>
              <w:t>35.7%</w:t>
            </w:r>
          </w:p>
        </w:tc>
        <w:tc>
          <w:tcPr>
            <w:tcW w:w="2420" w:type="dxa"/>
            <w:vAlign w:val="bottom"/>
            <w:tcBorders>
              <w:bottom w:val="single" w:sz="8" w:color="auto"/>
            </w:tcBorders>
            <w:shd w:val="clear" w:color="auto" w:fill="CCCCCC"/>
          </w:tcPr>
          <w:p>
            <w:pPr>
              <w:jc w:val="right"/>
              <w:ind w:right="848"/>
              <w:spacing w:after="0"/>
              <w:rPr>
                <w:sz w:val="20"/>
                <w:szCs w:val="20"/>
                <w:color w:val="auto"/>
              </w:rPr>
            </w:pPr>
            <w:r>
              <w:rPr>
                <w:rFonts w:ascii="Arial" w:cs="Arial" w:eastAsia="Arial" w:hAnsi="Arial"/>
                <w:sz w:val="14"/>
                <w:szCs w:val="14"/>
                <w:color w:val="auto"/>
              </w:rPr>
              <w:t>—</w:t>
            </w:r>
          </w:p>
        </w:tc>
      </w:tr>
      <w:tr>
        <w:trPr>
          <w:trHeight w:val="242"/>
        </w:trPr>
        <w:tc>
          <w:tcPr>
            <w:tcW w:w="3980" w:type="dxa"/>
            <w:vAlign w:val="bottom"/>
          </w:tcPr>
          <w:p>
            <w:pPr>
              <w:ind w:left="100"/>
              <w:spacing w:after="0"/>
              <w:rPr>
                <w:sz w:val="20"/>
                <w:szCs w:val="20"/>
                <w:color w:val="auto"/>
              </w:rPr>
            </w:pPr>
            <w:r>
              <w:rPr>
                <w:rFonts w:ascii="Arial" w:cs="Arial" w:eastAsia="Arial" w:hAnsi="Arial"/>
                <w:sz w:val="14"/>
                <w:szCs w:val="14"/>
                <w:color w:val="auto"/>
              </w:rPr>
              <w:t>Joseph A. Ferraro</w:t>
            </w:r>
          </w:p>
        </w:tc>
        <w:tc>
          <w:tcPr>
            <w:tcW w:w="2200" w:type="dxa"/>
            <w:vAlign w:val="bottom"/>
          </w:tcPr>
          <w:p>
            <w:pPr>
              <w:jc w:val="right"/>
              <w:ind w:right="648"/>
              <w:spacing w:after="0"/>
              <w:rPr>
                <w:sz w:val="20"/>
                <w:szCs w:val="20"/>
                <w:color w:val="auto"/>
              </w:rPr>
            </w:pPr>
            <w:r>
              <w:rPr>
                <w:rFonts w:ascii="Arial" w:cs="Arial" w:eastAsia="Arial" w:hAnsi="Arial"/>
                <w:sz w:val="14"/>
                <w:szCs w:val="14"/>
                <w:color w:val="auto"/>
              </w:rPr>
              <w:t>188,785</w:t>
            </w: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848"/>
              <w:spacing w:after="0"/>
              <w:rPr>
                <w:sz w:val="20"/>
                <w:szCs w:val="20"/>
                <w:color w:val="auto"/>
              </w:rPr>
            </w:pPr>
            <w:r>
              <w:rPr>
                <w:rFonts w:ascii="Arial" w:cs="Arial" w:eastAsia="Arial" w:hAnsi="Arial"/>
                <w:sz w:val="14"/>
                <w:szCs w:val="14"/>
                <w:color w:val="auto"/>
              </w:rPr>
              <w:t>—</w:t>
            </w:r>
          </w:p>
        </w:tc>
      </w:tr>
      <w:tr>
        <w:trPr>
          <w:trHeight w:val="49"/>
        </w:trPr>
        <w:tc>
          <w:tcPr>
            <w:tcW w:w="39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r>
      <w:tr>
        <w:trPr>
          <w:trHeight w:val="295"/>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Brian J. Choi</w:t>
            </w:r>
          </w:p>
        </w:tc>
        <w:tc>
          <w:tcPr>
            <w:tcW w:w="2200" w:type="dxa"/>
            <w:vAlign w:val="bottom"/>
            <w:tcBorders>
              <w:bottom w:val="single" w:sz="8" w:color="CCCCCC"/>
            </w:tcBorders>
            <w:shd w:val="clear" w:color="auto" w:fill="CCCCCC"/>
          </w:tcPr>
          <w:p>
            <w:pPr>
              <w:jc w:val="right"/>
              <w:ind w:right="648"/>
              <w:spacing w:after="0"/>
              <w:rPr>
                <w:sz w:val="20"/>
                <w:szCs w:val="20"/>
                <w:color w:val="auto"/>
              </w:rPr>
            </w:pPr>
            <w:r>
              <w:rPr>
                <w:rFonts w:ascii="Arial" w:cs="Arial" w:eastAsia="Arial" w:hAnsi="Arial"/>
                <w:sz w:val="14"/>
                <w:szCs w:val="14"/>
                <w:color w:val="auto"/>
              </w:rPr>
              <w:t>52,585</w:t>
            </w:r>
          </w:p>
        </w:tc>
        <w:tc>
          <w:tcPr>
            <w:tcW w:w="1240" w:type="dxa"/>
            <w:vAlign w:val="bottom"/>
            <w:tcBorders>
              <w:bottom w:val="single" w:sz="8" w:color="CCCCCC"/>
            </w:tcBorders>
            <w:shd w:val="clear" w:color="auto" w:fill="CCCCCC"/>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CCCCCC"/>
            </w:tcBorders>
            <w:shd w:val="clear" w:color="auto" w:fill="CCCCCC"/>
          </w:tcPr>
          <w:p>
            <w:pPr>
              <w:jc w:val="right"/>
              <w:ind w:right="848"/>
              <w:spacing w:after="0"/>
              <w:rPr>
                <w:sz w:val="20"/>
                <w:szCs w:val="20"/>
                <w:color w:val="auto"/>
              </w:rPr>
            </w:pPr>
            <w:r>
              <w:rPr>
                <w:rFonts w:ascii="Arial" w:cs="Arial" w:eastAsia="Arial" w:hAnsi="Arial"/>
                <w:sz w:val="14"/>
                <w:szCs w:val="14"/>
                <w:color w:val="auto"/>
              </w:rPr>
              <w:t>—</w:t>
            </w:r>
          </w:p>
        </w:tc>
      </w:tr>
      <w:tr>
        <w:trPr>
          <w:trHeight w:val="242"/>
        </w:trPr>
        <w:tc>
          <w:tcPr>
            <w:tcW w:w="398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Veresh Sita</w:t>
            </w:r>
          </w:p>
        </w:tc>
        <w:tc>
          <w:tcPr>
            <w:tcW w:w="220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color w:val="auto"/>
              </w:rPr>
              <w:t>5,490</w:t>
            </w:r>
          </w:p>
        </w:tc>
        <w:tc>
          <w:tcPr>
            <w:tcW w:w="12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top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r>
      <w:tr>
        <w:trPr>
          <w:trHeight w:val="49"/>
        </w:trPr>
        <w:tc>
          <w:tcPr>
            <w:tcW w:w="39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r>
      <w:tr>
        <w:trPr>
          <w:trHeight w:val="295"/>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Patrick “Keith” Rankin</w:t>
            </w:r>
          </w:p>
        </w:tc>
        <w:tc>
          <w:tcPr>
            <w:tcW w:w="2200" w:type="dxa"/>
            <w:vAlign w:val="bottom"/>
            <w:tcBorders>
              <w:bottom w:val="single" w:sz="8" w:color="CCCCCC"/>
            </w:tcBorders>
            <w:shd w:val="clear" w:color="auto" w:fill="CCCCCC"/>
          </w:tcPr>
          <w:p>
            <w:pPr>
              <w:jc w:val="right"/>
              <w:ind w:right="648"/>
              <w:spacing w:after="0"/>
              <w:rPr>
                <w:sz w:val="20"/>
                <w:szCs w:val="20"/>
                <w:color w:val="auto"/>
              </w:rPr>
            </w:pPr>
            <w:r>
              <w:rPr>
                <w:rFonts w:ascii="Arial" w:cs="Arial" w:eastAsia="Arial" w:hAnsi="Arial"/>
                <w:sz w:val="14"/>
                <w:szCs w:val="14"/>
                <w:color w:val="auto"/>
              </w:rPr>
              <w:t>22,918</w:t>
            </w:r>
          </w:p>
        </w:tc>
        <w:tc>
          <w:tcPr>
            <w:tcW w:w="1240" w:type="dxa"/>
            <w:vAlign w:val="bottom"/>
            <w:tcBorders>
              <w:bottom w:val="single" w:sz="8" w:color="CCCCCC"/>
            </w:tcBorders>
            <w:shd w:val="clear" w:color="auto" w:fill="CCCCCC"/>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CCCCCC"/>
            </w:tcBorders>
            <w:shd w:val="clear" w:color="auto" w:fill="CCCCCC"/>
          </w:tcPr>
          <w:p>
            <w:pPr>
              <w:jc w:val="right"/>
              <w:ind w:right="848"/>
              <w:spacing w:after="0"/>
              <w:rPr>
                <w:sz w:val="20"/>
                <w:szCs w:val="20"/>
                <w:color w:val="auto"/>
              </w:rPr>
            </w:pPr>
            <w:r>
              <w:rPr>
                <w:rFonts w:ascii="Arial" w:cs="Arial" w:eastAsia="Arial" w:hAnsi="Arial"/>
                <w:sz w:val="14"/>
                <w:szCs w:val="14"/>
                <w:color w:val="auto"/>
              </w:rPr>
              <w:t>—</w:t>
            </w:r>
          </w:p>
        </w:tc>
      </w:tr>
      <w:tr>
        <w:trPr>
          <w:trHeight w:val="197"/>
        </w:trPr>
        <w:tc>
          <w:tcPr>
            <w:tcW w:w="39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All Directors, Nominees and Executive Officers as a</w:t>
            </w:r>
          </w:p>
        </w:tc>
        <w:tc>
          <w:tcPr>
            <w:tcW w:w="2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tcPr>
          <w:p>
            <w:pPr>
              <w:spacing w:after="0"/>
              <w:rPr>
                <w:sz w:val="17"/>
                <w:szCs w:val="17"/>
                <w:color w:val="auto"/>
              </w:rPr>
            </w:pPr>
          </w:p>
        </w:tc>
      </w:tr>
      <w:tr>
        <w:trPr>
          <w:trHeight w:val="215"/>
        </w:trPr>
        <w:tc>
          <w:tcPr>
            <w:tcW w:w="3980" w:type="dxa"/>
            <w:vAlign w:val="bottom"/>
            <w:tcBorders>
              <w:bottom w:val="single" w:sz="8" w:color="auto"/>
            </w:tcBorders>
          </w:tcPr>
          <w:p>
            <w:pPr>
              <w:ind w:left="280"/>
              <w:spacing w:after="0" w:line="215" w:lineRule="exact"/>
              <w:rPr>
                <w:sz w:val="20"/>
                <w:szCs w:val="20"/>
                <w:color w:val="auto"/>
              </w:rPr>
            </w:pPr>
            <w:r>
              <w:rPr>
                <w:rFonts w:ascii="Arial" w:cs="Arial" w:eastAsia="Arial" w:hAnsi="Arial"/>
                <w:sz w:val="14"/>
                <w:szCs w:val="14"/>
                <w:b w:val="1"/>
                <w:bCs w:val="1"/>
                <w:color w:val="auto"/>
              </w:rPr>
              <w:t>group (14 persons)</w:t>
            </w:r>
            <w:r>
              <w:rPr>
                <w:rFonts w:ascii="Arial" w:cs="Arial" w:eastAsia="Arial" w:hAnsi="Arial"/>
                <w:sz w:val="23"/>
                <w:szCs w:val="23"/>
                <w:b w:val="1"/>
                <w:bCs w:val="1"/>
                <w:color w:val="auto"/>
                <w:vertAlign w:val="superscript"/>
              </w:rPr>
              <w:t>(10)</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19,221,702</w:t>
            </w: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xml:space="preserve">37.3 </w:t>
            </w:r>
            <w:r>
              <w:rPr>
                <w:rFonts w:ascii="Arial" w:cs="Arial" w:eastAsia="Arial" w:hAnsi="Arial"/>
                <w:sz w:val="14"/>
                <w:szCs w:val="14"/>
                <w:color w:val="auto"/>
              </w:rPr>
              <w:t>%</w:t>
            </w:r>
          </w:p>
        </w:tc>
        <w:tc>
          <w:tcPr>
            <w:tcW w:w="24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28,942</w:t>
            </w:r>
          </w:p>
        </w:tc>
      </w:tr>
    </w:tbl>
    <w:p>
      <w:pPr>
        <w:spacing w:after="0" w:line="153" w:lineRule="exact"/>
        <w:rPr>
          <w:sz w:val="20"/>
          <w:szCs w:val="20"/>
          <w:color w:val="auto"/>
        </w:rPr>
      </w:pPr>
    </w:p>
    <w:p>
      <w:pPr>
        <w:ind w:left="360" w:hanging="350"/>
        <w:spacing w:after="0"/>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 represents less than 1% of outstanding Common Stock.</w:t>
      </w:r>
    </w:p>
    <w:p>
      <w:pPr>
        <w:spacing w:after="0" w:line="82" w:lineRule="exact"/>
        <w:rPr>
          <w:sz w:val="20"/>
          <w:szCs w:val="20"/>
          <w:color w:val="auto"/>
        </w:rPr>
      </w:pPr>
    </w:p>
    <w:p>
      <w:pPr>
        <w:ind w:left="360" w:hanging="350"/>
        <w:spacing w:after="0" w:line="285" w:lineRule="auto"/>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Information is based upon the assumption that there was no change in the beneficial ownership of such shares of Common Stock from the publicly filed information through March 15, 2022.</w:t>
      </w:r>
    </w:p>
    <w:p>
      <w:pPr>
        <w:spacing w:after="0" w:line="9" w:lineRule="exact"/>
        <w:rPr>
          <w:sz w:val="20"/>
          <w:szCs w:val="20"/>
          <w:color w:val="auto"/>
        </w:rPr>
      </w:pPr>
    </w:p>
    <w:p>
      <w:pPr>
        <w:ind w:left="360" w:right="20" w:hanging="350"/>
        <w:spacing w:after="0" w:line="285" w:lineRule="auto"/>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Shares beneficially owned include (i) direct and indirect ownership of shares, (ii) restricted stock units held by executive officers that may vest within 60 days of March 15, 2022, and (iii) restricted stock units held by directors that may be settled within 60 days of March 15, 2022.</w:t>
      </w:r>
    </w:p>
    <w:p>
      <w:pPr>
        <w:spacing w:after="0" w:line="9" w:lineRule="exact"/>
        <w:rPr>
          <w:rFonts w:ascii="Arial" w:cs="Arial" w:eastAsia="Arial" w:hAnsi="Arial"/>
          <w:sz w:val="14"/>
          <w:szCs w:val="14"/>
          <w:color w:val="auto"/>
        </w:rPr>
      </w:pPr>
    </w:p>
    <w:p>
      <w:pPr>
        <w:ind w:left="360" w:hanging="350"/>
        <w:spacing w:after="0"/>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51,580,919 shares of Common Stock outstanding on March 15, 2022.</w:t>
      </w:r>
    </w:p>
    <w:p>
      <w:pPr>
        <w:spacing w:after="0" w:line="82" w:lineRule="exact"/>
        <w:rPr>
          <w:rFonts w:ascii="Arial" w:cs="Arial" w:eastAsia="Arial" w:hAnsi="Arial"/>
          <w:sz w:val="14"/>
          <w:szCs w:val="14"/>
          <w:color w:val="auto"/>
        </w:rPr>
      </w:pPr>
    </w:p>
    <w:p>
      <w:pPr>
        <w:ind w:left="360" w:right="20" w:hanging="350"/>
        <w:spacing w:after="0" w:line="285" w:lineRule="auto"/>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(i) restricted stock units held by executive officers that may vest within 60 days of March 15, 2022 and (ii) restricted stock units held by directors that may be settled within 60 days of March 15, 2022.</w:t>
      </w:r>
    </w:p>
    <w:p>
      <w:pPr>
        <w:spacing w:after="0" w:line="9" w:lineRule="exact"/>
        <w:rPr>
          <w:rFonts w:ascii="Arial" w:cs="Arial" w:eastAsia="Arial" w:hAnsi="Arial"/>
          <w:sz w:val="14"/>
          <w:szCs w:val="14"/>
          <w:color w:val="auto"/>
        </w:rPr>
      </w:pPr>
    </w:p>
    <w:p>
      <w:pPr>
        <w:jc w:val="both"/>
        <w:ind w:left="360" w:hanging="350"/>
        <w:spacing w:after="0" w:line="245" w:lineRule="auto"/>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beneficial ownership of 18,430,882 shares of Common Stock by SRS and Karthik R. Sarma (the “Reporting Persons”), as derived solely from information reported on Schedule 13D/A under the Exchange Act, as filed with the SEC on March 18, 2022. Such Schedule 13D/A indicates that SRS and Mr. Sarma share voting and dispositive power over the shares of Common Stock. SRS serves as investment manager to certain investment funds (the "Funds") and has investment discretion with respect to the shares of Common Stock held by the Funds. SRS Investment Management, LP ("SRS IM") is the managing member of SRS. SRS Investment Management GP, LLC ("SRS IM GP") is the general partner of SRS IM. Mr. Sarma is the managing member and principal of SRS IM GP. In such capacities, Mr. Sarma and SRS may be deemed to have voting and dispositive power with respect to the shares of Common Stock held for the Funds. The Reporting Persons have economic exposure to, and may be deemed to beneficially own, an additional 8,010,844 notional shares of Common Stock pursuant to cash-settled equity swaps, as derived solely from information reported on such Schedule 13D/A. Such notional shares represent approximately 15.5% of the shares of Common Stock outstanding on March 15, 2022. Such Schedule 13D/A indicates that the Reporting Persons do not have voting power or dispositive power with respect to the shares referenced in such swaps, and disclaim beneficial ownership of the shares underlying such swaps.</w:t>
      </w:r>
    </w:p>
    <w:p>
      <w:pPr>
        <w:sectPr>
          <w:pgSz w:w="11900" w:h="16838" w:orient="portrait"/>
          <w:cols w:equalWidth="0" w:num="1">
            <w:col w:w="9840"/>
          </w:cols>
          <w:pgMar w:left="1020" w:top="263" w:right="10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161925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type w:val="continuous"/>
        </w:sectPr>
      </w:pPr>
    </w:p>
    <w:bookmarkStart w:id="22" w:name="page23"/>
    <w:bookmarkEnd w:id="22"/>
    <w:p>
      <w:pPr>
        <w:ind w:left="1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38" w:lineRule="exact"/>
        <w:rPr>
          <w:sz w:val="20"/>
          <w:szCs w:val="20"/>
          <w:color w:val="auto"/>
        </w:rPr>
      </w:pPr>
    </w:p>
    <w:p>
      <w:pPr>
        <w:jc w:val="both"/>
        <w:ind w:left="350" w:hanging="350"/>
        <w:spacing w:after="0" w:line="263" w:lineRule="auto"/>
        <w:tabs>
          <w:tab w:leader="none" w:pos="35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beneficial ownership of 7,730,957 shares of Common Stock by FMR LLC (“FMR”), as derived solely from information in a Schedule 13G/A under the Exchange Act, filed with the SEC on February 9, 2022. Such Schedule 13G/A indicates that FMR has sole voting power over 3,239,206 shares of Common Stock and sole dispositive power over 7,730,957 shares of Common Stock.</w:t>
      </w:r>
    </w:p>
    <w:p>
      <w:pPr>
        <w:spacing w:after="0" w:line="37" w:lineRule="exact"/>
        <w:rPr>
          <w:rFonts w:ascii="Arial" w:cs="Arial" w:eastAsia="Arial" w:hAnsi="Arial"/>
          <w:sz w:val="14"/>
          <w:szCs w:val="14"/>
          <w:color w:val="auto"/>
        </w:rPr>
      </w:pPr>
    </w:p>
    <w:p>
      <w:pPr>
        <w:jc w:val="both"/>
        <w:ind w:left="350" w:right="20" w:hanging="350"/>
        <w:spacing w:after="0" w:line="263" w:lineRule="auto"/>
        <w:tabs>
          <w:tab w:leader="none" w:pos="35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beneficial ownership of 4,684,345 shares of Common Stock by BlackRock, Inc. (“BlackRock”), as derived solely from information in a Schedule 13G/A under the Exchange Act, filed with the SEC on February 1, 2022. Such Schedule 13G/A indicates that BlackRock has sole voting power over 4,571,426 shares of Common Stock and sole dispositive power over 4,684,345 shares of Common Stock.</w:t>
      </w:r>
    </w:p>
    <w:p>
      <w:pPr>
        <w:spacing w:after="0" w:line="24" w:lineRule="exact"/>
        <w:rPr>
          <w:rFonts w:ascii="Arial" w:cs="Arial" w:eastAsia="Arial" w:hAnsi="Arial"/>
          <w:sz w:val="14"/>
          <w:szCs w:val="14"/>
          <w:color w:val="auto"/>
        </w:rPr>
      </w:pPr>
    </w:p>
    <w:p>
      <w:pPr>
        <w:jc w:val="both"/>
        <w:ind w:left="350" w:hanging="350"/>
        <w:spacing w:after="0" w:line="263" w:lineRule="auto"/>
        <w:tabs>
          <w:tab w:leader="none" w:pos="35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beneficial ownership of 3,603,352 shares of Common Stock by Nomura Holdings, Inc. and Nomura Global Financial Products, Inc. (“Nomura”), as derived solely from information in a Schedule 13G/A under the Exchange Act, filed with the SEC on February 14, 2022. Such Schedule 13G/A indicates that Nomura has shared voting and shared dispositive power over 3,603,352 shares of Common Stock.</w:t>
      </w:r>
    </w:p>
    <w:p>
      <w:pPr>
        <w:spacing w:after="0" w:line="24" w:lineRule="exact"/>
        <w:rPr>
          <w:rFonts w:ascii="Arial" w:cs="Arial" w:eastAsia="Arial" w:hAnsi="Arial"/>
          <w:sz w:val="14"/>
          <w:szCs w:val="14"/>
          <w:color w:val="auto"/>
        </w:rPr>
      </w:pPr>
    </w:p>
    <w:p>
      <w:pPr>
        <w:jc w:val="both"/>
        <w:ind w:left="350" w:hanging="350"/>
        <w:spacing w:after="0" w:line="256" w:lineRule="auto"/>
        <w:tabs>
          <w:tab w:leader="none" w:pos="35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beneficial ownership of 3,572,506 shares of Common Stock by The Vanguard Group, Inc., as derived solely from information reported in a Schedule 13G/A under the Exchange Act, filed with the SEC on February 9, 2022. Such Schedule 13G/A indicates that The Vanguard Group, Inc. has shared voting power over 35,226 shares of Common Stock, sole dispositive power over 3,497,852 shares of Common Stock, and shared dispositive power over 74,654 shares of Common Stock.</w:t>
      </w:r>
    </w:p>
    <w:p>
      <w:pPr>
        <w:spacing w:after="0" w:line="42" w:lineRule="exact"/>
        <w:rPr>
          <w:rFonts w:ascii="Arial" w:cs="Arial" w:eastAsia="Arial" w:hAnsi="Arial"/>
          <w:sz w:val="14"/>
          <w:szCs w:val="14"/>
          <w:color w:val="auto"/>
        </w:rPr>
      </w:pPr>
    </w:p>
    <w:p>
      <w:pPr>
        <w:jc w:val="both"/>
        <w:ind w:left="350" w:hanging="350"/>
        <w:spacing w:after="0" w:line="263" w:lineRule="auto"/>
        <w:tabs>
          <w:tab w:leader="none" w:pos="35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shared beneficial ownership of 18,430,882 shares of Common Stock by SRS and Mr. Sarma, as described above in footnote (4). All of these shares are included in the 19,221,702 shares of Common Stock deemed to be beneficially owned by all directors, nominees and executive officers as a group.</w:t>
      </w:r>
    </w:p>
    <w:p>
      <w:pPr>
        <w:spacing w:after="0" w:line="24" w:lineRule="exact"/>
        <w:rPr>
          <w:rFonts w:ascii="Arial" w:cs="Arial" w:eastAsia="Arial" w:hAnsi="Arial"/>
          <w:sz w:val="14"/>
          <w:szCs w:val="14"/>
          <w:color w:val="auto"/>
        </w:rPr>
      </w:pPr>
    </w:p>
    <w:p>
      <w:pPr>
        <w:ind w:left="350" w:right="20" w:hanging="350"/>
        <w:spacing w:after="0" w:line="285" w:lineRule="auto"/>
        <w:tabs>
          <w:tab w:leader="none" w:pos="35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27,417 restricted stock units held by non-employee directors and 1,525 restricted stock units held by Mr. Hees that may be settled within 60 days of March 15, 2022.</w:t>
      </w:r>
    </w:p>
    <w:p>
      <w:pPr>
        <w:spacing w:after="0" w:line="25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23" w:name="page24"/>
    <w:bookmarkEnd w:id="23"/>
    <w:p>
      <w:pPr>
        <w:ind w:left="6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18" w:lineRule="exact"/>
        <w:rPr>
          <w:sz w:val="20"/>
          <w:szCs w:val="20"/>
          <w:color w:val="auto"/>
        </w:rPr>
      </w:pPr>
    </w:p>
    <w:p>
      <w:pPr>
        <w:ind w:left="600"/>
        <w:spacing w:after="0"/>
        <w:rPr>
          <w:sz w:val="20"/>
          <w:szCs w:val="20"/>
          <w:color w:val="auto"/>
        </w:rPr>
      </w:pPr>
      <w:r>
        <w:rPr>
          <w:rFonts w:ascii="Arial" w:cs="Arial" w:eastAsia="Arial" w:hAnsi="Arial"/>
          <w:sz w:val="36"/>
          <w:szCs w:val="36"/>
          <w:color w:val="auto"/>
        </w:rPr>
        <w:t>Executive Officers</w:t>
      </w:r>
    </w:p>
    <w:p>
      <w:pPr>
        <w:spacing w:after="0" w:line="158" w:lineRule="exact"/>
        <w:rPr>
          <w:sz w:val="20"/>
          <w:szCs w:val="20"/>
          <w:color w:val="auto"/>
        </w:rPr>
      </w:pPr>
    </w:p>
    <w:p>
      <w:pPr>
        <w:jc w:val="both"/>
        <w:ind w:left="600" w:right="620"/>
        <w:spacing w:after="0" w:line="253" w:lineRule="auto"/>
        <w:rPr>
          <w:sz w:val="20"/>
          <w:szCs w:val="20"/>
          <w:color w:val="auto"/>
        </w:rPr>
      </w:pPr>
      <w:r>
        <w:rPr>
          <w:rFonts w:ascii="Arial" w:cs="Arial" w:eastAsia="Arial" w:hAnsi="Arial"/>
          <w:sz w:val="18"/>
          <w:szCs w:val="18"/>
          <w:color w:val="auto"/>
        </w:rPr>
        <w:t>Executive officers of the Company are set forth below. Each executive officer is appointed to hold office at the discretion of the Board of Directors and may be removed at any time by the Board of Directors with or without cause. Of our nine executive officers, approximately 67% are women and/or individuals from historically underrepresented groups.</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98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7860" w:type="dxa"/>
            <w:vAlign w:val="bottom"/>
          </w:tcPr>
          <w:p>
            <w:pPr>
              <w:ind w:left="140"/>
              <w:spacing w:after="0"/>
              <w:rPr>
                <w:sz w:val="20"/>
                <w:szCs w:val="20"/>
                <w:color w:val="auto"/>
              </w:rPr>
            </w:pPr>
            <w:r>
              <w:rPr>
                <w:rFonts w:ascii="Arial" w:cs="Arial" w:eastAsia="Arial" w:hAnsi="Arial"/>
                <w:sz w:val="14"/>
                <w:szCs w:val="14"/>
                <w:b w:val="1"/>
                <w:bCs w:val="1"/>
                <w:color w:val="auto"/>
              </w:rPr>
              <w:t>Offices or Positions To be Held</w:t>
            </w:r>
          </w:p>
        </w:tc>
      </w:tr>
      <w:tr>
        <w:trPr>
          <w:trHeight w:val="43"/>
        </w:trPr>
        <w:tc>
          <w:tcPr>
            <w:tcW w:w="1980" w:type="dxa"/>
            <w:vAlign w:val="bottom"/>
            <w:tcBorders>
              <w:bottom w:val="single" w:sz="8" w:color="auto"/>
            </w:tcBorders>
          </w:tcPr>
          <w:p>
            <w:pPr>
              <w:spacing w:after="0"/>
              <w:rPr>
                <w:sz w:val="3"/>
                <w:szCs w:val="3"/>
                <w:color w:val="auto"/>
              </w:rPr>
            </w:pPr>
          </w:p>
        </w:tc>
        <w:tc>
          <w:tcPr>
            <w:tcW w:w="7860" w:type="dxa"/>
            <w:vAlign w:val="bottom"/>
            <w:tcBorders>
              <w:bottom w:val="single" w:sz="8" w:color="auto"/>
            </w:tcBorders>
          </w:tcPr>
          <w:p>
            <w:pPr>
              <w:spacing w:after="0"/>
              <w:rPr>
                <w:sz w:val="3"/>
                <w:szCs w:val="3"/>
                <w:color w:val="auto"/>
              </w:rPr>
            </w:pPr>
          </w:p>
        </w:tc>
      </w:tr>
      <w:tr>
        <w:trPr>
          <w:trHeight w:val="336"/>
        </w:trPr>
        <w:tc>
          <w:tcPr>
            <w:tcW w:w="1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Bernardo Hees</w:t>
            </w:r>
          </w:p>
        </w:tc>
        <w:tc>
          <w:tcPr>
            <w:tcW w:w="7860" w:type="dxa"/>
            <w:vAlign w:val="bottom"/>
            <w:tcBorders>
              <w:bottom w:val="single" w:sz="8" w:color="CCCCCC"/>
            </w:tcBorders>
            <w:shd w:val="clear" w:color="auto" w:fill="CCCCCC"/>
          </w:tcPr>
          <w:p>
            <w:pPr>
              <w:ind w:left="140"/>
              <w:spacing w:after="0"/>
              <w:rPr>
                <w:sz w:val="20"/>
                <w:szCs w:val="20"/>
                <w:color w:val="auto"/>
              </w:rPr>
            </w:pPr>
            <w:r>
              <w:rPr>
                <w:rFonts w:ascii="Arial" w:cs="Arial" w:eastAsia="Arial" w:hAnsi="Arial"/>
                <w:sz w:val="18"/>
                <w:szCs w:val="18"/>
                <w:color w:val="auto"/>
              </w:rPr>
              <w:t>Executive Chairman of the Board</w:t>
            </w:r>
          </w:p>
        </w:tc>
      </w:tr>
      <w:tr>
        <w:trPr>
          <w:trHeight w:val="281"/>
        </w:trPr>
        <w:tc>
          <w:tcPr>
            <w:tcW w:w="1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Joseph A. Ferraro</w:t>
            </w:r>
          </w:p>
        </w:tc>
        <w:tc>
          <w:tcPr>
            <w:tcW w:w="78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50"/>
        </w:trPr>
        <w:tc>
          <w:tcPr>
            <w:tcW w:w="1980" w:type="dxa"/>
            <w:vAlign w:val="bottom"/>
            <w:tcBorders>
              <w:bottom w:val="single" w:sz="8" w:color="auto"/>
            </w:tcBorders>
          </w:tcPr>
          <w:p>
            <w:pPr>
              <w:spacing w:after="0"/>
              <w:rPr>
                <w:sz w:val="4"/>
                <w:szCs w:val="4"/>
                <w:color w:val="auto"/>
              </w:rPr>
            </w:pPr>
          </w:p>
        </w:tc>
        <w:tc>
          <w:tcPr>
            <w:tcW w:w="7860" w:type="dxa"/>
            <w:vAlign w:val="bottom"/>
            <w:tcBorders>
              <w:bottom w:val="single" w:sz="8" w:color="auto"/>
            </w:tcBorders>
          </w:tcPr>
          <w:p>
            <w:pPr>
              <w:spacing w:after="0"/>
              <w:rPr>
                <w:sz w:val="4"/>
                <w:szCs w:val="4"/>
                <w:color w:val="auto"/>
              </w:rPr>
            </w:pPr>
          </w:p>
        </w:tc>
      </w:tr>
      <w:tr>
        <w:trPr>
          <w:trHeight w:val="336"/>
        </w:trPr>
        <w:tc>
          <w:tcPr>
            <w:tcW w:w="1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Brian J. Choi</w:t>
            </w:r>
          </w:p>
        </w:tc>
        <w:tc>
          <w:tcPr>
            <w:tcW w:w="7860" w:type="dxa"/>
            <w:vAlign w:val="bottom"/>
            <w:tcBorders>
              <w:bottom w:val="single" w:sz="8" w:color="CCCCCC"/>
            </w:tcBorders>
            <w:shd w:val="clear" w:color="auto" w:fill="CCCCCC"/>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81"/>
        </w:trPr>
        <w:tc>
          <w:tcPr>
            <w:tcW w:w="1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Patrick “Keith” Rankin</w:t>
            </w:r>
          </w:p>
        </w:tc>
        <w:tc>
          <w:tcPr>
            <w:tcW w:w="78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President, International</w:t>
            </w:r>
          </w:p>
        </w:tc>
      </w:tr>
      <w:tr>
        <w:trPr>
          <w:trHeight w:val="50"/>
        </w:trPr>
        <w:tc>
          <w:tcPr>
            <w:tcW w:w="1980" w:type="dxa"/>
            <w:vAlign w:val="bottom"/>
            <w:tcBorders>
              <w:bottom w:val="single" w:sz="8" w:color="auto"/>
            </w:tcBorders>
          </w:tcPr>
          <w:p>
            <w:pPr>
              <w:spacing w:after="0"/>
              <w:rPr>
                <w:sz w:val="4"/>
                <w:szCs w:val="4"/>
                <w:color w:val="auto"/>
              </w:rPr>
            </w:pPr>
          </w:p>
        </w:tc>
        <w:tc>
          <w:tcPr>
            <w:tcW w:w="7860" w:type="dxa"/>
            <w:vAlign w:val="bottom"/>
            <w:tcBorders>
              <w:bottom w:val="single" w:sz="8" w:color="auto"/>
            </w:tcBorders>
          </w:tcPr>
          <w:p>
            <w:pPr>
              <w:spacing w:after="0"/>
              <w:rPr>
                <w:sz w:val="4"/>
                <w:szCs w:val="4"/>
                <w:color w:val="auto"/>
              </w:rPr>
            </w:pPr>
          </w:p>
        </w:tc>
      </w:tr>
      <w:tr>
        <w:trPr>
          <w:trHeight w:val="336"/>
        </w:trPr>
        <w:tc>
          <w:tcPr>
            <w:tcW w:w="1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Izilda P. Martins</w:t>
            </w:r>
          </w:p>
        </w:tc>
        <w:tc>
          <w:tcPr>
            <w:tcW w:w="7860" w:type="dxa"/>
            <w:vAlign w:val="bottom"/>
            <w:tcBorders>
              <w:bottom w:val="single" w:sz="8" w:color="CCCCCC"/>
            </w:tcBorders>
            <w:shd w:val="clear" w:color="auto" w:fill="CCCCCC"/>
          </w:tcPr>
          <w:p>
            <w:pPr>
              <w:ind w:left="140"/>
              <w:spacing w:after="0"/>
              <w:rPr>
                <w:sz w:val="20"/>
                <w:szCs w:val="20"/>
                <w:color w:val="auto"/>
              </w:rPr>
            </w:pPr>
            <w:r>
              <w:rPr>
                <w:rFonts w:ascii="Arial" w:cs="Arial" w:eastAsia="Arial" w:hAnsi="Arial"/>
                <w:sz w:val="18"/>
                <w:szCs w:val="18"/>
                <w:color w:val="auto"/>
              </w:rPr>
              <w:t>Executive Vice President, Americas</w:t>
            </w:r>
          </w:p>
        </w:tc>
      </w:tr>
      <w:tr>
        <w:trPr>
          <w:trHeight w:val="281"/>
        </w:trPr>
        <w:tc>
          <w:tcPr>
            <w:tcW w:w="1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Edward P. Linnen</w:t>
            </w:r>
          </w:p>
        </w:tc>
        <w:tc>
          <w:tcPr>
            <w:tcW w:w="78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Executive Vice President, Chief Human Resources Officer</w:t>
            </w:r>
          </w:p>
        </w:tc>
      </w:tr>
      <w:tr>
        <w:trPr>
          <w:trHeight w:val="50"/>
        </w:trPr>
        <w:tc>
          <w:tcPr>
            <w:tcW w:w="1980" w:type="dxa"/>
            <w:vAlign w:val="bottom"/>
            <w:tcBorders>
              <w:bottom w:val="single" w:sz="8" w:color="auto"/>
            </w:tcBorders>
          </w:tcPr>
          <w:p>
            <w:pPr>
              <w:spacing w:after="0"/>
              <w:rPr>
                <w:sz w:val="4"/>
                <w:szCs w:val="4"/>
                <w:color w:val="auto"/>
              </w:rPr>
            </w:pPr>
          </w:p>
        </w:tc>
        <w:tc>
          <w:tcPr>
            <w:tcW w:w="7860" w:type="dxa"/>
            <w:vAlign w:val="bottom"/>
            <w:tcBorders>
              <w:bottom w:val="single" w:sz="8" w:color="auto"/>
            </w:tcBorders>
          </w:tcPr>
          <w:p>
            <w:pPr>
              <w:spacing w:after="0"/>
              <w:rPr>
                <w:sz w:val="4"/>
                <w:szCs w:val="4"/>
                <w:color w:val="auto"/>
              </w:rPr>
            </w:pPr>
          </w:p>
        </w:tc>
      </w:tr>
      <w:tr>
        <w:trPr>
          <w:trHeight w:val="336"/>
        </w:trPr>
        <w:tc>
          <w:tcPr>
            <w:tcW w:w="1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Veresh Sita</w:t>
            </w:r>
          </w:p>
        </w:tc>
        <w:tc>
          <w:tcPr>
            <w:tcW w:w="7860" w:type="dxa"/>
            <w:vAlign w:val="bottom"/>
            <w:tcBorders>
              <w:bottom w:val="single" w:sz="8" w:color="CCCCCC"/>
            </w:tcBorders>
            <w:shd w:val="clear" w:color="auto" w:fill="CCCCCC"/>
          </w:tcPr>
          <w:p>
            <w:pPr>
              <w:ind w:left="140"/>
              <w:spacing w:after="0"/>
              <w:rPr>
                <w:sz w:val="20"/>
                <w:szCs w:val="20"/>
                <w:color w:val="auto"/>
              </w:rPr>
            </w:pPr>
            <w:r>
              <w:rPr>
                <w:rFonts w:ascii="Arial" w:cs="Arial" w:eastAsia="Arial" w:hAnsi="Arial"/>
                <w:sz w:val="18"/>
                <w:szCs w:val="18"/>
                <w:color w:val="auto"/>
              </w:rPr>
              <w:t>Executive Vice President, Chief Digital and Innovation Officer</w:t>
            </w:r>
          </w:p>
        </w:tc>
      </w:tr>
      <w:tr>
        <w:trPr>
          <w:trHeight w:val="281"/>
        </w:trPr>
        <w:tc>
          <w:tcPr>
            <w:tcW w:w="1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Jean M. Sera</w:t>
            </w:r>
          </w:p>
        </w:tc>
        <w:tc>
          <w:tcPr>
            <w:tcW w:w="78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Senior Vice President, General Counsel, Chief Compliance Officer and Corporate Secretary</w:t>
            </w:r>
          </w:p>
        </w:tc>
      </w:tr>
      <w:tr>
        <w:trPr>
          <w:trHeight w:val="50"/>
        </w:trPr>
        <w:tc>
          <w:tcPr>
            <w:tcW w:w="1980" w:type="dxa"/>
            <w:vAlign w:val="bottom"/>
            <w:tcBorders>
              <w:bottom w:val="single" w:sz="8" w:color="auto"/>
            </w:tcBorders>
          </w:tcPr>
          <w:p>
            <w:pPr>
              <w:spacing w:after="0"/>
              <w:rPr>
                <w:sz w:val="4"/>
                <w:szCs w:val="4"/>
                <w:color w:val="auto"/>
              </w:rPr>
            </w:pPr>
          </w:p>
        </w:tc>
        <w:tc>
          <w:tcPr>
            <w:tcW w:w="7860" w:type="dxa"/>
            <w:vAlign w:val="bottom"/>
            <w:tcBorders>
              <w:bottom w:val="single" w:sz="8" w:color="auto"/>
            </w:tcBorders>
          </w:tcPr>
          <w:p>
            <w:pPr>
              <w:spacing w:after="0"/>
              <w:rPr>
                <w:sz w:val="4"/>
                <w:szCs w:val="4"/>
                <w:color w:val="auto"/>
              </w:rPr>
            </w:pPr>
          </w:p>
        </w:tc>
      </w:tr>
      <w:tr>
        <w:trPr>
          <w:trHeight w:val="286"/>
        </w:trPr>
        <w:tc>
          <w:tcPr>
            <w:tcW w:w="198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Cathleen DeGenova</w:t>
            </w:r>
          </w:p>
        </w:tc>
        <w:tc>
          <w:tcPr>
            <w:tcW w:w="7860" w:type="dxa"/>
            <w:vAlign w:val="bottom"/>
            <w:tcBorders>
              <w:bottom w:val="single" w:sz="8" w:color="auto"/>
            </w:tcBorders>
            <w:shd w:val="clear" w:color="auto" w:fill="CCCCCC"/>
          </w:tcPr>
          <w:p>
            <w:pPr>
              <w:ind w:left="140"/>
              <w:spacing w:after="0"/>
              <w:rPr>
                <w:sz w:val="20"/>
                <w:szCs w:val="20"/>
                <w:color w:val="auto"/>
              </w:rPr>
            </w:pPr>
            <w:r>
              <w:rPr>
                <w:rFonts w:ascii="Arial" w:cs="Arial" w:eastAsia="Arial" w:hAnsi="Arial"/>
                <w:sz w:val="18"/>
                <w:szCs w:val="18"/>
                <w:color w:val="auto"/>
              </w:rPr>
              <w:t>Vice President and Chief Accounting Officer</w:t>
            </w:r>
          </w:p>
        </w:tc>
      </w:tr>
    </w:tbl>
    <w:p>
      <w:pPr>
        <w:spacing w:after="0" w:line="197" w:lineRule="exact"/>
        <w:rPr>
          <w:sz w:val="20"/>
          <w:szCs w:val="20"/>
          <w:color w:val="auto"/>
        </w:rPr>
      </w:pPr>
    </w:p>
    <w:p>
      <w:pPr>
        <w:jc w:val="both"/>
        <w:ind w:left="600" w:right="600"/>
        <w:spacing w:after="0" w:line="271" w:lineRule="auto"/>
        <w:rPr>
          <w:sz w:val="20"/>
          <w:szCs w:val="20"/>
          <w:color w:val="auto"/>
        </w:rPr>
      </w:pPr>
      <w:r>
        <w:rPr>
          <w:rFonts w:ascii="Arial" w:cs="Arial" w:eastAsia="Arial" w:hAnsi="Arial"/>
          <w:sz w:val="18"/>
          <w:szCs w:val="18"/>
          <w:color w:val="auto"/>
        </w:rPr>
        <w:t>Biographical information for our Executive Chairman is set forth above under “Board of Directors—Biographical Information for Nominees.” Biographical information for all other present executive officers is set forth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172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8720" w:type="dxa"/>
            <w:vAlign w:val="bottom"/>
            <w:gridSpan w:val="2"/>
          </w:tcPr>
          <w:p>
            <w:pPr>
              <w:ind w:left="160"/>
              <w:spacing w:after="0"/>
              <w:rPr>
                <w:sz w:val="20"/>
                <w:szCs w:val="20"/>
                <w:color w:val="auto"/>
              </w:rPr>
            </w:pPr>
            <w:r>
              <w:rPr>
                <w:rFonts w:ascii="Arial" w:cs="Arial" w:eastAsia="Arial" w:hAnsi="Arial"/>
                <w:sz w:val="14"/>
                <w:szCs w:val="14"/>
                <w:b w:val="1"/>
                <w:bCs w:val="1"/>
                <w:color w:val="auto"/>
              </w:rPr>
              <w:t>Biographical Information</w:t>
            </w:r>
          </w:p>
        </w:tc>
      </w:tr>
      <w:tr>
        <w:trPr>
          <w:trHeight w:val="56"/>
        </w:trPr>
        <w:tc>
          <w:tcPr>
            <w:tcW w:w="5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720" w:type="dxa"/>
            <w:vAlign w:val="bottom"/>
            <w:gridSpan w:val="2"/>
          </w:tcPr>
          <w:p>
            <w:pPr>
              <w:spacing w:after="0"/>
              <w:rPr>
                <w:sz w:val="4"/>
                <w:szCs w:val="4"/>
                <w:color w:val="auto"/>
              </w:rPr>
            </w:pPr>
          </w:p>
        </w:tc>
      </w:tr>
      <w:tr>
        <w:trPr>
          <w:trHeight w:val="258"/>
        </w:trPr>
        <w:tc>
          <w:tcPr>
            <w:tcW w:w="580" w:type="dxa"/>
            <w:vAlign w:val="bottom"/>
          </w:tcPr>
          <w:p>
            <w:pPr>
              <w:spacing w:after="0"/>
              <w:rPr>
                <w:sz w:val="22"/>
                <w:szCs w:val="22"/>
                <w:color w:val="auto"/>
              </w:rPr>
            </w:pPr>
          </w:p>
        </w:tc>
        <w:tc>
          <w:tcPr>
            <w:tcW w:w="172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Joseph A. Ferraro</w:t>
            </w:r>
          </w:p>
        </w:tc>
        <w:tc>
          <w:tcPr>
            <w:tcW w:w="8120" w:type="dxa"/>
            <w:vAlign w:val="bottom"/>
            <w:tcBorders>
              <w:top w:val="single" w:sz="8" w:color="auto"/>
            </w:tcBorders>
            <w:shd w:val="clear" w:color="auto" w:fill="CCCCCC"/>
          </w:tcPr>
          <w:p>
            <w:pPr>
              <w:ind w:left="160"/>
              <w:spacing w:after="0"/>
              <w:rPr>
                <w:sz w:val="20"/>
                <w:szCs w:val="20"/>
                <w:color w:val="auto"/>
              </w:rPr>
            </w:pPr>
            <w:r>
              <w:rPr>
                <w:rFonts w:ascii="Arial" w:cs="Arial" w:eastAsia="Arial" w:hAnsi="Arial"/>
                <w:sz w:val="18"/>
                <w:szCs w:val="18"/>
                <w:b w:val="1"/>
                <w:bCs w:val="1"/>
                <w:color w:val="auto"/>
              </w:rPr>
              <w:t>Mr. Ferraro</w:t>
            </w:r>
            <w:r>
              <w:rPr>
                <w:rFonts w:ascii="Arial" w:cs="Arial" w:eastAsia="Arial" w:hAnsi="Arial"/>
                <w:sz w:val="18"/>
                <w:szCs w:val="18"/>
                <w:color w:val="auto"/>
              </w:rPr>
              <w:t>, age 65, was appointed President and Chief Executive Officer in June 2020.</w:t>
            </w:r>
          </w:p>
        </w:tc>
        <w:tc>
          <w:tcPr>
            <w:tcW w:w="600" w:type="dxa"/>
            <w:vAlign w:val="bottom"/>
          </w:tcPr>
          <w:p>
            <w:pPr>
              <w:spacing w:after="0"/>
              <w:rPr>
                <w:sz w:val="22"/>
                <w:szCs w:val="22"/>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Previously, Mr. Ferraro held various executive roles with the Company, including Interim President</w:t>
            </w:r>
          </w:p>
        </w:tc>
        <w:tc>
          <w:tcPr>
            <w:tcW w:w="60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and Chief Executive Officer from January 2020 through June 2020, President, Americas from</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January 2015 through December 2019 and Senior Vice President, North America Operations from</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October 2011 to December 2014. Mr. Ferraro joined the Company in 1979, and served in various</w:t>
            </w:r>
          </w:p>
        </w:tc>
        <w:tc>
          <w:tcPr>
            <w:tcW w:w="600" w:type="dxa"/>
            <w:vAlign w:val="bottom"/>
          </w:tcPr>
          <w:p>
            <w:pPr>
              <w:spacing w:after="0"/>
              <w:rPr>
                <w:sz w:val="17"/>
                <w:szCs w:val="17"/>
                <w:color w:val="auto"/>
              </w:rPr>
            </w:pPr>
          </w:p>
        </w:tc>
      </w:tr>
      <w:tr>
        <w:trPr>
          <w:trHeight w:val="294"/>
        </w:trPr>
        <w:tc>
          <w:tcPr>
            <w:tcW w:w="580" w:type="dxa"/>
            <w:vAlign w:val="bottom"/>
          </w:tcPr>
          <w:p>
            <w:pPr>
              <w:spacing w:after="0"/>
              <w:rPr>
                <w:sz w:val="24"/>
                <w:szCs w:val="24"/>
                <w:color w:val="auto"/>
              </w:rPr>
            </w:pPr>
          </w:p>
        </w:tc>
        <w:tc>
          <w:tcPr>
            <w:tcW w:w="1720" w:type="dxa"/>
            <w:vAlign w:val="bottom"/>
            <w:tcBorders>
              <w:bottom w:val="single" w:sz="8" w:color="CCCCCC"/>
            </w:tcBorders>
            <w:shd w:val="clear" w:color="auto" w:fill="CCCCCC"/>
          </w:tcPr>
          <w:p>
            <w:pPr>
              <w:spacing w:after="0"/>
              <w:rPr>
                <w:sz w:val="24"/>
                <w:szCs w:val="24"/>
                <w:color w:val="auto"/>
              </w:rPr>
            </w:pPr>
          </w:p>
        </w:tc>
        <w:tc>
          <w:tcPr>
            <w:tcW w:w="8120" w:type="dxa"/>
            <w:vAlign w:val="bottom"/>
            <w:tcBorders>
              <w:bottom w:val="single" w:sz="8" w:color="CCCCCC"/>
            </w:tcBorders>
            <w:shd w:val="clear" w:color="auto" w:fill="CCCCCC"/>
          </w:tcPr>
          <w:p>
            <w:pPr>
              <w:ind w:left="160"/>
              <w:spacing w:after="0"/>
              <w:rPr>
                <w:sz w:val="20"/>
                <w:szCs w:val="20"/>
                <w:color w:val="auto"/>
              </w:rPr>
            </w:pPr>
            <w:r>
              <w:rPr>
                <w:rFonts w:ascii="Arial" w:cs="Arial" w:eastAsia="Arial" w:hAnsi="Arial"/>
                <w:sz w:val="18"/>
                <w:szCs w:val="18"/>
                <w:color w:val="auto"/>
              </w:rPr>
              <w:t>positions of increasing responsibility in the Company’s North American operations.</w:t>
            </w:r>
          </w:p>
        </w:tc>
        <w:tc>
          <w:tcPr>
            <w:tcW w:w="6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1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Brian J. Choi</w:t>
            </w:r>
          </w:p>
        </w:tc>
        <w:tc>
          <w:tcPr>
            <w:tcW w:w="812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Mr. Choi</w:t>
            </w:r>
            <w:r>
              <w:rPr>
                <w:rFonts w:ascii="Arial" w:cs="Arial" w:eastAsia="Arial" w:hAnsi="Arial"/>
                <w:sz w:val="18"/>
                <w:szCs w:val="18"/>
                <w:color w:val="auto"/>
              </w:rPr>
              <w:t>, age 39, was appointed Executive Vice President and Chief Financial Officer in August</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2020. Previously, Mr. Choi served on the Board of Directors of the Company from January 2016</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through August 2020. Prior to joining the Company, Mr. Choi was a partner at SRS and served in</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various roles at SRS since October 2008. Previously, Mr. Choi worked at Metalmark Capital from</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2007 to 2008 and he also served as an analyst in the Leveraged Finance Group at Lehman</w:t>
            </w:r>
          </w:p>
        </w:tc>
      </w:tr>
      <w:tr>
        <w:trPr>
          <w:trHeight w:val="239"/>
        </w:trPr>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Brothers from 2005 to 2007.</w:t>
            </w:r>
          </w:p>
        </w:tc>
      </w:tr>
      <w:tr>
        <w:trPr>
          <w:trHeight w:val="50"/>
        </w:trPr>
        <w:tc>
          <w:tcPr>
            <w:tcW w:w="5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720" w:type="dxa"/>
            <w:vAlign w:val="bottom"/>
            <w:gridSpan w:val="2"/>
          </w:tcPr>
          <w:p>
            <w:pPr>
              <w:spacing w:after="0"/>
              <w:rPr>
                <w:sz w:val="4"/>
                <w:szCs w:val="4"/>
                <w:color w:val="auto"/>
              </w:rPr>
            </w:pPr>
          </w:p>
        </w:tc>
      </w:tr>
      <w:tr>
        <w:trPr>
          <w:trHeight w:val="245"/>
        </w:trPr>
        <w:tc>
          <w:tcPr>
            <w:tcW w:w="580" w:type="dxa"/>
            <w:vAlign w:val="bottom"/>
          </w:tcPr>
          <w:p>
            <w:pPr>
              <w:spacing w:after="0"/>
              <w:rPr>
                <w:sz w:val="21"/>
                <w:szCs w:val="21"/>
                <w:color w:val="auto"/>
              </w:rPr>
            </w:pPr>
          </w:p>
        </w:tc>
        <w:tc>
          <w:tcPr>
            <w:tcW w:w="172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Keith Rankin</w:t>
            </w:r>
          </w:p>
        </w:tc>
        <w:tc>
          <w:tcPr>
            <w:tcW w:w="8120" w:type="dxa"/>
            <w:vAlign w:val="bottom"/>
            <w:tcBorders>
              <w:top w:val="single" w:sz="8" w:color="auto"/>
            </w:tcBorders>
            <w:shd w:val="clear" w:color="auto" w:fill="CCCCCC"/>
          </w:tcPr>
          <w:p>
            <w:pPr>
              <w:ind w:left="160"/>
              <w:spacing w:after="0"/>
              <w:rPr>
                <w:sz w:val="20"/>
                <w:szCs w:val="20"/>
                <w:color w:val="auto"/>
              </w:rPr>
            </w:pPr>
            <w:r>
              <w:rPr>
                <w:rFonts w:ascii="Arial" w:cs="Arial" w:eastAsia="Arial" w:hAnsi="Arial"/>
                <w:sz w:val="18"/>
                <w:szCs w:val="18"/>
                <w:b w:val="1"/>
                <w:bCs w:val="1"/>
                <w:color w:val="auto"/>
              </w:rPr>
              <w:t>Mr. Rankin</w:t>
            </w:r>
            <w:r>
              <w:rPr>
                <w:rFonts w:ascii="Arial" w:cs="Arial" w:eastAsia="Arial" w:hAnsi="Arial"/>
                <w:sz w:val="18"/>
                <w:szCs w:val="18"/>
                <w:color w:val="auto"/>
              </w:rPr>
              <w:t>, age 52, has been President of International since June 2019. Prior to joining the</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Company, Mr. Rankin held the position of Chief Executive Officer for the automotive division of</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Barloworld in South Africa from March 2015. Barloworld is a distributor of leading global brands,</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providing integrated rental, fleet management, product support and logistics solutions, and a</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licensee partner of Avis Budget Group. Mr. Rankin began his career with Avis in South Africa in</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1998 and was appointed Chief Executive of Avis Car Rental Southern Africa in 2004. In 2007, he</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was appointed Chief Executive Officer of car rental, part of Barloworld’s automotive division that</w:t>
            </w:r>
          </w:p>
        </w:tc>
        <w:tc>
          <w:tcPr>
            <w:tcW w:w="600" w:type="dxa"/>
            <w:vAlign w:val="bottom"/>
          </w:tcPr>
          <w:p>
            <w:pPr>
              <w:spacing w:after="0"/>
              <w:rPr>
                <w:sz w:val="17"/>
                <w:szCs w:val="17"/>
                <w:color w:val="auto"/>
              </w:rPr>
            </w:pPr>
          </w:p>
        </w:tc>
      </w:tr>
      <w:tr>
        <w:trPr>
          <w:trHeight w:val="294"/>
        </w:trPr>
        <w:tc>
          <w:tcPr>
            <w:tcW w:w="580" w:type="dxa"/>
            <w:vAlign w:val="bottom"/>
          </w:tcPr>
          <w:p>
            <w:pPr>
              <w:spacing w:after="0"/>
              <w:rPr>
                <w:sz w:val="24"/>
                <w:szCs w:val="24"/>
                <w:color w:val="auto"/>
              </w:rPr>
            </w:pPr>
          </w:p>
        </w:tc>
        <w:tc>
          <w:tcPr>
            <w:tcW w:w="1720" w:type="dxa"/>
            <w:vAlign w:val="bottom"/>
            <w:tcBorders>
              <w:bottom w:val="single" w:sz="8" w:color="CCCCCC"/>
            </w:tcBorders>
            <w:shd w:val="clear" w:color="auto" w:fill="CCCCCC"/>
          </w:tcPr>
          <w:p>
            <w:pPr>
              <w:spacing w:after="0"/>
              <w:rPr>
                <w:sz w:val="24"/>
                <w:szCs w:val="24"/>
                <w:color w:val="auto"/>
              </w:rPr>
            </w:pPr>
          </w:p>
        </w:tc>
        <w:tc>
          <w:tcPr>
            <w:tcW w:w="8120" w:type="dxa"/>
            <w:vAlign w:val="bottom"/>
            <w:tcBorders>
              <w:bottom w:val="single" w:sz="8" w:color="CCCCCC"/>
            </w:tcBorders>
            <w:shd w:val="clear" w:color="auto" w:fill="CCCCCC"/>
          </w:tcPr>
          <w:p>
            <w:pPr>
              <w:ind w:left="160"/>
              <w:spacing w:after="0"/>
              <w:rPr>
                <w:sz w:val="20"/>
                <w:szCs w:val="20"/>
                <w:color w:val="auto"/>
              </w:rPr>
            </w:pPr>
            <w:r>
              <w:rPr>
                <w:rFonts w:ascii="Arial" w:cs="Arial" w:eastAsia="Arial" w:hAnsi="Arial"/>
                <w:sz w:val="18"/>
                <w:szCs w:val="18"/>
                <w:color w:val="auto"/>
              </w:rPr>
              <w:t>included Barloworld’s southern Africa and Scandinavian car rental operations.</w:t>
            </w:r>
          </w:p>
        </w:tc>
        <w:tc>
          <w:tcPr>
            <w:tcW w:w="6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1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Izilda P. Martins</w:t>
            </w:r>
          </w:p>
        </w:tc>
        <w:tc>
          <w:tcPr>
            <w:tcW w:w="812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Ms. Martins</w:t>
            </w:r>
            <w:r>
              <w:rPr>
                <w:rFonts w:ascii="Arial" w:cs="Arial" w:eastAsia="Arial" w:hAnsi="Arial"/>
                <w:sz w:val="18"/>
                <w:szCs w:val="18"/>
                <w:color w:val="auto"/>
              </w:rPr>
              <w:t>, age 50, was appointed Executive Vice President, Americas in June 2020, after</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assuming the responsibilities associated with this role on an interim basis in January 2020.</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Previously, Ms. Martins held various strategic and financial roles with the Company, including</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Senior Vice President and Chief Financial Officer, Americas from May 2014 through December</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2019, Senior Vice President and Acting Chief Accounting Officer from November 2010 through</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May 2014, and Vice President of Tax from August 2006 through November 2010. Ms. Martins was</w:t>
            </w:r>
          </w:p>
        </w:tc>
      </w:tr>
      <w:tr>
        <w:trPr>
          <w:trHeight w:val="202"/>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Director of Tax Planning and Mergers &amp; Acquisitions of Cendant Corporation (as the Company was</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formerly known) from November 2004 through August 2006. Prior to joining the Company,</w:t>
            </w:r>
          </w:p>
        </w:tc>
      </w:tr>
      <w:tr>
        <w:trPr>
          <w:trHeight w:val="244"/>
        </w:trPr>
        <w:tc>
          <w:tcPr>
            <w:tcW w:w="5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Ms. Martins was associated with Deloitte &amp; Touche LLP for seven years.</w:t>
            </w:r>
          </w:p>
        </w:tc>
      </w:tr>
      <w:tr>
        <w:trPr>
          <w:trHeight w:val="542"/>
        </w:trPr>
        <w:tc>
          <w:tcPr>
            <w:tcW w:w="58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8120" w:type="dxa"/>
            <w:vAlign w:val="bottom"/>
            <w:tcBorders>
              <w:top w:val="single" w:sz="8" w:color="auto"/>
            </w:tcBorders>
          </w:tcPr>
          <w:p>
            <w:pPr>
              <w:ind w:left="3100"/>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24"/>
                <w:szCs w:val="24"/>
                <w:color w:val="auto"/>
              </w:rPr>
            </w:pPr>
          </w:p>
        </w:tc>
      </w:tr>
      <w:tr>
        <w:trPr>
          <w:trHeight w:val="219"/>
        </w:trPr>
        <w:tc>
          <w:tcPr>
            <w:tcW w:w="5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24" w:name="page25"/>
    <w:bookmarkEnd w:id="24"/>
    <w:p>
      <w:pPr>
        <w:ind w:left="6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0" w:type="dxa"/>
            <w:vAlign w:val="bottom"/>
          </w:tcPr>
          <w:p>
            <w:pPr>
              <w:spacing w:after="0"/>
              <w:rPr>
                <w:sz w:val="21"/>
                <w:szCs w:val="21"/>
                <w:color w:val="auto"/>
              </w:rPr>
            </w:pPr>
          </w:p>
        </w:tc>
        <w:tc>
          <w:tcPr>
            <w:tcW w:w="170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Edward P. Linnen</w:t>
            </w:r>
          </w:p>
        </w:tc>
        <w:tc>
          <w:tcPr>
            <w:tcW w:w="8140" w:type="dxa"/>
            <w:vAlign w:val="bottom"/>
            <w:tcBorders>
              <w:top w:val="single" w:sz="8" w:color="auto"/>
            </w:tcBorders>
            <w:shd w:val="clear" w:color="auto" w:fill="CCCCCC"/>
          </w:tcPr>
          <w:p>
            <w:pPr>
              <w:ind w:left="180"/>
              <w:spacing w:after="0"/>
              <w:rPr>
                <w:sz w:val="20"/>
                <w:szCs w:val="20"/>
                <w:color w:val="auto"/>
              </w:rPr>
            </w:pPr>
            <w:r>
              <w:rPr>
                <w:rFonts w:ascii="Arial" w:cs="Arial" w:eastAsia="Arial" w:hAnsi="Arial"/>
                <w:sz w:val="18"/>
                <w:szCs w:val="18"/>
                <w:b w:val="1"/>
                <w:bCs w:val="1"/>
                <w:color w:val="auto"/>
              </w:rPr>
              <w:t>Mr. Linnen</w:t>
            </w:r>
            <w:r>
              <w:rPr>
                <w:rFonts w:ascii="Arial" w:cs="Arial" w:eastAsia="Arial" w:hAnsi="Arial"/>
                <w:sz w:val="18"/>
                <w:szCs w:val="18"/>
                <w:color w:val="auto"/>
              </w:rPr>
              <w:t>, age 52, has been Executive Vice President, Chief Human Resources Officer since</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January 2015. Previously, Mr. Linnen held the title of Senior Vice President, Chief Human</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Resources Officer from February 2013 until January 2015, and Senior Vice President, Human</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Resources for North America from October 2011 to February 2013. Mr. Linnen joined the Company</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in 2001, and served in several positions in the Company’s human resources function, including as</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Vice President, Labor Relations &amp; International Human Resources, Vice President, Domestic</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Human Resources, and Field Human Resources Director. Prior to joining the Company, Mr. Linnen</w:t>
            </w:r>
          </w:p>
        </w:tc>
        <w:tc>
          <w:tcPr>
            <w:tcW w:w="600" w:type="dxa"/>
            <w:vAlign w:val="bottom"/>
          </w:tcPr>
          <w:p>
            <w:pPr>
              <w:spacing w:after="0"/>
              <w:rPr>
                <w:sz w:val="17"/>
                <w:szCs w:val="17"/>
                <w:color w:val="auto"/>
              </w:rPr>
            </w:pPr>
          </w:p>
        </w:tc>
      </w:tr>
      <w:tr>
        <w:trPr>
          <w:trHeight w:val="294"/>
        </w:trPr>
        <w:tc>
          <w:tcPr>
            <w:tcW w:w="580" w:type="dxa"/>
            <w:vAlign w:val="bottom"/>
          </w:tcPr>
          <w:p>
            <w:pPr>
              <w:spacing w:after="0"/>
              <w:rPr>
                <w:sz w:val="24"/>
                <w:szCs w:val="24"/>
                <w:color w:val="auto"/>
              </w:rPr>
            </w:pPr>
          </w:p>
        </w:tc>
        <w:tc>
          <w:tcPr>
            <w:tcW w:w="1700" w:type="dxa"/>
            <w:vAlign w:val="bottom"/>
            <w:tcBorders>
              <w:bottom w:val="single" w:sz="8" w:color="CCCCCC"/>
            </w:tcBorders>
            <w:shd w:val="clear" w:color="auto" w:fill="CCCCCC"/>
          </w:tcPr>
          <w:p>
            <w:pPr>
              <w:spacing w:after="0"/>
              <w:rPr>
                <w:sz w:val="24"/>
                <w:szCs w:val="24"/>
                <w:color w:val="auto"/>
              </w:rPr>
            </w:pPr>
          </w:p>
        </w:tc>
        <w:tc>
          <w:tcPr>
            <w:tcW w:w="814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8"/>
                <w:szCs w:val="18"/>
                <w:color w:val="auto"/>
              </w:rPr>
              <w:t>served in various positions within human resources at Kraft Foods Inc. and Nabisco, Inc.</w:t>
            </w:r>
          </w:p>
        </w:tc>
        <w:tc>
          <w:tcPr>
            <w:tcW w:w="6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1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Veresh Sita</w:t>
            </w:r>
          </w:p>
        </w:tc>
        <w:tc>
          <w:tcPr>
            <w:tcW w:w="814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Mr. Sita</w:t>
            </w:r>
            <w:r>
              <w:rPr>
                <w:rFonts w:ascii="Arial" w:cs="Arial" w:eastAsia="Arial" w:hAnsi="Arial"/>
                <w:sz w:val="18"/>
                <w:szCs w:val="18"/>
                <w:color w:val="auto"/>
              </w:rPr>
              <w:t>, age 49, was appointed Executive Vice President, Chief Digital and Innovation Officer, in</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March 2021. Prior to joining the Company, Mr. Sita held the position of Chief Digital Information</w:t>
            </w: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Officer for F5 Networks, where he was responsible for leading F5’s enterprise digital strategy, since</w:t>
            </w: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2019. Prior to that time, Mr. Sita was Senior Vice President, Global Head of Strategic Consulting at</w:t>
            </w: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WeWork from 2017 to 2019, Chief Digital Officer at Emaar Properties from 2016 to 2017, Chief</w:t>
            </w: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Information Officer at Alaska Airlines from 2014 to 2016 and Chief Digital Officer at Colliers</w:t>
            </w:r>
          </w:p>
        </w:tc>
      </w:tr>
      <w:tr>
        <w:trPr>
          <w:trHeight w:val="239"/>
        </w:trPr>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740" w:type="dxa"/>
            <w:vAlign w:val="bottom"/>
            <w:gridSpan w:val="2"/>
          </w:tcPr>
          <w:p>
            <w:pPr>
              <w:ind w:left="180"/>
              <w:spacing w:after="0"/>
              <w:rPr>
                <w:sz w:val="20"/>
                <w:szCs w:val="20"/>
                <w:color w:val="auto"/>
              </w:rPr>
            </w:pPr>
            <w:r>
              <w:rPr>
                <w:rFonts w:ascii="Arial" w:cs="Arial" w:eastAsia="Arial" w:hAnsi="Arial"/>
                <w:sz w:val="18"/>
                <w:szCs w:val="18"/>
                <w:color w:val="auto"/>
              </w:rPr>
              <w:t>International from 2008 to 2014.</w:t>
            </w:r>
          </w:p>
        </w:tc>
      </w:tr>
      <w:tr>
        <w:trPr>
          <w:trHeight w:val="50"/>
        </w:trPr>
        <w:tc>
          <w:tcPr>
            <w:tcW w:w="5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740" w:type="dxa"/>
            <w:vAlign w:val="bottom"/>
            <w:gridSpan w:val="2"/>
          </w:tcPr>
          <w:p>
            <w:pPr>
              <w:spacing w:after="0"/>
              <w:rPr>
                <w:sz w:val="4"/>
                <w:szCs w:val="4"/>
                <w:color w:val="auto"/>
              </w:rPr>
            </w:pPr>
          </w:p>
        </w:tc>
      </w:tr>
      <w:tr>
        <w:trPr>
          <w:trHeight w:val="245"/>
        </w:trPr>
        <w:tc>
          <w:tcPr>
            <w:tcW w:w="580" w:type="dxa"/>
            <w:vAlign w:val="bottom"/>
          </w:tcPr>
          <w:p>
            <w:pPr>
              <w:spacing w:after="0"/>
              <w:rPr>
                <w:sz w:val="21"/>
                <w:szCs w:val="21"/>
                <w:color w:val="auto"/>
              </w:rPr>
            </w:pPr>
          </w:p>
        </w:tc>
        <w:tc>
          <w:tcPr>
            <w:tcW w:w="170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Jean M. Sera</w:t>
            </w:r>
          </w:p>
        </w:tc>
        <w:tc>
          <w:tcPr>
            <w:tcW w:w="8140" w:type="dxa"/>
            <w:vAlign w:val="bottom"/>
            <w:tcBorders>
              <w:top w:val="single" w:sz="8" w:color="auto"/>
            </w:tcBorders>
            <w:shd w:val="clear" w:color="auto" w:fill="CCCCCC"/>
          </w:tcPr>
          <w:p>
            <w:pPr>
              <w:ind w:left="180"/>
              <w:spacing w:after="0"/>
              <w:rPr>
                <w:sz w:val="20"/>
                <w:szCs w:val="20"/>
                <w:color w:val="auto"/>
              </w:rPr>
            </w:pPr>
            <w:r>
              <w:rPr>
                <w:rFonts w:ascii="Arial" w:cs="Arial" w:eastAsia="Arial" w:hAnsi="Arial"/>
                <w:sz w:val="18"/>
                <w:szCs w:val="18"/>
                <w:b w:val="1"/>
                <w:bCs w:val="1"/>
                <w:color w:val="auto"/>
              </w:rPr>
              <w:t>Ms. Sera</w:t>
            </w:r>
            <w:r>
              <w:rPr>
                <w:rFonts w:ascii="Arial" w:cs="Arial" w:eastAsia="Arial" w:hAnsi="Arial"/>
                <w:sz w:val="18"/>
                <w:szCs w:val="18"/>
                <w:color w:val="auto"/>
              </w:rPr>
              <w:t>, age 52, has been Senior Vice President, General Counsel, Chief Compliance Officer</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and Corporate Secretary since March 2020. Ms. Sera held the title of Senior Vice President,</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Corporate Secretary and Global Programs from August 2016 to March 2020, and the title of Senior</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Vice President and Corporate Secretary from August 2006 to August 2016. Ms. Sera was a</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member of the Legal Department of Cendant Corporation (as the Company was formerly known)</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from January 2002 to August 2006, where she held roles of increasing responsibility, including Vice</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President and Group Vice President. Prior to joining the Company, Ms. Sera was an associate with</w:t>
            </w:r>
          </w:p>
        </w:tc>
        <w:tc>
          <w:tcPr>
            <w:tcW w:w="600" w:type="dxa"/>
            <w:vAlign w:val="bottom"/>
          </w:tcPr>
          <w:p>
            <w:pPr>
              <w:spacing w:after="0"/>
              <w:rPr>
                <w:sz w:val="17"/>
                <w:szCs w:val="17"/>
                <w:color w:val="auto"/>
              </w:rPr>
            </w:pPr>
          </w:p>
        </w:tc>
      </w:tr>
      <w:tr>
        <w:trPr>
          <w:trHeight w:val="294"/>
        </w:trPr>
        <w:tc>
          <w:tcPr>
            <w:tcW w:w="580" w:type="dxa"/>
            <w:vAlign w:val="bottom"/>
          </w:tcPr>
          <w:p>
            <w:pPr>
              <w:spacing w:after="0"/>
              <w:rPr>
                <w:sz w:val="24"/>
                <w:szCs w:val="24"/>
                <w:color w:val="auto"/>
              </w:rPr>
            </w:pPr>
          </w:p>
        </w:tc>
        <w:tc>
          <w:tcPr>
            <w:tcW w:w="1700" w:type="dxa"/>
            <w:vAlign w:val="bottom"/>
            <w:tcBorders>
              <w:bottom w:val="single" w:sz="8" w:color="CCCCCC"/>
            </w:tcBorders>
            <w:shd w:val="clear" w:color="auto" w:fill="CCCCCC"/>
          </w:tcPr>
          <w:p>
            <w:pPr>
              <w:spacing w:after="0"/>
              <w:rPr>
                <w:sz w:val="24"/>
                <w:szCs w:val="24"/>
                <w:color w:val="auto"/>
              </w:rPr>
            </w:pPr>
          </w:p>
        </w:tc>
        <w:tc>
          <w:tcPr>
            <w:tcW w:w="814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8"/>
                <w:szCs w:val="18"/>
                <w:color w:val="auto"/>
              </w:rPr>
              <w:t>the law firm of Shearman &amp; Sterling LLP.</w:t>
            </w:r>
          </w:p>
        </w:tc>
        <w:tc>
          <w:tcPr>
            <w:tcW w:w="6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1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Cathleen</w:t>
            </w:r>
          </w:p>
        </w:tc>
        <w:tc>
          <w:tcPr>
            <w:tcW w:w="814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Ms. DeGenova</w:t>
            </w:r>
            <w:r>
              <w:rPr>
                <w:rFonts w:ascii="Arial" w:cs="Arial" w:eastAsia="Arial" w:hAnsi="Arial"/>
                <w:sz w:val="18"/>
                <w:szCs w:val="18"/>
                <w:color w:val="auto"/>
              </w:rPr>
              <w:t>, age 60, has been Vice President and Chief Accounting Officer since August 2019.</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00" w:type="dxa"/>
            <w:vAlign w:val="bottom"/>
          </w:tcPr>
          <w:p>
            <w:pPr>
              <w:ind w:left="100"/>
              <w:spacing w:after="0" w:line="202" w:lineRule="exact"/>
              <w:rPr>
                <w:sz w:val="20"/>
                <w:szCs w:val="20"/>
                <w:color w:val="auto"/>
              </w:rPr>
            </w:pPr>
            <w:r>
              <w:rPr>
                <w:rFonts w:ascii="Arial" w:cs="Arial" w:eastAsia="Arial" w:hAnsi="Arial"/>
                <w:sz w:val="18"/>
                <w:szCs w:val="18"/>
                <w:color w:val="auto"/>
              </w:rPr>
              <w:t>DeGenova</w:t>
            </w:r>
          </w:p>
        </w:tc>
        <w:tc>
          <w:tcPr>
            <w:tcW w:w="8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Previously, Ms. DeGenova held the title of Vice President of the Company overseeing External</w:t>
            </w: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Reporting and Technical Accounting since April 2018. Ms. DeGenova previously held the title of</w:t>
            </w: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 of External Reporting &amp; Technical Accounting from June 2013, when she joined the</w:t>
            </w: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Company. Prior to joining the Company, Ms. DeGenova held similar roles at Zipcar, Inc., which the</w:t>
            </w: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Company acquired in 2013, Charles River Labs and Millipore, and was an accountant with Ernst &amp;</w:t>
            </w:r>
          </w:p>
        </w:tc>
      </w:tr>
      <w:tr>
        <w:trPr>
          <w:trHeight w:val="244"/>
        </w:trPr>
        <w:tc>
          <w:tcPr>
            <w:tcW w:w="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740" w:type="dxa"/>
            <w:vAlign w:val="bottom"/>
            <w:gridSpan w:val="2"/>
          </w:tcPr>
          <w:p>
            <w:pPr>
              <w:ind w:left="180"/>
              <w:spacing w:after="0"/>
              <w:rPr>
                <w:sz w:val="20"/>
                <w:szCs w:val="20"/>
                <w:color w:val="auto"/>
              </w:rPr>
            </w:pPr>
            <w:r>
              <w:rPr>
                <w:rFonts w:ascii="Arial" w:cs="Arial" w:eastAsia="Arial" w:hAnsi="Arial"/>
                <w:sz w:val="18"/>
                <w:szCs w:val="18"/>
                <w:color w:val="auto"/>
              </w:rPr>
              <w:t>Young. Ms. DeGenova is a Certified Public Accountant.</w:t>
            </w:r>
          </w:p>
        </w:tc>
      </w:tr>
      <w:tr>
        <w:trPr>
          <w:trHeight w:val="542"/>
        </w:trPr>
        <w:tc>
          <w:tcPr>
            <w:tcW w:w="58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8140" w:type="dxa"/>
            <w:vAlign w:val="bottom"/>
            <w:tcBorders>
              <w:top w:val="single" w:sz="8" w:color="auto"/>
            </w:tcBorders>
          </w:tcPr>
          <w:p>
            <w:pPr>
              <w:ind w:left="3120"/>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24"/>
                <w:szCs w:val="24"/>
                <w:color w:val="auto"/>
              </w:rPr>
            </w:pPr>
          </w:p>
        </w:tc>
      </w:tr>
      <w:tr>
        <w:trPr>
          <w:trHeight w:val="233"/>
        </w:trPr>
        <w:tc>
          <w:tcPr>
            <w:tcW w:w="5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8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25" w:name="page26"/>
    <w:bookmarkEnd w:id="25"/>
    <w:p>
      <w:pPr>
        <w:ind w:left="1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18" w:lineRule="exact"/>
        <w:rPr>
          <w:sz w:val="20"/>
          <w:szCs w:val="20"/>
          <w:color w:val="auto"/>
        </w:rPr>
      </w:pPr>
    </w:p>
    <w:p>
      <w:pPr>
        <w:ind w:left="10"/>
        <w:spacing w:after="0"/>
        <w:rPr>
          <w:sz w:val="20"/>
          <w:szCs w:val="20"/>
          <w:color w:val="auto"/>
        </w:rPr>
      </w:pPr>
      <w:r>
        <w:rPr>
          <w:rFonts w:ascii="Arial" w:cs="Arial" w:eastAsia="Arial" w:hAnsi="Arial"/>
          <w:sz w:val="36"/>
          <w:szCs w:val="36"/>
          <w:color w:val="auto"/>
        </w:rPr>
        <w:t>Executive Compensation</w:t>
      </w:r>
    </w:p>
    <w:p>
      <w:pPr>
        <w:spacing w:after="0" w:line="274"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Compensation Discussion and Analysis</w:t>
      </w:r>
    </w:p>
    <w:p>
      <w:pPr>
        <w:spacing w:after="0" w:line="166" w:lineRule="exact"/>
        <w:rPr>
          <w:sz w:val="20"/>
          <w:szCs w:val="20"/>
          <w:color w:val="auto"/>
        </w:rPr>
      </w:pPr>
    </w:p>
    <w:p>
      <w:pPr>
        <w:jc w:val="both"/>
        <w:ind w:left="10"/>
        <w:spacing w:after="0" w:line="252" w:lineRule="auto"/>
        <w:rPr>
          <w:sz w:val="20"/>
          <w:szCs w:val="20"/>
          <w:color w:val="auto"/>
        </w:rPr>
      </w:pPr>
      <w:r>
        <w:rPr>
          <w:rFonts w:ascii="Arial" w:cs="Arial" w:eastAsia="Arial" w:hAnsi="Arial"/>
          <w:sz w:val="18"/>
          <w:szCs w:val="18"/>
          <w:i w:val="1"/>
          <w:iCs w:val="1"/>
          <w:color w:val="auto"/>
        </w:rPr>
        <w:t>We refer you to our 2021 Annual Report for additional information regarding our financial information discussed below. When we refer to “the Committee” in this “Executive Compensation” section, we are referring to the Compensation Committee.</w:t>
      </w:r>
    </w:p>
    <w:p>
      <w:pPr>
        <w:spacing w:after="0" w:line="160"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auto"/>
        </w:rPr>
        <w:t>Executive Summary</w:t>
      </w:r>
    </w:p>
    <w:p>
      <w:pPr>
        <w:spacing w:after="0" w:line="13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Company Performance</w:t>
      </w:r>
    </w:p>
    <w:p>
      <w:pPr>
        <w:spacing w:after="0" w:line="139"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In 2021, the impact to our business from the COVID-19 global pandemic subsided and our revenue increased significantly totaling approximately $9.3 billion, a 72% increase compared to 2020. For 2021, net income was $1.3 billion and Adjusted EBITDA was $2.4 billion, which was the highest annual Adjusted EBITDA in our Company’s history. In 2021, we also returned capital to our shareholders through the repurchase of $1.4 billion of our Common Stock, resulting in the repurchase of 14.3 million shares. Our closing stock price on December 31, 2021 of $207.37 reflected a significant increase compared to our closing stock price on December 31, 2020 of $37.30.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185420</wp:posOffset>
            </wp:positionV>
            <wp:extent cx="6215380" cy="1929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1538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Strategy</w:t>
      </w:r>
    </w:p>
    <w:p>
      <w:pPr>
        <w:spacing w:after="0" w:line="139"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As travel demand continues to normalize, we expect our strategy for 2022 to drive a lower cost structure over the long term while maximizing revenue opportunities through continued focus on cost, revenue growth and investment.</w:t>
      </w:r>
    </w:p>
    <w:p>
      <w:pPr>
        <w:spacing w:after="0" w:line="86" w:lineRule="exact"/>
        <w:rPr>
          <w:sz w:val="20"/>
          <w:szCs w:val="20"/>
          <w:color w:val="auto"/>
        </w:rPr>
      </w:pPr>
    </w:p>
    <w:p>
      <w:pPr>
        <w:ind w:left="350" w:right="20" w:hanging="350"/>
        <w:spacing w:after="0" w:line="271" w:lineRule="auto"/>
        <w:tabs>
          <w:tab w:leader="none" w:pos="3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designing new processes and implementing new systems, we seek to provide enhanced visibility and accountability for fixed and variable costs in our operations.</w:t>
      </w:r>
    </w:p>
    <w:p>
      <w:pPr>
        <w:spacing w:after="0" w:line="72"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focusing on fleet acquisition, the customer experience, contract signings with corporate accounts and partnerships, we seek to increase our revenue.</w:t>
      </w:r>
    </w:p>
    <w:p>
      <w:pPr>
        <w:spacing w:after="0" w:line="86" w:lineRule="exact"/>
        <w:rPr>
          <w:rFonts w:ascii="Arial" w:cs="Arial" w:eastAsia="Arial" w:hAnsi="Arial"/>
          <w:sz w:val="18"/>
          <w:szCs w:val="18"/>
          <w:color w:val="auto"/>
        </w:rPr>
      </w:pPr>
    </w:p>
    <w:p>
      <w:pPr>
        <w:jc w:val="both"/>
        <w:ind w:left="350" w:hanging="350"/>
        <w:spacing w:after="0" w:line="253" w:lineRule="auto"/>
        <w:tabs>
          <w:tab w:leader="none" w:pos="3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Investments in 2022 are expected to allow us to maximize our infrastructure to further revenue growth and cost efficiencies, and are expected to include investments in our systems, operations, customer experience and electric vehicle capabilities.</w:t>
      </w:r>
    </w:p>
    <w:p>
      <w:pPr>
        <w:spacing w:after="0" w:line="31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Compensation Practices</w:t>
      </w:r>
    </w:p>
    <w:p>
      <w:pPr>
        <w:spacing w:after="0" w:line="153" w:lineRule="exact"/>
        <w:rPr>
          <w:sz w:val="20"/>
          <w:szCs w:val="20"/>
          <w:color w:val="auto"/>
        </w:rPr>
      </w:pPr>
    </w:p>
    <w:p>
      <w:pPr>
        <w:ind w:left="10"/>
        <w:spacing w:after="0"/>
        <w:rPr>
          <w:sz w:val="20"/>
          <w:szCs w:val="20"/>
          <w:color w:val="auto"/>
        </w:rPr>
      </w:pPr>
      <w:r>
        <w:rPr>
          <w:rFonts w:ascii="Arial" w:cs="Arial" w:eastAsia="Arial" w:hAnsi="Arial"/>
          <w:sz w:val="18"/>
          <w:szCs w:val="18"/>
          <w:color w:val="auto"/>
        </w:rPr>
        <w:t>We believe that our compensation programs reflect sound practices, such as:</w:t>
      </w:r>
    </w:p>
    <w:p>
      <w:pPr>
        <w:spacing w:after="0" w:line="131" w:lineRule="exact"/>
        <w:rPr>
          <w:sz w:val="20"/>
          <w:szCs w:val="20"/>
          <w:color w:val="auto"/>
        </w:rPr>
      </w:pPr>
    </w:p>
    <w:p>
      <w:pPr>
        <w:ind w:left="350" w:hanging="350"/>
        <w:spacing w:after="0"/>
        <w:tabs>
          <w:tab w:leader="none" w:pos="3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 stock ownership guidelines with significant share ownership requirements;</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executive compensation recoupment (or “clawback”) policy;</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policy prohibiting executives from entering into speculative (or hedging) transactions in our securities;</w:t>
      </w:r>
    </w:p>
    <w:p>
      <w:pPr>
        <w:spacing w:after="0" w:line="130" w:lineRule="exact"/>
        <w:rPr>
          <w:rFonts w:ascii="Arial" w:cs="Arial" w:eastAsia="Arial" w:hAnsi="Arial"/>
          <w:sz w:val="18"/>
          <w:szCs w:val="18"/>
          <w:color w:val="auto"/>
        </w:rPr>
      </w:pPr>
    </w:p>
    <w:p>
      <w:pPr>
        <w:ind w:left="350" w:hanging="350"/>
        <w:spacing w:after="0"/>
        <w:tabs>
          <w:tab w:leader="none" w:pos="3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excise tax gross-up or single-trigger change-in-control provisions; and</w:t>
      </w:r>
    </w:p>
    <w:p>
      <w:pPr>
        <w:sectPr>
          <w:pgSz w:w="11900" w:h="16838" w:orient="portrait"/>
          <w:cols w:equalWidth="0" w:num="1">
            <w:col w:w="9830"/>
          </w:cols>
          <w:pgMar w:left="1030" w:top="263" w:right="1039" w:bottom="1440" w:gutter="0" w:footer="0" w:header="0"/>
        </w:sectPr>
      </w:pPr>
    </w:p>
    <w:p>
      <w:pPr>
        <w:spacing w:after="0" w:line="320"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170815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type w:val="continuous"/>
        </w:sectPr>
      </w:pPr>
    </w:p>
    <w:bookmarkStart w:id="26" w:name="page27"/>
    <w:bookmarkEnd w:id="26"/>
    <w:p>
      <w:pPr>
        <w:ind w:left="6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ind w:left="940" w:right="620" w:hanging="350"/>
        <w:spacing w:after="0" w:line="271" w:lineRule="auto"/>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tax gross-ups on executive perquisites except for relocation and expatriate benefits per the Company’s standard practices.</w:t>
      </w:r>
    </w:p>
    <w:p>
      <w:pPr>
        <w:spacing w:after="0" w:line="311"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2021 Compensation for our Named Executive Officers</w:t>
      </w:r>
    </w:p>
    <w:p>
      <w:pPr>
        <w:spacing w:after="0" w:line="126" w:lineRule="exact"/>
        <w:rPr>
          <w:sz w:val="20"/>
          <w:szCs w:val="20"/>
          <w:color w:val="auto"/>
        </w:rPr>
      </w:pPr>
    </w:p>
    <w:p>
      <w:pPr>
        <w:jc w:val="both"/>
        <w:ind w:left="600" w:right="600"/>
        <w:spacing w:after="0" w:line="244" w:lineRule="auto"/>
        <w:rPr>
          <w:sz w:val="20"/>
          <w:szCs w:val="20"/>
          <w:color w:val="auto"/>
        </w:rPr>
      </w:pPr>
      <w:r>
        <w:rPr>
          <w:rFonts w:ascii="Arial" w:cs="Arial" w:eastAsia="Arial" w:hAnsi="Arial"/>
          <w:sz w:val="18"/>
          <w:szCs w:val="18"/>
          <w:color w:val="auto"/>
        </w:rPr>
        <w:t>Compensation paid to our named executive officers (“NEOs”) for 2021 increased compared to 2020, primarily driven by the Company’s financial performance for the year, which resulted in above-target payouts under the 2021 annual incentive program. The increase in compensation for our CEO also resulted from an increase in the long-term incentive award granted to him in 2021. The increased award was approved by the Committee in early 2021 based on a market review as well as his performance during 2020, the first year of his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184150</wp:posOffset>
            </wp:positionV>
            <wp:extent cx="3737610" cy="2331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3761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2021 compensation highlights are set forth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0" w:type="dxa"/>
            <w:vAlign w:val="bottom"/>
          </w:tcPr>
          <w:p>
            <w:pPr>
              <w:spacing w:after="0"/>
              <w:rPr>
                <w:sz w:val="21"/>
                <w:szCs w:val="21"/>
                <w:color w:val="auto"/>
              </w:rPr>
            </w:pPr>
          </w:p>
        </w:tc>
        <w:tc>
          <w:tcPr>
            <w:tcW w:w="236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p>
        </w:tc>
        <w:tc>
          <w:tcPr>
            <w:tcW w:w="7480" w:type="dxa"/>
            <w:vAlign w:val="bottom"/>
            <w:tcBorders>
              <w:top w:val="single" w:sz="8" w:color="auto"/>
            </w:tcBorders>
            <w:shd w:val="clear" w:color="auto" w:fill="CCCCCC"/>
          </w:tcPr>
          <w:p>
            <w:pPr>
              <w:ind w:left="300"/>
              <w:spacing w:after="0"/>
              <w:rPr>
                <w:sz w:val="20"/>
                <w:szCs w:val="20"/>
                <w:color w:val="auto"/>
              </w:rPr>
            </w:pPr>
            <w:r>
              <w:rPr>
                <w:rFonts w:ascii="Arial" w:cs="Arial" w:eastAsia="Arial" w:hAnsi="Arial"/>
                <w:sz w:val="18"/>
                <w:szCs w:val="18"/>
                <w:color w:val="auto"/>
              </w:rPr>
              <w:t>•  No increases were approved to base salaries in light of impacts to the Company’s</w:t>
            </w:r>
          </w:p>
        </w:tc>
        <w:tc>
          <w:tcPr>
            <w:tcW w:w="60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2360" w:type="dxa"/>
            <w:vAlign w:val="bottom"/>
            <w:shd w:val="clear" w:color="auto" w:fill="CCCCCC"/>
          </w:tcPr>
          <w:p>
            <w:pPr>
              <w:spacing w:after="0"/>
              <w:rPr>
                <w:sz w:val="20"/>
                <w:szCs w:val="20"/>
                <w:color w:val="auto"/>
              </w:rPr>
            </w:pPr>
          </w:p>
        </w:tc>
        <w:tc>
          <w:tcPr>
            <w:tcW w:w="7480" w:type="dxa"/>
            <w:vAlign w:val="bottom"/>
            <w:shd w:val="clear" w:color="auto" w:fill="CCCCCC"/>
          </w:tcPr>
          <w:p>
            <w:pPr>
              <w:ind w:left="560"/>
              <w:spacing w:after="0"/>
              <w:rPr>
                <w:sz w:val="20"/>
                <w:szCs w:val="20"/>
                <w:color w:val="auto"/>
              </w:rPr>
            </w:pPr>
            <w:r>
              <w:rPr>
                <w:rFonts w:ascii="Arial" w:cs="Arial" w:eastAsia="Arial" w:hAnsi="Arial"/>
                <w:sz w:val="18"/>
                <w:szCs w:val="18"/>
                <w:color w:val="auto"/>
              </w:rPr>
              <w:t>business from the pandemic.</w:t>
            </w:r>
          </w:p>
        </w:tc>
        <w:tc>
          <w:tcPr>
            <w:tcW w:w="600" w:type="dxa"/>
            <w:vAlign w:val="bottom"/>
          </w:tcPr>
          <w:p>
            <w:pPr>
              <w:spacing w:after="0"/>
              <w:rPr>
                <w:sz w:val="20"/>
                <w:szCs w:val="20"/>
                <w:color w:val="auto"/>
              </w:rPr>
            </w:pPr>
          </w:p>
        </w:tc>
      </w:tr>
      <w:tr>
        <w:trPr>
          <w:trHeight w:val="274"/>
        </w:trPr>
        <w:tc>
          <w:tcPr>
            <w:tcW w:w="580" w:type="dxa"/>
            <w:vAlign w:val="bottom"/>
          </w:tcPr>
          <w:p>
            <w:pPr>
              <w:spacing w:after="0"/>
              <w:rPr>
                <w:sz w:val="23"/>
                <w:szCs w:val="23"/>
                <w:color w:val="auto"/>
              </w:rPr>
            </w:pPr>
          </w:p>
        </w:tc>
        <w:tc>
          <w:tcPr>
            <w:tcW w:w="2360" w:type="dxa"/>
            <w:vAlign w:val="bottom"/>
            <w:shd w:val="clear" w:color="auto" w:fill="CCCCCC"/>
          </w:tcPr>
          <w:p>
            <w:pPr>
              <w:spacing w:after="0"/>
              <w:rPr>
                <w:sz w:val="23"/>
                <w:szCs w:val="23"/>
                <w:color w:val="auto"/>
              </w:rPr>
            </w:pPr>
          </w:p>
        </w:tc>
        <w:tc>
          <w:tcPr>
            <w:tcW w:w="7480" w:type="dxa"/>
            <w:vAlign w:val="bottom"/>
            <w:shd w:val="clear" w:color="auto" w:fill="CCCCCC"/>
          </w:tcPr>
          <w:p>
            <w:pPr>
              <w:ind w:left="300"/>
              <w:spacing w:after="0"/>
              <w:rPr>
                <w:sz w:val="20"/>
                <w:szCs w:val="20"/>
                <w:color w:val="auto"/>
              </w:rPr>
            </w:pPr>
            <w:r>
              <w:rPr>
                <w:rFonts w:ascii="Arial" w:cs="Arial" w:eastAsia="Arial" w:hAnsi="Arial"/>
                <w:sz w:val="18"/>
                <w:szCs w:val="18"/>
                <w:color w:val="auto"/>
              </w:rPr>
              <w:t>•  No discretionary adjustments were made to any incentive program as a result of</w:t>
            </w:r>
          </w:p>
        </w:tc>
        <w:tc>
          <w:tcPr>
            <w:tcW w:w="600" w:type="dxa"/>
            <w:vAlign w:val="bottom"/>
          </w:tcPr>
          <w:p>
            <w:pPr>
              <w:spacing w:after="0"/>
              <w:rPr>
                <w:sz w:val="23"/>
                <w:szCs w:val="23"/>
                <w:color w:val="auto"/>
              </w:rPr>
            </w:pPr>
          </w:p>
        </w:tc>
      </w:tr>
      <w:tr>
        <w:trPr>
          <w:trHeight w:val="294"/>
        </w:trPr>
        <w:tc>
          <w:tcPr>
            <w:tcW w:w="580" w:type="dxa"/>
            <w:vAlign w:val="bottom"/>
          </w:tcPr>
          <w:p>
            <w:pPr>
              <w:spacing w:after="0"/>
              <w:rPr>
                <w:sz w:val="24"/>
                <w:szCs w:val="24"/>
                <w:color w:val="auto"/>
              </w:rPr>
            </w:pPr>
          </w:p>
        </w:tc>
        <w:tc>
          <w:tcPr>
            <w:tcW w:w="2360" w:type="dxa"/>
            <w:vAlign w:val="bottom"/>
            <w:tcBorders>
              <w:bottom w:val="single" w:sz="8" w:color="CCCCCC"/>
            </w:tcBorders>
            <w:shd w:val="clear" w:color="auto" w:fill="CCCCCC"/>
          </w:tcPr>
          <w:p>
            <w:pPr>
              <w:spacing w:after="0"/>
              <w:rPr>
                <w:sz w:val="24"/>
                <w:szCs w:val="24"/>
                <w:color w:val="auto"/>
              </w:rPr>
            </w:pPr>
          </w:p>
        </w:tc>
        <w:tc>
          <w:tcPr>
            <w:tcW w:w="7480" w:type="dxa"/>
            <w:vAlign w:val="bottom"/>
            <w:tcBorders>
              <w:bottom w:val="single" w:sz="8" w:color="CCCCCC"/>
            </w:tcBorders>
            <w:shd w:val="clear" w:color="auto" w:fill="CCCCCC"/>
          </w:tcPr>
          <w:p>
            <w:pPr>
              <w:ind w:left="560"/>
              <w:spacing w:after="0"/>
              <w:rPr>
                <w:sz w:val="20"/>
                <w:szCs w:val="20"/>
                <w:color w:val="auto"/>
              </w:rPr>
            </w:pPr>
            <w:r>
              <w:rPr>
                <w:rFonts w:ascii="Arial" w:cs="Arial" w:eastAsia="Arial" w:hAnsi="Arial"/>
                <w:sz w:val="18"/>
                <w:szCs w:val="18"/>
                <w:color w:val="auto"/>
              </w:rPr>
              <w:t>pandemic impacts to the Company’s business.</w:t>
            </w:r>
          </w:p>
        </w:tc>
        <w:tc>
          <w:tcPr>
            <w:tcW w:w="6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23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NNUAL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ROGRAM</w:t>
            </w:r>
          </w:p>
        </w:tc>
        <w:tc>
          <w:tcPr>
            <w:tcW w:w="74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  Actual  payouts,  as  a  percentage  of  target  payout  opportunity,  ranged  from</w:t>
            </w:r>
          </w:p>
        </w:tc>
        <w:tc>
          <w:tcPr>
            <w:tcW w:w="60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80" w:type="dxa"/>
            <w:vAlign w:val="bottom"/>
            <w:gridSpan w:val="2"/>
          </w:tcPr>
          <w:p>
            <w:pPr>
              <w:ind w:left="560"/>
              <w:spacing w:after="0"/>
              <w:rPr>
                <w:sz w:val="20"/>
                <w:szCs w:val="20"/>
                <w:color w:val="auto"/>
              </w:rPr>
            </w:pPr>
            <w:r>
              <w:rPr>
                <w:rFonts w:ascii="Arial" w:cs="Arial" w:eastAsia="Arial" w:hAnsi="Arial"/>
                <w:sz w:val="18"/>
                <w:szCs w:val="18"/>
                <w:color w:val="auto"/>
              </w:rPr>
              <w:t>125%-149% driven by financial and individual performance.</w:t>
            </w:r>
          </w:p>
        </w:tc>
      </w:tr>
      <w:tr>
        <w:trPr>
          <w:trHeight w:val="274"/>
        </w:trPr>
        <w:tc>
          <w:tcPr>
            <w:tcW w:w="5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rPr>
              <w:t>•  The maximum possible payout level of 125% of target for our CEO, and 150% of</w:t>
            </w:r>
          </w:p>
        </w:tc>
      </w:tr>
      <w:tr>
        <w:trPr>
          <w:trHeight w:val="203"/>
        </w:trPr>
        <w:tc>
          <w:tcPr>
            <w:tcW w:w="5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08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target for our other NEOs who participated in the program, reflected a decrease from</w:t>
            </w:r>
          </w:p>
        </w:tc>
      </w:tr>
      <w:tr>
        <w:trPr>
          <w:trHeight w:val="239"/>
        </w:trPr>
        <w:tc>
          <w:tcPr>
            <w:tcW w:w="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80" w:type="dxa"/>
            <w:vAlign w:val="bottom"/>
            <w:gridSpan w:val="2"/>
          </w:tcPr>
          <w:p>
            <w:pPr>
              <w:ind w:left="560"/>
              <w:spacing w:after="0"/>
              <w:rPr>
                <w:sz w:val="20"/>
                <w:szCs w:val="20"/>
                <w:color w:val="auto"/>
              </w:rPr>
            </w:pPr>
            <w:r>
              <w:rPr>
                <w:rFonts w:ascii="Arial" w:cs="Arial" w:eastAsia="Arial" w:hAnsi="Arial"/>
                <w:sz w:val="18"/>
                <w:szCs w:val="18"/>
                <w:color w:val="auto"/>
              </w:rPr>
              <w:t>the 2020 program of 200% of target.</w:t>
            </w:r>
          </w:p>
        </w:tc>
      </w:tr>
      <w:tr>
        <w:trPr>
          <w:trHeight w:val="274"/>
        </w:trPr>
        <w:tc>
          <w:tcPr>
            <w:tcW w:w="5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rPr>
              <w:t>•  An enhanced individual component was introduced comprised primarily of quantitative</w:t>
            </w:r>
          </w:p>
        </w:tc>
      </w:tr>
      <w:tr>
        <w:trPr>
          <w:trHeight w:val="203"/>
        </w:trPr>
        <w:tc>
          <w:tcPr>
            <w:tcW w:w="5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08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financial and operational metrics with measurable targets utilizing a new “scorecard”</w:t>
            </w:r>
          </w:p>
        </w:tc>
      </w:tr>
      <w:tr>
        <w:trPr>
          <w:trHeight w:val="239"/>
        </w:trPr>
        <w:tc>
          <w:tcPr>
            <w:tcW w:w="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80" w:type="dxa"/>
            <w:vAlign w:val="bottom"/>
            <w:gridSpan w:val="2"/>
          </w:tcPr>
          <w:p>
            <w:pPr>
              <w:ind w:left="560"/>
              <w:spacing w:after="0"/>
              <w:rPr>
                <w:sz w:val="20"/>
                <w:szCs w:val="20"/>
                <w:color w:val="auto"/>
              </w:rPr>
            </w:pPr>
            <w:r>
              <w:rPr>
                <w:rFonts w:ascii="Arial" w:cs="Arial" w:eastAsia="Arial" w:hAnsi="Arial"/>
                <w:sz w:val="18"/>
                <w:szCs w:val="18"/>
                <w:color w:val="auto"/>
              </w:rPr>
              <w:t>approach. Payouts under this component are:</w:t>
            </w:r>
          </w:p>
        </w:tc>
      </w:tr>
      <w:tr>
        <w:trPr>
          <w:trHeight w:val="274"/>
        </w:trPr>
        <w:tc>
          <w:tcPr>
            <w:tcW w:w="5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8080" w:type="dxa"/>
            <w:vAlign w:val="bottom"/>
            <w:gridSpan w:val="2"/>
          </w:tcPr>
          <w:p>
            <w:pPr>
              <w:ind w:left="56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subject to attainment of threshold Adjusted EBITDA goals and fixed cost goals;</w:t>
            </w:r>
          </w:p>
        </w:tc>
      </w:tr>
      <w:tr>
        <w:trPr>
          <w:trHeight w:val="239"/>
        </w:trPr>
        <w:tc>
          <w:tcPr>
            <w:tcW w:w="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80" w:type="dxa"/>
            <w:vAlign w:val="bottom"/>
            <w:gridSpan w:val="2"/>
          </w:tcPr>
          <w:p>
            <w:pPr>
              <w:ind w:left="560"/>
              <w:spacing w:after="0"/>
              <w:rPr>
                <w:sz w:val="20"/>
                <w:szCs w:val="20"/>
                <w:color w:val="auto"/>
              </w:rPr>
            </w:pPr>
            <w:r>
              <w:rPr>
                <w:rFonts w:ascii="Arial" w:cs="Arial" w:eastAsia="Arial" w:hAnsi="Arial"/>
                <w:sz w:val="18"/>
                <w:szCs w:val="18"/>
                <w:color w:val="auto"/>
              </w:rPr>
              <w:t>and</w:t>
            </w:r>
          </w:p>
        </w:tc>
      </w:tr>
      <w:tr>
        <w:trPr>
          <w:trHeight w:val="274"/>
        </w:trPr>
        <w:tc>
          <w:tcPr>
            <w:tcW w:w="5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8080" w:type="dxa"/>
            <w:vAlign w:val="bottom"/>
            <w:gridSpan w:val="2"/>
          </w:tcPr>
          <w:p>
            <w:pPr>
              <w:ind w:left="560"/>
              <w:spacing w:after="0"/>
              <w:rPr>
                <w:sz w:val="20"/>
                <w:szCs w:val="20"/>
                <w:color w:val="auto"/>
              </w:rPr>
            </w:pPr>
            <w:r>
              <w:rPr>
                <w:rFonts w:ascii="Arial" w:cs="Arial" w:eastAsia="Arial" w:hAnsi="Arial"/>
                <w:sz w:val="11"/>
                <w:szCs w:val="11"/>
                <w:color w:val="auto"/>
              </w:rPr>
              <w:t>○</w:t>
            </w:r>
            <w:r>
              <w:rPr>
                <w:rFonts w:ascii="Arial" w:cs="Arial" w:eastAsia="Arial" w:hAnsi="Arial"/>
                <w:sz w:val="18"/>
                <w:szCs w:val="18"/>
                <w:color w:val="auto"/>
              </w:rPr>
              <w:t>capped at 100% of target based on the scorecard results, but modified by</w:t>
            </w:r>
          </w:p>
        </w:tc>
      </w:tr>
      <w:tr>
        <w:trPr>
          <w:trHeight w:val="244"/>
        </w:trPr>
        <w:tc>
          <w:tcPr>
            <w:tcW w:w="5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8080" w:type="dxa"/>
            <w:vAlign w:val="bottom"/>
            <w:gridSpan w:val="2"/>
          </w:tcPr>
          <w:p>
            <w:pPr>
              <w:ind w:left="840"/>
              <w:spacing w:after="0"/>
              <w:rPr>
                <w:sz w:val="20"/>
                <w:szCs w:val="20"/>
                <w:color w:val="auto"/>
              </w:rPr>
            </w:pPr>
            <w:r>
              <w:rPr>
                <w:rFonts w:ascii="Arial" w:cs="Arial" w:eastAsia="Arial" w:hAnsi="Arial"/>
                <w:sz w:val="18"/>
                <w:szCs w:val="18"/>
                <w:color w:val="auto"/>
              </w:rPr>
              <w:t>50%-150% depending on attainment of pre-set Adjusted EBITDA goals.</w:t>
            </w:r>
          </w:p>
        </w:tc>
      </w:tr>
      <w:tr>
        <w:trPr>
          <w:trHeight w:val="542"/>
        </w:trPr>
        <w:tc>
          <w:tcPr>
            <w:tcW w:w="58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7480" w:type="dxa"/>
            <w:vAlign w:val="bottom"/>
            <w:tcBorders>
              <w:top w:val="single" w:sz="8" w:color="auto"/>
            </w:tcBorders>
          </w:tcPr>
          <w:p>
            <w:pPr>
              <w:ind w:left="246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24"/>
                <w:szCs w:val="24"/>
                <w:color w:val="auto"/>
              </w:rPr>
            </w:pPr>
          </w:p>
        </w:tc>
      </w:tr>
      <w:tr>
        <w:trPr>
          <w:trHeight w:val="219"/>
        </w:trPr>
        <w:tc>
          <w:tcPr>
            <w:tcW w:w="5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7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27" w:name="page28"/>
    <w:bookmarkEnd w:id="27"/>
    <w:p>
      <w:pPr>
        <w:ind w:left="6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51"/>
        </w:trPr>
        <w:tc>
          <w:tcPr>
            <w:tcW w:w="250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ONG</w:t>
            </w: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ROGRAM</w:t>
            </w:r>
          </w:p>
        </w:tc>
        <w:tc>
          <w:tcPr>
            <w:tcW w:w="7340" w:type="dxa"/>
            <w:vAlign w:val="bottom"/>
            <w:tcBorders>
              <w:top w:val="single" w:sz="8" w:color="auto"/>
            </w:tcBorders>
            <w:shd w:val="clear" w:color="auto" w:fill="CCCCCC"/>
          </w:tcPr>
          <w:p>
            <w:pPr>
              <w:ind w:left="160"/>
              <w:spacing w:after="0"/>
              <w:rPr>
                <w:sz w:val="20"/>
                <w:szCs w:val="20"/>
                <w:color w:val="auto"/>
              </w:rPr>
            </w:pPr>
            <w:r>
              <w:rPr>
                <w:rFonts w:ascii="Arial" w:cs="Arial" w:eastAsia="Arial" w:hAnsi="Arial"/>
                <w:sz w:val="18"/>
                <w:szCs w:val="18"/>
                <w:color w:val="auto"/>
              </w:rPr>
              <w:t>•  In light of pandemic impacts to the Company’s results for 2020, performance-based</w:t>
            </w:r>
          </w:p>
        </w:tc>
      </w:tr>
      <w:tr>
        <w:trPr>
          <w:trHeight w:val="203"/>
        </w:trPr>
        <w:tc>
          <w:tcPr>
            <w:tcW w:w="250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b w:val="1"/>
                <w:bCs w:val="1"/>
                <w:color w:val="auto"/>
              </w:rPr>
              <w:t>(“LTIP”)</w:t>
            </w:r>
          </w:p>
        </w:tc>
        <w:tc>
          <w:tcPr>
            <w:tcW w:w="7340" w:type="dxa"/>
            <w:vAlign w:val="bottom"/>
            <w:shd w:val="clear" w:color="auto" w:fill="CCCCCC"/>
          </w:tcPr>
          <w:p>
            <w:pPr>
              <w:ind w:left="420"/>
              <w:spacing w:after="0" w:line="202" w:lineRule="exact"/>
              <w:rPr>
                <w:sz w:val="20"/>
                <w:szCs w:val="20"/>
                <w:color w:val="auto"/>
              </w:rPr>
            </w:pPr>
            <w:r>
              <w:rPr>
                <w:rFonts w:ascii="Arial" w:cs="Arial" w:eastAsia="Arial" w:hAnsi="Arial"/>
                <w:sz w:val="18"/>
                <w:szCs w:val="18"/>
                <w:color w:val="auto"/>
              </w:rPr>
              <w:t>restricted stock unit (“PSU”) awards scheduled to vest in early 2021 based on</w:t>
            </w:r>
          </w:p>
        </w:tc>
      </w:tr>
      <w:tr>
        <w:trPr>
          <w:trHeight w:val="239"/>
        </w:trPr>
        <w:tc>
          <w:tcPr>
            <w:tcW w:w="2500" w:type="dxa"/>
            <w:vAlign w:val="bottom"/>
            <w:shd w:val="clear" w:color="auto" w:fill="CCCCCC"/>
          </w:tcPr>
          <w:p>
            <w:pPr>
              <w:spacing w:after="0"/>
              <w:rPr>
                <w:sz w:val="20"/>
                <w:szCs w:val="20"/>
                <w:color w:val="auto"/>
              </w:rPr>
            </w:pPr>
          </w:p>
        </w:tc>
        <w:tc>
          <w:tcPr>
            <w:tcW w:w="7340" w:type="dxa"/>
            <w:vAlign w:val="bottom"/>
            <w:shd w:val="clear" w:color="auto" w:fill="CCCCCC"/>
          </w:tcPr>
          <w:p>
            <w:pPr>
              <w:ind w:left="420"/>
              <w:spacing w:after="0"/>
              <w:rPr>
                <w:sz w:val="20"/>
                <w:szCs w:val="20"/>
                <w:color w:val="auto"/>
              </w:rPr>
            </w:pPr>
            <w:r>
              <w:rPr>
                <w:rFonts w:ascii="Arial" w:cs="Arial" w:eastAsia="Arial" w:hAnsi="Arial"/>
                <w:sz w:val="18"/>
                <w:szCs w:val="18"/>
                <w:color w:val="auto"/>
              </w:rPr>
              <w:t>performance through 2020 were forfeited without payout.</w:t>
            </w:r>
          </w:p>
        </w:tc>
      </w:tr>
      <w:tr>
        <w:trPr>
          <w:trHeight w:val="274"/>
        </w:trPr>
        <w:tc>
          <w:tcPr>
            <w:tcW w:w="2500" w:type="dxa"/>
            <w:vAlign w:val="bottom"/>
            <w:shd w:val="clear" w:color="auto" w:fill="CCCCCC"/>
          </w:tcPr>
          <w:p>
            <w:pPr>
              <w:spacing w:after="0"/>
              <w:rPr>
                <w:sz w:val="23"/>
                <w:szCs w:val="23"/>
                <w:color w:val="auto"/>
              </w:rPr>
            </w:pPr>
          </w:p>
        </w:tc>
        <w:tc>
          <w:tcPr>
            <w:tcW w:w="7340" w:type="dxa"/>
            <w:vAlign w:val="bottom"/>
            <w:shd w:val="clear" w:color="auto" w:fill="CCCCCC"/>
          </w:tcPr>
          <w:p>
            <w:pPr>
              <w:ind w:left="160"/>
              <w:spacing w:after="0"/>
              <w:rPr>
                <w:sz w:val="20"/>
                <w:szCs w:val="20"/>
                <w:color w:val="auto"/>
              </w:rPr>
            </w:pPr>
            <w:r>
              <w:rPr>
                <w:rFonts w:ascii="Arial" w:cs="Arial" w:eastAsia="Arial" w:hAnsi="Arial"/>
                <w:sz w:val="18"/>
                <w:szCs w:val="18"/>
                <w:color w:val="auto"/>
              </w:rPr>
              <w:t>•  Due to our strong 2021 financial results, PSUs granted in 2019 vested in 2022 at the</w:t>
            </w:r>
          </w:p>
        </w:tc>
      </w:tr>
      <w:tr>
        <w:trPr>
          <w:trHeight w:val="203"/>
        </w:trPr>
        <w:tc>
          <w:tcPr>
            <w:tcW w:w="2500" w:type="dxa"/>
            <w:vAlign w:val="bottom"/>
            <w:shd w:val="clear" w:color="auto" w:fill="CCCCCC"/>
          </w:tcPr>
          <w:p>
            <w:pPr>
              <w:spacing w:after="0"/>
              <w:rPr>
                <w:sz w:val="17"/>
                <w:szCs w:val="17"/>
                <w:color w:val="auto"/>
              </w:rPr>
            </w:pPr>
          </w:p>
        </w:tc>
        <w:tc>
          <w:tcPr>
            <w:tcW w:w="7340" w:type="dxa"/>
            <w:vAlign w:val="bottom"/>
            <w:shd w:val="clear" w:color="auto" w:fill="CCCCCC"/>
          </w:tcPr>
          <w:p>
            <w:pPr>
              <w:ind w:left="420"/>
              <w:spacing w:after="0" w:line="202" w:lineRule="exact"/>
              <w:rPr>
                <w:sz w:val="20"/>
                <w:szCs w:val="20"/>
                <w:color w:val="auto"/>
              </w:rPr>
            </w:pPr>
            <w:r>
              <w:rPr>
                <w:rFonts w:ascii="Arial" w:cs="Arial" w:eastAsia="Arial" w:hAnsi="Arial"/>
                <w:sz w:val="18"/>
                <w:szCs w:val="18"/>
                <w:color w:val="auto"/>
              </w:rPr>
              <w:t>maximum level, and PSUs granted in 2020 and 2021 are expected to vest in 2023</w:t>
            </w:r>
          </w:p>
        </w:tc>
      </w:tr>
      <w:tr>
        <w:trPr>
          <w:trHeight w:val="239"/>
        </w:trPr>
        <w:tc>
          <w:tcPr>
            <w:tcW w:w="2500" w:type="dxa"/>
            <w:vAlign w:val="bottom"/>
            <w:shd w:val="clear" w:color="auto" w:fill="CCCCCC"/>
          </w:tcPr>
          <w:p>
            <w:pPr>
              <w:spacing w:after="0"/>
              <w:rPr>
                <w:sz w:val="20"/>
                <w:szCs w:val="20"/>
                <w:color w:val="auto"/>
              </w:rPr>
            </w:pPr>
          </w:p>
        </w:tc>
        <w:tc>
          <w:tcPr>
            <w:tcW w:w="7340" w:type="dxa"/>
            <w:vAlign w:val="bottom"/>
            <w:shd w:val="clear" w:color="auto" w:fill="CCCCCC"/>
          </w:tcPr>
          <w:p>
            <w:pPr>
              <w:ind w:left="420"/>
              <w:spacing w:after="0"/>
              <w:rPr>
                <w:sz w:val="20"/>
                <w:szCs w:val="20"/>
                <w:color w:val="auto"/>
              </w:rPr>
            </w:pPr>
            <w:r>
              <w:rPr>
                <w:rFonts w:ascii="Arial" w:cs="Arial" w:eastAsia="Arial" w:hAnsi="Arial"/>
                <w:sz w:val="18"/>
                <w:szCs w:val="18"/>
                <w:color w:val="auto"/>
              </w:rPr>
              <w:t>and 2024, respectively.</w:t>
            </w:r>
          </w:p>
        </w:tc>
      </w:tr>
      <w:tr>
        <w:trPr>
          <w:trHeight w:val="274"/>
        </w:trPr>
        <w:tc>
          <w:tcPr>
            <w:tcW w:w="2500" w:type="dxa"/>
            <w:vAlign w:val="bottom"/>
            <w:shd w:val="clear" w:color="auto" w:fill="CCCCCC"/>
          </w:tcPr>
          <w:p>
            <w:pPr>
              <w:spacing w:after="0"/>
              <w:rPr>
                <w:sz w:val="23"/>
                <w:szCs w:val="23"/>
                <w:color w:val="auto"/>
              </w:rPr>
            </w:pPr>
          </w:p>
        </w:tc>
        <w:tc>
          <w:tcPr>
            <w:tcW w:w="7340" w:type="dxa"/>
            <w:vAlign w:val="bottom"/>
            <w:shd w:val="clear" w:color="auto" w:fill="CCCCCC"/>
          </w:tcPr>
          <w:p>
            <w:pPr>
              <w:ind w:left="160"/>
              <w:spacing w:after="0"/>
              <w:rPr>
                <w:sz w:val="20"/>
                <w:szCs w:val="20"/>
                <w:color w:val="auto"/>
              </w:rPr>
            </w:pPr>
            <w:r>
              <w:rPr>
                <w:rFonts w:ascii="Arial" w:cs="Arial" w:eastAsia="Arial" w:hAnsi="Arial"/>
                <w:sz w:val="18"/>
                <w:szCs w:val="18"/>
                <w:color w:val="auto"/>
              </w:rPr>
              <w:t>•  Given significant uncertainty as to when pandemic impacts to the Company’s business</w:t>
            </w:r>
          </w:p>
        </w:tc>
      </w:tr>
      <w:tr>
        <w:trPr>
          <w:trHeight w:val="203"/>
        </w:trPr>
        <w:tc>
          <w:tcPr>
            <w:tcW w:w="2500" w:type="dxa"/>
            <w:vAlign w:val="bottom"/>
            <w:shd w:val="clear" w:color="auto" w:fill="CCCCCC"/>
          </w:tcPr>
          <w:p>
            <w:pPr>
              <w:spacing w:after="0"/>
              <w:rPr>
                <w:sz w:val="17"/>
                <w:szCs w:val="17"/>
                <w:color w:val="auto"/>
              </w:rPr>
            </w:pPr>
          </w:p>
        </w:tc>
        <w:tc>
          <w:tcPr>
            <w:tcW w:w="7340" w:type="dxa"/>
            <w:vAlign w:val="bottom"/>
            <w:shd w:val="clear" w:color="auto" w:fill="CCCCCC"/>
          </w:tcPr>
          <w:p>
            <w:pPr>
              <w:ind w:left="420"/>
              <w:spacing w:after="0" w:line="202" w:lineRule="exact"/>
              <w:rPr>
                <w:sz w:val="20"/>
                <w:szCs w:val="20"/>
                <w:color w:val="auto"/>
              </w:rPr>
            </w:pPr>
            <w:r>
              <w:rPr>
                <w:rFonts w:ascii="Arial" w:cs="Arial" w:eastAsia="Arial" w:hAnsi="Arial"/>
                <w:sz w:val="18"/>
                <w:szCs w:val="18"/>
                <w:color w:val="auto"/>
              </w:rPr>
              <w:t>would subside, changes were made to the 2021 LTIP compared to the 2020 LTIP,</w:t>
            </w:r>
          </w:p>
        </w:tc>
      </w:tr>
      <w:tr>
        <w:trPr>
          <w:trHeight w:val="239"/>
        </w:trPr>
        <w:tc>
          <w:tcPr>
            <w:tcW w:w="2500" w:type="dxa"/>
            <w:vAlign w:val="bottom"/>
            <w:shd w:val="clear" w:color="auto" w:fill="CCCCCC"/>
          </w:tcPr>
          <w:p>
            <w:pPr>
              <w:spacing w:after="0"/>
              <w:rPr>
                <w:sz w:val="20"/>
                <w:szCs w:val="20"/>
                <w:color w:val="auto"/>
              </w:rPr>
            </w:pPr>
          </w:p>
        </w:tc>
        <w:tc>
          <w:tcPr>
            <w:tcW w:w="7340" w:type="dxa"/>
            <w:vAlign w:val="bottom"/>
            <w:shd w:val="clear" w:color="auto" w:fill="CCCCCC"/>
          </w:tcPr>
          <w:p>
            <w:pPr>
              <w:ind w:left="420"/>
              <w:spacing w:after="0"/>
              <w:rPr>
                <w:sz w:val="20"/>
                <w:szCs w:val="20"/>
                <w:color w:val="auto"/>
              </w:rPr>
            </w:pPr>
            <w:r>
              <w:rPr>
                <w:rFonts w:ascii="Arial" w:cs="Arial" w:eastAsia="Arial" w:hAnsi="Arial"/>
                <w:sz w:val="18"/>
                <w:szCs w:val="18"/>
                <w:color w:val="auto"/>
              </w:rPr>
              <w:t>including:</w:t>
            </w:r>
          </w:p>
        </w:tc>
      </w:tr>
      <w:tr>
        <w:trPr>
          <w:trHeight w:val="274"/>
        </w:trPr>
        <w:tc>
          <w:tcPr>
            <w:tcW w:w="2500" w:type="dxa"/>
            <w:vAlign w:val="bottom"/>
            <w:shd w:val="clear" w:color="auto" w:fill="CCCCCC"/>
          </w:tcPr>
          <w:p>
            <w:pPr>
              <w:spacing w:after="0"/>
              <w:rPr>
                <w:sz w:val="23"/>
                <w:szCs w:val="23"/>
                <w:color w:val="auto"/>
              </w:rPr>
            </w:pPr>
          </w:p>
        </w:tc>
        <w:tc>
          <w:tcPr>
            <w:tcW w:w="7340" w:type="dxa"/>
            <w:vAlign w:val="bottom"/>
            <w:shd w:val="clear" w:color="auto" w:fill="CCCCCC"/>
          </w:tcPr>
          <w:p>
            <w:pPr>
              <w:ind w:left="4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to allow for a challenging Adjusted EBITDA goal to be achieved in any year in the</w:t>
            </w:r>
          </w:p>
        </w:tc>
      </w:tr>
      <w:tr>
        <w:trPr>
          <w:trHeight w:val="203"/>
        </w:trPr>
        <w:tc>
          <w:tcPr>
            <w:tcW w:w="2500" w:type="dxa"/>
            <w:vAlign w:val="bottom"/>
            <w:shd w:val="clear" w:color="auto" w:fill="CCCCCC"/>
          </w:tcPr>
          <w:p>
            <w:pPr>
              <w:spacing w:after="0"/>
              <w:rPr>
                <w:sz w:val="17"/>
                <w:szCs w:val="17"/>
                <w:color w:val="auto"/>
              </w:rPr>
            </w:pPr>
          </w:p>
        </w:tc>
        <w:tc>
          <w:tcPr>
            <w:tcW w:w="7340" w:type="dxa"/>
            <w:vAlign w:val="bottom"/>
            <w:shd w:val="clear" w:color="auto" w:fill="CCCCCC"/>
          </w:tcPr>
          <w:p>
            <w:pPr>
              <w:ind w:left="700"/>
              <w:spacing w:after="0" w:line="202" w:lineRule="exact"/>
              <w:rPr>
                <w:sz w:val="20"/>
                <w:szCs w:val="20"/>
                <w:color w:val="auto"/>
              </w:rPr>
            </w:pPr>
            <w:r>
              <w:rPr>
                <w:rFonts w:ascii="Arial" w:cs="Arial" w:eastAsia="Arial" w:hAnsi="Arial"/>
                <w:sz w:val="18"/>
                <w:szCs w:val="18"/>
                <w:color w:val="auto"/>
              </w:rPr>
              <w:t>three-year  performance  period  (although  we  are  returning  to  cumulative</w:t>
            </w:r>
          </w:p>
        </w:tc>
      </w:tr>
      <w:tr>
        <w:trPr>
          <w:trHeight w:val="239"/>
        </w:trPr>
        <w:tc>
          <w:tcPr>
            <w:tcW w:w="2500" w:type="dxa"/>
            <w:vAlign w:val="bottom"/>
            <w:shd w:val="clear" w:color="auto" w:fill="CCCCCC"/>
          </w:tcPr>
          <w:p>
            <w:pPr>
              <w:spacing w:after="0"/>
              <w:rPr>
                <w:sz w:val="20"/>
                <w:szCs w:val="20"/>
                <w:color w:val="auto"/>
              </w:rPr>
            </w:pPr>
          </w:p>
        </w:tc>
        <w:tc>
          <w:tcPr>
            <w:tcW w:w="7340" w:type="dxa"/>
            <w:vAlign w:val="bottom"/>
            <w:shd w:val="clear" w:color="auto" w:fill="CCCCCC"/>
          </w:tcPr>
          <w:p>
            <w:pPr>
              <w:ind w:left="700"/>
              <w:spacing w:after="0"/>
              <w:rPr>
                <w:sz w:val="20"/>
                <w:szCs w:val="20"/>
                <w:color w:val="auto"/>
              </w:rPr>
            </w:pPr>
            <w:r>
              <w:rPr>
                <w:rFonts w:ascii="Arial" w:cs="Arial" w:eastAsia="Arial" w:hAnsi="Arial"/>
                <w:sz w:val="18"/>
                <w:szCs w:val="18"/>
                <w:color w:val="auto"/>
              </w:rPr>
              <w:t>performance over a three-year period in the 2022 LTIP awards);</w:t>
            </w:r>
          </w:p>
        </w:tc>
      </w:tr>
      <w:tr>
        <w:trPr>
          <w:trHeight w:val="311"/>
        </w:trPr>
        <w:tc>
          <w:tcPr>
            <w:tcW w:w="2500" w:type="dxa"/>
            <w:vAlign w:val="bottom"/>
            <w:shd w:val="clear" w:color="auto" w:fill="CCCCCC"/>
          </w:tcPr>
          <w:p>
            <w:pPr>
              <w:spacing w:after="0"/>
              <w:rPr>
                <w:sz w:val="24"/>
                <w:szCs w:val="24"/>
                <w:color w:val="auto"/>
              </w:rPr>
            </w:pPr>
          </w:p>
        </w:tc>
        <w:tc>
          <w:tcPr>
            <w:tcW w:w="7340" w:type="dxa"/>
            <w:vAlign w:val="bottom"/>
            <w:shd w:val="clear" w:color="auto" w:fill="CCCCCC"/>
          </w:tcPr>
          <w:p>
            <w:pPr>
              <w:ind w:left="4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reducing the maximum payout level from 200% to 150% of target;</w:t>
            </w:r>
          </w:p>
        </w:tc>
      </w:tr>
      <w:tr>
        <w:trPr>
          <w:trHeight w:val="274"/>
        </w:trPr>
        <w:tc>
          <w:tcPr>
            <w:tcW w:w="2500" w:type="dxa"/>
            <w:vAlign w:val="bottom"/>
            <w:shd w:val="clear" w:color="auto" w:fill="CCCCCC"/>
          </w:tcPr>
          <w:p>
            <w:pPr>
              <w:spacing w:after="0"/>
              <w:rPr>
                <w:sz w:val="23"/>
                <w:szCs w:val="23"/>
                <w:color w:val="auto"/>
              </w:rPr>
            </w:pPr>
          </w:p>
        </w:tc>
        <w:tc>
          <w:tcPr>
            <w:tcW w:w="7340" w:type="dxa"/>
            <w:vAlign w:val="bottom"/>
            <w:shd w:val="clear" w:color="auto" w:fill="CCCCCC"/>
          </w:tcPr>
          <w:p>
            <w:pPr>
              <w:ind w:left="4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making our CEO, Executive Chairman and CFO ineligible for vesting if results were</w:t>
            </w:r>
          </w:p>
        </w:tc>
      </w:tr>
      <w:tr>
        <w:trPr>
          <w:trHeight w:val="239"/>
        </w:trPr>
        <w:tc>
          <w:tcPr>
            <w:tcW w:w="2500" w:type="dxa"/>
            <w:vAlign w:val="bottom"/>
            <w:shd w:val="clear" w:color="auto" w:fill="CCCCCC"/>
          </w:tcPr>
          <w:p>
            <w:pPr>
              <w:spacing w:after="0"/>
              <w:rPr>
                <w:sz w:val="20"/>
                <w:szCs w:val="20"/>
                <w:color w:val="auto"/>
              </w:rPr>
            </w:pPr>
          </w:p>
        </w:tc>
        <w:tc>
          <w:tcPr>
            <w:tcW w:w="7340" w:type="dxa"/>
            <w:vAlign w:val="bottom"/>
            <w:shd w:val="clear" w:color="auto" w:fill="CCCCCC"/>
          </w:tcPr>
          <w:p>
            <w:pPr>
              <w:ind w:left="700"/>
              <w:spacing w:after="0"/>
              <w:rPr>
                <w:sz w:val="20"/>
                <w:szCs w:val="20"/>
                <w:color w:val="auto"/>
              </w:rPr>
            </w:pPr>
            <w:r>
              <w:rPr>
                <w:rFonts w:ascii="Arial" w:cs="Arial" w:eastAsia="Arial" w:hAnsi="Arial"/>
                <w:sz w:val="18"/>
                <w:szCs w:val="18"/>
                <w:color w:val="auto"/>
              </w:rPr>
              <w:t>below target; and</w:t>
            </w:r>
          </w:p>
        </w:tc>
      </w:tr>
      <w:tr>
        <w:trPr>
          <w:trHeight w:val="366"/>
        </w:trPr>
        <w:tc>
          <w:tcPr>
            <w:tcW w:w="2500" w:type="dxa"/>
            <w:vAlign w:val="bottom"/>
            <w:tcBorders>
              <w:bottom w:val="single" w:sz="8" w:color="CCCCCC"/>
            </w:tcBorders>
            <w:shd w:val="clear" w:color="auto" w:fill="CCCCCC"/>
          </w:tcPr>
          <w:p>
            <w:pPr>
              <w:spacing w:after="0"/>
              <w:rPr>
                <w:sz w:val="24"/>
                <w:szCs w:val="24"/>
                <w:color w:val="auto"/>
              </w:rPr>
            </w:pPr>
          </w:p>
        </w:tc>
        <w:tc>
          <w:tcPr>
            <w:tcW w:w="7340" w:type="dxa"/>
            <w:vAlign w:val="bottom"/>
            <w:tcBorders>
              <w:bottom w:val="single" w:sz="8" w:color="CCCCCC"/>
            </w:tcBorders>
            <w:shd w:val="clear" w:color="auto" w:fill="CCCCCC"/>
          </w:tcPr>
          <w:p>
            <w:pPr>
              <w:ind w:left="4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capping our Executive Chairman’s vesting at target.</w:t>
            </w:r>
          </w:p>
        </w:tc>
      </w:tr>
      <w:tr>
        <w:trPr>
          <w:trHeight w:val="289"/>
        </w:trPr>
        <w:tc>
          <w:tcPr>
            <w:tcW w:w="25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ERQUISITES AND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ENEFITS</w:t>
            </w:r>
          </w:p>
        </w:tc>
        <w:tc>
          <w:tcPr>
            <w:tcW w:w="73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  The group excess liability umbrella insurance perquisite was discontinued.</w:t>
            </w:r>
          </w:p>
        </w:tc>
      </w:tr>
      <w:tr>
        <w:trPr>
          <w:trHeight w:val="266"/>
        </w:trPr>
        <w:tc>
          <w:tcPr>
            <w:tcW w:w="2500" w:type="dxa"/>
            <w:vAlign w:val="bottom"/>
          </w:tcPr>
          <w:p>
            <w:pPr>
              <w:spacing w:after="0"/>
              <w:rPr>
                <w:sz w:val="23"/>
                <w:szCs w:val="23"/>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  For executives hired after December 31, 2021, the financial planning services, and</w:t>
            </w:r>
          </w:p>
        </w:tc>
      </w:tr>
      <w:tr>
        <w:trPr>
          <w:trHeight w:val="244"/>
        </w:trPr>
        <w:tc>
          <w:tcPr>
            <w:tcW w:w="2500" w:type="dxa"/>
            <w:vAlign w:val="bottom"/>
            <w:tcBorders>
              <w:bottom w:val="single" w:sz="8" w:color="auto"/>
            </w:tcBorders>
          </w:tcPr>
          <w:p>
            <w:pPr>
              <w:spacing w:after="0"/>
              <w:rPr>
                <w:sz w:val="21"/>
                <w:szCs w:val="21"/>
                <w:color w:val="auto"/>
              </w:rPr>
            </w:pPr>
          </w:p>
        </w:tc>
        <w:tc>
          <w:tcPr>
            <w:tcW w:w="7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auto use or allowance perquisites will no longer be provided.</w:t>
            </w:r>
          </w:p>
        </w:tc>
      </w:tr>
    </w:tbl>
    <w:p>
      <w:pPr>
        <w:spacing w:after="0" w:line="174"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auto"/>
        </w:rPr>
        <w:t>Our Named Executive Officers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This discussion addresses executive compensation in 2021 for our NEOs, who are:</w:t>
      </w:r>
    </w:p>
    <w:p>
      <w:pPr>
        <w:spacing w:after="0" w:line="104" w:lineRule="exact"/>
        <w:rPr>
          <w:sz w:val="20"/>
          <w:szCs w:val="20"/>
          <w:color w:val="auto"/>
        </w:rPr>
      </w:pPr>
    </w:p>
    <w:p>
      <w:pPr>
        <w:ind w:left="940" w:hanging="350"/>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Bernardo Hees – </w:t>
      </w:r>
      <w:r>
        <w:rPr>
          <w:rFonts w:ascii="Arial" w:cs="Arial" w:eastAsia="Arial" w:hAnsi="Arial"/>
          <w:sz w:val="18"/>
          <w:szCs w:val="18"/>
          <w:color w:val="auto"/>
        </w:rPr>
        <w:t>our Executive Chairman of the Board (our “Executive Chairman”).</w:t>
      </w:r>
    </w:p>
    <w:p>
      <w:pPr>
        <w:spacing w:after="0" w:line="103" w:lineRule="exact"/>
        <w:rPr>
          <w:rFonts w:ascii="Arial" w:cs="Arial" w:eastAsia="Arial" w:hAnsi="Arial"/>
          <w:sz w:val="18"/>
          <w:szCs w:val="18"/>
          <w:color w:val="auto"/>
        </w:rPr>
      </w:pPr>
    </w:p>
    <w:p>
      <w:pPr>
        <w:ind w:left="940" w:hanging="350"/>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Joseph A. Ferraro – </w:t>
      </w:r>
      <w:r>
        <w:rPr>
          <w:rFonts w:ascii="Arial" w:cs="Arial" w:eastAsia="Arial" w:hAnsi="Arial"/>
          <w:sz w:val="18"/>
          <w:szCs w:val="18"/>
          <w:color w:val="auto"/>
        </w:rPr>
        <w:t>our President and Chief Executive Officer (our “CEO”).</w:t>
      </w:r>
    </w:p>
    <w:p>
      <w:pPr>
        <w:spacing w:after="0" w:line="103" w:lineRule="exact"/>
        <w:rPr>
          <w:rFonts w:ascii="Arial" w:cs="Arial" w:eastAsia="Arial" w:hAnsi="Arial"/>
          <w:sz w:val="18"/>
          <w:szCs w:val="18"/>
          <w:color w:val="auto"/>
        </w:rPr>
      </w:pPr>
    </w:p>
    <w:p>
      <w:pPr>
        <w:ind w:left="940" w:hanging="350"/>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Brian J. Choi – </w:t>
      </w:r>
      <w:r>
        <w:rPr>
          <w:rFonts w:ascii="Arial" w:cs="Arial" w:eastAsia="Arial" w:hAnsi="Arial"/>
          <w:sz w:val="18"/>
          <w:szCs w:val="18"/>
          <w:color w:val="auto"/>
        </w:rPr>
        <w:t>our Executive Vice President and Chief Financial Officer (our “CFO”).</w:t>
      </w:r>
    </w:p>
    <w:p>
      <w:pPr>
        <w:spacing w:after="0" w:line="103" w:lineRule="exact"/>
        <w:rPr>
          <w:rFonts w:ascii="Arial" w:cs="Arial" w:eastAsia="Arial" w:hAnsi="Arial"/>
          <w:sz w:val="18"/>
          <w:szCs w:val="18"/>
          <w:color w:val="auto"/>
        </w:rPr>
      </w:pPr>
    </w:p>
    <w:p>
      <w:pPr>
        <w:ind w:left="940" w:right="600" w:hanging="350"/>
        <w:spacing w:after="0" w:line="271"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Veresh Sita </w:t>
      </w:r>
      <w:r>
        <w:rPr>
          <w:rFonts w:ascii="Arial" w:cs="Arial" w:eastAsia="Arial" w:hAnsi="Arial"/>
          <w:sz w:val="18"/>
          <w:szCs w:val="18"/>
          <w:color w:val="auto"/>
        </w:rPr>
        <w:t>– our Executive Vice President and Chief Digital and Innovation Officer (our “Chief Digital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March 15, 2021.</w:t>
      </w:r>
    </w:p>
    <w:p>
      <w:pPr>
        <w:spacing w:after="0" w:line="45" w:lineRule="exact"/>
        <w:rPr>
          <w:rFonts w:ascii="Arial" w:cs="Arial" w:eastAsia="Arial" w:hAnsi="Arial"/>
          <w:sz w:val="18"/>
          <w:szCs w:val="18"/>
          <w:color w:val="auto"/>
        </w:rPr>
      </w:pPr>
    </w:p>
    <w:p>
      <w:pPr>
        <w:ind w:left="940" w:hanging="350"/>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Patrick “Keith” Rankin – </w:t>
      </w:r>
      <w:r>
        <w:rPr>
          <w:rFonts w:ascii="Arial" w:cs="Arial" w:eastAsia="Arial" w:hAnsi="Arial"/>
          <w:sz w:val="18"/>
          <w:szCs w:val="18"/>
          <w:color w:val="auto"/>
        </w:rPr>
        <w:t>our President, International (our “President, International”).</w:t>
      </w:r>
    </w:p>
    <w:p>
      <w:pPr>
        <w:spacing w:after="0" w:line="144" w:lineRule="exact"/>
        <w:rPr>
          <w:sz w:val="20"/>
          <w:szCs w:val="20"/>
          <w:color w:val="auto"/>
        </w:rPr>
      </w:pPr>
    </w:p>
    <w:p>
      <w:pPr>
        <w:ind w:left="600" w:right="620"/>
        <w:spacing w:after="0" w:line="271" w:lineRule="auto"/>
        <w:rPr>
          <w:sz w:val="20"/>
          <w:szCs w:val="20"/>
          <w:color w:val="auto"/>
        </w:rPr>
      </w:pPr>
      <w:r>
        <w:rPr>
          <w:rFonts w:ascii="Arial" w:cs="Arial" w:eastAsia="Arial" w:hAnsi="Arial"/>
          <w:sz w:val="18"/>
          <w:szCs w:val="18"/>
          <w:color w:val="auto"/>
        </w:rPr>
        <w:t>Compensation for our NEOs is typically comprised of the following components, each of which is designed to provide competitive compensation to attract and retain a highly qualified executive team:</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2520" w:type="dxa"/>
            <w:vAlign w:val="bottom"/>
          </w:tcPr>
          <w:p>
            <w:pPr>
              <w:ind w:left="100"/>
              <w:spacing w:after="0"/>
              <w:rPr>
                <w:sz w:val="20"/>
                <w:szCs w:val="20"/>
                <w:color w:val="auto"/>
              </w:rPr>
            </w:pPr>
            <w:r>
              <w:rPr>
                <w:rFonts w:ascii="Arial" w:cs="Arial" w:eastAsia="Arial" w:hAnsi="Arial"/>
                <w:sz w:val="14"/>
                <w:szCs w:val="14"/>
                <w:b w:val="1"/>
                <w:bCs w:val="1"/>
                <w:color w:val="auto"/>
              </w:rPr>
              <w:t>Component</w:t>
            </w:r>
          </w:p>
        </w:tc>
        <w:tc>
          <w:tcPr>
            <w:tcW w:w="7920" w:type="dxa"/>
            <w:vAlign w:val="bottom"/>
            <w:gridSpan w:val="2"/>
          </w:tcPr>
          <w:p>
            <w:pPr>
              <w:ind w:left="140"/>
              <w:spacing w:after="0"/>
              <w:rPr>
                <w:sz w:val="20"/>
                <w:szCs w:val="20"/>
                <w:color w:val="auto"/>
              </w:rPr>
            </w:pPr>
            <w:r>
              <w:rPr>
                <w:rFonts w:ascii="Arial" w:cs="Arial" w:eastAsia="Arial" w:hAnsi="Arial"/>
                <w:sz w:val="14"/>
                <w:szCs w:val="14"/>
                <w:b w:val="1"/>
                <w:bCs w:val="1"/>
                <w:color w:val="auto"/>
              </w:rPr>
              <w:t>Function and Objective</w:t>
            </w:r>
          </w:p>
        </w:tc>
      </w:tr>
      <w:tr>
        <w:trPr>
          <w:trHeight w:val="43"/>
        </w:trPr>
        <w:tc>
          <w:tcPr>
            <w:tcW w:w="5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7920" w:type="dxa"/>
            <w:vAlign w:val="bottom"/>
            <w:gridSpan w:val="2"/>
          </w:tcPr>
          <w:p>
            <w:pPr>
              <w:spacing w:after="0"/>
              <w:rPr>
                <w:sz w:val="3"/>
                <w:szCs w:val="3"/>
                <w:color w:val="auto"/>
              </w:rPr>
            </w:pPr>
          </w:p>
        </w:tc>
      </w:tr>
      <w:tr>
        <w:trPr>
          <w:trHeight w:val="245"/>
        </w:trPr>
        <w:tc>
          <w:tcPr>
            <w:tcW w:w="580" w:type="dxa"/>
            <w:vAlign w:val="bottom"/>
          </w:tcPr>
          <w:p>
            <w:pPr>
              <w:spacing w:after="0"/>
              <w:rPr>
                <w:sz w:val="21"/>
                <w:szCs w:val="21"/>
                <w:color w:val="auto"/>
              </w:rPr>
            </w:pPr>
          </w:p>
        </w:tc>
        <w:tc>
          <w:tcPr>
            <w:tcW w:w="252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i w:val="1"/>
                <w:iCs w:val="1"/>
                <w:color w:val="auto"/>
              </w:rPr>
              <w:t>Base Salary</w:t>
            </w:r>
          </w:p>
        </w:tc>
        <w:tc>
          <w:tcPr>
            <w:tcW w:w="7320" w:type="dxa"/>
            <w:vAlign w:val="bottom"/>
            <w:tcBorders>
              <w:top w:val="single" w:sz="8" w:color="auto"/>
            </w:tcBorders>
            <w:shd w:val="clear" w:color="auto" w:fill="CCCCCC"/>
          </w:tcPr>
          <w:p>
            <w:pPr>
              <w:ind w:left="140"/>
              <w:spacing w:after="0"/>
              <w:rPr>
                <w:sz w:val="20"/>
                <w:szCs w:val="20"/>
                <w:color w:val="auto"/>
              </w:rPr>
            </w:pPr>
            <w:r>
              <w:rPr>
                <w:rFonts w:ascii="Arial" w:cs="Arial" w:eastAsia="Arial" w:hAnsi="Arial"/>
                <w:sz w:val="18"/>
                <w:szCs w:val="18"/>
                <w:color w:val="auto"/>
              </w:rPr>
              <w:t>Paid in cash, provides a fixed form of annual compensation for the performance of</w:t>
            </w:r>
          </w:p>
        </w:tc>
        <w:tc>
          <w:tcPr>
            <w:tcW w:w="600" w:type="dxa"/>
            <w:vAlign w:val="bottom"/>
          </w:tcPr>
          <w:p>
            <w:pPr>
              <w:spacing w:after="0"/>
              <w:rPr>
                <w:sz w:val="21"/>
                <w:szCs w:val="21"/>
                <w:color w:val="auto"/>
              </w:rPr>
            </w:pPr>
          </w:p>
        </w:tc>
      </w:tr>
      <w:tr>
        <w:trPr>
          <w:trHeight w:val="294"/>
        </w:trPr>
        <w:tc>
          <w:tcPr>
            <w:tcW w:w="580" w:type="dxa"/>
            <w:vAlign w:val="bottom"/>
          </w:tcPr>
          <w:p>
            <w:pPr>
              <w:spacing w:after="0"/>
              <w:rPr>
                <w:sz w:val="24"/>
                <w:szCs w:val="24"/>
                <w:color w:val="auto"/>
              </w:rPr>
            </w:pPr>
          </w:p>
        </w:tc>
        <w:tc>
          <w:tcPr>
            <w:tcW w:w="2520" w:type="dxa"/>
            <w:vAlign w:val="bottom"/>
            <w:tcBorders>
              <w:bottom w:val="single" w:sz="8" w:color="CCCCCC"/>
            </w:tcBorders>
            <w:shd w:val="clear" w:color="auto" w:fill="CCCCCC"/>
          </w:tcPr>
          <w:p>
            <w:pPr>
              <w:spacing w:after="0"/>
              <w:rPr>
                <w:sz w:val="24"/>
                <w:szCs w:val="24"/>
                <w:color w:val="auto"/>
              </w:rPr>
            </w:pPr>
          </w:p>
        </w:tc>
        <w:tc>
          <w:tcPr>
            <w:tcW w:w="7320" w:type="dxa"/>
            <w:vAlign w:val="bottom"/>
            <w:tcBorders>
              <w:bottom w:val="single" w:sz="8" w:color="CCCCCC"/>
            </w:tcBorders>
            <w:shd w:val="clear" w:color="auto" w:fill="CCCCCC"/>
          </w:tcPr>
          <w:p>
            <w:pPr>
              <w:ind w:left="140"/>
              <w:spacing w:after="0"/>
              <w:rPr>
                <w:sz w:val="20"/>
                <w:szCs w:val="20"/>
                <w:color w:val="auto"/>
              </w:rPr>
            </w:pPr>
            <w:r>
              <w:rPr>
                <w:rFonts w:ascii="Arial" w:cs="Arial" w:eastAsia="Arial" w:hAnsi="Arial"/>
                <w:sz w:val="18"/>
                <w:szCs w:val="18"/>
                <w:color w:val="auto"/>
              </w:rPr>
              <w:t>primary responsibilities consistent with each executive’s experience and role.</w:t>
            </w:r>
          </w:p>
        </w:tc>
        <w:tc>
          <w:tcPr>
            <w:tcW w:w="6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2520" w:type="dxa"/>
            <w:vAlign w:val="bottom"/>
            <w:tcBorders>
              <w:top w:val="single" w:sz="8" w:color="auto"/>
            </w:tcBorders>
          </w:tcPr>
          <w:p>
            <w:pPr>
              <w:ind w:left="100"/>
              <w:spacing w:after="0"/>
              <w:rPr>
                <w:sz w:val="20"/>
                <w:szCs w:val="20"/>
                <w:color w:val="auto"/>
              </w:rPr>
            </w:pPr>
            <w:r>
              <w:rPr>
                <w:rFonts w:ascii="Arial" w:cs="Arial" w:eastAsia="Arial" w:hAnsi="Arial"/>
                <w:sz w:val="18"/>
                <w:szCs w:val="18"/>
                <w:i w:val="1"/>
                <w:iCs w:val="1"/>
                <w:color w:val="auto"/>
              </w:rPr>
              <w:t>Annual Incentive Awards</w:t>
            </w:r>
          </w:p>
        </w:tc>
        <w:tc>
          <w:tcPr>
            <w:tcW w:w="73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Comprised  of  annual  cash  incentive  opportunities  that  are  performance-based,</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9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compensate executives subject to achieving specific annual financial goals and individual</w:t>
            </w:r>
          </w:p>
        </w:tc>
      </w:tr>
      <w:tr>
        <w:trPr>
          <w:trHeight w:val="203"/>
        </w:trPr>
        <w:tc>
          <w:tcPr>
            <w:tcW w:w="5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9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goals, which are based primarily on quantitative financial and operational metrics with</w:t>
            </w:r>
          </w:p>
        </w:tc>
      </w:tr>
      <w:tr>
        <w:trPr>
          <w:trHeight w:val="239"/>
        </w:trPr>
        <w:tc>
          <w:tcPr>
            <w:tcW w:w="5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920" w:type="dxa"/>
            <w:vAlign w:val="bottom"/>
            <w:gridSpan w:val="2"/>
          </w:tcPr>
          <w:p>
            <w:pPr>
              <w:ind w:left="140"/>
              <w:spacing w:after="0"/>
              <w:rPr>
                <w:sz w:val="20"/>
                <w:szCs w:val="20"/>
                <w:color w:val="auto"/>
              </w:rPr>
            </w:pPr>
            <w:r>
              <w:rPr>
                <w:rFonts w:ascii="Arial" w:cs="Arial" w:eastAsia="Arial" w:hAnsi="Arial"/>
                <w:sz w:val="18"/>
                <w:szCs w:val="18"/>
                <w:color w:val="auto"/>
              </w:rPr>
              <w:t>measurable targets utilizing a “scorecard” approach.</w:t>
            </w:r>
          </w:p>
        </w:tc>
      </w:tr>
      <w:tr>
        <w:trPr>
          <w:trHeight w:val="50"/>
        </w:trPr>
        <w:tc>
          <w:tcPr>
            <w:tcW w:w="5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7920" w:type="dxa"/>
            <w:vAlign w:val="bottom"/>
            <w:gridSpan w:val="2"/>
          </w:tcPr>
          <w:p>
            <w:pPr>
              <w:spacing w:after="0"/>
              <w:rPr>
                <w:sz w:val="4"/>
                <w:szCs w:val="4"/>
                <w:color w:val="auto"/>
              </w:rPr>
            </w:pPr>
          </w:p>
        </w:tc>
      </w:tr>
      <w:tr>
        <w:trPr>
          <w:trHeight w:val="245"/>
        </w:trPr>
        <w:tc>
          <w:tcPr>
            <w:tcW w:w="580" w:type="dxa"/>
            <w:vAlign w:val="bottom"/>
          </w:tcPr>
          <w:p>
            <w:pPr>
              <w:spacing w:after="0"/>
              <w:rPr>
                <w:sz w:val="21"/>
                <w:szCs w:val="21"/>
                <w:color w:val="auto"/>
              </w:rPr>
            </w:pPr>
          </w:p>
        </w:tc>
        <w:tc>
          <w:tcPr>
            <w:tcW w:w="252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i w:val="1"/>
                <w:iCs w:val="1"/>
                <w:color w:val="auto"/>
              </w:rPr>
              <w:t>Long-Term Incentive Awards</w:t>
            </w:r>
          </w:p>
        </w:tc>
        <w:tc>
          <w:tcPr>
            <w:tcW w:w="7320" w:type="dxa"/>
            <w:vAlign w:val="bottom"/>
            <w:tcBorders>
              <w:top w:val="single" w:sz="8" w:color="auto"/>
            </w:tcBorders>
            <w:shd w:val="clear" w:color="auto" w:fill="CCCCCC"/>
          </w:tcPr>
          <w:p>
            <w:pPr>
              <w:ind w:left="140"/>
              <w:spacing w:after="0"/>
              <w:rPr>
                <w:sz w:val="20"/>
                <w:szCs w:val="20"/>
                <w:color w:val="auto"/>
              </w:rPr>
            </w:pPr>
            <w:r>
              <w:rPr>
                <w:rFonts w:ascii="Arial" w:cs="Arial" w:eastAsia="Arial" w:hAnsi="Arial"/>
                <w:sz w:val="18"/>
                <w:szCs w:val="18"/>
                <w:color w:val="auto"/>
              </w:rPr>
              <w:t>Designed to align a significant component of executive compensation with shareholder</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2520" w:type="dxa"/>
            <w:vAlign w:val="bottom"/>
            <w:shd w:val="clear" w:color="auto" w:fill="CCCCCC"/>
          </w:tcPr>
          <w:p>
            <w:pPr>
              <w:spacing w:after="0"/>
              <w:rPr>
                <w:sz w:val="17"/>
                <w:szCs w:val="17"/>
                <w:color w:val="auto"/>
              </w:rPr>
            </w:pPr>
          </w:p>
        </w:tc>
        <w:tc>
          <w:tcPr>
            <w:tcW w:w="7320" w:type="dxa"/>
            <w:vAlign w:val="bottom"/>
            <w:shd w:val="clear" w:color="auto" w:fill="CCCCCC"/>
          </w:tcPr>
          <w:p>
            <w:pPr>
              <w:ind w:left="140"/>
              <w:spacing w:after="0" w:line="202" w:lineRule="exact"/>
              <w:rPr>
                <w:sz w:val="20"/>
                <w:szCs w:val="20"/>
                <w:color w:val="auto"/>
              </w:rPr>
            </w:pPr>
            <w:r>
              <w:rPr>
                <w:rFonts w:ascii="Arial" w:cs="Arial" w:eastAsia="Arial" w:hAnsi="Arial"/>
                <w:sz w:val="18"/>
                <w:szCs w:val="18"/>
                <w:color w:val="auto"/>
              </w:rPr>
              <w:t>interests, provide an incentive for executives to stay with the Company and achieve</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520" w:type="dxa"/>
            <w:vAlign w:val="bottom"/>
            <w:shd w:val="clear" w:color="auto" w:fill="CCCCCC"/>
          </w:tcPr>
          <w:p>
            <w:pPr>
              <w:spacing w:after="0"/>
              <w:rPr>
                <w:sz w:val="17"/>
                <w:szCs w:val="17"/>
                <w:color w:val="auto"/>
              </w:rPr>
            </w:pPr>
          </w:p>
        </w:tc>
        <w:tc>
          <w:tcPr>
            <w:tcW w:w="7320" w:type="dxa"/>
            <w:vAlign w:val="bottom"/>
            <w:shd w:val="clear" w:color="auto" w:fill="CCCCCC"/>
          </w:tcPr>
          <w:p>
            <w:pPr>
              <w:ind w:left="140"/>
              <w:spacing w:after="0" w:line="202" w:lineRule="exact"/>
              <w:rPr>
                <w:sz w:val="20"/>
                <w:szCs w:val="20"/>
                <w:color w:val="auto"/>
              </w:rPr>
            </w:pPr>
            <w:r>
              <w:rPr>
                <w:rFonts w:ascii="Arial" w:cs="Arial" w:eastAsia="Arial" w:hAnsi="Arial"/>
                <w:sz w:val="18"/>
                <w:szCs w:val="18"/>
                <w:color w:val="auto"/>
              </w:rPr>
              <w:t>appropriately challenging long-range performance goals, and allow executives to share in</w:t>
            </w:r>
          </w:p>
        </w:tc>
        <w:tc>
          <w:tcPr>
            <w:tcW w:w="600" w:type="dxa"/>
            <w:vAlign w:val="bottom"/>
          </w:tcPr>
          <w:p>
            <w:pPr>
              <w:spacing w:after="0"/>
              <w:rPr>
                <w:sz w:val="17"/>
                <w:szCs w:val="17"/>
                <w:color w:val="auto"/>
              </w:rPr>
            </w:pPr>
          </w:p>
        </w:tc>
      </w:tr>
      <w:tr>
        <w:trPr>
          <w:trHeight w:val="244"/>
        </w:trPr>
        <w:tc>
          <w:tcPr>
            <w:tcW w:w="580" w:type="dxa"/>
            <w:vAlign w:val="bottom"/>
          </w:tcPr>
          <w:p>
            <w:pPr>
              <w:spacing w:after="0"/>
              <w:rPr>
                <w:sz w:val="21"/>
                <w:szCs w:val="21"/>
                <w:color w:val="auto"/>
              </w:rPr>
            </w:pPr>
          </w:p>
        </w:tc>
        <w:tc>
          <w:tcPr>
            <w:tcW w:w="2520" w:type="dxa"/>
            <w:vAlign w:val="bottom"/>
            <w:tcBorders>
              <w:bottom w:val="single" w:sz="8" w:color="auto"/>
            </w:tcBorders>
            <w:shd w:val="clear" w:color="auto" w:fill="CCCCCC"/>
          </w:tcPr>
          <w:p>
            <w:pPr>
              <w:spacing w:after="0"/>
              <w:rPr>
                <w:sz w:val="21"/>
                <w:szCs w:val="21"/>
                <w:color w:val="auto"/>
              </w:rPr>
            </w:pPr>
          </w:p>
        </w:tc>
        <w:tc>
          <w:tcPr>
            <w:tcW w:w="7320" w:type="dxa"/>
            <w:vAlign w:val="bottom"/>
            <w:tcBorders>
              <w:bottom w:val="single" w:sz="8" w:color="auto"/>
            </w:tcBorders>
            <w:shd w:val="clear" w:color="auto" w:fill="CCCCCC"/>
          </w:tcPr>
          <w:p>
            <w:pPr>
              <w:ind w:left="140"/>
              <w:spacing w:after="0"/>
              <w:rPr>
                <w:sz w:val="20"/>
                <w:szCs w:val="20"/>
                <w:color w:val="auto"/>
              </w:rPr>
            </w:pPr>
            <w:r>
              <w:rPr>
                <w:rFonts w:ascii="Arial" w:cs="Arial" w:eastAsia="Arial" w:hAnsi="Arial"/>
                <w:sz w:val="18"/>
                <w:szCs w:val="18"/>
                <w:color w:val="auto"/>
              </w:rPr>
              <w:t>the value created for the Company’s shareholders.</w:t>
            </w:r>
          </w:p>
        </w:tc>
        <w:tc>
          <w:tcPr>
            <w:tcW w:w="600" w:type="dxa"/>
            <w:vAlign w:val="bottom"/>
          </w:tcPr>
          <w:p>
            <w:pPr>
              <w:spacing w:after="0"/>
              <w:rPr>
                <w:sz w:val="21"/>
                <w:szCs w:val="21"/>
                <w:color w:val="auto"/>
              </w:rPr>
            </w:pPr>
          </w:p>
        </w:tc>
      </w:tr>
      <w:tr>
        <w:trPr>
          <w:trHeight w:val="542"/>
        </w:trPr>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320" w:type="dxa"/>
            <w:vAlign w:val="bottom"/>
          </w:tcPr>
          <w:p>
            <w:pPr>
              <w:ind w:left="2300"/>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24"/>
                <w:szCs w:val="24"/>
                <w:color w:val="auto"/>
              </w:rPr>
            </w:pPr>
          </w:p>
        </w:tc>
      </w:tr>
      <w:tr>
        <w:trPr>
          <w:trHeight w:val="219"/>
        </w:trPr>
        <w:tc>
          <w:tcPr>
            <w:tcW w:w="5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7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Borders>
              <w:bottom w:val="single" w:sz="8" w:color="0000EE"/>
            </w:tcBorders>
          </w:tcPr>
          <w:p>
            <w:pPr>
              <w:ind w:left="20"/>
              <w:spacing w:after="0"/>
              <w:rPr>
                <w:rFonts w:ascii="Times New Roman" w:cs="Times New Roman" w:eastAsia="Times New Roman" w:hAnsi="Times New Roman"/>
                <w:sz w:val="14"/>
                <w:szCs w:val="14"/>
                <w:b w:val="1"/>
                <w:bCs w:val="1"/>
                <w:color w:val="0000EE"/>
              </w:rPr>
            </w:pPr>
            <w:hyperlink w:anchor="page4">
              <w:r>
                <w:rPr>
                  <w:rFonts w:ascii="Times New Roman" w:cs="Times New Roman" w:eastAsia="Times New Roman" w:hAnsi="Times New Roman"/>
                  <w:sz w:val="14"/>
                  <w:szCs w:val="14"/>
                  <w:b w:val="1"/>
                  <w:bCs w:val="1"/>
                  <w:color w:val="0000EE"/>
                </w:rPr>
                <w:t>TABLE OF CONTENTS</w:t>
              </w:r>
            </w:hyperlink>
          </w:p>
        </w:tc>
        <w:tc>
          <w:tcPr>
            <w:tcW w:w="640" w:type="dxa"/>
            <w:vAlign w:val="bottom"/>
          </w:tcPr>
          <w:p>
            <w:pPr>
              <w:spacing w:after="0"/>
              <w:rPr>
                <w:sz w:val="13"/>
                <w:szCs w:val="13"/>
                <w:color w:val="auto"/>
              </w:rPr>
            </w:pPr>
          </w:p>
        </w:tc>
        <w:tc>
          <w:tcPr>
            <w:tcW w:w="7640" w:type="dxa"/>
            <w:vAlign w:val="bottom"/>
          </w:tcPr>
          <w:p>
            <w:pPr>
              <w:spacing w:after="0"/>
              <w:rPr>
                <w:sz w:val="13"/>
                <w:szCs w:val="13"/>
                <w:color w:val="auto"/>
              </w:rPr>
            </w:pPr>
          </w:p>
        </w:tc>
      </w:tr>
      <w:tr>
        <w:trPr>
          <w:trHeight w:val="369"/>
        </w:trPr>
        <w:tc>
          <w:tcPr>
            <w:tcW w:w="22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Component</w:t>
            </w:r>
          </w:p>
        </w:tc>
        <w:tc>
          <w:tcPr>
            <w:tcW w:w="7640" w:type="dxa"/>
            <w:vAlign w:val="bottom"/>
          </w:tcPr>
          <w:p>
            <w:pPr>
              <w:jc w:val="right"/>
              <w:ind w:right="5512"/>
              <w:spacing w:after="0"/>
              <w:rPr>
                <w:sz w:val="20"/>
                <w:szCs w:val="20"/>
                <w:color w:val="auto"/>
              </w:rPr>
            </w:pPr>
            <w:r>
              <w:rPr>
                <w:rFonts w:ascii="Arial" w:cs="Arial" w:eastAsia="Arial" w:hAnsi="Arial"/>
                <w:sz w:val="14"/>
                <w:szCs w:val="14"/>
                <w:b w:val="1"/>
                <w:bCs w:val="1"/>
                <w:color w:val="auto"/>
              </w:rPr>
              <w:t>Function and Objective</w:t>
            </w:r>
          </w:p>
        </w:tc>
      </w:tr>
      <w:tr>
        <w:trPr>
          <w:trHeight w:val="43"/>
        </w:trPr>
        <w:tc>
          <w:tcPr>
            <w:tcW w:w="15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r>
      <w:tr>
        <w:trPr>
          <w:trHeight w:val="245"/>
        </w:trPr>
        <w:tc>
          <w:tcPr>
            <w:tcW w:w="2200" w:type="dxa"/>
            <w:vAlign w:val="bottom"/>
            <w:gridSpan w:val="2"/>
          </w:tcPr>
          <w:p>
            <w:pPr>
              <w:ind w:left="100"/>
              <w:spacing w:after="0"/>
              <w:rPr>
                <w:sz w:val="20"/>
                <w:szCs w:val="20"/>
                <w:color w:val="auto"/>
              </w:rPr>
            </w:pPr>
            <w:r>
              <w:rPr>
                <w:rFonts w:ascii="Arial" w:cs="Arial" w:eastAsia="Arial" w:hAnsi="Arial"/>
                <w:sz w:val="18"/>
                <w:szCs w:val="18"/>
                <w:i w:val="1"/>
                <w:iCs w:val="1"/>
                <w:color w:val="auto"/>
              </w:rPr>
              <w:t>Other Compensation</w:t>
            </w:r>
          </w:p>
        </w:tc>
        <w:tc>
          <w:tcPr>
            <w:tcW w:w="7640" w:type="dxa"/>
            <w:vAlign w:val="bottom"/>
          </w:tcPr>
          <w:p>
            <w:pPr>
              <w:jc w:val="right"/>
              <w:spacing w:after="0"/>
              <w:rPr>
                <w:sz w:val="20"/>
                <w:szCs w:val="20"/>
                <w:color w:val="auto"/>
              </w:rPr>
            </w:pPr>
            <w:r>
              <w:rPr>
                <w:rFonts w:ascii="Arial" w:cs="Arial" w:eastAsia="Arial" w:hAnsi="Arial"/>
                <w:sz w:val="18"/>
                <w:szCs w:val="18"/>
                <w:color w:val="auto"/>
              </w:rPr>
              <w:t>•  We provide certain health, life insurance, disability and retirement benefits as part of</w:t>
            </w:r>
          </w:p>
        </w:tc>
      </w:tr>
      <w:tr>
        <w:trPr>
          <w:trHeight w:val="203"/>
        </w:trPr>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40" w:type="dxa"/>
            <w:vAlign w:val="bottom"/>
          </w:tcPr>
          <w:p>
            <w:pPr>
              <w:jc w:val="right"/>
              <w:spacing w:after="0" w:line="202" w:lineRule="exact"/>
              <w:rPr>
                <w:sz w:val="20"/>
                <w:szCs w:val="20"/>
                <w:color w:val="auto"/>
              </w:rPr>
            </w:pPr>
            <w:r>
              <w:rPr>
                <w:rFonts w:ascii="Arial" w:cs="Arial" w:eastAsia="Arial" w:hAnsi="Arial"/>
                <w:sz w:val="18"/>
                <w:szCs w:val="18"/>
                <w:color w:val="auto"/>
              </w:rPr>
              <w:t>our broad-based employee benefits program. Retirement benefits for our NEOs (other</w:t>
            </w:r>
          </w:p>
        </w:tc>
      </w:tr>
      <w:tr>
        <w:trPr>
          <w:trHeight w:val="203"/>
        </w:trPr>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40" w:type="dxa"/>
            <w:vAlign w:val="bottom"/>
          </w:tcPr>
          <w:p>
            <w:pPr>
              <w:jc w:val="right"/>
              <w:spacing w:after="0" w:line="202" w:lineRule="exact"/>
              <w:rPr>
                <w:sz w:val="20"/>
                <w:szCs w:val="20"/>
                <w:color w:val="auto"/>
              </w:rPr>
            </w:pPr>
            <w:r>
              <w:rPr>
                <w:rFonts w:ascii="Arial" w:cs="Arial" w:eastAsia="Arial" w:hAnsi="Arial"/>
                <w:sz w:val="18"/>
                <w:szCs w:val="18"/>
                <w:color w:val="auto"/>
              </w:rPr>
              <w:t>than our CEO) are limited to (i) deferrals under the executive deferred compensation</w:t>
            </w:r>
          </w:p>
        </w:tc>
      </w:tr>
      <w:tr>
        <w:trPr>
          <w:trHeight w:val="203"/>
        </w:trPr>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40" w:type="dxa"/>
            <w:vAlign w:val="bottom"/>
          </w:tcPr>
          <w:p>
            <w:pPr>
              <w:jc w:val="right"/>
              <w:spacing w:after="0" w:line="202" w:lineRule="exact"/>
              <w:rPr>
                <w:sz w:val="20"/>
                <w:szCs w:val="20"/>
                <w:color w:val="auto"/>
              </w:rPr>
            </w:pPr>
            <w:r>
              <w:rPr>
                <w:rFonts w:ascii="Arial" w:cs="Arial" w:eastAsia="Arial" w:hAnsi="Arial"/>
                <w:sz w:val="18"/>
                <w:szCs w:val="18"/>
                <w:color w:val="auto"/>
              </w:rPr>
              <w:t>plan, which the Company matches up to a maximum of 6% of base salary and annual</w:t>
            </w:r>
          </w:p>
        </w:tc>
      </w:tr>
      <w:tr>
        <w:trPr>
          <w:trHeight w:val="239"/>
        </w:trPr>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40" w:type="dxa"/>
            <w:vAlign w:val="bottom"/>
          </w:tcPr>
          <w:p>
            <w:pPr>
              <w:ind w:left="720"/>
              <w:spacing w:after="0"/>
              <w:rPr>
                <w:sz w:val="20"/>
                <w:szCs w:val="20"/>
                <w:color w:val="auto"/>
              </w:rPr>
            </w:pPr>
            <w:r>
              <w:rPr>
                <w:rFonts w:ascii="Arial" w:cs="Arial" w:eastAsia="Arial" w:hAnsi="Arial"/>
                <w:sz w:val="18"/>
                <w:szCs w:val="18"/>
                <w:color w:val="auto"/>
              </w:rPr>
              <w:t>incentive, and/or (ii) participation in our 401(k) plan.</w:t>
            </w:r>
          </w:p>
        </w:tc>
      </w:tr>
      <w:tr>
        <w:trPr>
          <w:trHeight w:val="369"/>
        </w:trPr>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40" w:type="dxa"/>
            <w:vAlign w:val="bottom"/>
          </w:tcPr>
          <w:p>
            <w:pPr>
              <w:jc w:val="right"/>
              <w:spacing w:after="0"/>
              <w:rPr>
                <w:sz w:val="20"/>
                <w:szCs w:val="20"/>
                <w:color w:val="auto"/>
              </w:rPr>
            </w:pPr>
            <w:r>
              <w:rPr>
                <w:rFonts w:ascii="Arial" w:cs="Arial" w:eastAsia="Arial" w:hAnsi="Arial"/>
                <w:sz w:val="18"/>
                <w:szCs w:val="18"/>
                <w:color w:val="auto"/>
              </w:rPr>
              <w:t>•  Other executive benefits and perquisites for current NEOs include auto use and</w:t>
            </w:r>
          </w:p>
        </w:tc>
      </w:tr>
      <w:tr>
        <w:trPr>
          <w:trHeight w:val="203"/>
        </w:trPr>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40" w:type="dxa"/>
            <w:vAlign w:val="bottom"/>
          </w:tcPr>
          <w:p>
            <w:pPr>
              <w:jc w:val="right"/>
              <w:spacing w:after="0" w:line="202" w:lineRule="exact"/>
              <w:rPr>
                <w:sz w:val="20"/>
                <w:szCs w:val="20"/>
                <w:color w:val="auto"/>
              </w:rPr>
            </w:pPr>
            <w:r>
              <w:rPr>
                <w:rFonts w:ascii="Arial" w:cs="Arial" w:eastAsia="Arial" w:hAnsi="Arial"/>
                <w:sz w:val="18"/>
                <w:szCs w:val="18"/>
                <w:color w:val="auto"/>
              </w:rPr>
              <w:t>financial planning services. However, auto use and financial services will not be</w:t>
            </w:r>
          </w:p>
        </w:tc>
      </w:tr>
      <w:tr>
        <w:trPr>
          <w:trHeight w:val="203"/>
        </w:trPr>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40" w:type="dxa"/>
            <w:vAlign w:val="bottom"/>
          </w:tcPr>
          <w:p>
            <w:pPr>
              <w:jc w:val="right"/>
              <w:spacing w:after="0" w:line="202" w:lineRule="exact"/>
              <w:rPr>
                <w:sz w:val="20"/>
                <w:szCs w:val="20"/>
                <w:color w:val="auto"/>
              </w:rPr>
            </w:pPr>
            <w:r>
              <w:rPr>
                <w:rFonts w:ascii="Arial" w:cs="Arial" w:eastAsia="Arial" w:hAnsi="Arial"/>
                <w:sz w:val="18"/>
                <w:szCs w:val="18"/>
                <w:color w:val="auto"/>
              </w:rPr>
              <w:t>provided to executives who join the Company after December 31, 2021. Our CEO is</w:t>
            </w:r>
          </w:p>
        </w:tc>
      </w:tr>
      <w:tr>
        <w:trPr>
          <w:trHeight w:val="203"/>
        </w:trPr>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40" w:type="dxa"/>
            <w:vAlign w:val="bottom"/>
          </w:tcPr>
          <w:p>
            <w:pPr>
              <w:jc w:val="right"/>
              <w:spacing w:after="0" w:line="202" w:lineRule="exact"/>
              <w:rPr>
                <w:sz w:val="20"/>
                <w:szCs w:val="20"/>
                <w:color w:val="auto"/>
              </w:rPr>
            </w:pPr>
            <w:r>
              <w:rPr>
                <w:rFonts w:ascii="Arial" w:cs="Arial" w:eastAsia="Arial" w:hAnsi="Arial"/>
                <w:sz w:val="18"/>
                <w:szCs w:val="18"/>
                <w:color w:val="auto"/>
              </w:rPr>
              <w:t>also provided with agreed-upon limited personal use of Company-leased aircraft</w:t>
            </w:r>
          </w:p>
        </w:tc>
      </w:tr>
      <w:tr>
        <w:trPr>
          <w:trHeight w:val="244"/>
        </w:trPr>
        <w:tc>
          <w:tcPr>
            <w:tcW w:w="15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6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services.</w:t>
            </w:r>
          </w:p>
        </w:tc>
      </w:tr>
    </w:tbl>
    <w:p>
      <w:pPr>
        <w:spacing w:after="0" w:line="17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Analysis of 2021 Pay Decisions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Compensation Philosophy</w:t>
      </w:r>
    </w:p>
    <w:p>
      <w:pPr>
        <w:spacing w:after="0" w:line="139"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In 2021, “pay-for-performance” continued to be a fundamental tenet of our compensation philosophy, which includes rewarding attainment of appropriately challenging financial and individual performance goals and aligning our executives’ objectives with our shareholders’ interests, while ensuring that the Company’s executive compensation programs are designed to attract and retain a high-caliber leadership team. Specific changes made to our 2021 program to strengthen the pay-for-performance link are described below.</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Base Salaries for our Named Executive Officers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Salaries for NEOs are typically approved early in each year based on factors such as:</w:t>
      </w:r>
    </w:p>
    <w:p>
      <w:pPr>
        <w:spacing w:after="0" w:line="144" w:lineRule="exact"/>
        <w:rPr>
          <w:sz w:val="20"/>
          <w:szCs w:val="20"/>
          <w:color w:val="auto"/>
        </w:rPr>
      </w:pPr>
    </w:p>
    <w:p>
      <w:pPr>
        <w:ind w:left="360" w:right="20" w:hanging="350"/>
        <w:spacing w:after="0" w:line="271"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reasonable comparability with the Peer Group and Survey Data (as described under “Consideration of Peer Groups and Survey Data”);</w:t>
      </w:r>
    </w:p>
    <w:p>
      <w:pPr>
        <w:spacing w:after="0" w:line="72" w:lineRule="exact"/>
        <w:rPr>
          <w:rFonts w:ascii="Arial" w:cs="Arial" w:eastAsia="Arial" w:hAnsi="Arial"/>
          <w:sz w:val="18"/>
          <w:szCs w:val="18"/>
          <w:color w:val="auto"/>
        </w:rPr>
      </w:pPr>
    </w:p>
    <w:p>
      <w:pPr>
        <w:ind w:left="360" w:hanging="350"/>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individual and Company performance; and</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NEO’s responsibilities, capabilities and skills, commitment to our business, leadership and drive to add value.</w:t>
      </w:r>
    </w:p>
    <w:p>
      <w:pPr>
        <w:spacing w:after="0" w:line="144"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For 2021, as a result of the Company’s financial performance in 2020, which was significantly impacted by the pandemic, the Committee approved no base salary increases from the amounts in place at the end of the year after reinstatement from the temporary pandemic-related decreases during 2020. Base salaries for our Executive Chairman, our CEO and our CFO were approved in 2020 in connection with their respective new appointments. For our Chief Digital Officer, in connection with his appointment in 2021, the Committee approved a base salary of $500,000 following a market review.</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Annual Incentive Awards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2021 AIP</w:t>
      </w:r>
    </w:p>
    <w:p>
      <w:pPr>
        <w:spacing w:after="0" w:line="129"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For 2021, the Committee approved an annual incentive program (the “2021 AIP”) in which all of our executive officers participated other than our Executive Chairman. Target payout opportunity as a percentage of base salary was 200% for our CEO and 100% for our other NEOs. Total payout opportunity ranged from 50% to 125% of target for our CEO and 50% to 150% of target for our other NEOs, representing a decrease in maximum payout opportunity from the 2020 annual incentive program, which was 200%.</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2021 AIP Performance Metrics and Goals – Adjusted EBITDA Component</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Consistent with prior years, the 2021 AIP included Adjusted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as a performance metric with a weighting of 50%:</w:t>
      </w:r>
    </w:p>
    <w:p>
      <w:pPr>
        <w:spacing w:after="0" w:line="45" w:lineRule="exact"/>
        <w:rPr>
          <w:sz w:val="20"/>
          <w:szCs w:val="20"/>
          <w:color w:val="auto"/>
        </w:rPr>
      </w:pPr>
    </w:p>
    <w:p>
      <w:pPr>
        <w:ind w:left="360" w:hanging="350"/>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recognition of its wide acceptance and understanding as a metric within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8229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1"/>
          <w:szCs w:val="11"/>
          <w:color w:val="auto"/>
        </w:rPr>
        <w:t>1</w:t>
      </w:r>
    </w:p>
    <w:p>
      <w:pPr>
        <w:jc w:val="both"/>
        <w:ind w:left="220"/>
        <w:spacing w:after="0" w:line="249" w:lineRule="auto"/>
        <w:rPr>
          <w:sz w:val="20"/>
          <w:szCs w:val="20"/>
          <w:color w:val="auto"/>
        </w:rPr>
      </w:pPr>
      <w:r>
        <w:rPr>
          <w:rFonts w:ascii="Arial" w:cs="Arial" w:eastAsia="Arial" w:hAnsi="Arial"/>
          <w:sz w:val="14"/>
          <w:szCs w:val="14"/>
          <w:color w:val="auto"/>
        </w:rPr>
        <w:t>We define Adjusted EBITDA, for 2021,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COVID-19 charges and income taxes. This non-GAAP measure is a performance metric in our incentive programs.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2" w:right="1039" w:bottom="1440" w:gutter="0" w:footer="0" w:header="0"/>
        </w:sectPr>
      </w:pPr>
    </w:p>
    <w:bookmarkStart w:id="29" w:name="page30"/>
    <w:bookmarkEnd w:id="29"/>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ind w:left="360" w:right="20" w:hanging="350"/>
        <w:spacing w:after="0" w:line="271"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because Adjusted EBITDA is a key measure of operational and financial performance, driven by our annual business plan; and</w:t>
      </w:r>
    </w:p>
    <w:p>
      <w:pPr>
        <w:spacing w:after="0" w:line="86" w:lineRule="exact"/>
        <w:rPr>
          <w:rFonts w:ascii="Arial" w:cs="Arial" w:eastAsia="Arial" w:hAnsi="Arial"/>
          <w:sz w:val="18"/>
          <w:szCs w:val="18"/>
          <w:color w:val="auto"/>
        </w:rPr>
      </w:pPr>
    </w:p>
    <w:p>
      <w:pPr>
        <w:ind w:left="360" w:hanging="350"/>
        <w:spacing w:after="0" w:line="271"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given the fact that Adjusted EBITDA has been strongly historically correlated to the Company’s stock price performance.</w:t>
      </w:r>
    </w:p>
    <w:p>
      <w:pPr>
        <w:spacing w:after="0" w:line="86"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Adjusted EBITDA goals included in the 2021 AIP (the “AIP Adjusted EBITDA Goals”) were set based on the Company’s 2021 business plan approved by the Board at the end of 2020 (the “Business Plan”). At target, the global Adjusted EBITDA goal of $500 million represented a significant increase over 2020 Adjusted EBITDA, which was a loss of $175 million. At the time the Business Plan was approved, the Company’s outlook was difficult to predict given the significant impacts to the Company’s business during 2020 from the pandemic.</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20" w:type="dxa"/>
            <w:vAlign w:val="bottom"/>
          </w:tcPr>
          <w:p>
            <w:pPr>
              <w:spacing w:after="0"/>
              <w:rPr>
                <w:sz w:val="16"/>
                <w:szCs w:val="16"/>
                <w:color w:val="auto"/>
              </w:rPr>
            </w:pPr>
          </w:p>
        </w:tc>
        <w:tc>
          <w:tcPr>
            <w:tcW w:w="3760" w:type="dxa"/>
            <w:vAlign w:val="bottom"/>
          </w:tcPr>
          <w:p>
            <w:pPr>
              <w:jc w:val="center"/>
              <w:ind w:right="439"/>
              <w:spacing w:after="0"/>
              <w:rPr>
                <w:sz w:val="20"/>
                <w:szCs w:val="20"/>
                <w:color w:val="auto"/>
              </w:rPr>
            </w:pPr>
            <w:r>
              <w:rPr>
                <w:rFonts w:ascii="Arial" w:cs="Arial" w:eastAsia="Arial" w:hAnsi="Arial"/>
                <w:sz w:val="16"/>
                <w:szCs w:val="16"/>
                <w:b w:val="1"/>
                <w:bCs w:val="1"/>
                <w:color w:val="auto"/>
              </w:rPr>
              <w:t>Opportunity</w:t>
            </w:r>
          </w:p>
        </w:tc>
        <w:tc>
          <w:tcPr>
            <w:tcW w:w="700" w:type="dxa"/>
            <w:vAlign w:val="bottom"/>
          </w:tcPr>
          <w:p>
            <w:pPr>
              <w:spacing w:after="0"/>
              <w:rPr>
                <w:sz w:val="16"/>
                <w:szCs w:val="16"/>
                <w:color w:val="auto"/>
              </w:rPr>
            </w:pPr>
          </w:p>
        </w:tc>
        <w:tc>
          <w:tcPr>
            <w:tcW w:w="266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Adjusted EBITDA Goals</w:t>
            </w:r>
          </w:p>
        </w:tc>
        <w:tc>
          <w:tcPr>
            <w:tcW w:w="0" w:type="dxa"/>
            <w:vAlign w:val="bottom"/>
          </w:tcPr>
          <w:p>
            <w:pPr>
              <w:spacing w:after="0"/>
              <w:rPr>
                <w:sz w:val="1"/>
                <w:szCs w:val="1"/>
                <w:color w:val="auto"/>
              </w:rPr>
            </w:pPr>
          </w:p>
        </w:tc>
      </w:tr>
      <w:tr>
        <w:trPr>
          <w:trHeight w:val="95"/>
        </w:trPr>
        <w:tc>
          <w:tcPr>
            <w:tcW w:w="2720" w:type="dxa"/>
            <w:vAlign w:val="bottom"/>
          </w:tcPr>
          <w:p>
            <w:pPr>
              <w:spacing w:after="0"/>
              <w:rPr>
                <w:sz w:val="8"/>
                <w:szCs w:val="8"/>
                <w:color w:val="auto"/>
              </w:rPr>
            </w:pPr>
          </w:p>
        </w:tc>
        <w:tc>
          <w:tcPr>
            <w:tcW w:w="3760" w:type="dxa"/>
            <w:vAlign w:val="bottom"/>
            <w:vMerge w:val="restart"/>
          </w:tcPr>
          <w:p>
            <w:pPr>
              <w:jc w:val="center"/>
              <w:ind w:right="399"/>
              <w:spacing w:after="0"/>
              <w:rPr>
                <w:sz w:val="20"/>
                <w:szCs w:val="20"/>
                <w:color w:val="auto"/>
              </w:rPr>
            </w:pPr>
            <w:r>
              <w:rPr>
                <w:rFonts w:ascii="Arial" w:cs="Arial" w:eastAsia="Arial" w:hAnsi="Arial"/>
                <w:sz w:val="16"/>
                <w:szCs w:val="16"/>
                <w:b w:val="1"/>
                <w:bCs w:val="1"/>
                <w:color w:val="auto"/>
              </w:rPr>
              <w:t>(% of</w:t>
            </w:r>
          </w:p>
        </w:tc>
        <w:tc>
          <w:tcPr>
            <w:tcW w:w="7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72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720" w:type="dxa"/>
            <w:vAlign w:val="bottom"/>
          </w:tcPr>
          <w:p>
            <w:pPr>
              <w:ind w:left="100"/>
              <w:spacing w:after="0"/>
              <w:rPr>
                <w:sz w:val="20"/>
                <w:szCs w:val="20"/>
                <w:color w:val="auto"/>
              </w:rPr>
            </w:pPr>
            <w:r>
              <w:rPr>
                <w:rFonts w:ascii="Arial" w:cs="Arial" w:eastAsia="Arial" w:hAnsi="Arial"/>
                <w:sz w:val="16"/>
                <w:szCs w:val="16"/>
                <w:b w:val="1"/>
                <w:bCs w:val="1"/>
                <w:color w:val="auto"/>
              </w:rPr>
              <w:t>Achievement Level</w:t>
            </w:r>
          </w:p>
        </w:tc>
        <w:tc>
          <w:tcPr>
            <w:tcW w:w="3760" w:type="dxa"/>
            <w:vAlign w:val="bottom"/>
          </w:tcPr>
          <w:p>
            <w:pPr>
              <w:jc w:val="center"/>
              <w:ind w:right="399"/>
              <w:spacing w:after="0"/>
              <w:rPr>
                <w:sz w:val="20"/>
                <w:szCs w:val="20"/>
                <w:color w:val="auto"/>
              </w:rPr>
            </w:pPr>
            <w:r>
              <w:rPr>
                <w:rFonts w:ascii="Arial" w:cs="Arial" w:eastAsia="Arial" w:hAnsi="Arial"/>
                <w:sz w:val="16"/>
                <w:szCs w:val="16"/>
                <w:b w:val="1"/>
                <w:bCs w:val="1"/>
                <w:color w:val="auto"/>
                <w:w w:val="99"/>
              </w:rPr>
              <w:t>Target)*</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Global**</w:t>
            </w:r>
          </w:p>
        </w:tc>
        <w:tc>
          <w:tcPr>
            <w:tcW w:w="2660" w:type="dxa"/>
            <w:vAlign w:val="bottom"/>
            <w:gridSpan w:val="2"/>
          </w:tcPr>
          <w:p>
            <w:pPr>
              <w:ind w:left="1600"/>
              <w:spacing w:after="0"/>
              <w:rPr>
                <w:sz w:val="20"/>
                <w:szCs w:val="20"/>
                <w:color w:val="auto"/>
              </w:rPr>
            </w:pPr>
            <w:r>
              <w:rPr>
                <w:rFonts w:ascii="Arial" w:cs="Arial" w:eastAsia="Arial" w:hAnsi="Arial"/>
                <w:sz w:val="16"/>
                <w:szCs w:val="16"/>
                <w:b w:val="1"/>
                <w:bCs w:val="1"/>
                <w:color w:val="auto"/>
              </w:rPr>
              <w:t>International</w:t>
            </w:r>
          </w:p>
        </w:tc>
        <w:tc>
          <w:tcPr>
            <w:tcW w:w="0" w:type="dxa"/>
            <w:vAlign w:val="bottom"/>
          </w:tcPr>
          <w:p>
            <w:pPr>
              <w:spacing w:after="0"/>
              <w:rPr>
                <w:sz w:val="1"/>
                <w:szCs w:val="1"/>
                <w:color w:val="auto"/>
              </w:rPr>
            </w:pPr>
          </w:p>
        </w:tc>
      </w:tr>
      <w:tr>
        <w:trPr>
          <w:trHeight w:val="48"/>
        </w:trPr>
        <w:tc>
          <w:tcPr>
            <w:tcW w:w="272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72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6"/>
                <w:szCs w:val="16"/>
                <w:color w:val="auto"/>
              </w:rPr>
              <w:t>Maximum</w:t>
            </w:r>
          </w:p>
        </w:tc>
        <w:tc>
          <w:tcPr>
            <w:tcW w:w="3760" w:type="dxa"/>
            <w:vAlign w:val="bottom"/>
            <w:tcBorders>
              <w:bottom w:val="single" w:sz="8" w:color="CCCCCC"/>
            </w:tcBorders>
            <w:shd w:val="clear" w:color="auto" w:fill="CCCCCC"/>
          </w:tcPr>
          <w:p>
            <w:pPr>
              <w:jc w:val="right"/>
              <w:ind w:right="1759"/>
              <w:spacing w:after="0"/>
              <w:rPr>
                <w:sz w:val="20"/>
                <w:szCs w:val="20"/>
                <w:color w:val="auto"/>
              </w:rPr>
            </w:pPr>
            <w:r>
              <w:rPr>
                <w:rFonts w:ascii="Arial" w:cs="Arial" w:eastAsia="Arial" w:hAnsi="Arial"/>
                <w:sz w:val="16"/>
                <w:szCs w:val="16"/>
                <w:color w:val="auto"/>
              </w:rPr>
              <w:t>150%</w:t>
            </w:r>
          </w:p>
        </w:tc>
        <w:tc>
          <w:tcPr>
            <w:tcW w:w="7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6"/>
                <w:szCs w:val="16"/>
                <w:color w:val="auto"/>
              </w:rPr>
              <w:t>$650</w:t>
            </w:r>
          </w:p>
        </w:tc>
        <w:tc>
          <w:tcPr>
            <w:tcW w:w="2600" w:type="dxa"/>
            <w:vAlign w:val="bottom"/>
            <w:tcBorders>
              <w:bottom w:val="single" w:sz="8" w:color="CCCCCC"/>
            </w:tcBorders>
            <w:shd w:val="clear" w:color="auto" w:fill="CCCCCC"/>
          </w:tcPr>
          <w:p>
            <w:pPr>
              <w:ind w:left="1960"/>
              <w:spacing w:after="0"/>
              <w:rPr>
                <w:sz w:val="20"/>
                <w:szCs w:val="20"/>
                <w:color w:val="auto"/>
              </w:rPr>
            </w:pPr>
            <w:r>
              <w:rPr>
                <w:rFonts w:ascii="Arial" w:cs="Arial" w:eastAsia="Arial" w:hAnsi="Arial"/>
                <w:sz w:val="16"/>
                <w:szCs w:val="16"/>
                <w:color w:val="auto"/>
              </w:rPr>
              <w:t>$90</w:t>
            </w:r>
          </w:p>
        </w:tc>
        <w:tc>
          <w:tcPr>
            <w:tcW w:w="60" w:type="dxa"/>
            <w:vAlign w:val="bottom"/>
            <w:tcBorders>
              <w:bottom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72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Target</w:t>
            </w:r>
          </w:p>
        </w:tc>
        <w:tc>
          <w:tcPr>
            <w:tcW w:w="3760" w:type="dxa"/>
            <w:vAlign w:val="bottom"/>
            <w:tcBorders>
              <w:top w:val="single" w:sz="8" w:color="auto"/>
            </w:tcBorders>
          </w:tcPr>
          <w:p>
            <w:pPr>
              <w:jc w:val="right"/>
              <w:ind w:right="1759"/>
              <w:spacing w:after="0"/>
              <w:rPr>
                <w:sz w:val="20"/>
                <w:szCs w:val="20"/>
                <w:color w:val="auto"/>
              </w:rPr>
            </w:pPr>
            <w:r>
              <w:rPr>
                <w:rFonts w:ascii="Arial" w:cs="Arial" w:eastAsia="Arial" w:hAnsi="Arial"/>
                <w:sz w:val="16"/>
                <w:szCs w:val="16"/>
                <w:color w:val="auto"/>
              </w:rPr>
              <w:t>100%</w:t>
            </w: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$500</w:t>
            </w:r>
          </w:p>
        </w:tc>
        <w:tc>
          <w:tcPr>
            <w:tcW w:w="2600" w:type="dxa"/>
            <w:vAlign w:val="bottom"/>
            <w:tcBorders>
              <w:top w:val="single" w:sz="8" w:color="auto"/>
            </w:tcBorders>
          </w:tcPr>
          <w:p>
            <w:pPr>
              <w:ind w:left="1960"/>
              <w:spacing w:after="0"/>
              <w:rPr>
                <w:sz w:val="20"/>
                <w:szCs w:val="20"/>
                <w:color w:val="auto"/>
              </w:rPr>
            </w:pPr>
            <w:r>
              <w:rPr>
                <w:rFonts w:ascii="Arial" w:cs="Arial" w:eastAsia="Arial" w:hAnsi="Arial"/>
                <w:sz w:val="16"/>
                <w:szCs w:val="16"/>
                <w:color w:val="auto"/>
              </w:rPr>
              <w:t>$45</w:t>
            </w:r>
          </w:p>
        </w:tc>
        <w:tc>
          <w:tcPr>
            <w:tcW w:w="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72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7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auto"/>
              </w:rPr>
              <w:t>Threshold</w:t>
            </w:r>
          </w:p>
        </w:tc>
        <w:tc>
          <w:tcPr>
            <w:tcW w:w="3760" w:type="dxa"/>
            <w:vAlign w:val="bottom"/>
            <w:tcBorders>
              <w:bottom w:val="single" w:sz="8" w:color="auto"/>
            </w:tcBorders>
            <w:shd w:val="clear" w:color="auto" w:fill="CCCCCC"/>
          </w:tcPr>
          <w:p>
            <w:pPr>
              <w:jc w:val="right"/>
              <w:ind w:right="1759"/>
              <w:spacing w:after="0"/>
              <w:rPr>
                <w:sz w:val="20"/>
                <w:szCs w:val="20"/>
                <w:color w:val="auto"/>
              </w:rPr>
            </w:pPr>
            <w:r>
              <w:rPr>
                <w:rFonts w:ascii="Arial" w:cs="Arial" w:eastAsia="Arial" w:hAnsi="Arial"/>
                <w:sz w:val="16"/>
                <w:szCs w:val="16"/>
                <w:color w:val="auto"/>
              </w:rPr>
              <w:t>50%</w:t>
            </w:r>
          </w:p>
        </w:tc>
        <w:tc>
          <w:tcPr>
            <w:tcW w:w="7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6"/>
                <w:szCs w:val="16"/>
                <w:color w:val="auto"/>
              </w:rPr>
              <w:t>$350</w:t>
            </w:r>
          </w:p>
        </w:tc>
        <w:tc>
          <w:tcPr>
            <w:tcW w:w="2600" w:type="dxa"/>
            <w:vAlign w:val="bottom"/>
            <w:tcBorders>
              <w:bottom w:val="single" w:sz="8" w:color="auto"/>
            </w:tcBorders>
            <w:shd w:val="clear" w:color="auto" w:fill="CCCCCC"/>
          </w:tcPr>
          <w:p>
            <w:pPr>
              <w:ind w:left="1960"/>
              <w:spacing w:after="0"/>
              <w:rPr>
                <w:sz w:val="20"/>
                <w:szCs w:val="20"/>
                <w:color w:val="auto"/>
              </w:rPr>
            </w:pPr>
            <w:r>
              <w:rPr>
                <w:rFonts w:ascii="Arial" w:cs="Arial" w:eastAsia="Arial" w:hAnsi="Arial"/>
                <w:sz w:val="16"/>
                <w:szCs w:val="16"/>
                <w:color w:val="auto"/>
              </w:rPr>
              <w:t>$ 0</w:t>
            </w:r>
          </w:p>
        </w:tc>
        <w:tc>
          <w:tcPr>
            <w:tcW w:w="60" w:type="dxa"/>
            <w:vAlign w:val="bottom"/>
            <w:tcBorders>
              <w:bottom w:val="single" w:sz="8" w:color="auto"/>
            </w:tcBorders>
            <w:shd w:val="clear" w:color="auto" w:fill="CCCCCC"/>
          </w:tcPr>
          <w:p>
            <w:pPr>
              <w:spacing w:after="0"/>
              <w:rPr>
                <w:sz w:val="23"/>
                <w:szCs w:val="2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 w:right="860" w:hanging="10"/>
        <w:spacing w:after="0" w:line="385" w:lineRule="auto"/>
        <w:tabs>
          <w:tab w:leader="none" w:pos="371" w:val="left"/>
        </w:tabs>
        <w:numPr>
          <w:ilvl w:val="0"/>
          <w:numId w:val="33"/>
        </w:numPr>
        <w:rPr>
          <w:rFonts w:ascii="Arial" w:cs="Arial" w:eastAsia="Arial" w:hAnsi="Arial"/>
          <w:sz w:val="14"/>
          <w:szCs w:val="14"/>
          <w:color w:val="auto"/>
        </w:rPr>
      </w:pPr>
      <w:r>
        <w:rPr>
          <w:rFonts w:ascii="Arial" w:cs="Arial" w:eastAsia="Arial" w:hAnsi="Arial"/>
          <w:sz w:val="14"/>
          <w:szCs w:val="14"/>
          <w:color w:val="auto"/>
        </w:rPr>
        <w:t>Straight-line interpolation used to determine achievement between specified goals. Maximum payout was capped at 125% for our CEO. ** Includes unallocated corporate expenses.</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2021 AIP Performance Metrics and Goals – Individual Scorecard Component</w:t>
      </w:r>
    </w:p>
    <w:p>
      <w:pPr>
        <w:spacing w:after="0" w:line="142"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To enhance the pay-for-performance nature of the 2021 AIP, an individual performance component was also included. An individual component had also been included in annual incentive programs for prior years; however, in 2021, the weighting of the individual component was increased from 25% to 50% in order to better incorporate into the program a broader set of goals which the Committee believed were important to our overall success and to each individual executive officer’s contributions to our business. The nature of the component was also changed to be comprised of primarily quantitative financial and operational metrics, with measurable targets based on attainment of specific Business Plan goals and measured utilizing a new “scorecard” approach. The achievement level of the individual scorecard goals was capped at 100% of target payout and was subject to achievement of fixed cost goals set forth in the Business Plan. Scorecard achievement was then multiplied by 0% to 150% based on achievement of AIP Adjusted EBITDA Goals (from Below-Threshold to Maximum) in order to further align individual performance with overall company performance.</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Assuming attainment of fixed cost goals set forth in the Business Plan, the formula for determining the payout under the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Individual Scorecard Component is:</w:t>
      </w:r>
    </w:p>
    <w:p>
      <w:pPr>
        <w:sectPr>
          <w:pgSz w:w="11900" w:h="16838" w:orient="portrait"/>
          <w:cols w:equalWidth="0" w:num="1">
            <w:col w:w="9840"/>
          </w:cols>
          <w:pgMar w:left="1020" w:top="263" w:right="1039" w:bottom="1440" w:gutter="0" w:footer="0" w:header="0"/>
        </w:sectPr>
      </w:pPr>
    </w:p>
    <w:p>
      <w:pPr>
        <w:spacing w:after="0" w:line="115" w:lineRule="exact"/>
        <w:rPr>
          <w:sz w:val="20"/>
          <w:szCs w:val="20"/>
          <w:color w:val="auto"/>
        </w:rPr>
      </w:pPr>
    </w:p>
    <w:p>
      <w:pPr>
        <w:jc w:val="center"/>
        <w:ind w:left="1480"/>
        <w:spacing w:after="0"/>
        <w:rPr>
          <w:sz w:val="20"/>
          <w:szCs w:val="20"/>
          <w:color w:val="auto"/>
        </w:rPr>
      </w:pPr>
      <w:r>
        <w:rPr>
          <w:rFonts w:ascii="Arial" w:cs="Arial" w:eastAsia="Arial" w:hAnsi="Arial"/>
          <w:sz w:val="17"/>
          <w:szCs w:val="17"/>
          <w:i w:val="1"/>
          <w:iCs w:val="1"/>
          <w:color w:val="auto"/>
        </w:rPr>
        <w:t>Individual Scorecard Achievement</w:t>
      </w:r>
    </w:p>
    <w:p>
      <w:pPr>
        <w:spacing w:after="0" w:line="23" w:lineRule="exact"/>
        <w:rPr>
          <w:sz w:val="20"/>
          <w:szCs w:val="20"/>
          <w:color w:val="auto"/>
        </w:rPr>
      </w:pPr>
    </w:p>
    <w:p>
      <w:pPr>
        <w:jc w:val="center"/>
        <w:ind w:left="1480"/>
        <w:spacing w:after="0"/>
        <w:rPr>
          <w:sz w:val="20"/>
          <w:szCs w:val="20"/>
          <w:color w:val="auto"/>
        </w:rPr>
      </w:pPr>
      <w:r>
        <w:rPr>
          <w:rFonts w:ascii="Arial" w:cs="Arial" w:eastAsia="Arial" w:hAnsi="Arial"/>
          <w:sz w:val="18"/>
          <w:szCs w:val="18"/>
          <w:i w:val="1"/>
          <w:iCs w:val="1"/>
          <w:color w:val="auto"/>
        </w:rPr>
        <w:t>(0% - 100%)</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X</w:t>
        <w:tab/>
        <w:t>Achievement of AIP Adjusted EBITDA Goals</w:t>
      </w:r>
    </w:p>
    <w:p>
      <w:pPr>
        <w:spacing w:after="0" w:line="12"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(0% - 150%)</w:t>
      </w:r>
    </w:p>
    <w:p>
      <w:pPr>
        <w:spacing w:after="0" w:line="200" w:lineRule="exact"/>
        <w:rPr>
          <w:sz w:val="20"/>
          <w:szCs w:val="20"/>
          <w:color w:val="auto"/>
        </w:rPr>
      </w:pPr>
    </w:p>
    <w:p>
      <w:pPr>
        <w:sectPr>
          <w:pgSz w:w="11900" w:h="16838" w:orient="portrait"/>
          <w:cols w:equalWidth="0" w:num="2">
            <w:col w:w="4200" w:space="480"/>
            <w:col w:w="5160"/>
          </w:cols>
          <w:pgMar w:left="1020" w:top="263" w:right="1039" w:bottom="1440" w:gutter="0" w:footer="0" w:header="0"/>
          <w:type w:val="continuous"/>
        </w:sectPr>
      </w:pPr>
    </w:p>
    <w:p>
      <w:pPr>
        <w:spacing w:after="0" w:line="21"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The Committee established individual performance metrics and goals for each NEO’s scorecard based on key objectives in support of the Business Plan and the Company’s overall strategy. Individual performance metrics for our CEO included, among others, revenue, fleet utilization and improved customer satisfaction, with 75% being quantitative. With few exceptions, the substantial majority of scorecard metrics and goals for our executives were quantitative with a limited percentage being qualitative but still based on achievement of specific objectives. For our Chief Human Resources Officer and our General Counsel, qualitative metrics included enhancing the transparency and quality of the Company’s ESG disclosures. For our Chief Digital Officer, a larger portion of the metrics were qualitative compared to other executives given the nature of his role.</w:t>
      </w:r>
    </w:p>
    <w:p>
      <w:pPr>
        <w:spacing w:after="0" w:line="99"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In order for an NEO to be eligible for any payout under the individual component of the 2021 AIP, Threshold AIP Adjusted EBITDA Goals were required to be met and each executive had to meet specific fixed cost goals under the Business Plan.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type w:val="continuous"/>
        </w:sectPr>
      </w:pPr>
    </w:p>
    <w:bookmarkStart w:id="30" w:name="page31"/>
    <w:bookmarkEnd w:id="30"/>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Set forth below is an illustrative example of a scorecard; however it does not represent the actual scorecard of any of our NEOs.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Illustrative Scorecard Example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900" w:type="dxa"/>
            <w:vAlign w:val="bottom"/>
            <w:tcBorders>
              <w:top w:val="single" w:sz="8" w:color="auto"/>
              <w:bottom w:val="single" w:sz="8" w:color="CCCCCC"/>
              <w:right w:val="single" w:sz="8" w:color="auto"/>
            </w:tcBorders>
            <w:shd w:val="clear" w:color="auto" w:fill="CCCCCC"/>
          </w:tcPr>
          <w:p>
            <w:pPr>
              <w:ind w:left="100"/>
              <w:spacing w:after="0"/>
              <w:rPr>
                <w:sz w:val="20"/>
                <w:szCs w:val="20"/>
                <w:color w:val="auto"/>
              </w:rPr>
            </w:pPr>
            <w:r>
              <w:rPr>
                <w:rFonts w:ascii="Arial" w:cs="Arial" w:eastAsia="Arial" w:hAnsi="Arial"/>
                <w:sz w:val="14"/>
                <w:szCs w:val="14"/>
                <w:b w:val="1"/>
                <w:bCs w:val="1"/>
                <w:color w:val="auto"/>
              </w:rPr>
              <w:t>Weight</w:t>
            </w:r>
          </w:p>
        </w:tc>
        <w:tc>
          <w:tcPr>
            <w:tcW w:w="1880" w:type="dxa"/>
            <w:vAlign w:val="bottom"/>
            <w:tcBorders>
              <w:top w:val="single" w:sz="8" w:color="auto"/>
              <w:bottom w:val="single" w:sz="8" w:color="CCCCCC"/>
              <w:right w:val="single" w:sz="8" w:color="auto"/>
            </w:tcBorders>
            <w:shd w:val="clear" w:color="auto" w:fill="CCCCCC"/>
          </w:tcPr>
          <w:p>
            <w:pPr>
              <w:ind w:left="720"/>
              <w:spacing w:after="0"/>
              <w:rPr>
                <w:sz w:val="20"/>
                <w:szCs w:val="20"/>
                <w:color w:val="auto"/>
              </w:rPr>
            </w:pPr>
            <w:r>
              <w:rPr>
                <w:rFonts w:ascii="Arial" w:cs="Arial" w:eastAsia="Arial" w:hAnsi="Arial"/>
                <w:sz w:val="14"/>
                <w:szCs w:val="14"/>
                <w:b w:val="1"/>
                <w:bCs w:val="1"/>
                <w:color w:val="auto"/>
              </w:rPr>
              <w:t>Metric</w:t>
            </w:r>
          </w:p>
        </w:tc>
        <w:tc>
          <w:tcPr>
            <w:tcW w:w="2260" w:type="dxa"/>
            <w:vAlign w:val="bottom"/>
            <w:tcBorders>
              <w:top w:val="single" w:sz="8" w:color="auto"/>
              <w:bottom w:val="single" w:sz="8" w:color="CCCCCC"/>
              <w:right w:val="single" w:sz="8" w:color="auto"/>
            </w:tcBorders>
            <w:shd w:val="clear" w:color="auto" w:fill="CCCCCC"/>
          </w:tcPr>
          <w:p>
            <w:pPr>
              <w:ind w:left="200"/>
              <w:spacing w:after="0"/>
              <w:rPr>
                <w:sz w:val="20"/>
                <w:szCs w:val="20"/>
                <w:color w:val="auto"/>
              </w:rPr>
            </w:pPr>
            <w:r>
              <w:rPr>
                <w:rFonts w:ascii="Arial" w:cs="Arial" w:eastAsia="Arial" w:hAnsi="Arial"/>
                <w:sz w:val="14"/>
                <w:szCs w:val="14"/>
                <w:b w:val="1"/>
                <w:bCs w:val="1"/>
                <w:color w:val="auto"/>
              </w:rPr>
              <w:t>Key Performance Indicator</w:t>
            </w:r>
          </w:p>
        </w:tc>
        <w:tc>
          <w:tcPr>
            <w:tcW w:w="3340" w:type="dxa"/>
            <w:vAlign w:val="bottom"/>
            <w:tcBorders>
              <w:top w:val="single" w:sz="8" w:color="auto"/>
              <w:bottom w:val="single" w:sz="8" w:color="CCCCCC"/>
              <w:right w:val="single" w:sz="8" w:color="auto"/>
            </w:tcBorders>
            <w:shd w:val="clear" w:color="auto" w:fill="CCCCCC"/>
          </w:tcPr>
          <w:p>
            <w:pPr>
              <w:ind w:left="1500"/>
              <w:spacing w:after="0"/>
              <w:rPr>
                <w:sz w:val="20"/>
                <w:szCs w:val="20"/>
                <w:color w:val="auto"/>
              </w:rPr>
            </w:pPr>
            <w:r>
              <w:rPr>
                <w:rFonts w:ascii="Arial" w:cs="Arial" w:eastAsia="Arial" w:hAnsi="Arial"/>
                <w:sz w:val="14"/>
                <w:szCs w:val="14"/>
                <w:b w:val="1"/>
                <w:bCs w:val="1"/>
                <w:color w:val="auto"/>
              </w:rPr>
              <w:t>Goal</w:t>
            </w:r>
          </w:p>
        </w:tc>
        <w:tc>
          <w:tcPr>
            <w:tcW w:w="1460" w:type="dxa"/>
            <w:vAlign w:val="bottom"/>
            <w:tcBorders>
              <w:top w:val="single" w:sz="8" w:color="auto"/>
              <w:bottom w:val="single" w:sz="8" w:color="CCCCCC"/>
            </w:tcBorders>
            <w:shd w:val="clear" w:color="auto" w:fill="CCCCCC"/>
          </w:tcPr>
          <w:p>
            <w:pPr>
              <w:ind w:left="200"/>
              <w:spacing w:after="0"/>
              <w:rPr>
                <w:sz w:val="20"/>
                <w:szCs w:val="20"/>
                <w:color w:val="auto"/>
              </w:rPr>
            </w:pPr>
            <w:r>
              <w:rPr>
                <w:rFonts w:ascii="Arial" w:cs="Arial" w:eastAsia="Arial" w:hAnsi="Arial"/>
                <w:sz w:val="14"/>
                <w:szCs w:val="14"/>
                <w:b w:val="1"/>
                <w:bCs w:val="1"/>
                <w:color w:val="auto"/>
              </w:rPr>
              <w:t>Type of Measure</w:t>
            </w:r>
          </w:p>
        </w:tc>
      </w:tr>
      <w:tr>
        <w:trPr>
          <w:trHeight w:val="336"/>
        </w:trPr>
        <w:tc>
          <w:tcPr>
            <w:tcW w:w="9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~80%</w:t>
            </w:r>
          </w:p>
        </w:tc>
        <w:tc>
          <w:tcPr>
            <w:tcW w:w="1880" w:type="dxa"/>
            <w:vAlign w:val="bottom"/>
            <w:tcBorders>
              <w:top w:val="single" w:sz="8" w:color="auto"/>
              <w:bottom w:val="single" w:sz="8" w:color="F2F2F2"/>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Revenue Growth</w:t>
            </w:r>
          </w:p>
        </w:tc>
        <w:tc>
          <w:tcPr>
            <w:tcW w:w="2260" w:type="dxa"/>
            <w:vAlign w:val="bottom"/>
            <w:tcBorders>
              <w:top w:val="single" w:sz="8" w:color="auto"/>
              <w:bottom w:val="single" w:sz="8" w:color="F2F2F2"/>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Total Revenue</w:t>
            </w:r>
          </w:p>
        </w:tc>
        <w:tc>
          <w:tcPr>
            <w:tcW w:w="33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Based on Business Plan</w:t>
            </w:r>
          </w:p>
        </w:tc>
        <w:tc>
          <w:tcPr>
            <w:tcW w:w="14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Quantitative</w:t>
            </w:r>
          </w:p>
        </w:tc>
      </w:tr>
      <w:tr>
        <w:trPr>
          <w:trHeight w:val="281"/>
        </w:trPr>
        <w:tc>
          <w:tcPr>
            <w:tcW w:w="900" w:type="dxa"/>
            <w:vAlign w:val="bottom"/>
            <w:tcBorders>
              <w:right w:val="single" w:sz="8" w:color="auto"/>
            </w:tcBorders>
          </w:tcPr>
          <w:p>
            <w:pPr>
              <w:spacing w:after="0"/>
              <w:rPr>
                <w:sz w:val="24"/>
                <w:szCs w:val="24"/>
                <w:color w:val="auto"/>
              </w:rPr>
            </w:pPr>
          </w:p>
        </w:tc>
        <w:tc>
          <w:tcPr>
            <w:tcW w:w="18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Cost Control</w:t>
            </w:r>
          </w:p>
        </w:tc>
        <w:tc>
          <w:tcPr>
            <w:tcW w:w="22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Utilization</w:t>
            </w:r>
          </w:p>
        </w:tc>
        <w:tc>
          <w:tcPr>
            <w:tcW w:w="3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r>
      <w:tr>
        <w:trPr>
          <w:trHeight w:val="50"/>
        </w:trPr>
        <w:tc>
          <w:tcPr>
            <w:tcW w:w="900" w:type="dxa"/>
            <w:vAlign w:val="bottom"/>
            <w:tcBorders>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3340" w:type="dxa"/>
            <w:vAlign w:val="bottom"/>
            <w:tcBorders>
              <w:right w:val="single" w:sz="8" w:color="auto"/>
            </w:tcBorders>
          </w:tcPr>
          <w:p>
            <w:pPr>
              <w:spacing w:after="0"/>
              <w:rPr>
                <w:sz w:val="4"/>
                <w:szCs w:val="4"/>
                <w:color w:val="auto"/>
              </w:rPr>
            </w:pPr>
          </w:p>
        </w:tc>
        <w:tc>
          <w:tcPr>
            <w:tcW w:w="1460" w:type="dxa"/>
            <w:vAlign w:val="bottom"/>
          </w:tcPr>
          <w:p>
            <w:pPr>
              <w:spacing w:after="0"/>
              <w:rPr>
                <w:sz w:val="4"/>
                <w:szCs w:val="4"/>
                <w:color w:val="auto"/>
              </w:rPr>
            </w:pPr>
          </w:p>
        </w:tc>
      </w:tr>
      <w:tr>
        <w:trPr>
          <w:trHeight w:val="331"/>
        </w:trPr>
        <w:tc>
          <w:tcPr>
            <w:tcW w:w="900" w:type="dxa"/>
            <w:vAlign w:val="bottom"/>
            <w:tcBorders>
              <w:right w:val="single" w:sz="8" w:color="auto"/>
            </w:tcBorders>
          </w:tcPr>
          <w:p>
            <w:pPr>
              <w:spacing w:after="0"/>
              <w:rPr>
                <w:sz w:val="24"/>
                <w:szCs w:val="24"/>
                <w:color w:val="auto"/>
              </w:rPr>
            </w:pPr>
          </w:p>
        </w:tc>
        <w:tc>
          <w:tcPr>
            <w:tcW w:w="1880" w:type="dxa"/>
            <w:vAlign w:val="bottom"/>
            <w:tcBorders>
              <w:bottom w:val="single" w:sz="8" w:color="F2F2F2"/>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Customer Service</w:t>
            </w:r>
          </w:p>
        </w:tc>
        <w:tc>
          <w:tcPr>
            <w:tcW w:w="2260" w:type="dxa"/>
            <w:vAlign w:val="bottom"/>
            <w:tcBorders>
              <w:bottom w:val="single" w:sz="8" w:color="F2F2F2"/>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Net Promoter Score</w:t>
            </w:r>
          </w:p>
        </w:tc>
        <w:tc>
          <w:tcPr>
            <w:tcW w:w="334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r>
      <w:tr>
        <w:trPr>
          <w:trHeight w:val="281"/>
        </w:trPr>
        <w:tc>
          <w:tcPr>
            <w:tcW w:w="9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w:t>
            </w:r>
          </w:p>
        </w:tc>
        <w:tc>
          <w:tcPr>
            <w:tcW w:w="18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22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Varies</w:t>
            </w:r>
          </w:p>
        </w:tc>
        <w:tc>
          <w:tcPr>
            <w:tcW w:w="33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Varies (i.e., completion, roll-out, etc.)</w:t>
            </w:r>
          </w:p>
        </w:tc>
        <w:tc>
          <w:tcPr>
            <w:tcW w:w="14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Qualitative</w:t>
            </w:r>
          </w:p>
        </w:tc>
      </w:tr>
      <w:tr>
        <w:trPr>
          <w:trHeight w:val="50"/>
        </w:trPr>
        <w:tc>
          <w:tcPr>
            <w:tcW w:w="9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6240780" cy="797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40780" cy="797560"/>
                    </a:xfrm>
                    <a:prstGeom prst="rect">
                      <a:avLst/>
                    </a:prstGeom>
                    <a:noFill/>
                  </pic:spPr>
                </pic:pic>
              </a:graphicData>
            </a:graphic>
          </wp:anchor>
        </w:drawing>
      </w:r>
    </w:p>
    <w:p>
      <w:pPr>
        <w:spacing w:after="0" w:line="29" w:lineRule="exact"/>
        <w:rPr>
          <w:sz w:val="20"/>
          <w:szCs w:val="20"/>
          <w:color w:val="auto"/>
        </w:rPr>
      </w:pPr>
    </w:p>
    <w:p>
      <w:pPr>
        <w:ind w:left="700" w:right="820" w:hanging="262"/>
        <w:spacing w:after="0" w:line="271" w:lineRule="auto"/>
        <w:tabs>
          <w:tab w:leader="none" w:pos="680" w:val="left"/>
        </w:tabs>
        <w:rPr>
          <w:sz w:val="20"/>
          <w:szCs w:val="20"/>
          <w:color w:val="auto"/>
        </w:rPr>
      </w:pPr>
      <w:r>
        <w:rPr>
          <w:rFonts w:ascii="Arial" w:cs="Arial" w:eastAsia="Arial" w:hAnsi="Arial"/>
          <w:sz w:val="18"/>
          <w:szCs w:val="18"/>
          <w:color w:val="auto"/>
        </w:rPr>
        <w:t>•</w:t>
        <w:tab/>
        <w:t>Payout is subject to (1) adherence to fixed cost goals set forth in the Business Plan and (2) attainment of Threshold AIP Adjusted EBITDA Goals</w:t>
      </w:r>
    </w:p>
    <w:p>
      <w:pPr>
        <w:spacing w:after="0" w:line="73" w:lineRule="exact"/>
        <w:rPr>
          <w:sz w:val="20"/>
          <w:szCs w:val="20"/>
          <w:color w:val="auto"/>
        </w:rPr>
      </w:pPr>
    </w:p>
    <w:p>
      <w:pPr>
        <w:jc w:val="both"/>
        <w:ind w:left="700" w:right="240" w:hanging="262"/>
        <w:spacing w:after="0" w:line="253" w:lineRule="auto"/>
        <w:tabs>
          <w:tab w:leader="none" w:pos="680" w:val="left"/>
        </w:tabs>
        <w:rPr>
          <w:sz w:val="20"/>
          <w:szCs w:val="20"/>
          <w:color w:val="auto"/>
        </w:rPr>
      </w:pPr>
      <w:r>
        <w:rPr>
          <w:rFonts w:ascii="Arial" w:cs="Arial" w:eastAsia="Arial" w:hAnsi="Arial"/>
          <w:sz w:val="18"/>
          <w:szCs w:val="18"/>
          <w:color w:val="auto"/>
        </w:rPr>
        <w:t>•</w:t>
        <w:tab/>
        <w:t>Achievement of each individual scorecard goal is capped at 100% of target, and results multiplied by 0%-150% based on attainment of AIP Adjusted EBITDA Goals (from Below-Threshold to Maximum). Over-achievement of one goal cannot make up for under-achievement in any other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62407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2021 AIP Results and Payouts</w:t>
      </w:r>
    </w:p>
    <w:p>
      <w:pPr>
        <w:spacing w:after="0" w:line="129"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Payouts under the Adjusted EBITDA component of the 2021 AIP were 150% of target, reflecting the Company’s attainment of total Adjusted EBITDA of $2,411 million, including Adjusted EBITDA of $118 million for the International region, which exceeded the Maximum AIP Adjusted EBITDA Goals. Payouts under the Individual Component were based on scorecard results multiplied by attainment of the applicable AIP Adjusted EBITDA Goals and reflected that each NEO adhered to fixed cost goals. Accordingly, actual payouts under the 2021 AIP were as follows:</w:t>
      </w:r>
    </w:p>
    <w:p>
      <w:pPr>
        <w:spacing w:after="0" w:line="101" w:lineRule="exact"/>
        <w:rPr>
          <w:sz w:val="20"/>
          <w:szCs w:val="20"/>
          <w:color w:val="auto"/>
        </w:rPr>
      </w:pPr>
    </w:p>
    <w:p>
      <w:pPr>
        <w:ind w:left="3720"/>
        <w:spacing w:after="0"/>
        <w:rPr>
          <w:sz w:val="20"/>
          <w:szCs w:val="20"/>
          <w:color w:val="auto"/>
        </w:rPr>
      </w:pPr>
      <w:r>
        <w:rPr>
          <w:rFonts w:ascii="Arial" w:cs="Arial" w:eastAsia="Arial" w:hAnsi="Arial"/>
          <w:sz w:val="14"/>
          <w:szCs w:val="14"/>
          <w:b w:val="1"/>
          <w:bCs w:val="1"/>
          <w:color w:val="auto"/>
        </w:rPr>
        <w:t>Adjusted</w:t>
      </w:r>
    </w:p>
    <w:p>
      <w:pPr>
        <w:ind w:left="3700"/>
        <w:spacing w:after="0" w:line="188" w:lineRule="auto"/>
        <w:rPr>
          <w:sz w:val="20"/>
          <w:szCs w:val="20"/>
          <w:color w:val="auto"/>
        </w:rPr>
      </w:pPr>
      <w:r>
        <w:rPr>
          <w:rFonts w:ascii="Arial" w:cs="Arial" w:eastAsia="Arial" w:hAnsi="Arial"/>
          <w:sz w:val="13"/>
          <w:szCs w:val="13"/>
          <w:b w:val="1"/>
          <w:bCs w:val="1"/>
          <w:color w:val="auto"/>
        </w:rPr>
        <w:t>EBITDA</w:t>
      </w:r>
      <w:r>
        <w:rPr>
          <w:rFonts w:ascii="Arial" w:cs="Arial" w:eastAsia="Arial" w:hAnsi="Arial"/>
          <w:sz w:val="20"/>
          <w:szCs w:val="20"/>
          <w:b w:val="1"/>
          <w:bCs w:val="1"/>
          <w:color w:val="auto"/>
          <w:vertAlign w:val="superscript"/>
        </w:rPr>
        <w:t>(1)</w:t>
      </w: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Component</w:t>
            </w:r>
          </w:p>
        </w:tc>
        <w:tc>
          <w:tcPr>
            <w:tcW w:w="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1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Base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Target (%</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Payout %</w:t>
            </w:r>
          </w:p>
        </w:tc>
        <w:tc>
          <w:tcPr>
            <w:tcW w:w="8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Individual Scorecard</w:t>
            </w:r>
          </w:p>
        </w:tc>
        <w:tc>
          <w:tcPr>
            <w:tcW w:w="8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1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Salary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of Base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(50%</w:t>
            </w:r>
          </w:p>
        </w:tc>
        <w:tc>
          <w:tcPr>
            <w:tcW w:w="8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Component</w:t>
            </w:r>
          </w:p>
        </w:tc>
        <w:tc>
          <w:tcPr>
            <w:tcW w:w="84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Payout</w:t>
            </w: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rPr>
              <w:t>Payout</w:t>
            </w:r>
          </w:p>
        </w:tc>
      </w:tr>
      <w:tr>
        <w:trPr>
          <w:trHeight w:val="196"/>
        </w:trPr>
        <w:tc>
          <w:tcPr>
            <w:tcW w:w="1200" w:type="dxa"/>
            <w:vAlign w:val="bottom"/>
          </w:tcPr>
          <w:p>
            <w:pPr>
              <w:ind w:left="100"/>
              <w:spacing w:after="0"/>
              <w:rPr>
                <w:sz w:val="20"/>
                <w:szCs w:val="20"/>
                <w:color w:val="auto"/>
              </w:rPr>
            </w:pPr>
            <w:r>
              <w:rPr>
                <w:rFonts w:ascii="Arial" w:cs="Arial" w:eastAsia="Arial" w:hAnsi="Arial"/>
                <w:sz w:val="14"/>
                <w:szCs w:val="14"/>
                <w:b w:val="1"/>
                <w:bCs w:val="1"/>
                <w:color w:val="auto"/>
              </w:rPr>
              <w:t>NEO</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Salary)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Weight)</w:t>
            </w:r>
          </w:p>
        </w:tc>
        <w:tc>
          <w:tcPr>
            <w:tcW w:w="800" w:type="dxa"/>
            <w:vAlign w:val="bottom"/>
          </w:tcPr>
          <w:p>
            <w:pPr>
              <w:spacing w:after="0"/>
              <w:rPr>
                <w:sz w:val="17"/>
                <w:szCs w:val="17"/>
                <w:color w:val="auto"/>
              </w:rPr>
            </w:pPr>
          </w:p>
        </w:tc>
        <w:tc>
          <w:tcPr>
            <w:tcW w:w="1700" w:type="dxa"/>
            <w:vAlign w:val="bottom"/>
          </w:tcPr>
          <w:p>
            <w:pPr>
              <w:jc w:val="center"/>
              <w:ind w:left="48"/>
              <w:spacing w:after="0"/>
              <w:rPr>
                <w:sz w:val="20"/>
                <w:szCs w:val="20"/>
                <w:color w:val="auto"/>
              </w:rPr>
            </w:pPr>
            <w:r>
              <w:rPr>
                <w:rFonts w:ascii="Arial" w:cs="Arial" w:eastAsia="Arial" w:hAnsi="Arial"/>
                <w:sz w:val="14"/>
                <w:szCs w:val="14"/>
                <w:b w:val="1"/>
                <w:bCs w:val="1"/>
                <w:color w:val="auto"/>
              </w:rPr>
              <w:t>(50% Weight)</w:t>
            </w:r>
          </w:p>
        </w:tc>
        <w:tc>
          <w:tcPr>
            <w:tcW w:w="840" w:type="dxa"/>
            <w:vAlign w:val="bottom"/>
          </w:tcPr>
          <w:p>
            <w:pPr>
              <w:spacing w:after="0"/>
              <w:rPr>
                <w:sz w:val="17"/>
                <w:szCs w:val="17"/>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w:t>
            </w:r>
          </w:p>
        </w:tc>
      </w:tr>
      <w:tr>
        <w:trPr>
          <w:trHeight w:val="43"/>
        </w:trPr>
        <w:tc>
          <w:tcPr>
            <w:tcW w:w="1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14"/>
        </w:trPr>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Payout</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jc w:val="center"/>
              <w:ind w:left="8"/>
              <w:spacing w:after="0"/>
              <w:rPr>
                <w:sz w:val="20"/>
                <w:szCs w:val="20"/>
                <w:color w:val="auto"/>
              </w:rPr>
            </w:pPr>
            <w:r>
              <w:rPr>
                <w:rFonts w:ascii="Arial" w:cs="Arial" w:eastAsia="Arial" w:hAnsi="Arial"/>
                <w:sz w:val="14"/>
                <w:szCs w:val="14"/>
                <w:b w:val="1"/>
                <w:bCs w:val="1"/>
                <w:color w:val="auto"/>
              </w:rPr>
              <w:t>Score</w:t>
            </w:r>
          </w:p>
        </w:tc>
        <w:tc>
          <w:tcPr>
            <w:tcW w:w="1700" w:type="dxa"/>
            <w:vAlign w:val="bottom"/>
          </w:tcPr>
          <w:p>
            <w:pPr>
              <w:jc w:val="right"/>
              <w:ind w:right="428"/>
              <w:spacing w:after="0"/>
              <w:rPr>
                <w:sz w:val="20"/>
                <w:szCs w:val="20"/>
                <w:color w:val="auto"/>
              </w:rPr>
            </w:pPr>
            <w:r>
              <w:rPr>
                <w:rFonts w:ascii="Arial" w:cs="Arial" w:eastAsia="Arial" w:hAnsi="Arial"/>
                <w:sz w:val="14"/>
                <w:szCs w:val="14"/>
                <w:b w:val="1"/>
                <w:bCs w:val="1"/>
                <w:color w:val="auto"/>
              </w:rPr>
              <w:t>Multiplier %</w:t>
            </w:r>
          </w:p>
        </w:tc>
        <w:tc>
          <w:tcPr>
            <w:tcW w:w="84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3"/>
        </w:trPr>
        <w:tc>
          <w:tcPr>
            <w:tcW w:w="1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90"/>
        </w:trPr>
        <w:tc>
          <w:tcPr>
            <w:tcW w:w="1200" w:type="dxa"/>
            <w:vAlign w:val="bottom"/>
            <w:tcBorders>
              <w:bottom w:val="single" w:sz="8" w:color="auto"/>
            </w:tcBorders>
            <w:shd w:val="clear" w:color="auto" w:fill="CCCCCC"/>
          </w:tcPr>
          <w:p>
            <w:pPr>
              <w:jc w:val="center"/>
              <w:ind w:right="70"/>
              <w:spacing w:after="0" w:line="290" w:lineRule="exact"/>
              <w:rPr>
                <w:sz w:val="20"/>
                <w:szCs w:val="20"/>
                <w:color w:val="auto"/>
              </w:rPr>
            </w:pPr>
            <w:r>
              <w:rPr>
                <w:rFonts w:ascii="Arial" w:cs="Arial" w:eastAsia="Arial" w:hAnsi="Arial"/>
                <w:sz w:val="28"/>
                <w:szCs w:val="28"/>
                <w:color w:val="auto"/>
                <w:w w:val="83"/>
                <w:vertAlign w:val="subscript"/>
              </w:rPr>
              <w:t>CEO</w:t>
            </w:r>
            <w:r>
              <w:rPr>
                <w:rFonts w:ascii="Arial" w:cs="Arial" w:eastAsia="Arial" w:hAnsi="Arial"/>
                <w:sz w:val="12"/>
                <w:szCs w:val="12"/>
                <w:color w:val="auto"/>
                <w:w w:val="83"/>
              </w:rPr>
              <w:t>(2)</w:t>
            </w:r>
          </w:p>
        </w:tc>
        <w:tc>
          <w:tcPr>
            <w:tcW w:w="1080" w:type="dxa"/>
            <w:vAlign w:val="bottom"/>
            <w:tcBorders>
              <w:bottom w:val="single" w:sz="8" w:color="auto"/>
            </w:tcBorders>
            <w:shd w:val="clear" w:color="auto" w:fill="CCCCCC"/>
          </w:tcPr>
          <w:p>
            <w:pPr>
              <w:jc w:val="right"/>
              <w:ind w:right="148"/>
              <w:spacing w:after="0"/>
              <w:rPr>
                <w:sz w:val="20"/>
                <w:szCs w:val="20"/>
                <w:color w:val="auto"/>
              </w:rPr>
            </w:pPr>
            <w:r>
              <w:rPr>
                <w:rFonts w:ascii="Arial" w:cs="Arial" w:eastAsia="Arial" w:hAnsi="Arial"/>
                <w:sz w:val="14"/>
                <w:szCs w:val="14"/>
                <w:color w:val="auto"/>
              </w:rPr>
              <w:t>1,000,000</w:t>
            </w:r>
          </w:p>
        </w:tc>
        <w:tc>
          <w:tcPr>
            <w:tcW w:w="1100" w:type="dxa"/>
            <w:vAlign w:val="bottom"/>
            <w:tcBorders>
              <w:bottom w:val="single" w:sz="8" w:color="auto"/>
            </w:tcBorders>
            <w:shd w:val="clear" w:color="auto" w:fill="CCCCCC"/>
          </w:tcPr>
          <w:p>
            <w:pPr>
              <w:jc w:val="right"/>
              <w:ind w:right="228"/>
              <w:spacing w:after="0"/>
              <w:rPr>
                <w:sz w:val="20"/>
                <w:szCs w:val="20"/>
                <w:color w:val="auto"/>
              </w:rPr>
            </w:pPr>
            <w:r>
              <w:rPr>
                <w:rFonts w:ascii="Arial" w:cs="Arial" w:eastAsia="Arial" w:hAnsi="Arial"/>
                <w:sz w:val="14"/>
                <w:szCs w:val="14"/>
                <w:color w:val="auto"/>
              </w:rPr>
              <w:t>200%</w:t>
            </w:r>
          </w:p>
        </w:tc>
        <w:tc>
          <w:tcPr>
            <w:tcW w:w="1280" w:type="dxa"/>
            <w:vAlign w:val="bottom"/>
            <w:tcBorders>
              <w:bottom w:val="single" w:sz="8" w:color="auto"/>
            </w:tcBorders>
            <w:shd w:val="clear" w:color="auto" w:fill="CCCCCC"/>
          </w:tcPr>
          <w:p>
            <w:pPr>
              <w:jc w:val="right"/>
              <w:ind w:right="288"/>
              <w:spacing w:after="0"/>
              <w:rPr>
                <w:sz w:val="20"/>
                <w:szCs w:val="20"/>
                <w:color w:val="auto"/>
              </w:rPr>
            </w:pPr>
            <w:r>
              <w:rPr>
                <w:rFonts w:ascii="Arial" w:cs="Arial" w:eastAsia="Arial" w:hAnsi="Arial"/>
                <w:sz w:val="14"/>
                <w:szCs w:val="14"/>
                <w:color w:val="auto"/>
              </w:rPr>
              <w:t>150%</w:t>
            </w:r>
          </w:p>
        </w:tc>
        <w:tc>
          <w:tcPr>
            <w:tcW w:w="800" w:type="dxa"/>
            <w:vAlign w:val="bottom"/>
            <w:tcBorders>
              <w:bottom w:val="single" w:sz="8" w:color="auto"/>
            </w:tcBorders>
            <w:shd w:val="clear" w:color="auto" w:fill="CCCCCC"/>
          </w:tcPr>
          <w:p>
            <w:pPr>
              <w:jc w:val="center"/>
              <w:ind w:left="8"/>
              <w:spacing w:after="0"/>
              <w:rPr>
                <w:sz w:val="20"/>
                <w:szCs w:val="20"/>
                <w:color w:val="auto"/>
              </w:rPr>
            </w:pPr>
            <w:r>
              <w:rPr>
                <w:rFonts w:ascii="Arial" w:cs="Arial" w:eastAsia="Arial" w:hAnsi="Arial"/>
                <w:sz w:val="14"/>
                <w:szCs w:val="14"/>
                <w:color w:val="auto"/>
              </w:rPr>
              <w:t>98</w:t>
            </w:r>
          </w:p>
        </w:tc>
        <w:tc>
          <w:tcPr>
            <w:tcW w:w="1700" w:type="dxa"/>
            <w:vAlign w:val="bottom"/>
            <w:tcBorders>
              <w:bottom w:val="single" w:sz="8" w:color="auto"/>
            </w:tcBorders>
            <w:shd w:val="clear" w:color="auto" w:fill="CCCCCC"/>
          </w:tcPr>
          <w:p>
            <w:pPr>
              <w:jc w:val="right"/>
              <w:ind w:right="588"/>
              <w:spacing w:after="0"/>
              <w:rPr>
                <w:sz w:val="20"/>
                <w:szCs w:val="20"/>
                <w:color w:val="auto"/>
              </w:rPr>
            </w:pPr>
            <w:r>
              <w:rPr>
                <w:rFonts w:ascii="Arial" w:cs="Arial" w:eastAsia="Arial" w:hAnsi="Arial"/>
                <w:sz w:val="14"/>
                <w:szCs w:val="14"/>
                <w:color w:val="auto"/>
              </w:rPr>
              <w:t>150%</w:t>
            </w:r>
          </w:p>
        </w:tc>
        <w:tc>
          <w:tcPr>
            <w:tcW w:w="840" w:type="dxa"/>
            <w:vAlign w:val="bottom"/>
            <w:tcBorders>
              <w:bottom w:val="single" w:sz="8" w:color="auto"/>
            </w:tcBorders>
            <w:shd w:val="clear" w:color="auto" w:fill="CCCCCC"/>
          </w:tcPr>
          <w:p>
            <w:pPr>
              <w:jc w:val="right"/>
              <w:ind w:right="168"/>
              <w:spacing w:after="0"/>
              <w:rPr>
                <w:sz w:val="20"/>
                <w:szCs w:val="20"/>
                <w:color w:val="auto"/>
              </w:rPr>
            </w:pPr>
            <w:r>
              <w:rPr>
                <w:rFonts w:ascii="Arial" w:cs="Arial" w:eastAsia="Arial" w:hAnsi="Arial"/>
                <w:sz w:val="14"/>
                <w:szCs w:val="14"/>
                <w:color w:val="auto"/>
              </w:rPr>
              <w:t>147%</w:t>
            </w:r>
          </w:p>
        </w:tc>
        <w:tc>
          <w:tcPr>
            <w:tcW w:w="920" w:type="dxa"/>
            <w:vAlign w:val="bottom"/>
            <w:tcBorders>
              <w:bottom w:val="single" w:sz="8" w:color="auto"/>
            </w:tcBorders>
            <w:shd w:val="clear" w:color="auto" w:fill="CCCCCC"/>
          </w:tcPr>
          <w:p>
            <w:pPr>
              <w:jc w:val="right"/>
              <w:ind w:right="128"/>
              <w:spacing w:after="0"/>
              <w:rPr>
                <w:sz w:val="20"/>
                <w:szCs w:val="20"/>
                <w:color w:val="auto"/>
              </w:rPr>
            </w:pPr>
            <w:r>
              <w:rPr>
                <w:rFonts w:ascii="Arial" w:cs="Arial" w:eastAsia="Arial" w:hAnsi="Arial"/>
                <w:sz w:val="14"/>
                <w:szCs w:val="14"/>
                <w:color w:val="auto"/>
              </w:rPr>
              <w:t>125%</w:t>
            </w:r>
          </w:p>
        </w:tc>
        <w:tc>
          <w:tcPr>
            <w:tcW w:w="9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2,500,000</w:t>
            </w:r>
          </w:p>
        </w:tc>
      </w:tr>
      <w:tr>
        <w:trPr>
          <w:trHeight w:val="242"/>
        </w:trPr>
        <w:tc>
          <w:tcPr>
            <w:tcW w:w="1200" w:type="dxa"/>
            <w:vAlign w:val="bottom"/>
          </w:tcPr>
          <w:p>
            <w:pPr>
              <w:jc w:val="center"/>
              <w:ind w:right="70"/>
              <w:spacing w:after="0"/>
              <w:rPr>
                <w:sz w:val="20"/>
                <w:szCs w:val="20"/>
                <w:color w:val="auto"/>
              </w:rPr>
            </w:pPr>
            <w:r>
              <w:rPr>
                <w:rFonts w:ascii="Arial" w:cs="Arial" w:eastAsia="Arial" w:hAnsi="Arial"/>
                <w:sz w:val="14"/>
                <w:szCs w:val="14"/>
                <w:color w:val="auto"/>
              </w:rPr>
              <w:t>CFO</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500,000</w:t>
            </w:r>
          </w:p>
        </w:tc>
        <w:tc>
          <w:tcPr>
            <w:tcW w:w="1100" w:type="dxa"/>
            <w:vAlign w:val="bottom"/>
          </w:tcPr>
          <w:p>
            <w:pPr>
              <w:jc w:val="right"/>
              <w:ind w:right="228"/>
              <w:spacing w:after="0"/>
              <w:rPr>
                <w:sz w:val="20"/>
                <w:szCs w:val="20"/>
                <w:color w:val="auto"/>
              </w:rPr>
            </w:pPr>
            <w:r>
              <w:rPr>
                <w:rFonts w:ascii="Arial" w:cs="Arial" w:eastAsia="Arial" w:hAnsi="Arial"/>
                <w:sz w:val="14"/>
                <w:szCs w:val="14"/>
                <w:color w:val="auto"/>
              </w:rPr>
              <w:t>100%</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150%</w:t>
            </w:r>
          </w:p>
        </w:tc>
        <w:tc>
          <w:tcPr>
            <w:tcW w:w="800" w:type="dxa"/>
            <w:vAlign w:val="bottom"/>
          </w:tcPr>
          <w:p>
            <w:pPr>
              <w:jc w:val="center"/>
              <w:ind w:left="8"/>
              <w:spacing w:after="0"/>
              <w:rPr>
                <w:sz w:val="20"/>
                <w:szCs w:val="20"/>
                <w:color w:val="auto"/>
              </w:rPr>
            </w:pPr>
            <w:r>
              <w:rPr>
                <w:rFonts w:ascii="Arial" w:cs="Arial" w:eastAsia="Arial" w:hAnsi="Arial"/>
                <w:sz w:val="14"/>
                <w:szCs w:val="14"/>
                <w:color w:val="auto"/>
              </w:rPr>
              <w:t>98</w:t>
            </w:r>
          </w:p>
        </w:tc>
        <w:tc>
          <w:tcPr>
            <w:tcW w:w="1700" w:type="dxa"/>
            <w:vAlign w:val="bottom"/>
          </w:tcPr>
          <w:p>
            <w:pPr>
              <w:jc w:val="right"/>
              <w:ind w:right="588"/>
              <w:spacing w:after="0"/>
              <w:rPr>
                <w:sz w:val="20"/>
                <w:szCs w:val="20"/>
                <w:color w:val="auto"/>
              </w:rPr>
            </w:pPr>
            <w:r>
              <w:rPr>
                <w:rFonts w:ascii="Arial" w:cs="Arial" w:eastAsia="Arial" w:hAnsi="Arial"/>
                <w:sz w:val="14"/>
                <w:szCs w:val="14"/>
                <w:color w:val="auto"/>
              </w:rPr>
              <w:t>150%</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147%</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149%</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742,500</w:t>
            </w:r>
          </w:p>
        </w:tc>
      </w:tr>
      <w:tr>
        <w:trPr>
          <w:trHeight w:val="49"/>
        </w:trPr>
        <w:tc>
          <w:tcPr>
            <w:tcW w:w="1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97"/>
        </w:trPr>
        <w:tc>
          <w:tcPr>
            <w:tcW w:w="1200" w:type="dxa"/>
            <w:vAlign w:val="bottom"/>
            <w:shd w:val="clear" w:color="auto" w:fill="CCCCCC"/>
          </w:tcPr>
          <w:p>
            <w:pPr>
              <w:jc w:val="center"/>
              <w:ind w:right="110"/>
              <w:spacing w:after="0"/>
              <w:rPr>
                <w:sz w:val="20"/>
                <w:szCs w:val="20"/>
                <w:color w:val="auto"/>
              </w:rPr>
            </w:pPr>
            <w:r>
              <w:rPr>
                <w:rFonts w:ascii="Arial" w:cs="Arial" w:eastAsia="Arial" w:hAnsi="Arial"/>
                <w:sz w:val="14"/>
                <w:szCs w:val="14"/>
                <w:color w:val="auto"/>
              </w:rPr>
              <w:t>Chief Digital</w:t>
            </w:r>
          </w:p>
        </w:tc>
        <w:tc>
          <w:tcPr>
            <w:tcW w:w="108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394,231</w:t>
            </w:r>
          </w:p>
        </w:tc>
        <w:tc>
          <w:tcPr>
            <w:tcW w:w="110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100%</w:t>
            </w:r>
          </w:p>
        </w:tc>
        <w:tc>
          <w:tcPr>
            <w:tcW w:w="1280" w:type="dxa"/>
            <w:vAlign w:val="bottom"/>
            <w:shd w:val="clear" w:color="auto" w:fill="CCCCCC"/>
          </w:tcPr>
          <w:p>
            <w:pPr>
              <w:jc w:val="right"/>
              <w:ind w:right="288"/>
              <w:spacing w:after="0"/>
              <w:rPr>
                <w:sz w:val="20"/>
                <w:szCs w:val="20"/>
                <w:color w:val="auto"/>
              </w:rPr>
            </w:pPr>
            <w:r>
              <w:rPr>
                <w:rFonts w:ascii="Arial" w:cs="Arial" w:eastAsia="Arial" w:hAnsi="Arial"/>
                <w:sz w:val="14"/>
                <w:szCs w:val="14"/>
                <w:color w:val="auto"/>
              </w:rPr>
              <w:t>150%</w:t>
            </w:r>
          </w:p>
        </w:tc>
        <w:tc>
          <w:tcPr>
            <w:tcW w:w="800" w:type="dxa"/>
            <w:vAlign w:val="bottom"/>
            <w:shd w:val="clear" w:color="auto" w:fill="CCCCCC"/>
          </w:tcPr>
          <w:p>
            <w:pPr>
              <w:jc w:val="center"/>
              <w:ind w:left="8"/>
              <w:spacing w:after="0"/>
              <w:rPr>
                <w:sz w:val="20"/>
                <w:szCs w:val="20"/>
                <w:color w:val="auto"/>
              </w:rPr>
            </w:pPr>
            <w:r>
              <w:rPr>
                <w:rFonts w:ascii="Arial" w:cs="Arial" w:eastAsia="Arial" w:hAnsi="Arial"/>
                <w:sz w:val="14"/>
                <w:szCs w:val="14"/>
                <w:color w:val="auto"/>
              </w:rPr>
              <w:t>90</w:t>
            </w:r>
          </w:p>
        </w:tc>
        <w:tc>
          <w:tcPr>
            <w:tcW w:w="1700" w:type="dxa"/>
            <w:vAlign w:val="bottom"/>
            <w:shd w:val="clear" w:color="auto" w:fill="CCCCCC"/>
          </w:tcPr>
          <w:p>
            <w:pPr>
              <w:jc w:val="right"/>
              <w:ind w:right="588"/>
              <w:spacing w:after="0"/>
              <w:rPr>
                <w:sz w:val="20"/>
                <w:szCs w:val="20"/>
                <w:color w:val="auto"/>
              </w:rPr>
            </w:pPr>
            <w:r>
              <w:rPr>
                <w:rFonts w:ascii="Arial" w:cs="Arial" w:eastAsia="Arial" w:hAnsi="Arial"/>
                <w:sz w:val="14"/>
                <w:szCs w:val="14"/>
                <w:color w:val="auto"/>
              </w:rPr>
              <w:t>150%</w:t>
            </w:r>
          </w:p>
        </w:tc>
        <w:tc>
          <w:tcPr>
            <w:tcW w:w="84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135%</w:t>
            </w:r>
          </w:p>
        </w:tc>
        <w:tc>
          <w:tcPr>
            <w:tcW w:w="92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143%</w:t>
            </w:r>
          </w:p>
        </w:tc>
        <w:tc>
          <w:tcPr>
            <w:tcW w:w="92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712,500</w:t>
            </w:r>
          </w:p>
        </w:tc>
      </w:tr>
      <w:tr>
        <w:trPr>
          <w:trHeight w:val="255"/>
        </w:trPr>
        <w:tc>
          <w:tcPr>
            <w:tcW w:w="1200" w:type="dxa"/>
            <w:vAlign w:val="bottom"/>
            <w:tcBorders>
              <w:bottom w:val="single" w:sz="8" w:color="auto"/>
            </w:tcBorders>
            <w:shd w:val="clear" w:color="auto" w:fill="CCCCCC"/>
          </w:tcPr>
          <w:p>
            <w:pPr>
              <w:jc w:val="center"/>
              <w:ind w:right="50"/>
              <w:spacing w:after="0" w:line="255" w:lineRule="exact"/>
              <w:rPr>
                <w:sz w:val="20"/>
                <w:szCs w:val="20"/>
                <w:color w:val="auto"/>
              </w:rPr>
            </w:pPr>
            <w:r>
              <w:rPr>
                <w:rFonts w:ascii="Arial" w:cs="Arial" w:eastAsia="Arial" w:hAnsi="Arial"/>
                <w:sz w:val="14"/>
                <w:szCs w:val="14"/>
                <w:color w:val="auto"/>
                <w:w w:val="93"/>
              </w:rPr>
              <w:t>Officer</w:t>
            </w:r>
            <w:r>
              <w:rPr>
                <w:rFonts w:ascii="Arial" w:cs="Arial" w:eastAsia="Arial" w:hAnsi="Arial"/>
                <w:sz w:val="23"/>
                <w:szCs w:val="23"/>
                <w:color w:val="auto"/>
                <w:w w:val="93"/>
                <w:vertAlign w:val="superscript"/>
              </w:rPr>
              <w:t>(3)</w:t>
            </w:r>
          </w:p>
        </w:tc>
        <w:tc>
          <w:tcPr>
            <w:tcW w:w="1080" w:type="dxa"/>
            <w:vAlign w:val="bottom"/>
            <w:tcBorders>
              <w:bottom w:val="single" w:sz="8" w:color="auto"/>
            </w:tcBorders>
            <w:shd w:val="clear" w:color="auto" w:fill="CCCCCC"/>
          </w:tcPr>
          <w:p>
            <w:pPr>
              <w:spacing w:after="0"/>
              <w:rPr>
                <w:sz w:val="22"/>
                <w:szCs w:val="22"/>
                <w:color w:val="auto"/>
              </w:rPr>
            </w:pPr>
          </w:p>
        </w:tc>
        <w:tc>
          <w:tcPr>
            <w:tcW w:w="1100" w:type="dxa"/>
            <w:vAlign w:val="bottom"/>
            <w:tcBorders>
              <w:bottom w:val="single" w:sz="8" w:color="auto"/>
            </w:tcBorders>
            <w:shd w:val="clear" w:color="auto" w:fill="CCCCCC"/>
          </w:tcPr>
          <w:p>
            <w:pPr>
              <w:spacing w:after="0"/>
              <w:rPr>
                <w:sz w:val="22"/>
                <w:szCs w:val="22"/>
                <w:color w:val="auto"/>
              </w:rPr>
            </w:pPr>
          </w:p>
        </w:tc>
        <w:tc>
          <w:tcPr>
            <w:tcW w:w="1280" w:type="dxa"/>
            <w:vAlign w:val="bottom"/>
            <w:tcBorders>
              <w:bottom w:val="single" w:sz="8" w:color="auto"/>
            </w:tcBorders>
            <w:shd w:val="clear" w:color="auto" w:fill="CCCCCC"/>
          </w:tcPr>
          <w:p>
            <w:pPr>
              <w:spacing w:after="0"/>
              <w:rPr>
                <w:sz w:val="22"/>
                <w:szCs w:val="22"/>
                <w:color w:val="auto"/>
              </w:rPr>
            </w:pPr>
          </w:p>
        </w:tc>
        <w:tc>
          <w:tcPr>
            <w:tcW w:w="800" w:type="dxa"/>
            <w:vAlign w:val="bottom"/>
            <w:tcBorders>
              <w:bottom w:val="single" w:sz="8" w:color="auto"/>
            </w:tcBorders>
            <w:shd w:val="clear" w:color="auto" w:fill="CCCCCC"/>
          </w:tcPr>
          <w:p>
            <w:pPr>
              <w:spacing w:after="0"/>
              <w:rPr>
                <w:sz w:val="22"/>
                <w:szCs w:val="22"/>
                <w:color w:val="auto"/>
              </w:rPr>
            </w:pPr>
          </w:p>
        </w:tc>
        <w:tc>
          <w:tcPr>
            <w:tcW w:w="1700" w:type="dxa"/>
            <w:vAlign w:val="bottom"/>
            <w:tcBorders>
              <w:bottom w:val="single" w:sz="8" w:color="auto"/>
            </w:tcBorders>
            <w:shd w:val="clear" w:color="auto" w:fill="CCCCCC"/>
          </w:tcPr>
          <w:p>
            <w:pPr>
              <w:spacing w:after="0"/>
              <w:rPr>
                <w:sz w:val="22"/>
                <w:szCs w:val="22"/>
                <w:color w:val="auto"/>
              </w:rPr>
            </w:pPr>
          </w:p>
        </w:tc>
        <w:tc>
          <w:tcPr>
            <w:tcW w:w="840" w:type="dxa"/>
            <w:vAlign w:val="bottom"/>
            <w:tcBorders>
              <w:bottom w:val="single" w:sz="8" w:color="auto"/>
            </w:tcBorders>
            <w:shd w:val="clear" w:color="auto" w:fill="CCCCCC"/>
          </w:tcPr>
          <w:p>
            <w:pPr>
              <w:spacing w:after="0"/>
              <w:rPr>
                <w:sz w:val="22"/>
                <w:szCs w:val="22"/>
                <w:color w:val="auto"/>
              </w:rPr>
            </w:pPr>
          </w:p>
        </w:tc>
        <w:tc>
          <w:tcPr>
            <w:tcW w:w="920" w:type="dxa"/>
            <w:vAlign w:val="bottom"/>
            <w:tcBorders>
              <w:bottom w:val="single" w:sz="8" w:color="auto"/>
            </w:tcBorders>
            <w:shd w:val="clear" w:color="auto" w:fill="CCCCCC"/>
          </w:tcPr>
          <w:p>
            <w:pPr>
              <w:spacing w:after="0"/>
              <w:rPr>
                <w:sz w:val="22"/>
                <w:szCs w:val="22"/>
                <w:color w:val="auto"/>
              </w:rPr>
            </w:pPr>
          </w:p>
        </w:tc>
        <w:tc>
          <w:tcPr>
            <w:tcW w:w="920" w:type="dxa"/>
            <w:vAlign w:val="bottom"/>
            <w:tcBorders>
              <w:bottom w:val="single" w:sz="8" w:color="auto"/>
            </w:tcBorders>
            <w:shd w:val="clear" w:color="auto" w:fill="CCCCCC"/>
          </w:tcPr>
          <w:p>
            <w:pPr>
              <w:spacing w:after="0"/>
              <w:rPr>
                <w:sz w:val="22"/>
                <w:szCs w:val="22"/>
                <w:color w:val="auto"/>
              </w:rPr>
            </w:pPr>
          </w:p>
        </w:tc>
      </w:tr>
      <w:tr>
        <w:trPr>
          <w:trHeight w:val="197"/>
        </w:trPr>
        <w:tc>
          <w:tcPr>
            <w:tcW w:w="1200" w:type="dxa"/>
            <w:vAlign w:val="bottom"/>
          </w:tcPr>
          <w:p>
            <w:pPr>
              <w:jc w:val="center"/>
              <w:ind w:right="90"/>
              <w:spacing w:after="0"/>
              <w:rPr>
                <w:sz w:val="20"/>
                <w:szCs w:val="20"/>
                <w:color w:val="auto"/>
              </w:rPr>
            </w:pPr>
            <w:r>
              <w:rPr>
                <w:rFonts w:ascii="Arial" w:cs="Arial" w:eastAsia="Arial" w:hAnsi="Arial"/>
                <w:sz w:val="14"/>
                <w:szCs w:val="14"/>
                <w:color w:val="auto"/>
              </w:rPr>
              <w:t>President,</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550,250</w:t>
            </w:r>
          </w:p>
        </w:tc>
        <w:tc>
          <w:tcPr>
            <w:tcW w:w="1100" w:type="dxa"/>
            <w:vAlign w:val="bottom"/>
          </w:tcPr>
          <w:p>
            <w:pPr>
              <w:jc w:val="right"/>
              <w:ind w:right="228"/>
              <w:spacing w:after="0"/>
              <w:rPr>
                <w:sz w:val="20"/>
                <w:szCs w:val="20"/>
                <w:color w:val="auto"/>
              </w:rPr>
            </w:pPr>
            <w:r>
              <w:rPr>
                <w:rFonts w:ascii="Arial" w:cs="Arial" w:eastAsia="Arial" w:hAnsi="Arial"/>
                <w:sz w:val="14"/>
                <w:szCs w:val="14"/>
                <w:color w:val="auto"/>
              </w:rPr>
              <w:t>100%</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150%</w:t>
            </w:r>
          </w:p>
        </w:tc>
        <w:tc>
          <w:tcPr>
            <w:tcW w:w="800" w:type="dxa"/>
            <w:vAlign w:val="bottom"/>
          </w:tcPr>
          <w:p>
            <w:pPr>
              <w:jc w:val="center"/>
              <w:ind w:left="8"/>
              <w:spacing w:after="0"/>
              <w:rPr>
                <w:sz w:val="20"/>
                <w:szCs w:val="20"/>
                <w:color w:val="auto"/>
              </w:rPr>
            </w:pPr>
            <w:r>
              <w:rPr>
                <w:rFonts w:ascii="Arial" w:cs="Arial" w:eastAsia="Arial" w:hAnsi="Arial"/>
                <w:sz w:val="14"/>
                <w:szCs w:val="14"/>
                <w:color w:val="auto"/>
              </w:rPr>
              <w:t>94</w:t>
            </w:r>
          </w:p>
        </w:tc>
        <w:tc>
          <w:tcPr>
            <w:tcW w:w="1700" w:type="dxa"/>
            <w:vAlign w:val="bottom"/>
          </w:tcPr>
          <w:p>
            <w:pPr>
              <w:jc w:val="right"/>
              <w:ind w:right="588"/>
              <w:spacing w:after="0"/>
              <w:rPr>
                <w:sz w:val="20"/>
                <w:szCs w:val="20"/>
                <w:color w:val="auto"/>
              </w:rPr>
            </w:pPr>
            <w:r>
              <w:rPr>
                <w:rFonts w:ascii="Arial" w:cs="Arial" w:eastAsia="Arial" w:hAnsi="Arial"/>
                <w:sz w:val="14"/>
                <w:szCs w:val="14"/>
                <w:color w:val="auto"/>
              </w:rPr>
              <w:t>150%</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141%</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146%</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800,599</w:t>
            </w:r>
          </w:p>
        </w:tc>
      </w:tr>
      <w:tr>
        <w:trPr>
          <w:trHeight w:val="215"/>
        </w:trPr>
        <w:tc>
          <w:tcPr>
            <w:tcW w:w="1200" w:type="dxa"/>
            <w:vAlign w:val="bottom"/>
            <w:tcBorders>
              <w:bottom w:val="single" w:sz="8" w:color="auto"/>
            </w:tcBorders>
          </w:tcPr>
          <w:p>
            <w:pPr>
              <w:jc w:val="center"/>
              <w:ind w:right="70"/>
              <w:spacing w:after="0" w:line="215" w:lineRule="exact"/>
              <w:rPr>
                <w:sz w:val="20"/>
                <w:szCs w:val="20"/>
                <w:color w:val="auto"/>
              </w:rPr>
            </w:pPr>
            <w:r>
              <w:rPr>
                <w:rFonts w:ascii="Arial" w:cs="Arial" w:eastAsia="Arial" w:hAnsi="Arial"/>
                <w:sz w:val="14"/>
                <w:szCs w:val="14"/>
                <w:color w:val="auto"/>
                <w:w w:val="98"/>
              </w:rPr>
              <w:t>International</w:t>
            </w:r>
            <w:r>
              <w:rPr>
                <w:rFonts w:ascii="Arial" w:cs="Arial" w:eastAsia="Arial" w:hAnsi="Arial"/>
                <w:sz w:val="23"/>
                <w:szCs w:val="23"/>
                <w:color w:val="auto"/>
                <w:w w:val="98"/>
                <w:vertAlign w:val="superscript"/>
              </w:rPr>
              <w:t>(3)</w:t>
            </w: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1"/>
          <w:szCs w:val="11"/>
          <w:color w:val="auto"/>
        </w:rPr>
        <w:t>(1)</w:t>
      </w:r>
    </w:p>
    <w:p>
      <w:pPr>
        <w:ind w:left="360"/>
        <w:spacing w:after="0" w:line="245" w:lineRule="auto"/>
        <w:rPr>
          <w:sz w:val="20"/>
          <w:szCs w:val="20"/>
          <w:color w:val="auto"/>
        </w:rPr>
      </w:pPr>
      <w:r>
        <w:rPr>
          <w:rFonts w:ascii="Arial" w:cs="Arial" w:eastAsia="Arial" w:hAnsi="Arial"/>
          <w:sz w:val="14"/>
          <w:szCs w:val="14"/>
          <w:color w:val="auto"/>
        </w:rPr>
        <w:t>Based on Global Adjusted EBITDA achievement for our CEO, CFO and Chief Digital Officer, and International Adjusted EBITDA for our President, International.</w:t>
      </w:r>
    </w:p>
    <w:p>
      <w:pPr>
        <w:ind w:left="360" w:hanging="350"/>
        <w:spacing w:after="0" w:line="226" w:lineRule="auto"/>
        <w:tabs>
          <w:tab w:leader="none" w:pos="36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2021 AIP was capped at $2.5 million, or 125% of target, for our CEO.</w:t>
      </w:r>
    </w:p>
    <w:p>
      <w:pPr>
        <w:spacing w:after="0" w:line="40" w:lineRule="exact"/>
        <w:rPr>
          <w:rFonts w:ascii="Arial" w:cs="Arial" w:eastAsia="Arial" w:hAnsi="Arial"/>
          <w:sz w:val="22"/>
          <w:szCs w:val="22"/>
          <w:color w:val="auto"/>
          <w:vertAlign w:val="superscript"/>
        </w:rPr>
      </w:pPr>
    </w:p>
    <w:p>
      <w:pPr>
        <w:ind w:left="360" w:right="20" w:hanging="350"/>
        <w:spacing w:after="0" w:line="203" w:lineRule="auto"/>
        <w:tabs>
          <w:tab w:leader="none" w:pos="36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For Mr. Sita, 2021 salary is prorated to reflect when his employment with the Company commenced. For Mr. Rankin, base salary reflects a monthly average £/$ exchange rate as of the date paid, received or allocated.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31" w:name="page32"/>
    <w:bookmarkEnd w:id="31"/>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A reconciliation of our reported global net income to our reported global Adjusted EBITDA is set forth below (dollars are in millions):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6820" w:type="dxa"/>
            <w:vAlign w:val="bottom"/>
            <w:tcBorders>
              <w:top w:val="single" w:sz="8" w:color="auto"/>
              <w:bottom w:val="single" w:sz="8" w:color="CCCCCC"/>
            </w:tcBorders>
            <w:gridSpan w:val="2"/>
            <w:shd w:val="clear" w:color="auto" w:fill="CCCCCC"/>
          </w:tcPr>
          <w:p>
            <w:pPr>
              <w:ind w:left="100"/>
              <w:spacing w:after="0"/>
              <w:rPr>
                <w:sz w:val="20"/>
                <w:szCs w:val="20"/>
                <w:color w:val="auto"/>
              </w:rPr>
            </w:pPr>
            <w:r>
              <w:rPr>
                <w:rFonts w:ascii="Arial" w:cs="Arial" w:eastAsia="Arial" w:hAnsi="Arial"/>
                <w:sz w:val="14"/>
                <w:szCs w:val="14"/>
                <w:color w:val="auto"/>
              </w:rPr>
              <w:t>Net Income (loss)</w:t>
            </w:r>
          </w:p>
        </w:tc>
        <w:tc>
          <w:tcPr>
            <w:tcW w:w="302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$1,283</w:t>
            </w:r>
          </w:p>
        </w:tc>
      </w:tr>
      <w:tr>
        <w:trPr>
          <w:trHeight w:val="242"/>
        </w:trPr>
        <w:tc>
          <w:tcPr>
            <w:tcW w:w="68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Provision for (benefit from) income taxes</w:t>
            </w: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425</w:t>
            </w:r>
          </w:p>
        </w:tc>
      </w:tr>
      <w:tr>
        <w:trPr>
          <w:trHeight w:val="49"/>
        </w:trPr>
        <w:tc>
          <w:tcPr>
            <w:tcW w:w="50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295"/>
        </w:trPr>
        <w:tc>
          <w:tcPr>
            <w:tcW w:w="6820" w:type="dxa"/>
            <w:vAlign w:val="bottom"/>
            <w:tcBorders>
              <w:bottom w:val="single" w:sz="8" w:color="CCCCCC"/>
            </w:tcBorders>
            <w:gridSpan w:val="2"/>
            <w:shd w:val="clear" w:color="auto" w:fill="CCCCCC"/>
          </w:tcPr>
          <w:p>
            <w:pPr>
              <w:ind w:left="100"/>
              <w:spacing w:after="0"/>
              <w:rPr>
                <w:sz w:val="20"/>
                <w:szCs w:val="20"/>
                <w:color w:val="auto"/>
              </w:rPr>
            </w:pPr>
            <w:r>
              <w:rPr>
                <w:rFonts w:ascii="Arial" w:cs="Arial" w:eastAsia="Arial" w:hAnsi="Arial"/>
                <w:sz w:val="14"/>
                <w:szCs w:val="14"/>
                <w:color w:val="auto"/>
              </w:rPr>
              <w:t>Income (loss) before income taxes</w:t>
            </w:r>
          </w:p>
        </w:tc>
        <w:tc>
          <w:tcPr>
            <w:tcW w:w="30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1,708</w:t>
            </w:r>
          </w:p>
        </w:tc>
      </w:tr>
      <w:tr>
        <w:trPr>
          <w:trHeight w:val="242"/>
        </w:trPr>
        <w:tc>
          <w:tcPr>
            <w:tcW w:w="68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Add:  Non-vehicle related depreciation and amortization</w:t>
            </w: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w:t>
            </w:r>
          </w:p>
        </w:tc>
      </w:tr>
      <w:tr>
        <w:trPr>
          <w:trHeight w:val="49"/>
        </w:trPr>
        <w:tc>
          <w:tcPr>
            <w:tcW w:w="500" w:type="dxa"/>
            <w:vAlign w:val="bottom"/>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295"/>
        </w:trPr>
        <w:tc>
          <w:tcPr>
            <w:tcW w:w="500" w:type="dxa"/>
            <w:vAlign w:val="bottom"/>
          </w:tcPr>
          <w:p>
            <w:pPr>
              <w:spacing w:after="0"/>
              <w:rPr>
                <w:sz w:val="24"/>
                <w:szCs w:val="24"/>
                <w:color w:val="auto"/>
              </w:rPr>
            </w:pPr>
          </w:p>
        </w:tc>
        <w:tc>
          <w:tcPr>
            <w:tcW w:w="63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Interest expense related to corporate debt, net:</w:t>
            </w:r>
          </w:p>
        </w:tc>
        <w:tc>
          <w:tcPr>
            <w:tcW w:w="3020" w:type="dxa"/>
            <w:vAlign w:val="bottom"/>
            <w:tcBorders>
              <w:bottom w:val="single" w:sz="8" w:color="CCCCCC"/>
            </w:tcBorders>
            <w:shd w:val="clear" w:color="auto" w:fill="CCCCCC"/>
          </w:tcPr>
          <w:p>
            <w:pPr>
              <w:spacing w:after="0"/>
              <w:rPr>
                <w:sz w:val="24"/>
                <w:szCs w:val="24"/>
                <w:color w:val="auto"/>
              </w:rPr>
            </w:pPr>
          </w:p>
        </w:tc>
      </w:tr>
      <w:tr>
        <w:trPr>
          <w:trHeight w:val="242"/>
        </w:trPr>
        <w:tc>
          <w:tcPr>
            <w:tcW w:w="500" w:type="dxa"/>
            <w:vAlign w:val="bottom"/>
          </w:tcPr>
          <w:p>
            <w:pPr>
              <w:spacing w:after="0"/>
              <w:rPr>
                <w:sz w:val="21"/>
                <w:szCs w:val="21"/>
                <w:color w:val="auto"/>
              </w:rPr>
            </w:pPr>
          </w:p>
        </w:tc>
        <w:tc>
          <w:tcPr>
            <w:tcW w:w="6320" w:type="dxa"/>
            <w:vAlign w:val="bottom"/>
            <w:tcBorders>
              <w:top w:val="single" w:sz="8" w:color="auto"/>
            </w:tcBorders>
          </w:tcPr>
          <w:p>
            <w:pPr>
              <w:ind w:left="240"/>
              <w:spacing w:after="0"/>
              <w:rPr>
                <w:sz w:val="20"/>
                <w:szCs w:val="20"/>
                <w:color w:val="auto"/>
              </w:rPr>
            </w:pPr>
            <w:r>
              <w:rPr>
                <w:rFonts w:ascii="Arial" w:cs="Arial" w:eastAsia="Arial" w:hAnsi="Arial"/>
                <w:sz w:val="14"/>
                <w:szCs w:val="14"/>
                <w:color w:val="auto"/>
              </w:rPr>
              <w:t>Interest expense</w:t>
            </w: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w:t>
            </w:r>
          </w:p>
        </w:tc>
      </w:tr>
      <w:tr>
        <w:trPr>
          <w:trHeight w:val="49"/>
        </w:trPr>
        <w:tc>
          <w:tcPr>
            <w:tcW w:w="500" w:type="dxa"/>
            <w:vAlign w:val="bottom"/>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295"/>
        </w:trPr>
        <w:tc>
          <w:tcPr>
            <w:tcW w:w="500" w:type="dxa"/>
            <w:vAlign w:val="bottom"/>
          </w:tcPr>
          <w:p>
            <w:pPr>
              <w:spacing w:after="0"/>
              <w:rPr>
                <w:sz w:val="24"/>
                <w:szCs w:val="24"/>
                <w:color w:val="auto"/>
              </w:rPr>
            </w:pPr>
          </w:p>
        </w:tc>
        <w:tc>
          <w:tcPr>
            <w:tcW w:w="6320" w:type="dxa"/>
            <w:vAlign w:val="bottom"/>
            <w:tcBorders>
              <w:bottom w:val="single" w:sz="8" w:color="CCCCCC"/>
            </w:tcBorders>
            <w:shd w:val="clear" w:color="auto" w:fill="CCCCCC"/>
          </w:tcPr>
          <w:p>
            <w:pPr>
              <w:ind w:left="240"/>
              <w:spacing w:after="0"/>
              <w:rPr>
                <w:sz w:val="20"/>
                <w:szCs w:val="20"/>
                <w:color w:val="auto"/>
              </w:rPr>
            </w:pPr>
            <w:r>
              <w:rPr>
                <w:rFonts w:ascii="Arial" w:cs="Arial" w:eastAsia="Arial" w:hAnsi="Arial"/>
                <w:sz w:val="14"/>
                <w:szCs w:val="14"/>
                <w:color w:val="auto"/>
              </w:rPr>
              <w:t>Early extinguishment of debt</w:t>
            </w:r>
          </w:p>
        </w:tc>
        <w:tc>
          <w:tcPr>
            <w:tcW w:w="30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136</w:t>
            </w:r>
          </w:p>
        </w:tc>
      </w:tr>
      <w:tr>
        <w:trPr>
          <w:trHeight w:val="242"/>
        </w:trPr>
        <w:tc>
          <w:tcPr>
            <w:tcW w:w="500" w:type="dxa"/>
            <w:vAlign w:val="bottom"/>
          </w:tcPr>
          <w:p>
            <w:pPr>
              <w:spacing w:after="0"/>
              <w:rPr>
                <w:sz w:val="21"/>
                <w:szCs w:val="21"/>
                <w:color w:val="auto"/>
              </w:rPr>
            </w:pPr>
          </w:p>
        </w:tc>
        <w:tc>
          <w:tcPr>
            <w:tcW w:w="63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Restructuring and other related charges</w:t>
            </w: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48"/>
        </w:trPr>
        <w:tc>
          <w:tcPr>
            <w:tcW w:w="500" w:type="dxa"/>
            <w:vAlign w:val="bottom"/>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296"/>
        </w:trPr>
        <w:tc>
          <w:tcPr>
            <w:tcW w:w="500" w:type="dxa"/>
            <w:vAlign w:val="bottom"/>
          </w:tcPr>
          <w:p>
            <w:pPr>
              <w:spacing w:after="0"/>
              <w:rPr>
                <w:sz w:val="24"/>
                <w:szCs w:val="24"/>
                <w:color w:val="auto"/>
              </w:rPr>
            </w:pPr>
          </w:p>
        </w:tc>
        <w:tc>
          <w:tcPr>
            <w:tcW w:w="63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Transaction-related costs, net</w:t>
            </w:r>
          </w:p>
        </w:tc>
        <w:tc>
          <w:tcPr>
            <w:tcW w:w="30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5</w:t>
            </w:r>
          </w:p>
        </w:tc>
      </w:tr>
      <w:tr>
        <w:trPr>
          <w:trHeight w:val="242"/>
        </w:trPr>
        <w:tc>
          <w:tcPr>
            <w:tcW w:w="500" w:type="dxa"/>
            <w:vAlign w:val="bottom"/>
          </w:tcPr>
          <w:p>
            <w:pPr>
              <w:spacing w:after="0"/>
              <w:rPr>
                <w:sz w:val="21"/>
                <w:szCs w:val="21"/>
                <w:color w:val="auto"/>
              </w:rPr>
            </w:pPr>
          </w:p>
        </w:tc>
        <w:tc>
          <w:tcPr>
            <w:tcW w:w="63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Unprecedented personal-injury and other legal matters, net</w:t>
            </w: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48"/>
        </w:trPr>
        <w:tc>
          <w:tcPr>
            <w:tcW w:w="500" w:type="dxa"/>
            <w:vAlign w:val="bottom"/>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291"/>
        </w:trPr>
        <w:tc>
          <w:tcPr>
            <w:tcW w:w="500" w:type="dxa"/>
            <w:vAlign w:val="bottom"/>
          </w:tcPr>
          <w:p>
            <w:pPr>
              <w:spacing w:after="0"/>
              <w:rPr>
                <w:sz w:val="24"/>
                <w:szCs w:val="24"/>
                <w:color w:val="auto"/>
              </w:rPr>
            </w:pPr>
          </w:p>
        </w:tc>
        <w:tc>
          <w:tcPr>
            <w:tcW w:w="63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COVID-19 charges, net</w:t>
            </w:r>
          </w:p>
        </w:tc>
        <w:tc>
          <w:tcPr>
            <w:tcW w:w="30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(2)</w:t>
            </w:r>
          </w:p>
        </w:tc>
      </w:tr>
      <w:tr>
        <w:trPr>
          <w:trHeight w:val="246"/>
        </w:trPr>
        <w:tc>
          <w:tcPr>
            <w:tcW w:w="682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color w:val="auto"/>
              </w:rPr>
              <w:t>Adjusted EBITDA</w:t>
            </w:r>
          </w:p>
        </w:tc>
        <w:tc>
          <w:tcPr>
            <w:tcW w:w="3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$2,411</w:t>
            </w:r>
          </w:p>
        </w:tc>
      </w:tr>
    </w:tbl>
    <w:p>
      <w:pPr>
        <w:spacing w:after="0" w:line="197"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 titled measures used by other companies.</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Other 2021 Incentive Awards and Bonus Payments</w:t>
      </w:r>
    </w:p>
    <w:p>
      <w:pPr>
        <w:spacing w:after="0" w:line="142"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For our Executive Chairman, who did not participate in the 2021 AIP, the Committee approved an annual incentive award with Adjusted EBITDA as the sole metric, with goals at threshold and target consistent with the 2021 AIP. Target payout opportunity as a percentage of base salary was 100% and total payout opportunity ranged from 50% to 100% of target. The actual payout for this award was calculated to be 100% based on Adjusted EBITDA results described above.</w:t>
      </w:r>
    </w:p>
    <w:p>
      <w:pPr>
        <w:spacing w:after="0" w:line="106"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In connection with his appointment in 2020, our Executive Chairman was awarded a cash incentive award opportunity with a target of $500,000 based on performance over the 12-month period from July 2020 through June 2021. As a result, our Executive Chairman received a payout in 2021 of $ 500,000 in respect of this award, based on the Committee’s review of the performance of our Executive Chairman and the Company since his appointment, over which time the Company’s stock price had more than doubled.</w:t>
      </w:r>
    </w:p>
    <w:p>
      <w:pPr>
        <w:spacing w:after="0" w:line="95"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In connection with his hiring in March 2021, our Chief Digital Officer was awarded a sign-on cash award of $500,000, designed, together with an equity award described below under “Long-Term Incentive Awards,” to both incentivize him to join our Company and offset compensation opportunities with his prior employer that were forfeited by joining our Company. In order to attract top-level executive talent for this role, which is important to the execution of our strategy, all components of compensation for this role were determined following a review of current market custom and practice, and available compensation data for comparable roles at other companies. Other factors, such as the executive’s extensive background and experience, and expected responsibilities, were also taken into consideration. The cash sign-on payment was required to be returned if the executive voluntarily left the Company or was terminated for cause, in each case within 12 months of the date of hire.</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Long-Term Incentive Awards</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2021 LTIP</w:t>
      </w:r>
    </w:p>
    <w:p>
      <w:pPr>
        <w:spacing w:after="0" w:line="142"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For 2021, the Committee approved a long-term incentive program (the “2021 LTIP”) in which all of our NEOs participated, other than our Chief Digital Officer. Grant date values for 2021 LTIP awards were determined following a market review of the Peer Group, and in certain cases, Survey Data (as defined under “Consideration of Peer Groups and Survey Data”), as well as individual performance for 2020. For our Executive Chairman, CEO and CFO, a market review was conducted by the Committee’s compensation consultant to determine the values for 2021 LTIP awards in connection with their appointments in mid-2020. For the CEO, based on this market review as well as his performance during 2020, the first year of his tenure as CEO, the 2021 LTIP award reflected an increase from his 2020 LTIP award, which was granted while he was interim CEO.</w:t>
      </w:r>
    </w:p>
    <w:p>
      <w:pPr>
        <w:sectPr>
          <w:pgSz w:w="11900" w:h="16838" w:orient="portrait"/>
          <w:cols w:equalWidth="0" w:num="1">
            <w:col w:w="9840"/>
          </w:cols>
          <w:pgMar w:left="1020" w:top="263" w:right="10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161925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type w:val="continuous"/>
        </w:sectPr>
      </w:pPr>
    </w:p>
    <w:bookmarkStart w:id="32" w:name="page33"/>
    <w:bookmarkEnd w:id="32"/>
    <w:p>
      <w:pPr>
        <w:ind w:left="1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30"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2021 LTIP — Type of Award</w:t>
      </w:r>
    </w:p>
    <w:p>
      <w:pPr>
        <w:spacing w:after="0" w:line="142"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color w:val="auto"/>
        </w:rPr>
        <w:t>The Committee reviewed the following factors to determine the appropriate type of equity to be granted: perceived value to award recipients to effect retention and incentive goals, peer practices, the degree of alignment with shareholder interests, potential dilution and projected expense balanced with the value delivered to award recipients. Based on an analysis of these factors, the Committee determined that a mix of 50% PSUs and 50% time-based restricted stock units (“RSUs”) would:</w:t>
      </w:r>
    </w:p>
    <w:p>
      <w:pPr>
        <w:spacing w:after="0" w:line="109" w:lineRule="exact"/>
        <w:rPr>
          <w:sz w:val="20"/>
          <w:szCs w:val="20"/>
          <w:color w:val="auto"/>
        </w:rPr>
      </w:pPr>
    </w:p>
    <w:p>
      <w:pPr>
        <w:ind w:left="350" w:hanging="350"/>
        <w:spacing w:after="0"/>
        <w:tabs>
          <w:tab w:leader="none" w:pos="3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align incentives with shareholders’ focus on profitability and financial performance;</w:t>
      </w:r>
    </w:p>
    <w:p>
      <w:pPr>
        <w:spacing w:after="0" w:line="130" w:lineRule="exact"/>
        <w:rPr>
          <w:rFonts w:ascii="Arial" w:cs="Arial" w:eastAsia="Arial" w:hAnsi="Arial"/>
          <w:sz w:val="18"/>
          <w:szCs w:val="18"/>
          <w:color w:val="auto"/>
        </w:rPr>
      </w:pPr>
    </w:p>
    <w:p>
      <w:pPr>
        <w:ind w:left="350" w:hanging="350"/>
        <w:spacing w:after="0"/>
        <w:tabs>
          <w:tab w:leader="none" w:pos="3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 the relevant decision-making impact of the individual and the impact of those decisions on the Company; and</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incentivize retention of key employees over the long term.</w:t>
      </w:r>
    </w:p>
    <w:p>
      <w:pPr>
        <w:spacing w:after="0" w:line="362" w:lineRule="exact"/>
        <w:rPr>
          <w:sz w:val="20"/>
          <w:szCs w:val="20"/>
          <w:color w:val="auto"/>
        </w:rPr>
      </w:pPr>
    </w:p>
    <w:p>
      <w:pPr>
        <w:ind w:left="10" w:right="4660"/>
        <w:spacing w:after="0" w:line="421" w:lineRule="auto"/>
        <w:rPr>
          <w:sz w:val="20"/>
          <w:szCs w:val="20"/>
          <w:color w:val="auto"/>
        </w:rPr>
      </w:pPr>
      <w:r>
        <w:rPr>
          <w:rFonts w:ascii="Arial" w:cs="Arial" w:eastAsia="Arial" w:hAnsi="Arial"/>
          <w:sz w:val="18"/>
          <w:szCs w:val="18"/>
          <w:i w:val="1"/>
          <w:iCs w:val="1"/>
          <w:color w:val="auto"/>
        </w:rPr>
        <w:t xml:space="preserve">2021 LTIP — Vesting Terms and Performance Metrics and Goals </w:t>
      </w:r>
      <w:r>
        <w:rPr>
          <w:rFonts w:ascii="Arial" w:cs="Arial" w:eastAsia="Arial" w:hAnsi="Arial"/>
          <w:sz w:val="18"/>
          <w:szCs w:val="18"/>
          <w:color w:val="auto"/>
        </w:rPr>
        <w:t>Consistent with the 2020 program:</w:t>
      </w:r>
    </w:p>
    <w:p>
      <w:pPr>
        <w:spacing w:after="0" w:line="1" w:lineRule="exact"/>
        <w:rPr>
          <w:sz w:val="20"/>
          <w:szCs w:val="20"/>
          <w:color w:val="auto"/>
        </w:rPr>
      </w:pPr>
    </w:p>
    <w:p>
      <w:pPr>
        <w:ind w:left="350" w:right="20" w:hanging="350"/>
        <w:spacing w:after="0" w:line="271" w:lineRule="auto"/>
        <w:tabs>
          <w:tab w:leader="none" w:pos="3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RSUs granted under the 2021 LTIP are scheduled to vest, subject to continued employment, on the first three anniversaries of the date of grant, except that our Executive Chairman’s RSUs vest in June 2022;</w:t>
      </w:r>
    </w:p>
    <w:p>
      <w:pPr>
        <w:spacing w:after="0" w:line="72" w:lineRule="exact"/>
        <w:rPr>
          <w:rFonts w:ascii="Arial" w:cs="Arial" w:eastAsia="Arial" w:hAnsi="Arial"/>
          <w:sz w:val="18"/>
          <w:szCs w:val="18"/>
          <w:color w:val="auto"/>
        </w:rPr>
      </w:pPr>
    </w:p>
    <w:p>
      <w:pPr>
        <w:ind w:left="350" w:right="20" w:hanging="350"/>
        <w:spacing w:after="0" w:line="271" w:lineRule="auto"/>
        <w:tabs>
          <w:tab w:leader="none" w:pos="3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PSUs are scheduled to vest on the three-year anniversary of the date of grant, subject to satisfaction of performance goals and continued employment; and</w:t>
      </w:r>
    </w:p>
    <w:p>
      <w:pPr>
        <w:spacing w:after="0" w:line="86"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EBITDA was selected as the performance metric for the PSUs granted under the 2021 LTIP based on several factors, including the following:</w:t>
      </w:r>
    </w:p>
    <w:p>
      <w:pPr>
        <w:sectPr>
          <w:pgSz w:w="11900" w:h="16838" w:orient="portrait"/>
          <w:cols w:equalWidth="0" w:num="1">
            <w:col w:w="9830"/>
          </w:cols>
          <w:pgMar w:left="1030" w:top="263" w:right="1039" w:bottom="1440" w:gutter="0" w:footer="0" w:header="0"/>
        </w:sectPr>
      </w:pPr>
    </w:p>
    <w:p>
      <w:pPr>
        <w:spacing w:after="0" w:line="51" w:lineRule="exact"/>
        <w:rPr>
          <w:sz w:val="20"/>
          <w:szCs w:val="20"/>
          <w:color w:val="auto"/>
        </w:rPr>
      </w:pPr>
    </w:p>
    <w:p>
      <w:pPr>
        <w:ind w:left="350"/>
        <w:spacing w:after="0"/>
        <w:rPr>
          <w:sz w:val="20"/>
          <w:szCs w:val="20"/>
          <w:color w:val="auto"/>
        </w:rPr>
      </w:pPr>
      <w:r>
        <w:rPr>
          <w:rFonts w:ascii="Arial" w:cs="Arial" w:eastAsia="Arial" w:hAnsi="Arial"/>
          <w:sz w:val="11"/>
          <w:szCs w:val="11"/>
          <w:color w:val="auto"/>
        </w:rPr>
        <w:t>○</w:t>
      </w:r>
    </w:p>
    <w:p>
      <w:pPr>
        <w:spacing w:after="0" w:line="184" w:lineRule="exact"/>
        <w:rPr>
          <w:sz w:val="20"/>
          <w:szCs w:val="20"/>
          <w:color w:val="auto"/>
        </w:rPr>
      </w:pPr>
    </w:p>
    <w:p>
      <w:pPr>
        <w:ind w:left="35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Adjusted EBITDA and stock price performance have historically been highly correlated; and</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Adjusted EBITDA is a key measure of operational and financial performance driven by the Company’s strategy and widely understood within the Company and by the Company’s shareholders.</w:t>
      </w:r>
    </w:p>
    <w:p>
      <w:pPr>
        <w:spacing w:after="0" w:line="86" w:lineRule="exact"/>
        <w:rPr>
          <w:sz w:val="20"/>
          <w:szCs w:val="20"/>
          <w:color w:val="auto"/>
        </w:rPr>
      </w:pPr>
    </w:p>
    <w:p>
      <w:pPr>
        <w:sectPr>
          <w:pgSz w:w="11900" w:h="16838" w:orient="portrait"/>
          <w:cols w:equalWidth="0" w:num="2">
            <w:col w:w="430" w:space="280"/>
            <w:col w:w="9120"/>
          </w:cols>
          <w:pgMar w:left="1030" w:top="263" w:right="1039" w:bottom="1440" w:gutter="0" w:footer="0" w:header="0"/>
          <w:type w:val="continuous"/>
        </w:sectPr>
      </w:pPr>
    </w:p>
    <w:p>
      <w:pPr>
        <w:jc w:val="both"/>
        <w:ind w:left="10"/>
        <w:spacing w:after="0" w:line="239" w:lineRule="auto"/>
        <w:rPr>
          <w:sz w:val="20"/>
          <w:szCs w:val="20"/>
          <w:color w:val="auto"/>
        </w:rPr>
      </w:pPr>
      <w:r>
        <w:rPr>
          <w:rFonts w:ascii="Arial" w:cs="Arial" w:eastAsia="Arial" w:hAnsi="Arial"/>
          <w:sz w:val="18"/>
          <w:szCs w:val="18"/>
          <w:color w:val="auto"/>
        </w:rPr>
        <w:t>Adjusted EBITDA goals for the 2021 LTIP are set forth below and can be achieved in any of the three fiscal years in the 2021-2023 performance period. The target goal represented attainment of one-year of Adjusted EBITDA during the performance period which, at the time of approval, would have been the highest ever Adjusted EBITDA achievement for the Company in any fiscal year. Given significant uncertainty as to when pandemic impacts to the Company’s business would subside and resulting difficulties in making long-term plans, the Committee believed that a one-year goal at this particular time would balance these difficulties with requiring meaningful improvement in our business results. The Committee recognized that even if the results were met in an early year during the three-year performance period, the PSUs would not become vested until March 2024, requiring continued employment and as a result, incentives for the NEOs to see the improved performance continue to be reflected in our long-term stock price. We will be returning to cumulative performance over a three-year period in the 2022 LTIP awards.</w:t>
      </w:r>
    </w:p>
    <w:p>
      <w:pPr>
        <w:spacing w:after="0" w:line="99"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Our Executive Chairman was only eligible for vesting at target (the threshold and maximum achievement levels were not applicable to his award), and our CEO and CFO were only eligible for vesting at target level of achievement and above. This meant that none of our Executive Chairman, CEO or CFO were eligible for any vesting if results were below target under any circumstances.</w:t>
      </w:r>
    </w:p>
    <w:p>
      <w:pPr>
        <w:spacing w:after="0" w:line="103" w:lineRule="exact"/>
        <w:rPr>
          <w:sz w:val="20"/>
          <w:szCs w:val="20"/>
          <w:color w:val="auto"/>
        </w:rPr>
      </w:pPr>
    </w:p>
    <w:tbl>
      <w:tblPr>
        <w:tblLayout w:type="fixed"/>
        <w:tblInd w:w="145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2860" w:type="dxa"/>
            <w:vAlign w:val="bottom"/>
          </w:tcPr>
          <w:p>
            <w:pPr>
              <w:jc w:val="right"/>
              <w:ind w:right="537"/>
              <w:spacing w:after="0"/>
              <w:rPr>
                <w:sz w:val="20"/>
                <w:szCs w:val="20"/>
                <w:color w:val="auto"/>
              </w:rPr>
            </w:pPr>
            <w:r>
              <w:rPr>
                <w:rFonts w:ascii="Arial" w:cs="Arial" w:eastAsia="Arial" w:hAnsi="Arial"/>
                <w:sz w:val="14"/>
                <w:szCs w:val="14"/>
                <w:b w:val="1"/>
                <w:bCs w:val="1"/>
                <w:color w:val="auto"/>
              </w:rPr>
              <w:t>Payout Opportunity*</w:t>
            </w:r>
          </w:p>
        </w:tc>
        <w:tc>
          <w:tcPr>
            <w:tcW w:w="218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Adjusted EBITDA Goal</w:t>
            </w:r>
          </w:p>
        </w:tc>
      </w:tr>
      <w:tr>
        <w:trPr>
          <w:trHeight w:val="196"/>
        </w:trPr>
        <w:tc>
          <w:tcPr>
            <w:tcW w:w="1880" w:type="dxa"/>
            <w:vAlign w:val="bottom"/>
          </w:tcPr>
          <w:p>
            <w:pPr>
              <w:ind w:left="80"/>
              <w:spacing w:after="0"/>
              <w:rPr>
                <w:sz w:val="20"/>
                <w:szCs w:val="20"/>
                <w:color w:val="auto"/>
              </w:rPr>
            </w:pPr>
            <w:r>
              <w:rPr>
                <w:rFonts w:ascii="Arial" w:cs="Arial" w:eastAsia="Arial" w:hAnsi="Arial"/>
                <w:sz w:val="14"/>
                <w:szCs w:val="14"/>
                <w:b w:val="1"/>
                <w:bCs w:val="1"/>
                <w:color w:val="auto"/>
              </w:rPr>
              <w:t>Achievement Level</w:t>
            </w:r>
          </w:p>
        </w:tc>
        <w:tc>
          <w:tcPr>
            <w:tcW w:w="2860" w:type="dxa"/>
            <w:vAlign w:val="bottom"/>
          </w:tcPr>
          <w:p>
            <w:pPr>
              <w:jc w:val="right"/>
              <w:ind w:right="117"/>
              <w:spacing w:after="0"/>
              <w:rPr>
                <w:sz w:val="20"/>
                <w:szCs w:val="20"/>
                <w:color w:val="auto"/>
              </w:rPr>
            </w:pPr>
            <w:r>
              <w:rPr>
                <w:rFonts w:ascii="Arial" w:cs="Arial" w:eastAsia="Arial" w:hAnsi="Arial"/>
                <w:sz w:val="14"/>
                <w:szCs w:val="14"/>
                <w:b w:val="1"/>
                <w:bCs w:val="1"/>
                <w:color w:val="auto"/>
              </w:rPr>
              <w:t>(as a % of target units awarded)</w:t>
            </w:r>
          </w:p>
        </w:tc>
        <w:tc>
          <w:tcPr>
            <w:tcW w:w="2180" w:type="dxa"/>
            <w:vAlign w:val="bottom"/>
            <w:gridSpan w:val="2"/>
          </w:tcPr>
          <w:p>
            <w:pPr>
              <w:jc w:val="right"/>
              <w:ind w:right="670"/>
              <w:spacing w:after="0"/>
              <w:rPr>
                <w:sz w:val="20"/>
                <w:szCs w:val="20"/>
                <w:color w:val="auto"/>
              </w:rPr>
            </w:pPr>
            <w:r>
              <w:rPr>
                <w:rFonts w:ascii="Arial" w:cs="Arial" w:eastAsia="Arial" w:hAnsi="Arial"/>
                <w:sz w:val="14"/>
                <w:szCs w:val="14"/>
                <w:b w:val="1"/>
                <w:bCs w:val="1"/>
                <w:color w:val="auto"/>
              </w:rPr>
              <w:t>(in millions)</w:t>
            </w:r>
          </w:p>
        </w:tc>
      </w:tr>
      <w:tr>
        <w:trPr>
          <w:trHeight w:val="43"/>
        </w:trPr>
        <w:tc>
          <w:tcPr>
            <w:tcW w:w="188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336"/>
        </w:trPr>
        <w:tc>
          <w:tcPr>
            <w:tcW w:w="1880" w:type="dxa"/>
            <w:vAlign w:val="bottom"/>
            <w:tcBorders>
              <w:bottom w:val="single" w:sz="8" w:color="CCCCCC"/>
            </w:tcBorders>
            <w:shd w:val="clear" w:color="auto" w:fill="CCCCCC"/>
          </w:tcPr>
          <w:p>
            <w:pPr>
              <w:ind w:left="80"/>
              <w:spacing w:after="0"/>
              <w:rPr>
                <w:sz w:val="20"/>
                <w:szCs w:val="20"/>
                <w:color w:val="auto"/>
              </w:rPr>
            </w:pPr>
            <w:r>
              <w:rPr>
                <w:rFonts w:ascii="Arial" w:cs="Arial" w:eastAsia="Arial" w:hAnsi="Arial"/>
                <w:sz w:val="18"/>
                <w:szCs w:val="18"/>
                <w:color w:val="auto"/>
              </w:rPr>
              <w:t>Maximum**</w:t>
            </w:r>
          </w:p>
        </w:tc>
        <w:tc>
          <w:tcPr>
            <w:tcW w:w="2860" w:type="dxa"/>
            <w:vAlign w:val="bottom"/>
            <w:tcBorders>
              <w:bottom w:val="single" w:sz="8" w:color="CCCCCC"/>
            </w:tcBorders>
            <w:shd w:val="clear" w:color="auto" w:fill="CCCCCC"/>
          </w:tcPr>
          <w:p>
            <w:pPr>
              <w:jc w:val="right"/>
              <w:ind w:right="897"/>
              <w:spacing w:after="0"/>
              <w:rPr>
                <w:sz w:val="20"/>
                <w:szCs w:val="20"/>
                <w:color w:val="auto"/>
              </w:rPr>
            </w:pPr>
            <w:r>
              <w:rPr>
                <w:rFonts w:ascii="Arial" w:cs="Arial" w:eastAsia="Arial" w:hAnsi="Arial"/>
                <w:sz w:val="18"/>
                <w:szCs w:val="18"/>
                <w:color w:val="auto"/>
              </w:rPr>
              <w:t>150%</w:t>
            </w:r>
          </w:p>
        </w:tc>
        <w:tc>
          <w:tcPr>
            <w:tcW w:w="8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CCCC"/>
            </w:tcBorders>
            <w:shd w:val="clear" w:color="auto" w:fill="CCCCCC"/>
          </w:tcPr>
          <w:p>
            <w:pPr>
              <w:jc w:val="right"/>
              <w:ind w:right="810"/>
              <w:spacing w:after="0"/>
              <w:rPr>
                <w:sz w:val="20"/>
                <w:szCs w:val="20"/>
                <w:color w:val="auto"/>
              </w:rPr>
            </w:pPr>
            <w:r>
              <w:rPr>
                <w:rFonts w:ascii="Arial" w:cs="Arial" w:eastAsia="Arial" w:hAnsi="Arial"/>
                <w:sz w:val="18"/>
                <w:szCs w:val="18"/>
                <w:color w:val="auto"/>
                <w:w w:val="97"/>
              </w:rPr>
              <w:t>1,250</w:t>
            </w:r>
          </w:p>
        </w:tc>
      </w:tr>
      <w:tr>
        <w:trPr>
          <w:trHeight w:val="281"/>
        </w:trPr>
        <w:tc>
          <w:tcPr>
            <w:tcW w:w="18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Target</w:t>
            </w:r>
          </w:p>
        </w:tc>
        <w:tc>
          <w:tcPr>
            <w:tcW w:w="2860" w:type="dxa"/>
            <w:vAlign w:val="bottom"/>
            <w:tcBorders>
              <w:top w:val="single" w:sz="8" w:color="auto"/>
            </w:tcBorders>
          </w:tcPr>
          <w:p>
            <w:pPr>
              <w:jc w:val="right"/>
              <w:ind w:right="897"/>
              <w:spacing w:after="0"/>
              <w:rPr>
                <w:sz w:val="20"/>
                <w:szCs w:val="20"/>
                <w:color w:val="auto"/>
              </w:rPr>
            </w:pPr>
            <w:r>
              <w:rPr>
                <w:rFonts w:ascii="Arial" w:cs="Arial" w:eastAsia="Arial" w:hAnsi="Arial"/>
                <w:sz w:val="18"/>
                <w:szCs w:val="18"/>
                <w:color w:val="auto"/>
              </w:rPr>
              <w:t>100%</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7"/>
              </w:rPr>
              <w:t>1,000</w:t>
            </w:r>
          </w:p>
        </w:tc>
      </w:tr>
      <w:tr>
        <w:trPr>
          <w:trHeight w:val="50"/>
        </w:trPr>
        <w:tc>
          <w:tcPr>
            <w:tcW w:w="188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86"/>
        </w:trPr>
        <w:tc>
          <w:tcPr>
            <w:tcW w:w="1880" w:type="dxa"/>
            <w:vAlign w:val="bottom"/>
            <w:tcBorders>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Threshold***</w:t>
            </w:r>
          </w:p>
        </w:tc>
        <w:tc>
          <w:tcPr>
            <w:tcW w:w="2860" w:type="dxa"/>
            <w:vAlign w:val="bottom"/>
            <w:tcBorders>
              <w:bottom w:val="single" w:sz="8" w:color="auto"/>
            </w:tcBorders>
            <w:shd w:val="clear" w:color="auto" w:fill="CCCCCC"/>
          </w:tcPr>
          <w:p>
            <w:pPr>
              <w:jc w:val="right"/>
              <w:ind w:right="917"/>
              <w:spacing w:after="0"/>
              <w:rPr>
                <w:sz w:val="20"/>
                <w:szCs w:val="20"/>
                <w:color w:val="auto"/>
              </w:rPr>
            </w:pPr>
            <w:r>
              <w:rPr>
                <w:rFonts w:ascii="Arial" w:cs="Arial" w:eastAsia="Arial" w:hAnsi="Arial"/>
                <w:sz w:val="18"/>
                <w:szCs w:val="18"/>
                <w:color w:val="auto"/>
              </w:rPr>
              <w:t>75%</w:t>
            </w:r>
          </w:p>
        </w:tc>
        <w:tc>
          <w:tcPr>
            <w:tcW w:w="8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CCCC"/>
          </w:tcPr>
          <w:p>
            <w:pPr>
              <w:jc w:val="right"/>
              <w:ind w:right="810"/>
              <w:spacing w:after="0"/>
              <w:rPr>
                <w:sz w:val="20"/>
                <w:szCs w:val="20"/>
                <w:color w:val="auto"/>
              </w:rPr>
            </w:pPr>
            <w:r>
              <w:rPr>
                <w:rFonts w:ascii="Arial" w:cs="Arial" w:eastAsia="Arial" w:hAnsi="Arial"/>
                <w:sz w:val="18"/>
                <w:szCs w:val="18"/>
                <w:color w:val="auto"/>
              </w:rPr>
              <w:t>750</w:t>
            </w:r>
          </w:p>
        </w:tc>
      </w:tr>
    </w:tbl>
    <w:p>
      <w:pPr>
        <w:spacing w:after="0" w:line="153" w:lineRule="exact"/>
        <w:rPr>
          <w:sz w:val="20"/>
          <w:szCs w:val="20"/>
          <w:color w:val="auto"/>
        </w:rPr>
      </w:pPr>
    </w:p>
    <w:p>
      <w:pPr>
        <w:ind w:left="1790" w:hanging="350"/>
        <w:spacing w:after="0"/>
        <w:tabs>
          <w:tab w:leader="none" w:pos="179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Straight-line interpolation is generally used to determine achievement between specified goals.</w:t>
      </w:r>
    </w:p>
    <w:p>
      <w:pPr>
        <w:spacing w:after="0" w:line="69" w:lineRule="exact"/>
        <w:rPr>
          <w:sz w:val="20"/>
          <w:szCs w:val="20"/>
          <w:color w:val="auto"/>
        </w:rPr>
      </w:pPr>
    </w:p>
    <w:p>
      <w:pPr>
        <w:ind w:left="1790" w:right="20" w:hanging="350"/>
        <w:spacing w:after="0" w:line="285" w:lineRule="auto"/>
        <w:tabs>
          <w:tab w:leader="none" w:pos="179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Maximum vesting did not apply to the award for our Executive Chairman. He was only eligible for target vesting. The RSU/PSU mix for our Executive Chairman was also slightly different than other NEOs at 58% RSUs and 42% PSUs</w:t>
      </w:r>
    </w:p>
    <w:p>
      <w:pPr>
        <w:spacing w:after="0" w:line="9" w:lineRule="exact"/>
        <w:rPr>
          <w:rFonts w:ascii="Arial" w:cs="Arial" w:eastAsia="Arial" w:hAnsi="Arial"/>
          <w:sz w:val="14"/>
          <w:szCs w:val="14"/>
          <w:color w:val="auto"/>
        </w:rPr>
      </w:pPr>
    </w:p>
    <w:p>
      <w:pPr>
        <w:ind w:left="1790" w:hanging="350"/>
        <w:spacing w:after="0" w:line="285" w:lineRule="auto"/>
        <w:tabs>
          <w:tab w:leader="none" w:pos="179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Threshold vesting only applied to the award for our President, International. Our Executive Chairman, CEO and CFO were not eligible for below-target vesting.</w:t>
      </w:r>
    </w:p>
    <w:p>
      <w:pPr>
        <w:spacing w:after="0" w:line="81" w:lineRule="exact"/>
        <w:rPr>
          <w:sz w:val="20"/>
          <w:szCs w:val="20"/>
          <w:color w:val="auto"/>
        </w:rPr>
      </w:pPr>
    </w:p>
    <w:p>
      <w:pPr>
        <w:jc w:val="both"/>
        <w:ind w:left="10" w:right="20"/>
        <w:spacing w:after="0" w:line="247" w:lineRule="auto"/>
        <w:rPr>
          <w:sz w:val="20"/>
          <w:szCs w:val="20"/>
          <w:color w:val="auto"/>
        </w:rPr>
      </w:pPr>
      <w:r>
        <w:rPr>
          <w:rFonts w:ascii="Arial" w:cs="Arial" w:eastAsia="Arial" w:hAnsi="Arial"/>
          <w:sz w:val="18"/>
          <w:szCs w:val="18"/>
          <w:color w:val="auto"/>
        </w:rPr>
        <w:t>Based on 2021 Adjusted EBITDA results described above, we exceeded the maximum goal, and so vesting of PSUs granted under the 2021 LTIP will occur in March 2024 at the maximum achievement level if the applicable NEO remains employed by us, except that for our Executive Chairman, vesting will occur at the target achievement level based on the terms of his award.</w:t>
      </w:r>
    </w:p>
    <w:p>
      <w:pPr>
        <w:sectPr>
          <w:pgSz w:w="11900" w:h="16838" w:orient="portrait"/>
          <w:cols w:equalWidth="0" w:num="1">
            <w:col w:w="9830"/>
          </w:cols>
          <w:pgMar w:left="1030" w:top="263" w:right="1039" w:bottom="1440" w:gutter="0" w:footer="0" w:header="0"/>
          <w:type w:val="continuous"/>
        </w:sectPr>
      </w:pPr>
    </w:p>
    <w:p>
      <w:pPr>
        <w:spacing w:after="0" w:line="282"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161925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type w:val="continuous"/>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2021 Long-Term Incentive Awards</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Chief Digital Officer did not participate in the 2021 LTIP because he received new hire grants. Following a market review and other considerations for a new hire as more fully described above under “Annual Incentive Awards,” the Committee awarded him an RSU award with a grant date value of $1.5 million, vesting one-third on the second anniversary of grant and two-thirds on the third anniversary of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Setting CEO and Other NEO Compensation</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Board has assigned to the Committee the responsibility to approve compensation for all NEOs, including our CEO. The roles and duties of participants in the decision-making process for our executive program are summarized below.</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Independent Compensation Consultant</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Consistent with its charter, the Committee continued its engagement of Pay Governance LLC, a compensation consulting firm, to work with the Committee and the Company as an adviser on executive compensation matters in 2021. The compensation consultant reports to, and is directed by, the Committee, which has the authority to retain or terminate compensation advisers. In early 2021, the Committee reviewed information regarding the independence and potential conflicts of interest of Pay Governance, taking into account, among other things, the factors set forth in the Nasdaq listing standards. Based on this review, the Committee concluded that the engagement of Pay Governance did not raise any conflict of interest. Outside of services provided for the Committee, the compensation consultant did not provide additional services to the Company in 2021.</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case of NEOs other than the CEO and the Executive Chairman, our Human Resources staff develops recommendations as to the level of compensation for each pay component generally based on position scope (defined as the executive’s relative responsibilities compared to others within the Company and the individual’s potential impact on Company operations), and the individual’s experience level and performance in addition to the factors discussed under “Analysis of 2021 Pay Decisions” above. Annual and long-term incentive plan designs are recommended by our Human Resources staff based on the Company’s business plan and goals, with input from the CFO and his staff. Recommendations related to the elements of pay generally reflect a review of practices of our Peer Group and Survey Data (as defined below), and are typically designed to take into consideration past practice and our strategy to tie a greater portion of total target compensation to variable versus fixed compensation.</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Each recommendation is then discussed with our CEO, Executive Chairman and Committee Chairman for feedback. Final recommendations are ultimately submitted to the Committee for consideration. The Committee is advised by the compensation consultant with respect to these recommendations and has the ultimate right and authority to revise and/or approve recommendations of management.</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Compensation for our CEO and our Executive Chairman is determined by the Committee, working directly with the compensation consultant. The Committee determines each component of compensation for these executives, taking into consideration performance as well as market and Peer Group data and other factors such as level of experience and responsibilities, leadership, skill, contributions to the Company and the size and complexity of the Company’s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approving annual and long-term incentive awards for our NEOs, the Committee assesses the risks associated with the adoption of these awards, including the performance measures and goals for the awards, and has concluded that the Company’s incentive awards would not be likely to encourage excessive risk-taking. Management also annually reviews the Company’s compensation policies and practices for employees generally with the Committee and the Company’s compensation consultant to determine whether these programs create incentives that might motivate inappropriate or excessive risk-taking. For additional information, please see “Functions and Meetings of the Board of Directors - Risk Management and Risk Assessment.”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34" w:name="page35"/>
    <w:bookmarkEnd w:id="34"/>
    <w:p>
      <w:pPr>
        <w:ind w:left="1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Consideration of Peer Groups and Survey Data</w:t>
      </w:r>
    </w:p>
    <w:p>
      <w:pPr>
        <w:spacing w:after="0" w:line="144"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Peer companies for 2021 pay decisions were selected by the Committee by taking a “clean slate” approach to develop a new peer group taking into consideration that very few direct industry competitors exist, the Company’s business model, the relevant labor market for talent and other factors, including but not limited to the following:</w:t>
      </w:r>
    </w:p>
    <w:p>
      <w:pPr>
        <w:spacing w:after="0" w:line="101" w:lineRule="exact"/>
        <w:rPr>
          <w:sz w:val="20"/>
          <w:szCs w:val="20"/>
          <w:color w:val="auto"/>
        </w:rPr>
      </w:pPr>
    </w:p>
    <w:p>
      <w:pPr>
        <w:ind w:left="350" w:hanging="350"/>
        <w:spacing w:after="0" w:line="271" w:lineRule="auto"/>
        <w:tabs>
          <w:tab w:leader="none" w:pos="3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industry for peer group companies, which the Committee believes should operate within hotel/resort, travel, trucking automotive retail and rental retail industries; and</w:t>
      </w:r>
    </w:p>
    <w:p>
      <w:pPr>
        <w:spacing w:after="0" w:line="72" w:lineRule="exact"/>
        <w:rPr>
          <w:rFonts w:ascii="Arial" w:cs="Arial" w:eastAsia="Arial" w:hAnsi="Arial"/>
          <w:sz w:val="18"/>
          <w:szCs w:val="18"/>
          <w:color w:val="auto"/>
        </w:rPr>
      </w:pPr>
    </w:p>
    <w:p>
      <w:pPr>
        <w:ind w:left="350" w:hanging="350"/>
        <w:spacing w:after="0"/>
        <w:tabs>
          <w:tab w:leader="none" w:pos="3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capitalization and revenue for peer group companies, with primary emphasis on market capitalization.</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Company’s peer group consisted of the following companies for 2021 pay decisions (the “Peer Group”):</w:t>
      </w:r>
    </w:p>
    <w:p>
      <w:pPr>
        <w:spacing w:after="0" w:line="351"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PEER GROUP FOR 2021 PAY DECISIONS</w:t>
      </w:r>
    </w:p>
    <w:p>
      <w:pPr>
        <w:spacing w:after="0" w:line="135"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The Aaron’s Company, Inc.</w:t>
      </w:r>
      <w:r>
        <w:rPr>
          <w:sz w:val="20"/>
          <w:szCs w:val="20"/>
          <w:color w:val="auto"/>
        </w:rPr>
        <w:tab/>
      </w:r>
      <w:r>
        <w:rPr>
          <w:rFonts w:ascii="Arial" w:cs="Arial" w:eastAsia="Arial" w:hAnsi="Arial"/>
          <w:sz w:val="17"/>
          <w:szCs w:val="17"/>
          <w:color w:val="auto"/>
        </w:rPr>
        <w:t>InterContinental Hotels Group PLC</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Alaska Air Group, Inc.</w:t>
      </w:r>
      <w:r>
        <w:rPr>
          <w:sz w:val="20"/>
          <w:szCs w:val="20"/>
          <w:color w:val="auto"/>
        </w:rPr>
        <w:tab/>
      </w:r>
      <w:r>
        <w:rPr>
          <w:rFonts w:ascii="Arial" w:cs="Arial" w:eastAsia="Arial" w:hAnsi="Arial"/>
          <w:sz w:val="17"/>
          <w:szCs w:val="17"/>
          <w:color w:val="auto"/>
        </w:rPr>
        <w:t>JetBlue Airways Corporation</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Asbury Automotive Group, Inc.</w:t>
      </w:r>
      <w:r>
        <w:rPr>
          <w:sz w:val="20"/>
          <w:szCs w:val="20"/>
          <w:color w:val="auto"/>
        </w:rPr>
        <w:tab/>
      </w:r>
      <w:r>
        <w:rPr>
          <w:rFonts w:ascii="Arial" w:cs="Arial" w:eastAsia="Arial" w:hAnsi="Arial"/>
          <w:sz w:val="17"/>
          <w:szCs w:val="17"/>
          <w:color w:val="auto"/>
        </w:rPr>
        <w:t>KAR Auction Services, Inc.</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AutoNation, Inc.</w:t>
      </w:r>
      <w:r>
        <w:rPr>
          <w:sz w:val="20"/>
          <w:szCs w:val="20"/>
          <w:color w:val="auto"/>
        </w:rPr>
        <w:tab/>
      </w:r>
      <w:r>
        <w:rPr>
          <w:rFonts w:ascii="Arial" w:cs="Arial" w:eastAsia="Arial" w:hAnsi="Arial"/>
          <w:sz w:val="17"/>
          <w:szCs w:val="17"/>
          <w:color w:val="auto"/>
        </w:rPr>
        <w:t>Norwegian Cruise Line Holdings Ltd.</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Choice Hotels International, Inc.</w:t>
      </w:r>
      <w:r>
        <w:rPr>
          <w:sz w:val="20"/>
          <w:szCs w:val="20"/>
          <w:color w:val="auto"/>
        </w:rPr>
        <w:tab/>
      </w:r>
      <w:r>
        <w:rPr>
          <w:rFonts w:ascii="Arial" w:cs="Arial" w:eastAsia="Arial" w:hAnsi="Arial"/>
          <w:sz w:val="17"/>
          <w:szCs w:val="17"/>
          <w:color w:val="auto"/>
        </w:rPr>
        <w:t>Rent A Center, Inc.</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Europcar Mobility Group S.A.</w:t>
      </w:r>
      <w:r>
        <w:rPr>
          <w:sz w:val="20"/>
          <w:szCs w:val="20"/>
          <w:color w:val="auto"/>
        </w:rPr>
        <w:tab/>
      </w:r>
      <w:r>
        <w:rPr>
          <w:rFonts w:ascii="Arial" w:cs="Arial" w:eastAsia="Arial" w:hAnsi="Arial"/>
          <w:sz w:val="17"/>
          <w:szCs w:val="17"/>
          <w:color w:val="auto"/>
        </w:rPr>
        <w:t>Ryder System, Inc.</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Group 1 Automotive, Inc.</w:t>
      </w:r>
      <w:r>
        <w:rPr>
          <w:sz w:val="20"/>
          <w:szCs w:val="20"/>
          <w:color w:val="auto"/>
        </w:rPr>
        <w:tab/>
      </w:r>
      <w:r>
        <w:rPr>
          <w:rFonts w:ascii="Arial" w:cs="Arial" w:eastAsia="Arial" w:hAnsi="Arial"/>
          <w:sz w:val="17"/>
          <w:szCs w:val="17"/>
          <w:color w:val="auto"/>
        </w:rPr>
        <w:t>Spirit Airlines, Inc.</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Hertz Global Holdings, Inc.</w:t>
      </w:r>
      <w:r>
        <w:rPr>
          <w:sz w:val="20"/>
          <w:szCs w:val="20"/>
          <w:color w:val="auto"/>
        </w:rPr>
        <w:tab/>
      </w:r>
      <w:r>
        <w:rPr>
          <w:rFonts w:ascii="Arial" w:cs="Arial" w:eastAsia="Arial" w:hAnsi="Arial"/>
          <w:sz w:val="17"/>
          <w:szCs w:val="17"/>
          <w:color w:val="auto"/>
        </w:rPr>
        <w:t>Schneider National, Inc.</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Hyatt Hotels Corporation</w:t>
      </w:r>
      <w:r>
        <w:rPr>
          <w:sz w:val="20"/>
          <w:szCs w:val="20"/>
          <w:color w:val="auto"/>
        </w:rPr>
        <w:tab/>
      </w:r>
      <w:r>
        <w:rPr>
          <w:rFonts w:ascii="Arial" w:cs="Arial" w:eastAsia="Arial" w:hAnsi="Arial"/>
          <w:sz w:val="17"/>
          <w:szCs w:val="17"/>
          <w:color w:val="auto"/>
        </w:rPr>
        <w:t>Travel + Leisure Co.</w:t>
      </w:r>
    </w:p>
    <w:p>
      <w:pPr>
        <w:spacing w:after="0" w:line="239"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The Committee reviewed pay data of the Peer Group for 2021 pay decisions to ensure reasonable comparability of the compensation of our NEOs. The Committee does not specifically target any percentile within the Peer Group when setting overall compensation, any individual element of compensation or the relative pay mix among different elements of compensation. The Committee reviews the Peer Group periodically in order to ensure that the component companies continue to meet the criteria for which they were selected, as well as to identify other companies that may become appropriate for inclusion.</w:t>
      </w:r>
    </w:p>
    <w:p>
      <w:pPr>
        <w:spacing w:after="0" w:line="98"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Primarily in light of the increase to the Company’s market capitalization in 2021, the Committee approved a peer group of the following companies for 2022 pay decisions, which reflects the removal of three companies and the inclusion of American Airlines, J.B. Hunt and United Airlines.</w:t>
      </w:r>
    </w:p>
    <w:p>
      <w:pPr>
        <w:spacing w:after="0" w:line="322"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PEER GROUP FOR 2022 PAY DECISIONS</w:t>
      </w:r>
    </w:p>
    <w:p>
      <w:pPr>
        <w:spacing w:after="0" w:line="122"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Alaska Air Group, Inc.</w:t>
      </w:r>
      <w:r>
        <w:rPr>
          <w:sz w:val="20"/>
          <w:szCs w:val="20"/>
          <w:color w:val="auto"/>
        </w:rPr>
        <w:tab/>
      </w:r>
      <w:r>
        <w:rPr>
          <w:rFonts w:ascii="Arial" w:cs="Arial" w:eastAsia="Arial" w:hAnsi="Arial"/>
          <w:sz w:val="17"/>
          <w:szCs w:val="17"/>
          <w:color w:val="auto"/>
        </w:rPr>
        <w:t>J.B. Hunt Transportation Services, Inc.</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7"/>
          <w:szCs w:val="17"/>
          <w:color w:val="auto"/>
        </w:rPr>
        <w:t>JetBlue Airways Corporation</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Asbury Automotive Group, Inc.</w:t>
      </w:r>
      <w:r>
        <w:rPr>
          <w:sz w:val="20"/>
          <w:szCs w:val="20"/>
          <w:color w:val="auto"/>
        </w:rPr>
        <w:tab/>
      </w:r>
      <w:r>
        <w:rPr>
          <w:rFonts w:ascii="Arial" w:cs="Arial" w:eastAsia="Arial" w:hAnsi="Arial"/>
          <w:sz w:val="17"/>
          <w:szCs w:val="17"/>
          <w:color w:val="auto"/>
        </w:rPr>
        <w:t>KAR Auction Services, Inc.</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AutoNation, Inc.</w:t>
      </w:r>
      <w:r>
        <w:rPr>
          <w:sz w:val="20"/>
          <w:szCs w:val="20"/>
          <w:color w:val="auto"/>
        </w:rPr>
        <w:tab/>
      </w:r>
      <w:r>
        <w:rPr>
          <w:rFonts w:ascii="Arial" w:cs="Arial" w:eastAsia="Arial" w:hAnsi="Arial"/>
          <w:sz w:val="17"/>
          <w:szCs w:val="17"/>
          <w:color w:val="auto"/>
        </w:rPr>
        <w:t>Norwegian Cruise Line Holdings Ltd.</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Choice Hotels International, Inc.</w:t>
      </w:r>
      <w:r>
        <w:rPr>
          <w:sz w:val="20"/>
          <w:szCs w:val="20"/>
          <w:color w:val="auto"/>
        </w:rPr>
        <w:tab/>
      </w:r>
      <w:r>
        <w:rPr>
          <w:rFonts w:ascii="Arial" w:cs="Arial" w:eastAsia="Arial" w:hAnsi="Arial"/>
          <w:sz w:val="17"/>
          <w:szCs w:val="17"/>
          <w:color w:val="auto"/>
        </w:rPr>
        <w:t>Rent A Center, Inc.</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Group 1 Automotive, Inc.</w:t>
      </w:r>
      <w:r>
        <w:rPr>
          <w:sz w:val="20"/>
          <w:szCs w:val="20"/>
          <w:color w:val="auto"/>
        </w:rPr>
        <w:tab/>
      </w:r>
      <w:r>
        <w:rPr>
          <w:rFonts w:ascii="Arial" w:cs="Arial" w:eastAsia="Arial" w:hAnsi="Arial"/>
          <w:sz w:val="17"/>
          <w:szCs w:val="17"/>
          <w:color w:val="auto"/>
        </w:rPr>
        <w:t>Ryder System, Inc.</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Hertz Global Holdings, Inc.</w:t>
      </w:r>
      <w:r>
        <w:rPr>
          <w:sz w:val="20"/>
          <w:szCs w:val="20"/>
          <w:color w:val="auto"/>
        </w:rPr>
        <w:tab/>
      </w:r>
      <w:r>
        <w:rPr>
          <w:rFonts w:ascii="Arial" w:cs="Arial" w:eastAsia="Arial" w:hAnsi="Arial"/>
          <w:sz w:val="17"/>
          <w:szCs w:val="17"/>
          <w:color w:val="auto"/>
        </w:rPr>
        <w:t>Schneider National, Inc.</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Hyatt Hotels Corporation</w:t>
      </w:r>
      <w:r>
        <w:rPr>
          <w:sz w:val="20"/>
          <w:szCs w:val="20"/>
          <w:color w:val="auto"/>
        </w:rPr>
        <w:tab/>
      </w:r>
      <w:r>
        <w:rPr>
          <w:rFonts w:ascii="Arial" w:cs="Arial" w:eastAsia="Arial" w:hAnsi="Arial"/>
          <w:sz w:val="17"/>
          <w:szCs w:val="17"/>
          <w:color w:val="auto"/>
        </w:rPr>
        <w:t>Travel + Leisure Co.</w:t>
      </w:r>
    </w:p>
    <w:p>
      <w:pPr>
        <w:spacing w:after="0" w:line="104" w:lineRule="exact"/>
        <w:rPr>
          <w:sz w:val="20"/>
          <w:szCs w:val="20"/>
          <w:color w:val="auto"/>
        </w:rPr>
      </w:pPr>
    </w:p>
    <w:p>
      <w:pPr>
        <w:ind w:left="450"/>
        <w:spacing w:after="0"/>
        <w:tabs>
          <w:tab w:leader="none" w:pos="5130" w:val="left"/>
        </w:tabs>
        <w:rPr>
          <w:sz w:val="20"/>
          <w:szCs w:val="20"/>
          <w:color w:val="auto"/>
        </w:rPr>
      </w:pPr>
      <w:r>
        <w:rPr>
          <w:rFonts w:ascii="Arial" w:cs="Arial" w:eastAsia="Arial" w:hAnsi="Arial"/>
          <w:sz w:val="18"/>
          <w:szCs w:val="18"/>
          <w:color w:val="auto"/>
        </w:rPr>
        <w:t>InterContinental Hotels Group PLC</w:t>
      </w:r>
      <w:r>
        <w:rPr>
          <w:sz w:val="20"/>
          <w:szCs w:val="20"/>
          <w:color w:val="auto"/>
        </w:rPr>
        <w:tab/>
      </w:r>
      <w:r>
        <w:rPr>
          <w:rFonts w:ascii="Arial" w:cs="Arial" w:eastAsia="Arial" w:hAnsi="Arial"/>
          <w:sz w:val="17"/>
          <w:szCs w:val="17"/>
          <w:color w:val="auto"/>
        </w:rPr>
        <w:t>United Airlines Holdings, Inc.</w:t>
      </w:r>
    </w:p>
    <w:p>
      <w:pPr>
        <w:spacing w:after="0" w:line="239" w:lineRule="exact"/>
        <w:rPr>
          <w:sz w:val="20"/>
          <w:szCs w:val="20"/>
          <w:color w:val="auto"/>
        </w:rPr>
      </w:pPr>
    </w:p>
    <w:p>
      <w:pPr>
        <w:jc w:val="both"/>
        <w:ind w:left="10"/>
        <w:spacing w:after="0" w:line="219" w:lineRule="auto"/>
        <w:rPr>
          <w:sz w:val="20"/>
          <w:szCs w:val="20"/>
          <w:color w:val="auto"/>
        </w:rPr>
      </w:pPr>
      <w:r>
        <w:rPr>
          <w:rFonts w:ascii="Arial" w:cs="Arial" w:eastAsia="Arial" w:hAnsi="Arial"/>
          <w:sz w:val="18"/>
          <w:szCs w:val="18"/>
          <w:color w:val="auto"/>
        </w:rPr>
        <w:t>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a broad set of general industry market data available, the Committee also reviews widely-used survey data from consulting firms such as Aon Hewitt and Willis Towers Watson for companies that have revenue comparable to ours (the “Survey Data”) as another data point. The Survey Data</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represents data from over 1,000 companies sized according to revenue, assets and number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8229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04" w:lineRule="exact"/>
        <w:rPr>
          <w:sz w:val="20"/>
          <w:szCs w:val="20"/>
          <w:color w:val="auto"/>
        </w:rPr>
      </w:pPr>
    </w:p>
    <w:p>
      <w:pPr>
        <w:jc w:val="both"/>
        <w:ind w:left="170" w:right="20" w:hanging="170"/>
        <w:spacing w:after="0" w:line="214" w:lineRule="auto"/>
        <w:tabs>
          <w:tab w:leader="none" w:pos="17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While the Survey Data include a general list of participating companies, each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 utilized.</w:t>
      </w:r>
    </w:p>
    <w:p>
      <w:pPr>
        <w:sectPr>
          <w:pgSz w:w="11900" w:h="16838" w:orient="portrait"/>
          <w:cols w:equalWidth="0" w:num="1">
            <w:col w:w="9830"/>
          </w:cols>
          <w:pgMar w:left="1030" w:top="263" w:right="1039" w:bottom="1440" w:gutter="0" w:footer="0" w:header="0"/>
        </w:sectPr>
      </w:pPr>
    </w:p>
    <w:p>
      <w:pPr>
        <w:spacing w:after="0" w:line="288"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161925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type w:val="continuous"/>
        </w:sectPr>
      </w:pPr>
    </w:p>
    <w:bookmarkStart w:id="35" w:name="page36"/>
    <w:bookmarkEnd w:id="35"/>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In 2021, the Committee considered the Survey Data for each element of the 2021 compensation and benefits package as a general check and to ensure reasonable comparability. Consideration of the Peer Group and the Survey Data represented just two factors considered in setting executive compensation for 2021. Please refer to “Analysis of 2021 Pay Decisions” for the other factors considered in setting executive compensation for 2021.</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Committee Consideration of the Company’s 2021 Shareholder Vote on Executive Compensation</w:t>
      </w:r>
    </w:p>
    <w:p>
      <w:pPr>
        <w:spacing w:after="0" w:line="131"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Committee reviewed the results of the Company’s Say on Pay vote in 2021. At the 2021 Annual Meeting of Shareholders, 96.5% of the votes cast were in support of the Company’s Say on Pay proposal. Based on the 2021 Say on Pay results and feedback from shareholders, the Committee concluded that the Company’s overall compensation program as it relates to its NEOs enjoys the support of the Company’s shareholders and does not require revision to address any broad shareholder concern.</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Policy Related to Equity Awards</w:t>
      </w:r>
    </w:p>
    <w:p>
      <w:pPr>
        <w:spacing w:after="0" w:line="131"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Our practice has been to grant regular long-term incentive awards at pre-established meetings of the Committee. Annual long-term incentive awards, which typically include awards granted to all of the NEOs, are usually approved in the first quarter. However, the Committee retains the ability to determine, and has in the past determined, that another grant date may be appropriate in certain circumstances. Awards may also be approved at other Committee meetings typically for executives hired or promoted since the prior meeting. In connection with valuing the grants of stock-based awards, it is our policy generally to use, as the grant or strike price for any stock-based compensation vehicle, the closing price of our Common Stock on the date determined by the Committee as the grant date, which is often the date the Committee approves the award. The Committee typically approves a dollar amount for each RSU award, which is then divided by the closing price of our Common Stock on the date of grant to arrive at the number of RSUs to be granted.</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Stock Ownership and Retention Guidelines</w:t>
      </w:r>
    </w:p>
    <w:p>
      <w:pPr>
        <w:spacing w:after="0" w:line="131"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Our executive stock ownership guidelines require NEOs to acquire and hold designated levels of Avis Budget Common Stock. Under these guidelines, our CEO is required to retain 100%, and other NEOs are required to retain a minimum of 50% of the net shares (net of taxes) obtained upon the vesting of restricted stock awards and of vested stock options (if applicable), until reaching the following specified ownership thresholds: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740" w:type="dxa"/>
            <w:vAlign w:val="bottom"/>
          </w:tcPr>
          <w:p>
            <w:pPr>
              <w:ind w:left="100"/>
              <w:spacing w:after="0"/>
              <w:rPr>
                <w:sz w:val="20"/>
                <w:szCs w:val="20"/>
                <w:color w:val="auto"/>
              </w:rPr>
            </w:pPr>
            <w:r>
              <w:rPr>
                <w:rFonts w:ascii="Arial" w:cs="Arial" w:eastAsia="Arial" w:hAnsi="Arial"/>
                <w:sz w:val="18"/>
                <w:szCs w:val="18"/>
                <w:b w:val="1"/>
                <w:bCs w:val="1"/>
                <w:color w:val="auto"/>
              </w:rPr>
              <w:t>Officer Role(s)</w:t>
            </w:r>
          </w:p>
        </w:tc>
        <w:tc>
          <w:tcPr>
            <w:tcW w:w="6100" w:type="dxa"/>
            <w:vAlign w:val="bottom"/>
          </w:tcPr>
          <w:p>
            <w:pPr>
              <w:ind w:left="1300"/>
              <w:spacing w:after="0"/>
              <w:rPr>
                <w:sz w:val="20"/>
                <w:szCs w:val="20"/>
                <w:color w:val="auto"/>
              </w:rPr>
            </w:pPr>
            <w:r>
              <w:rPr>
                <w:rFonts w:ascii="Arial" w:cs="Arial" w:eastAsia="Arial" w:hAnsi="Arial"/>
                <w:sz w:val="18"/>
                <w:szCs w:val="18"/>
                <w:b w:val="1"/>
                <w:bCs w:val="1"/>
                <w:color w:val="auto"/>
              </w:rPr>
              <w:t>Threshold</w:t>
            </w:r>
          </w:p>
        </w:tc>
      </w:tr>
      <w:tr>
        <w:trPr>
          <w:trHeight w:val="42"/>
        </w:trPr>
        <w:tc>
          <w:tcPr>
            <w:tcW w:w="3740" w:type="dxa"/>
            <w:vAlign w:val="bottom"/>
            <w:tcBorders>
              <w:bottom w:val="single" w:sz="8" w:color="auto"/>
            </w:tcBorders>
          </w:tcPr>
          <w:p>
            <w:pPr>
              <w:spacing w:after="0"/>
              <w:rPr>
                <w:sz w:val="3"/>
                <w:szCs w:val="3"/>
                <w:color w:val="auto"/>
              </w:rPr>
            </w:pPr>
          </w:p>
        </w:tc>
        <w:tc>
          <w:tcPr>
            <w:tcW w:w="6100" w:type="dxa"/>
            <w:vAlign w:val="bottom"/>
            <w:tcBorders>
              <w:bottom w:val="single" w:sz="8" w:color="auto"/>
            </w:tcBorders>
          </w:tcPr>
          <w:p>
            <w:pPr>
              <w:spacing w:after="0"/>
              <w:rPr>
                <w:sz w:val="3"/>
                <w:szCs w:val="3"/>
                <w:color w:val="auto"/>
              </w:rPr>
            </w:pPr>
          </w:p>
        </w:tc>
      </w:tr>
      <w:tr>
        <w:trPr>
          <w:trHeight w:val="336"/>
        </w:trPr>
        <w:tc>
          <w:tcPr>
            <w:tcW w:w="374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Executive Chairman, CEO</w:t>
            </w:r>
          </w:p>
        </w:tc>
        <w:tc>
          <w:tcPr>
            <w:tcW w:w="6100" w:type="dxa"/>
            <w:vAlign w:val="bottom"/>
            <w:tcBorders>
              <w:bottom w:val="single" w:sz="8" w:color="CCCCCC"/>
            </w:tcBorders>
            <w:shd w:val="clear" w:color="auto" w:fill="CCCCCC"/>
          </w:tcPr>
          <w:p>
            <w:pPr>
              <w:ind w:left="1300"/>
              <w:spacing w:after="0"/>
              <w:rPr>
                <w:sz w:val="20"/>
                <w:szCs w:val="20"/>
                <w:color w:val="auto"/>
              </w:rPr>
            </w:pPr>
            <w:r>
              <w:rPr>
                <w:rFonts w:ascii="Arial" w:cs="Arial" w:eastAsia="Arial" w:hAnsi="Arial"/>
                <w:sz w:val="18"/>
                <w:szCs w:val="18"/>
                <w:color w:val="auto"/>
              </w:rPr>
              <w:t>Five times base salary</w:t>
            </w:r>
          </w:p>
        </w:tc>
      </w:tr>
      <w:tr>
        <w:trPr>
          <w:trHeight w:val="281"/>
        </w:trPr>
        <w:tc>
          <w:tcPr>
            <w:tcW w:w="3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CFO, President, International</w:t>
            </w:r>
          </w:p>
        </w:tc>
        <w:tc>
          <w:tcPr>
            <w:tcW w:w="610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Three times base salary</w:t>
            </w:r>
          </w:p>
        </w:tc>
      </w:tr>
      <w:tr>
        <w:trPr>
          <w:trHeight w:val="50"/>
        </w:trPr>
        <w:tc>
          <w:tcPr>
            <w:tcW w:w="3740" w:type="dxa"/>
            <w:vAlign w:val="bottom"/>
            <w:tcBorders>
              <w:bottom w:val="single" w:sz="8" w:color="auto"/>
            </w:tcBorders>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r>
      <w:tr>
        <w:trPr>
          <w:trHeight w:val="286"/>
        </w:trPr>
        <w:tc>
          <w:tcPr>
            <w:tcW w:w="374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Chief Digital Officer</w:t>
            </w:r>
          </w:p>
        </w:tc>
        <w:tc>
          <w:tcPr>
            <w:tcW w:w="6100" w:type="dxa"/>
            <w:vAlign w:val="bottom"/>
            <w:tcBorders>
              <w:bottom w:val="single" w:sz="8" w:color="auto"/>
            </w:tcBorders>
            <w:shd w:val="clear" w:color="auto" w:fill="CCCCCC"/>
          </w:tcPr>
          <w:p>
            <w:pPr>
              <w:ind w:left="1300"/>
              <w:spacing w:after="0"/>
              <w:rPr>
                <w:sz w:val="20"/>
                <w:szCs w:val="20"/>
                <w:color w:val="auto"/>
              </w:rPr>
            </w:pPr>
            <w:r>
              <w:rPr>
                <w:rFonts w:ascii="Arial" w:cs="Arial" w:eastAsia="Arial" w:hAnsi="Arial"/>
                <w:sz w:val="18"/>
                <w:szCs w:val="18"/>
                <w:color w:val="auto"/>
              </w:rPr>
              <w:t>Two times base salary</w:t>
            </w:r>
          </w:p>
        </w:tc>
      </w:tr>
    </w:tbl>
    <w:p>
      <w:pPr>
        <w:spacing w:after="0" w:line="197"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Given the mandatory hold provision until thresholds are obtained, there is no specified deadline for achieving designated thresholds. For purposes of the executive stock ownership guidelines, stock ownership is defined to include stock owned by the executive directly, stock owned indirectly, including through the Company’s savings plan, and the “in-the-money” portion of vested stock options. As of December 31, 2021, each NEO had met the applicable ownership thresholds.</w:t>
      </w:r>
    </w:p>
    <w:p>
      <w:pPr>
        <w:spacing w:after="0" w:line="93" w:lineRule="exact"/>
        <w:rPr>
          <w:sz w:val="20"/>
          <w:szCs w:val="20"/>
          <w:color w:val="auto"/>
        </w:rPr>
      </w:pPr>
    </w:p>
    <w:p>
      <w:pPr>
        <w:jc w:val="both"/>
        <w:ind w:left="20"/>
        <w:spacing w:after="0" w:line="301" w:lineRule="auto"/>
        <w:rPr>
          <w:sz w:val="20"/>
          <w:szCs w:val="20"/>
          <w:color w:val="auto"/>
        </w:rPr>
      </w:pPr>
      <w:r>
        <w:rPr>
          <w:rFonts w:ascii="Arial" w:cs="Arial" w:eastAsia="Arial" w:hAnsi="Arial"/>
          <w:sz w:val="17"/>
          <w:szCs w:val="17"/>
          <w:color w:val="auto"/>
        </w:rPr>
        <w:t>Following attainment of ownership thresholds, our NEOs are required, for a period of one year, to hold an additional amount equal to 50% of the net shares obtained upon the vesting of any equity award and 50% of all stock options that vest.</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Employment and Change of Control Agreements; Severance Arrangements</w:t>
      </w:r>
    </w:p>
    <w:p>
      <w:pPr>
        <w:spacing w:after="0" w:line="131"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To foster the retention of our key management team and in accordance with past practice, we have agreements with our CEO and President, International under which the Company seeks to provide appropriate protections consistent with prevailing market practices. We also maintain an Executive Severance Plan and our Executive Chair, CFO and Chief Digital Officer are eligible to participate in that plan. A more detailed description of the Company’s current agreements with our NEOs and other arrangements is set forth below under the heading “Employment Agreements and Other Arrangements.” The benefits that would be received by our NEOs in the event of termination without cause or a change in control are set forth below under the heading “Termination, Severance and Change of Control Arrangements.”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36" w:name="page37"/>
    <w:bookmarkEnd w:id="36"/>
    <w:p>
      <w:pPr>
        <w:ind w:left="1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Perquisites and Benefits</w:t>
      </w:r>
    </w:p>
    <w:p>
      <w:pPr>
        <w:spacing w:after="0" w:line="144"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We have historically sought to provide perquisites to our executives that are consistent with those provided by the general market and Peer Group companies. Our perquisites currently consist primarily of financial planning services, auto use or allowance, discounted auto insurance, auto leasing through the employee lease program and limited personal use of Company-leased aircraft services. The group excess liability umbrella insurance perquisite that was previously provided was discontinued in late 2021. The Company does not provide tax reimbursements or gross-ups on perquisites for any of our NEOs other than relocation and expatriate benefits in accordance with the Company’s standard policies.</w:t>
      </w:r>
    </w:p>
    <w:p>
      <w:pPr>
        <w:spacing w:after="0" w:line="111"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The financial planning and auto use or allowance perquisites referred to above are not expected to be offered to any executive officer who joins the Company after December 31, 2021.</w:t>
      </w:r>
    </w:p>
    <w:p>
      <w:pPr>
        <w:spacing w:after="0" w:line="73"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Employees, including our NEOs, may also receive tickets for professional sporting events, which are part of the Company’s season ticket subscription, and do not result in an associated incremental cost to our Company. Our ticket allocation policy is generally seniority-based, with a valid business purpose superseding any personal use.</w:t>
      </w:r>
    </w:p>
    <w:p>
      <w:pPr>
        <w:spacing w:after="0" w:line="31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Anti-Hedging Policy</w:t>
      </w:r>
    </w:p>
    <w:p>
      <w:pPr>
        <w:spacing w:after="0" w:line="144"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The Company’s insider trading policy prohibits directors, executive officers and other employees required to pre-clear trades in Company securities, along with members of their families and others living in their households and investment partnerships and other entities over which they have or share voting or investment control (collectively, the “Covered Persons”) from:</w:t>
      </w:r>
    </w:p>
    <w:p>
      <w:pPr>
        <w:spacing w:after="0" w:line="93" w:lineRule="exact"/>
        <w:rPr>
          <w:sz w:val="20"/>
          <w:szCs w:val="20"/>
          <w:color w:val="auto"/>
        </w:rPr>
      </w:pPr>
    </w:p>
    <w:p>
      <w:pPr>
        <w:jc w:val="both"/>
        <w:ind w:left="350" w:hanging="350"/>
        <w:spacing w:after="0" w:line="253" w:lineRule="auto"/>
        <w:tabs>
          <w:tab w:leader="none" w:pos="3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engaging in hedging and monetization transactions that permit any Covered Person to continue to own the Company’s equity securities without the full risks and rewards of ownership, including through the use of financial instruments such as prepaid variable forwards, equity swaps, collars and exchange funds;</w:t>
      </w:r>
    </w:p>
    <w:p>
      <w:pPr>
        <w:spacing w:after="0" w:line="101"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holding the Company’s equity securities in a margin account or otherwise pledging the Company’s equity securities as collateral for a loan;</w:t>
      </w:r>
    </w:p>
    <w:p>
      <w:pPr>
        <w:spacing w:after="0" w:line="86" w:lineRule="exact"/>
        <w:rPr>
          <w:rFonts w:ascii="Arial" w:cs="Arial" w:eastAsia="Arial" w:hAnsi="Arial"/>
          <w:sz w:val="18"/>
          <w:szCs w:val="18"/>
          <w:color w:val="auto"/>
        </w:rPr>
      </w:pPr>
    </w:p>
    <w:p>
      <w:pPr>
        <w:ind w:left="350" w:right="20" w:hanging="350"/>
        <w:spacing w:after="0" w:line="271" w:lineRule="auto"/>
        <w:tabs>
          <w:tab w:leader="none" w:pos="3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participating in transactions involving options in relation to the Company’s securities, such as puts, calls or other derivative securities on an exchange or in any other organized market; and</w:t>
      </w:r>
    </w:p>
    <w:p>
      <w:pPr>
        <w:spacing w:after="0" w:line="72" w:lineRule="exact"/>
        <w:rPr>
          <w:rFonts w:ascii="Arial" w:cs="Arial" w:eastAsia="Arial" w:hAnsi="Arial"/>
          <w:sz w:val="18"/>
          <w:szCs w:val="18"/>
          <w:color w:val="auto"/>
        </w:rPr>
      </w:pPr>
    </w:p>
    <w:p>
      <w:pPr>
        <w:ind w:left="350" w:hanging="350"/>
        <w:spacing w:after="0"/>
        <w:tabs>
          <w:tab w:leader="none" w:pos="3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engaging in short sales of the Company’s equity securities.</w:t>
      </w:r>
    </w:p>
    <w:p>
      <w:pPr>
        <w:spacing w:after="0" w:line="144"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For purposes of the above, the Company’s equity securities include securities acquired by a Covered Person as part of his or her compensation or otherwise. The Cooperation Agreement exempts Mr. Sarma from this policy. In his capacity as an advisor, director, general partner or manager of SRS or any affiliated fund, Mr. Sarma is not prohibited from pledging or making purchases on margin of, or entering into derivative or hedging arrangements (including options) with respect to, the securities of the Company, which transactions are otherwise in compliance with applicable law and the Cooperation Agreement.</w:t>
      </w:r>
    </w:p>
    <w:p>
      <w:pPr>
        <w:spacing w:after="0" w:line="32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Recoupment (Clawback) Policy</w:t>
      </w:r>
    </w:p>
    <w:p>
      <w:pPr>
        <w:spacing w:after="0" w:line="131"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color w:val="auto"/>
        </w:rPr>
        <w:t>Our Board of Directors has adopted a policy that provides that if the Board learns of any intentional misconduct by an “executive officer” (as defined under Section 16 of the Exchange Act) that resulted in an increase to incentive income awarded to that officer, the Board will, to the full extent permitted by applicable law, in all appropriate cases, require reimbursement of the increased portion of incentive income awarded to that officer. We intend to amend our clawback policy, if necessary, to comply with any rules adopted by the SEC.</w:t>
      </w:r>
    </w:p>
    <w:p>
      <w:pPr>
        <w:spacing w:after="0" w:line="167"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auto"/>
        </w:rPr>
        <w:t>Compensation Committee Report</w:t>
      </w:r>
    </w:p>
    <w:p>
      <w:pPr>
        <w:spacing w:after="0" w:line="148"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w:t>
      </w:r>
    </w:p>
    <w:p>
      <w:pPr>
        <w:spacing w:after="0" w:line="13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THE COMPENSATION COMMITTEE</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i w:val="1"/>
          <w:iCs w:val="1"/>
          <w:color w:val="auto"/>
        </w:rPr>
        <w:t>Karthik Sarma (Chair)</w:t>
      </w:r>
    </w:p>
    <w:p>
      <w:pPr>
        <w:jc w:val="center"/>
        <w:ind w:right="-9"/>
        <w:spacing w:after="0" w:line="234" w:lineRule="auto"/>
        <w:rPr>
          <w:sz w:val="20"/>
          <w:szCs w:val="20"/>
          <w:color w:val="auto"/>
        </w:rPr>
      </w:pPr>
      <w:r>
        <w:rPr>
          <w:rFonts w:ascii="Arial" w:cs="Arial" w:eastAsia="Arial" w:hAnsi="Arial"/>
          <w:sz w:val="18"/>
          <w:szCs w:val="18"/>
          <w:i w:val="1"/>
          <w:iCs w:val="1"/>
          <w:color w:val="auto"/>
        </w:rPr>
        <w:t>Lynn Krominga</w:t>
      </w:r>
    </w:p>
    <w:p>
      <w:pPr>
        <w:spacing w:after="0" w:line="1" w:lineRule="exact"/>
        <w:rPr>
          <w:sz w:val="20"/>
          <w:szCs w:val="20"/>
          <w:color w:val="auto"/>
        </w:rPr>
      </w:pPr>
    </w:p>
    <w:p>
      <w:pPr>
        <w:jc w:val="center"/>
        <w:ind w:right="-9"/>
        <w:spacing w:after="0"/>
        <w:rPr>
          <w:sz w:val="20"/>
          <w:szCs w:val="20"/>
          <w:color w:val="auto"/>
        </w:rPr>
      </w:pPr>
      <w:r>
        <w:rPr>
          <w:rFonts w:ascii="Arial" w:cs="Arial" w:eastAsia="Arial" w:hAnsi="Arial"/>
          <w:sz w:val="18"/>
          <w:szCs w:val="18"/>
          <w:i w:val="1"/>
          <w:iCs w:val="1"/>
          <w:color w:val="auto"/>
        </w:rPr>
        <w:t>Glenn Lurie</w:t>
      </w:r>
    </w:p>
    <w:p>
      <w:pPr>
        <w:spacing w:after="0" w:line="3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163195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37" w:name="page38"/>
    <w:bookmarkEnd w:id="37"/>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Summary Compensation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Value and</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Option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80"/>
              <w:spacing w:after="0"/>
              <w:rPr>
                <w:sz w:val="20"/>
                <w:szCs w:val="20"/>
                <w:color w:val="auto"/>
              </w:rPr>
            </w:pPr>
            <w:r>
              <w:rPr>
                <w:rFonts w:ascii="Arial" w:cs="Arial" w:eastAsia="Arial" w:hAnsi="Arial"/>
                <w:sz w:val="14"/>
                <w:szCs w:val="14"/>
                <w:b w:val="1"/>
                <w:bCs w:val="1"/>
                <w:color w:val="auto"/>
              </w:rPr>
              <w:t>Name and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center"/>
              <w:ind w:left="8"/>
              <w:spacing w:after="0"/>
              <w:rPr>
                <w:sz w:val="20"/>
                <w:szCs w:val="20"/>
                <w:color w:val="auto"/>
              </w:rPr>
            </w:pPr>
            <w:r>
              <w:rPr>
                <w:rFonts w:ascii="Arial" w:cs="Arial" w:eastAsia="Arial" w:hAnsi="Arial"/>
                <w:sz w:val="14"/>
                <w:szCs w:val="14"/>
                <w:b w:val="1"/>
                <w:bCs w:val="1"/>
                <w:color w:val="auto"/>
              </w:rPr>
              <w:t>Salary</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Bonus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Awards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Comp</w:t>
            </w:r>
          </w:p>
        </w:tc>
        <w:tc>
          <w:tcPr>
            <w:tcW w:w="820" w:type="dxa"/>
            <w:vAlign w:val="bottom"/>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840" w:type="dxa"/>
            <w:vAlign w:val="bottom"/>
          </w:tcPr>
          <w:p>
            <w:pPr>
              <w:ind w:left="80"/>
              <w:spacing w:after="0"/>
              <w:rPr>
                <w:sz w:val="20"/>
                <w:szCs w:val="20"/>
                <w:color w:val="auto"/>
              </w:rPr>
            </w:pPr>
            <w:r>
              <w:rPr>
                <w:rFonts w:ascii="Arial" w:cs="Arial" w:eastAsia="Arial" w:hAnsi="Arial"/>
                <w:sz w:val="14"/>
                <w:szCs w:val="14"/>
                <w:b w:val="1"/>
                <w:bCs w:val="1"/>
                <w:color w:val="auto"/>
              </w:rPr>
              <w:t>Principal Position</w:t>
            </w:r>
          </w:p>
        </w:tc>
        <w:tc>
          <w:tcPr>
            <w:tcW w:w="12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8"/>
              </w:rPr>
              <w:t>Year</w:t>
            </w:r>
          </w:p>
        </w:tc>
        <w:tc>
          <w:tcPr>
            <w:tcW w:w="1000" w:type="dxa"/>
            <w:vAlign w:val="bottom"/>
          </w:tcPr>
          <w:p>
            <w:pPr>
              <w:jc w:val="center"/>
              <w:ind w:left="48"/>
              <w:spacing w:after="0"/>
              <w:rPr>
                <w:sz w:val="20"/>
                <w:szCs w:val="20"/>
                <w:color w:val="auto"/>
              </w:rPr>
            </w:pPr>
            <w:r>
              <w:rPr>
                <w:rFonts w:ascii="Arial" w:cs="Arial" w:eastAsia="Arial" w:hAnsi="Arial"/>
                <w:sz w:val="14"/>
                <w:szCs w:val="14"/>
                <w:b w:val="1"/>
                <w:bCs w:val="1"/>
                <w:color w:val="auto"/>
              </w:rPr>
              <w:t>($)(a)</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($)(f)</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9"/>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40" w:type="dxa"/>
            <w:vAlign w:val="bottom"/>
            <w:shd w:val="clear" w:color="auto" w:fill="CCCCCC"/>
          </w:tcPr>
          <w:p>
            <w:pPr>
              <w:ind w:left="80"/>
              <w:spacing w:after="0"/>
              <w:rPr>
                <w:sz w:val="20"/>
                <w:szCs w:val="20"/>
                <w:color w:val="auto"/>
              </w:rPr>
            </w:pPr>
            <w:r>
              <w:rPr>
                <w:rFonts w:ascii="Arial" w:cs="Arial" w:eastAsia="Arial" w:hAnsi="Arial"/>
                <w:sz w:val="14"/>
                <w:szCs w:val="14"/>
                <w:color w:val="auto"/>
              </w:rPr>
              <w:t>Ferraro, Joseph A.</w:t>
            </w:r>
          </w:p>
        </w:tc>
        <w:tc>
          <w:tcPr>
            <w:tcW w:w="120" w:type="dxa"/>
            <w:vAlign w:val="bottom"/>
            <w:shd w:val="clear" w:color="auto" w:fill="CCCCCC"/>
          </w:tcPr>
          <w:p>
            <w:pPr>
              <w:spacing w:after="0"/>
              <w:rPr>
                <w:sz w:val="17"/>
                <w:szCs w:val="17"/>
                <w:color w:val="auto"/>
              </w:rPr>
            </w:pPr>
          </w:p>
        </w:tc>
        <w:tc>
          <w:tcPr>
            <w:tcW w:w="340" w:type="dxa"/>
            <w:vAlign w:val="bottom"/>
            <w:shd w:val="clear" w:color="auto" w:fill="CCCCCC"/>
          </w:tcPr>
          <w:p>
            <w:pPr>
              <w:spacing w:after="0"/>
              <w:rPr>
                <w:sz w:val="20"/>
                <w:szCs w:val="20"/>
                <w:color w:val="auto"/>
              </w:rPr>
            </w:pPr>
            <w:r>
              <w:rPr>
                <w:rFonts w:ascii="Arial" w:cs="Arial" w:eastAsia="Arial" w:hAnsi="Arial"/>
                <w:sz w:val="14"/>
                <w:szCs w:val="14"/>
                <w:color w:val="auto"/>
              </w:rPr>
              <w:t>2021</w:t>
            </w:r>
          </w:p>
        </w:tc>
        <w:tc>
          <w:tcPr>
            <w:tcW w:w="1000" w:type="dxa"/>
            <w:vAlign w:val="bottom"/>
            <w:shd w:val="clear" w:color="auto" w:fill="CCCCCC"/>
          </w:tcPr>
          <w:p>
            <w:pPr>
              <w:jc w:val="center"/>
              <w:ind w:left="48"/>
              <w:spacing w:after="0"/>
              <w:rPr>
                <w:sz w:val="20"/>
                <w:szCs w:val="20"/>
                <w:color w:val="auto"/>
              </w:rPr>
            </w:pPr>
            <w:r>
              <w:rPr>
                <w:rFonts w:ascii="Arial" w:cs="Arial" w:eastAsia="Arial" w:hAnsi="Arial"/>
                <w:sz w:val="14"/>
                <w:szCs w:val="14"/>
                <w:color w:val="auto"/>
              </w:rPr>
              <w:t>1,000,000</w:t>
            </w:r>
          </w:p>
        </w:tc>
        <w:tc>
          <w:tcPr>
            <w:tcW w:w="78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5,000,032</w:t>
            </w:r>
          </w:p>
        </w:tc>
        <w:tc>
          <w:tcPr>
            <w:tcW w:w="78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2,500,000</w:t>
            </w:r>
          </w:p>
        </w:tc>
        <w:tc>
          <w:tcPr>
            <w:tcW w:w="126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94,523</w:t>
            </w:r>
          </w:p>
        </w:tc>
        <w:tc>
          <w:tcPr>
            <w:tcW w:w="8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8,594,555</w:t>
            </w:r>
          </w:p>
        </w:tc>
        <w:tc>
          <w:tcPr>
            <w:tcW w:w="0" w:type="dxa"/>
            <w:vAlign w:val="bottom"/>
          </w:tcPr>
          <w:p>
            <w:pPr>
              <w:spacing w:after="0"/>
              <w:rPr>
                <w:sz w:val="1"/>
                <w:szCs w:val="1"/>
                <w:color w:val="auto"/>
              </w:rPr>
            </w:pPr>
          </w:p>
        </w:tc>
      </w:tr>
      <w:tr>
        <w:trPr>
          <w:trHeight w:val="190"/>
        </w:trPr>
        <w:tc>
          <w:tcPr>
            <w:tcW w:w="1840" w:type="dxa"/>
            <w:vAlign w:val="bottom"/>
            <w:shd w:val="clear" w:color="auto" w:fill="CCCCCC"/>
          </w:tcPr>
          <w:p>
            <w:pPr>
              <w:ind w:left="160"/>
              <w:spacing w:after="0"/>
              <w:rPr>
                <w:sz w:val="20"/>
                <w:szCs w:val="20"/>
                <w:color w:val="auto"/>
              </w:rPr>
            </w:pPr>
            <w:r>
              <w:rPr>
                <w:rFonts w:ascii="Arial" w:cs="Arial" w:eastAsia="Arial" w:hAnsi="Arial"/>
                <w:sz w:val="14"/>
                <w:szCs w:val="14"/>
                <w:color w:val="auto"/>
              </w:rPr>
              <w:t>President and CEO</w:t>
            </w:r>
          </w:p>
        </w:tc>
        <w:tc>
          <w:tcPr>
            <w:tcW w:w="120" w:type="dxa"/>
            <w:vAlign w:val="bottom"/>
            <w:shd w:val="clear" w:color="auto" w:fill="CCCCCC"/>
          </w:tcPr>
          <w:p>
            <w:pPr>
              <w:spacing w:after="0"/>
              <w:rPr>
                <w:sz w:val="16"/>
                <w:szCs w:val="16"/>
                <w:color w:val="auto"/>
              </w:rPr>
            </w:pPr>
          </w:p>
        </w:tc>
        <w:tc>
          <w:tcPr>
            <w:tcW w:w="340" w:type="dxa"/>
            <w:vAlign w:val="bottom"/>
            <w:vMerge w:val="restart"/>
            <w:shd w:val="clear" w:color="auto" w:fill="CCCCCC"/>
          </w:tcPr>
          <w:p>
            <w:pPr>
              <w:spacing w:after="0"/>
              <w:rPr>
                <w:sz w:val="20"/>
                <w:szCs w:val="20"/>
                <w:color w:val="auto"/>
              </w:rPr>
            </w:pPr>
            <w:r>
              <w:rPr>
                <w:rFonts w:ascii="Arial" w:cs="Arial" w:eastAsia="Arial" w:hAnsi="Arial"/>
                <w:sz w:val="14"/>
                <w:szCs w:val="14"/>
                <w:color w:val="auto"/>
              </w:rPr>
              <w:t>2020</w:t>
            </w:r>
          </w:p>
        </w:tc>
        <w:tc>
          <w:tcPr>
            <w:tcW w:w="1000" w:type="dxa"/>
            <w:vAlign w:val="bottom"/>
            <w:vMerge w:val="restart"/>
            <w:shd w:val="clear" w:color="auto" w:fill="CCCCCC"/>
          </w:tcPr>
          <w:p>
            <w:pPr>
              <w:jc w:val="center"/>
              <w:ind w:left="48"/>
              <w:spacing w:after="0"/>
              <w:rPr>
                <w:sz w:val="20"/>
                <w:szCs w:val="20"/>
                <w:color w:val="auto"/>
              </w:rPr>
            </w:pPr>
            <w:r>
              <w:rPr>
                <w:rFonts w:ascii="Arial" w:cs="Arial" w:eastAsia="Arial" w:hAnsi="Arial"/>
                <w:sz w:val="14"/>
                <w:szCs w:val="14"/>
                <w:color w:val="auto"/>
              </w:rPr>
              <w:t>842,596</w:t>
            </w:r>
          </w:p>
        </w:tc>
        <w:tc>
          <w:tcPr>
            <w:tcW w:w="78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3,122,680</w:t>
            </w:r>
          </w:p>
        </w:tc>
        <w:tc>
          <w:tcPr>
            <w:tcW w:w="78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81,463</w:t>
            </w:r>
          </w:p>
        </w:tc>
        <w:tc>
          <w:tcPr>
            <w:tcW w:w="780" w:type="dxa"/>
            <w:vAlign w:val="bottom"/>
            <w:vMerge w:val="restart"/>
            <w:shd w:val="clear" w:color="auto" w:fill="CCCCCC"/>
          </w:tcPr>
          <w:p>
            <w:pPr>
              <w:jc w:val="right"/>
              <w:ind w:right="48"/>
              <w:spacing w:after="0"/>
              <w:rPr>
                <w:sz w:val="20"/>
                <w:szCs w:val="20"/>
                <w:color w:val="auto"/>
              </w:rPr>
            </w:pPr>
            <w:r>
              <w:rPr>
                <w:rFonts w:ascii="Arial" w:cs="Arial" w:eastAsia="Arial" w:hAnsi="Arial"/>
                <w:sz w:val="14"/>
                <w:szCs w:val="14"/>
                <w:color w:val="auto"/>
              </w:rPr>
              <w:t>868,413</w:t>
            </w:r>
          </w:p>
        </w:tc>
        <w:tc>
          <w:tcPr>
            <w:tcW w:w="82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4,915,152</w:t>
            </w:r>
          </w:p>
        </w:tc>
        <w:tc>
          <w:tcPr>
            <w:tcW w:w="0" w:type="dxa"/>
            <w:vAlign w:val="bottom"/>
          </w:tcPr>
          <w:p>
            <w:pPr>
              <w:spacing w:after="0"/>
              <w:rPr>
                <w:sz w:val="1"/>
                <w:szCs w:val="1"/>
                <w:color w:val="auto"/>
              </w:rPr>
            </w:pPr>
          </w:p>
        </w:tc>
      </w:tr>
      <w:tr>
        <w:trPr>
          <w:trHeight w:val="81"/>
        </w:trPr>
        <w:tc>
          <w:tcPr>
            <w:tcW w:w="1840" w:type="dxa"/>
            <w:vAlign w:val="bottom"/>
            <w:shd w:val="clear" w:color="auto" w:fill="CCCCCC"/>
          </w:tcPr>
          <w:p>
            <w:pPr>
              <w:spacing w:after="0"/>
              <w:rPr>
                <w:sz w:val="7"/>
                <w:szCs w:val="7"/>
                <w:color w:val="auto"/>
              </w:rPr>
            </w:pPr>
          </w:p>
        </w:tc>
        <w:tc>
          <w:tcPr>
            <w:tcW w:w="120" w:type="dxa"/>
            <w:vAlign w:val="bottom"/>
            <w:shd w:val="clear" w:color="auto" w:fill="CCCCCC"/>
          </w:tcPr>
          <w:p>
            <w:pPr>
              <w:spacing w:after="0"/>
              <w:rPr>
                <w:sz w:val="7"/>
                <w:szCs w:val="7"/>
                <w:color w:val="auto"/>
              </w:rPr>
            </w:pPr>
          </w:p>
        </w:tc>
        <w:tc>
          <w:tcPr>
            <w:tcW w:w="340" w:type="dxa"/>
            <w:vAlign w:val="bottom"/>
            <w:vMerge w:val="continue"/>
            <w:shd w:val="clear" w:color="auto" w:fill="CCCCCC"/>
          </w:tcPr>
          <w:p>
            <w:pPr>
              <w:spacing w:after="0"/>
              <w:rPr>
                <w:sz w:val="7"/>
                <w:szCs w:val="7"/>
                <w:color w:val="auto"/>
              </w:rPr>
            </w:pPr>
          </w:p>
        </w:tc>
        <w:tc>
          <w:tcPr>
            <w:tcW w:w="1000" w:type="dxa"/>
            <w:vAlign w:val="bottom"/>
            <w:vMerge w:val="continue"/>
            <w:shd w:val="clear" w:color="auto" w:fill="CCCCCC"/>
          </w:tcPr>
          <w:p>
            <w:pPr>
              <w:spacing w:after="0"/>
              <w:rPr>
                <w:sz w:val="7"/>
                <w:szCs w:val="7"/>
                <w:color w:val="auto"/>
              </w:rPr>
            </w:pPr>
          </w:p>
        </w:tc>
        <w:tc>
          <w:tcPr>
            <w:tcW w:w="780" w:type="dxa"/>
            <w:vAlign w:val="bottom"/>
            <w:vMerge w:val="continue"/>
            <w:shd w:val="clear" w:color="auto" w:fill="CCCCCC"/>
          </w:tcPr>
          <w:p>
            <w:pPr>
              <w:spacing w:after="0"/>
              <w:rPr>
                <w:sz w:val="7"/>
                <w:szCs w:val="7"/>
                <w:color w:val="auto"/>
              </w:rPr>
            </w:pPr>
          </w:p>
        </w:tc>
        <w:tc>
          <w:tcPr>
            <w:tcW w:w="880" w:type="dxa"/>
            <w:vAlign w:val="bottom"/>
            <w:vMerge w:val="continue"/>
            <w:shd w:val="clear" w:color="auto" w:fill="CCCCCC"/>
          </w:tcPr>
          <w:p>
            <w:pPr>
              <w:spacing w:after="0"/>
              <w:rPr>
                <w:sz w:val="7"/>
                <w:szCs w:val="7"/>
                <w:color w:val="auto"/>
              </w:rPr>
            </w:pPr>
          </w:p>
        </w:tc>
        <w:tc>
          <w:tcPr>
            <w:tcW w:w="780" w:type="dxa"/>
            <w:vAlign w:val="bottom"/>
            <w:vMerge w:val="continue"/>
            <w:shd w:val="clear" w:color="auto" w:fill="CCCCCC"/>
          </w:tcPr>
          <w:p>
            <w:pPr>
              <w:spacing w:after="0"/>
              <w:rPr>
                <w:sz w:val="7"/>
                <w:szCs w:val="7"/>
                <w:color w:val="auto"/>
              </w:rPr>
            </w:pPr>
          </w:p>
        </w:tc>
        <w:tc>
          <w:tcPr>
            <w:tcW w:w="1240" w:type="dxa"/>
            <w:vAlign w:val="bottom"/>
            <w:vMerge w:val="continue"/>
            <w:shd w:val="clear" w:color="auto" w:fill="CCCCCC"/>
          </w:tcPr>
          <w:p>
            <w:pPr>
              <w:spacing w:after="0"/>
              <w:rPr>
                <w:sz w:val="7"/>
                <w:szCs w:val="7"/>
                <w:color w:val="auto"/>
              </w:rPr>
            </w:pPr>
          </w:p>
        </w:tc>
        <w:tc>
          <w:tcPr>
            <w:tcW w:w="1260" w:type="dxa"/>
            <w:vAlign w:val="bottom"/>
            <w:vMerge w:val="continue"/>
            <w:shd w:val="clear" w:color="auto" w:fill="CCCCCC"/>
          </w:tcPr>
          <w:p>
            <w:pPr>
              <w:spacing w:after="0"/>
              <w:rPr>
                <w:sz w:val="7"/>
                <w:szCs w:val="7"/>
                <w:color w:val="auto"/>
              </w:rPr>
            </w:pPr>
          </w:p>
        </w:tc>
        <w:tc>
          <w:tcPr>
            <w:tcW w:w="780" w:type="dxa"/>
            <w:vAlign w:val="bottom"/>
            <w:vMerge w:val="continue"/>
            <w:shd w:val="clear" w:color="auto" w:fill="CCCCCC"/>
          </w:tcPr>
          <w:p>
            <w:pPr>
              <w:spacing w:after="0"/>
              <w:rPr>
                <w:sz w:val="7"/>
                <w:szCs w:val="7"/>
                <w:color w:val="auto"/>
              </w:rPr>
            </w:pPr>
          </w:p>
        </w:tc>
        <w:tc>
          <w:tcPr>
            <w:tcW w:w="82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840" w:type="dxa"/>
            <w:vAlign w:val="bottom"/>
            <w:tcBorders>
              <w:bottom w:val="single" w:sz="8" w:color="CCCCCC"/>
            </w:tcBorders>
            <w:shd w:val="clear" w:color="auto" w:fill="CCCCCC"/>
          </w:tcPr>
          <w:p>
            <w:pPr>
              <w:spacing w:after="0"/>
              <w:rPr>
                <w:sz w:val="23"/>
                <w:szCs w:val="23"/>
                <w:color w:val="auto"/>
              </w:rPr>
            </w:pPr>
          </w:p>
        </w:tc>
        <w:tc>
          <w:tcPr>
            <w:tcW w:w="120" w:type="dxa"/>
            <w:vAlign w:val="bottom"/>
            <w:tcBorders>
              <w:bottom w:val="single" w:sz="8" w:color="CCCCCC"/>
            </w:tcBorders>
            <w:shd w:val="clear" w:color="auto" w:fill="CCCCCC"/>
          </w:tcPr>
          <w:p>
            <w:pPr>
              <w:spacing w:after="0"/>
              <w:rPr>
                <w:sz w:val="23"/>
                <w:szCs w:val="23"/>
                <w:color w:val="auto"/>
              </w:rPr>
            </w:pPr>
          </w:p>
        </w:tc>
        <w:tc>
          <w:tcPr>
            <w:tcW w:w="34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color w:val="auto"/>
              </w:rPr>
              <w:t>2019</w:t>
            </w:r>
          </w:p>
        </w:tc>
        <w:tc>
          <w:tcPr>
            <w:tcW w:w="1000" w:type="dxa"/>
            <w:vAlign w:val="bottom"/>
            <w:tcBorders>
              <w:bottom w:val="single" w:sz="8" w:color="CCCCCC"/>
            </w:tcBorders>
            <w:shd w:val="clear" w:color="auto" w:fill="CCCCCC"/>
          </w:tcPr>
          <w:p>
            <w:pPr>
              <w:jc w:val="center"/>
              <w:ind w:left="48"/>
              <w:spacing w:after="0"/>
              <w:rPr>
                <w:sz w:val="20"/>
                <w:szCs w:val="20"/>
                <w:color w:val="auto"/>
              </w:rPr>
            </w:pPr>
            <w:r>
              <w:rPr>
                <w:rFonts w:ascii="Arial" w:cs="Arial" w:eastAsia="Arial" w:hAnsi="Arial"/>
                <w:sz w:val="14"/>
                <w:szCs w:val="14"/>
                <w:color w:val="auto"/>
              </w:rPr>
              <w:t>725,000</w:t>
            </w:r>
          </w:p>
        </w:tc>
        <w:tc>
          <w:tcPr>
            <w:tcW w:w="7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2,999,991</w:t>
            </w:r>
          </w:p>
        </w:tc>
        <w:tc>
          <w:tcPr>
            <w:tcW w:w="7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1,022,250</w:t>
            </w:r>
          </w:p>
        </w:tc>
        <w:tc>
          <w:tcPr>
            <w:tcW w:w="12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44,988</w:t>
            </w:r>
          </w:p>
        </w:tc>
        <w:tc>
          <w:tcPr>
            <w:tcW w:w="780" w:type="dxa"/>
            <w:vAlign w:val="bottom"/>
            <w:tcBorders>
              <w:bottom w:val="single" w:sz="8" w:color="CCCCCC"/>
            </w:tcBorders>
            <w:shd w:val="clear" w:color="auto" w:fill="CCCCCC"/>
          </w:tcPr>
          <w:p>
            <w:pPr>
              <w:jc w:val="right"/>
              <w:ind w:right="48"/>
              <w:spacing w:after="0"/>
              <w:rPr>
                <w:sz w:val="20"/>
                <w:szCs w:val="20"/>
                <w:color w:val="auto"/>
              </w:rPr>
            </w:pPr>
            <w:r>
              <w:rPr>
                <w:rFonts w:ascii="Arial" w:cs="Arial" w:eastAsia="Arial" w:hAnsi="Arial"/>
                <w:sz w:val="14"/>
                <w:szCs w:val="14"/>
                <w:color w:val="auto"/>
              </w:rPr>
              <w:t>136,777</w:t>
            </w:r>
          </w:p>
        </w:tc>
        <w:tc>
          <w:tcPr>
            <w:tcW w:w="8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4,929,006</w:t>
            </w:r>
          </w:p>
        </w:tc>
        <w:tc>
          <w:tcPr>
            <w:tcW w:w="0" w:type="dxa"/>
            <w:vAlign w:val="bottom"/>
          </w:tcPr>
          <w:p>
            <w:pPr>
              <w:spacing w:after="0"/>
              <w:rPr>
                <w:sz w:val="1"/>
                <w:szCs w:val="1"/>
                <w:color w:val="auto"/>
              </w:rPr>
            </w:pPr>
          </w:p>
        </w:tc>
      </w:tr>
      <w:tr>
        <w:trPr>
          <w:trHeight w:val="187"/>
        </w:trPr>
        <w:tc>
          <w:tcPr>
            <w:tcW w:w="184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Choi, Brian J.</w:t>
            </w:r>
          </w:p>
        </w:tc>
        <w:tc>
          <w:tcPr>
            <w:tcW w:w="4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2021</w:t>
            </w:r>
          </w:p>
        </w:tc>
        <w:tc>
          <w:tcPr>
            <w:tcW w:w="100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rPr>
              <w:t>500,000</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1,499,960</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742,500</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25,113</w:t>
            </w: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2,767,573</w:t>
            </w:r>
          </w:p>
        </w:tc>
        <w:tc>
          <w:tcPr>
            <w:tcW w:w="0" w:type="dxa"/>
            <w:vAlign w:val="bottom"/>
          </w:tcPr>
          <w:p>
            <w:pPr>
              <w:spacing w:after="0"/>
              <w:rPr>
                <w:sz w:val="1"/>
                <w:szCs w:val="1"/>
                <w:color w:val="auto"/>
              </w:rPr>
            </w:pPr>
          </w:p>
        </w:tc>
      </w:tr>
      <w:tr>
        <w:trPr>
          <w:trHeight w:val="190"/>
        </w:trPr>
        <w:tc>
          <w:tcPr>
            <w:tcW w:w="1840" w:type="dxa"/>
            <w:vAlign w:val="bottom"/>
          </w:tcPr>
          <w:p>
            <w:pPr>
              <w:ind w:left="160"/>
              <w:spacing w:after="0"/>
              <w:rPr>
                <w:sz w:val="20"/>
                <w:szCs w:val="20"/>
                <w:color w:val="auto"/>
              </w:rPr>
            </w:pPr>
            <w:r>
              <w:rPr>
                <w:rFonts w:ascii="Arial" w:cs="Arial" w:eastAsia="Arial" w:hAnsi="Arial"/>
                <w:sz w:val="14"/>
                <w:szCs w:val="14"/>
                <w:color w:val="auto"/>
              </w:rPr>
              <w:t>EVP and CFO</w:t>
            </w:r>
          </w:p>
        </w:tc>
        <w:tc>
          <w:tcPr>
            <w:tcW w:w="460" w:type="dxa"/>
            <w:vAlign w:val="bottom"/>
            <w:gridSpan w:val="2"/>
            <w:vMerge w:val="restart"/>
          </w:tcPr>
          <w:p>
            <w:pPr>
              <w:ind w:left="120"/>
              <w:spacing w:after="0"/>
              <w:rPr>
                <w:sz w:val="20"/>
                <w:szCs w:val="20"/>
                <w:color w:val="auto"/>
              </w:rPr>
            </w:pPr>
            <w:r>
              <w:rPr>
                <w:rFonts w:ascii="Arial" w:cs="Arial" w:eastAsia="Arial" w:hAnsi="Arial"/>
                <w:sz w:val="14"/>
                <w:szCs w:val="14"/>
                <w:color w:val="auto"/>
              </w:rPr>
              <w:t>2020</w:t>
            </w:r>
          </w:p>
        </w:tc>
        <w:tc>
          <w:tcPr>
            <w:tcW w:w="1000" w:type="dxa"/>
            <w:vAlign w:val="bottom"/>
            <w:vMerge w:val="restart"/>
          </w:tcPr>
          <w:p>
            <w:pPr>
              <w:jc w:val="center"/>
              <w:ind w:left="48"/>
              <w:spacing w:after="0"/>
              <w:rPr>
                <w:sz w:val="20"/>
                <w:szCs w:val="20"/>
                <w:color w:val="auto"/>
              </w:rPr>
            </w:pPr>
            <w:r>
              <w:rPr>
                <w:rFonts w:ascii="Arial" w:cs="Arial" w:eastAsia="Arial" w:hAnsi="Arial"/>
                <w:sz w:val="14"/>
                <w:szCs w:val="14"/>
                <w:color w:val="auto"/>
              </w:rPr>
              <w:t>167,308</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3,000,009</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5,400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3,172,717</w:t>
            </w: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840" w:type="dxa"/>
            <w:vAlign w:val="bottom"/>
            <w:shd w:val="clear" w:color="auto" w:fill="CCCCCC"/>
          </w:tcPr>
          <w:p>
            <w:pPr>
              <w:ind w:left="80"/>
              <w:spacing w:after="0"/>
              <w:rPr>
                <w:sz w:val="20"/>
                <w:szCs w:val="20"/>
                <w:color w:val="auto"/>
              </w:rPr>
            </w:pPr>
            <w:r>
              <w:rPr>
                <w:rFonts w:ascii="Arial" w:cs="Arial" w:eastAsia="Arial" w:hAnsi="Arial"/>
                <w:sz w:val="14"/>
                <w:szCs w:val="14"/>
                <w:color w:val="auto"/>
              </w:rPr>
              <w:t>Hees, Bernardo</w:t>
            </w:r>
          </w:p>
        </w:tc>
        <w:tc>
          <w:tcPr>
            <w:tcW w:w="120" w:type="dxa"/>
            <w:vAlign w:val="bottom"/>
            <w:shd w:val="clear" w:color="auto" w:fill="CCCCCC"/>
          </w:tcPr>
          <w:p>
            <w:pPr>
              <w:spacing w:after="0"/>
              <w:rPr>
                <w:sz w:val="16"/>
                <w:szCs w:val="16"/>
                <w:color w:val="auto"/>
              </w:rPr>
            </w:pPr>
          </w:p>
        </w:tc>
        <w:tc>
          <w:tcPr>
            <w:tcW w:w="340" w:type="dxa"/>
            <w:vAlign w:val="bottom"/>
            <w:shd w:val="clear" w:color="auto" w:fill="CCCCCC"/>
          </w:tcPr>
          <w:p>
            <w:pPr>
              <w:spacing w:after="0"/>
              <w:rPr>
                <w:sz w:val="20"/>
                <w:szCs w:val="20"/>
                <w:color w:val="auto"/>
              </w:rPr>
            </w:pPr>
            <w:r>
              <w:rPr>
                <w:rFonts w:ascii="Arial" w:cs="Arial" w:eastAsia="Arial" w:hAnsi="Arial"/>
                <w:sz w:val="14"/>
                <w:szCs w:val="14"/>
                <w:color w:val="auto"/>
              </w:rPr>
              <w:t>2021</w:t>
            </w:r>
          </w:p>
        </w:tc>
        <w:tc>
          <w:tcPr>
            <w:tcW w:w="1000" w:type="dxa"/>
            <w:vAlign w:val="bottom"/>
            <w:shd w:val="clear" w:color="auto" w:fill="CCCCCC"/>
          </w:tcPr>
          <w:p>
            <w:pPr>
              <w:jc w:val="center"/>
              <w:ind w:left="48"/>
              <w:spacing w:after="0"/>
              <w:rPr>
                <w:sz w:val="20"/>
                <w:szCs w:val="20"/>
                <w:color w:val="auto"/>
              </w:rPr>
            </w:pPr>
            <w:r>
              <w:rPr>
                <w:rFonts w:ascii="Arial" w:cs="Arial" w:eastAsia="Arial" w:hAnsi="Arial"/>
                <w:sz w:val="14"/>
                <w:szCs w:val="14"/>
                <w:color w:val="auto"/>
              </w:rPr>
              <w:t>500,000</w:t>
            </w:r>
          </w:p>
        </w:tc>
        <w:tc>
          <w:tcPr>
            <w:tcW w:w="7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500,000</w:t>
            </w:r>
          </w:p>
        </w:tc>
        <w:tc>
          <w:tcPr>
            <w:tcW w:w="8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3,500,010</w:t>
            </w:r>
          </w:p>
        </w:tc>
        <w:tc>
          <w:tcPr>
            <w:tcW w:w="78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500,000</w:t>
            </w:r>
          </w:p>
        </w:tc>
        <w:tc>
          <w:tcPr>
            <w:tcW w:w="126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9,026</w:t>
            </w:r>
          </w:p>
        </w:tc>
        <w:tc>
          <w:tcPr>
            <w:tcW w:w="8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5,009,036</w:t>
            </w:r>
          </w:p>
        </w:tc>
        <w:tc>
          <w:tcPr>
            <w:tcW w:w="0" w:type="dxa"/>
            <w:vAlign w:val="bottom"/>
          </w:tcPr>
          <w:p>
            <w:pPr>
              <w:spacing w:after="0"/>
              <w:rPr>
                <w:sz w:val="1"/>
                <w:szCs w:val="1"/>
                <w:color w:val="auto"/>
              </w:rPr>
            </w:pPr>
          </w:p>
        </w:tc>
      </w:tr>
      <w:tr>
        <w:trPr>
          <w:trHeight w:val="190"/>
        </w:trPr>
        <w:tc>
          <w:tcPr>
            <w:tcW w:w="1840" w:type="dxa"/>
            <w:vAlign w:val="bottom"/>
            <w:shd w:val="clear" w:color="auto" w:fill="CCCCCC"/>
          </w:tcPr>
          <w:p>
            <w:pPr>
              <w:ind w:left="160"/>
              <w:spacing w:after="0"/>
              <w:rPr>
                <w:sz w:val="20"/>
                <w:szCs w:val="20"/>
                <w:color w:val="auto"/>
              </w:rPr>
            </w:pPr>
            <w:r>
              <w:rPr>
                <w:rFonts w:ascii="Arial" w:cs="Arial" w:eastAsia="Arial" w:hAnsi="Arial"/>
                <w:sz w:val="14"/>
                <w:szCs w:val="14"/>
                <w:color w:val="auto"/>
              </w:rPr>
              <w:t>Executive Chairman</w:t>
            </w:r>
          </w:p>
        </w:tc>
        <w:tc>
          <w:tcPr>
            <w:tcW w:w="120" w:type="dxa"/>
            <w:vAlign w:val="bottom"/>
            <w:shd w:val="clear" w:color="auto" w:fill="CCCCCC"/>
          </w:tcPr>
          <w:p>
            <w:pPr>
              <w:spacing w:after="0"/>
              <w:rPr>
                <w:sz w:val="16"/>
                <w:szCs w:val="16"/>
                <w:color w:val="auto"/>
              </w:rPr>
            </w:pPr>
          </w:p>
        </w:tc>
        <w:tc>
          <w:tcPr>
            <w:tcW w:w="340" w:type="dxa"/>
            <w:vAlign w:val="bottom"/>
            <w:vMerge w:val="restart"/>
            <w:shd w:val="clear" w:color="auto" w:fill="CCCCCC"/>
          </w:tcPr>
          <w:p>
            <w:pPr>
              <w:spacing w:after="0"/>
              <w:rPr>
                <w:sz w:val="20"/>
                <w:szCs w:val="20"/>
                <w:color w:val="auto"/>
              </w:rPr>
            </w:pPr>
            <w:r>
              <w:rPr>
                <w:rFonts w:ascii="Arial" w:cs="Arial" w:eastAsia="Arial" w:hAnsi="Arial"/>
                <w:sz w:val="14"/>
                <w:szCs w:val="14"/>
                <w:color w:val="auto"/>
              </w:rPr>
              <w:t>2020</w:t>
            </w:r>
          </w:p>
        </w:tc>
        <w:tc>
          <w:tcPr>
            <w:tcW w:w="1000" w:type="dxa"/>
            <w:vAlign w:val="bottom"/>
            <w:vMerge w:val="restart"/>
            <w:shd w:val="clear" w:color="auto" w:fill="CCCCCC"/>
          </w:tcPr>
          <w:p>
            <w:pPr>
              <w:jc w:val="center"/>
              <w:ind w:left="48"/>
              <w:spacing w:after="0"/>
              <w:rPr>
                <w:sz w:val="20"/>
                <w:szCs w:val="20"/>
                <w:color w:val="auto"/>
              </w:rPr>
            </w:pPr>
            <w:r>
              <w:rPr>
                <w:rFonts w:ascii="Arial" w:cs="Arial" w:eastAsia="Arial" w:hAnsi="Arial"/>
                <w:sz w:val="14"/>
                <w:szCs w:val="14"/>
                <w:color w:val="auto"/>
              </w:rPr>
              <w:t>229,616</w:t>
            </w:r>
          </w:p>
        </w:tc>
        <w:tc>
          <w:tcPr>
            <w:tcW w:w="78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3,519,262</w:t>
            </w:r>
          </w:p>
        </w:tc>
        <w:tc>
          <w:tcPr>
            <w:tcW w:w="78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vMerge w:val="restart"/>
            <w:shd w:val="clear" w:color="auto" w:fill="CCCCCC"/>
          </w:tcPr>
          <w:p>
            <w:pPr>
              <w:jc w:val="right"/>
              <w:ind w:right="48"/>
              <w:spacing w:after="0"/>
              <w:rPr>
                <w:sz w:val="20"/>
                <w:szCs w:val="20"/>
                <w:color w:val="auto"/>
              </w:rPr>
            </w:pPr>
            <w:r>
              <w:rPr>
                <w:rFonts w:ascii="Arial" w:cs="Arial" w:eastAsia="Arial" w:hAnsi="Arial"/>
                <w:sz w:val="14"/>
                <w:szCs w:val="14"/>
                <w:color w:val="auto"/>
              </w:rPr>
              <w:t>74,246</w:t>
            </w:r>
          </w:p>
        </w:tc>
        <w:tc>
          <w:tcPr>
            <w:tcW w:w="82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3,823,124</w:t>
            </w:r>
          </w:p>
        </w:tc>
        <w:tc>
          <w:tcPr>
            <w:tcW w:w="0" w:type="dxa"/>
            <w:vAlign w:val="bottom"/>
          </w:tcPr>
          <w:p>
            <w:pPr>
              <w:spacing w:after="0"/>
              <w:rPr>
                <w:sz w:val="1"/>
                <w:szCs w:val="1"/>
                <w:color w:val="auto"/>
              </w:rPr>
            </w:pPr>
          </w:p>
        </w:tc>
      </w:tr>
      <w:tr>
        <w:trPr>
          <w:trHeight w:val="103"/>
        </w:trPr>
        <w:tc>
          <w:tcPr>
            <w:tcW w:w="1840" w:type="dxa"/>
            <w:vAlign w:val="bottom"/>
            <w:tcBorders>
              <w:bottom w:val="single" w:sz="8" w:color="CCCCCC"/>
            </w:tcBorders>
            <w:shd w:val="clear" w:color="auto" w:fill="CCCCCC"/>
          </w:tcPr>
          <w:p>
            <w:pPr>
              <w:spacing w:after="0"/>
              <w:rPr>
                <w:sz w:val="8"/>
                <w:szCs w:val="8"/>
                <w:color w:val="auto"/>
              </w:rPr>
            </w:pPr>
          </w:p>
        </w:tc>
        <w:tc>
          <w:tcPr>
            <w:tcW w:w="120" w:type="dxa"/>
            <w:vAlign w:val="bottom"/>
            <w:tcBorders>
              <w:bottom w:val="single" w:sz="8" w:color="CCCCCC"/>
            </w:tcBorders>
            <w:shd w:val="clear" w:color="auto" w:fill="CCCCCC"/>
          </w:tcPr>
          <w:p>
            <w:pPr>
              <w:spacing w:after="0"/>
              <w:rPr>
                <w:sz w:val="8"/>
                <w:szCs w:val="8"/>
                <w:color w:val="auto"/>
              </w:rPr>
            </w:pPr>
          </w:p>
        </w:tc>
        <w:tc>
          <w:tcPr>
            <w:tcW w:w="340" w:type="dxa"/>
            <w:vAlign w:val="bottom"/>
            <w:tcBorders>
              <w:bottom w:val="single" w:sz="8" w:color="CCCCCC"/>
            </w:tcBorders>
            <w:vMerge w:val="continue"/>
            <w:shd w:val="clear" w:color="auto" w:fill="CCCCCC"/>
          </w:tcPr>
          <w:p>
            <w:pPr>
              <w:spacing w:after="0"/>
              <w:rPr>
                <w:sz w:val="8"/>
                <w:szCs w:val="8"/>
                <w:color w:val="auto"/>
              </w:rPr>
            </w:pPr>
          </w:p>
        </w:tc>
        <w:tc>
          <w:tcPr>
            <w:tcW w:w="1000" w:type="dxa"/>
            <w:vAlign w:val="bottom"/>
            <w:tcBorders>
              <w:bottom w:val="single" w:sz="8" w:color="CCCCCC"/>
            </w:tcBorders>
            <w:vMerge w:val="continue"/>
            <w:shd w:val="clear" w:color="auto" w:fill="CCCCCC"/>
          </w:tcPr>
          <w:p>
            <w:pPr>
              <w:spacing w:after="0"/>
              <w:rPr>
                <w:sz w:val="8"/>
                <w:szCs w:val="8"/>
                <w:color w:val="auto"/>
              </w:rPr>
            </w:pPr>
          </w:p>
        </w:tc>
        <w:tc>
          <w:tcPr>
            <w:tcW w:w="780" w:type="dxa"/>
            <w:vAlign w:val="bottom"/>
            <w:tcBorders>
              <w:bottom w:val="single" w:sz="8" w:color="CCCCCC"/>
            </w:tcBorders>
            <w:vMerge w:val="continue"/>
            <w:shd w:val="clear" w:color="auto" w:fill="CCCCCC"/>
          </w:tcPr>
          <w:p>
            <w:pPr>
              <w:spacing w:after="0"/>
              <w:rPr>
                <w:sz w:val="8"/>
                <w:szCs w:val="8"/>
                <w:color w:val="auto"/>
              </w:rPr>
            </w:pPr>
          </w:p>
        </w:tc>
        <w:tc>
          <w:tcPr>
            <w:tcW w:w="880" w:type="dxa"/>
            <w:vAlign w:val="bottom"/>
            <w:tcBorders>
              <w:bottom w:val="single" w:sz="8" w:color="CCCCCC"/>
            </w:tcBorders>
            <w:vMerge w:val="continue"/>
            <w:shd w:val="clear" w:color="auto" w:fill="CCCCCC"/>
          </w:tcPr>
          <w:p>
            <w:pPr>
              <w:spacing w:after="0"/>
              <w:rPr>
                <w:sz w:val="8"/>
                <w:szCs w:val="8"/>
                <w:color w:val="auto"/>
              </w:rPr>
            </w:pPr>
          </w:p>
        </w:tc>
        <w:tc>
          <w:tcPr>
            <w:tcW w:w="780" w:type="dxa"/>
            <w:vAlign w:val="bottom"/>
            <w:tcBorders>
              <w:bottom w:val="single" w:sz="8" w:color="CCCCCC"/>
            </w:tcBorders>
            <w:vMerge w:val="continue"/>
            <w:shd w:val="clear" w:color="auto" w:fill="CCCCCC"/>
          </w:tcPr>
          <w:p>
            <w:pPr>
              <w:spacing w:after="0"/>
              <w:rPr>
                <w:sz w:val="8"/>
                <w:szCs w:val="8"/>
                <w:color w:val="auto"/>
              </w:rPr>
            </w:pPr>
          </w:p>
        </w:tc>
        <w:tc>
          <w:tcPr>
            <w:tcW w:w="1240" w:type="dxa"/>
            <w:vAlign w:val="bottom"/>
            <w:tcBorders>
              <w:bottom w:val="single" w:sz="8" w:color="CCCCCC"/>
            </w:tcBorders>
            <w:vMerge w:val="continue"/>
            <w:shd w:val="clear" w:color="auto" w:fill="CCCCCC"/>
          </w:tcPr>
          <w:p>
            <w:pPr>
              <w:spacing w:after="0"/>
              <w:rPr>
                <w:sz w:val="8"/>
                <w:szCs w:val="8"/>
                <w:color w:val="auto"/>
              </w:rPr>
            </w:pPr>
          </w:p>
        </w:tc>
        <w:tc>
          <w:tcPr>
            <w:tcW w:w="1260" w:type="dxa"/>
            <w:vAlign w:val="bottom"/>
            <w:tcBorders>
              <w:bottom w:val="single" w:sz="8" w:color="CCCCCC"/>
            </w:tcBorders>
            <w:vMerge w:val="continue"/>
            <w:shd w:val="clear" w:color="auto" w:fill="CCCCCC"/>
          </w:tcPr>
          <w:p>
            <w:pPr>
              <w:spacing w:after="0"/>
              <w:rPr>
                <w:sz w:val="8"/>
                <w:szCs w:val="8"/>
                <w:color w:val="auto"/>
              </w:rPr>
            </w:pPr>
          </w:p>
        </w:tc>
        <w:tc>
          <w:tcPr>
            <w:tcW w:w="780" w:type="dxa"/>
            <w:vAlign w:val="bottom"/>
            <w:tcBorders>
              <w:bottom w:val="single" w:sz="8" w:color="CCCCCC"/>
            </w:tcBorders>
            <w:vMerge w:val="continue"/>
            <w:shd w:val="clear" w:color="auto" w:fill="CCCCCC"/>
          </w:tcPr>
          <w:p>
            <w:pPr>
              <w:spacing w:after="0"/>
              <w:rPr>
                <w:sz w:val="8"/>
                <w:szCs w:val="8"/>
                <w:color w:val="auto"/>
              </w:rPr>
            </w:pPr>
          </w:p>
        </w:tc>
        <w:tc>
          <w:tcPr>
            <w:tcW w:w="820" w:type="dxa"/>
            <w:vAlign w:val="bottom"/>
            <w:tcBorders>
              <w:bottom w:val="single" w:sz="8" w:color="CCCCCC"/>
            </w:tcBorders>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84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Sita, Veresh</w:t>
            </w:r>
          </w:p>
        </w:tc>
        <w:tc>
          <w:tcPr>
            <w:tcW w:w="4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2021</w:t>
            </w:r>
          </w:p>
        </w:tc>
        <w:tc>
          <w:tcPr>
            <w:tcW w:w="100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rPr>
              <w:t>394,231</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500,000</w:t>
            </w: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1,500,017</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712,500</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35,929</w:t>
            </w: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3,142,677</w:t>
            </w:r>
          </w:p>
        </w:tc>
        <w:tc>
          <w:tcPr>
            <w:tcW w:w="0" w:type="dxa"/>
            <w:vAlign w:val="bottom"/>
          </w:tcPr>
          <w:p>
            <w:pPr>
              <w:spacing w:after="0"/>
              <w:rPr>
                <w:sz w:val="1"/>
                <w:szCs w:val="1"/>
                <w:color w:val="auto"/>
              </w:rPr>
            </w:pPr>
          </w:p>
        </w:tc>
      </w:tr>
      <w:tr>
        <w:trPr>
          <w:trHeight w:val="162"/>
        </w:trPr>
        <w:tc>
          <w:tcPr>
            <w:tcW w:w="1840" w:type="dxa"/>
            <w:vAlign w:val="bottom"/>
          </w:tcPr>
          <w:p>
            <w:pPr>
              <w:ind w:left="160"/>
              <w:spacing w:after="0"/>
              <w:rPr>
                <w:sz w:val="20"/>
                <w:szCs w:val="20"/>
                <w:color w:val="auto"/>
              </w:rPr>
            </w:pPr>
            <w:r>
              <w:rPr>
                <w:rFonts w:ascii="Arial" w:cs="Arial" w:eastAsia="Arial" w:hAnsi="Arial"/>
                <w:sz w:val="14"/>
                <w:szCs w:val="14"/>
                <w:color w:val="auto"/>
              </w:rPr>
              <w:t>EVP, Chief Digital &amp;</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60"/>
              <w:spacing w:after="0"/>
              <w:rPr>
                <w:sz w:val="20"/>
                <w:szCs w:val="20"/>
                <w:color w:val="auto"/>
              </w:rPr>
            </w:pPr>
            <w:r>
              <w:rPr>
                <w:rFonts w:ascii="Arial" w:cs="Arial" w:eastAsia="Arial" w:hAnsi="Arial"/>
                <w:sz w:val="14"/>
                <w:szCs w:val="14"/>
                <w:color w:val="auto"/>
              </w:rPr>
              <w:t>Innovation</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40" w:type="dxa"/>
            <w:vAlign w:val="bottom"/>
          </w:tcPr>
          <w:p>
            <w:pPr>
              <w:ind w:left="160"/>
              <w:spacing w:after="0"/>
              <w:rPr>
                <w:sz w:val="20"/>
                <w:szCs w:val="20"/>
                <w:color w:val="auto"/>
              </w:rPr>
            </w:pPr>
            <w:r>
              <w:rPr>
                <w:rFonts w:ascii="Arial" w:cs="Arial" w:eastAsia="Arial" w:hAnsi="Arial"/>
                <w:sz w:val="14"/>
                <w:szCs w:val="14"/>
                <w:color w:val="auto"/>
              </w:rPr>
              <w:t>Officer</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840" w:type="dxa"/>
            <w:vAlign w:val="bottom"/>
            <w:shd w:val="clear" w:color="auto" w:fill="CCCCCC"/>
          </w:tcPr>
          <w:p>
            <w:pPr>
              <w:ind w:left="80"/>
              <w:spacing w:after="0"/>
              <w:rPr>
                <w:sz w:val="20"/>
                <w:szCs w:val="20"/>
                <w:color w:val="auto"/>
              </w:rPr>
            </w:pPr>
            <w:r>
              <w:rPr>
                <w:rFonts w:ascii="Arial" w:cs="Arial" w:eastAsia="Arial" w:hAnsi="Arial"/>
                <w:sz w:val="14"/>
                <w:szCs w:val="14"/>
                <w:color w:val="auto"/>
              </w:rPr>
              <w:t>Rankin, Keith</w:t>
            </w:r>
          </w:p>
        </w:tc>
        <w:tc>
          <w:tcPr>
            <w:tcW w:w="120" w:type="dxa"/>
            <w:vAlign w:val="bottom"/>
            <w:shd w:val="clear" w:color="auto" w:fill="CCCCCC"/>
          </w:tcPr>
          <w:p>
            <w:pPr>
              <w:spacing w:after="0"/>
              <w:rPr>
                <w:sz w:val="16"/>
                <w:szCs w:val="16"/>
                <w:color w:val="auto"/>
              </w:rPr>
            </w:pPr>
          </w:p>
        </w:tc>
        <w:tc>
          <w:tcPr>
            <w:tcW w:w="340" w:type="dxa"/>
            <w:vAlign w:val="bottom"/>
            <w:shd w:val="clear" w:color="auto" w:fill="CCCCCC"/>
          </w:tcPr>
          <w:p>
            <w:pPr>
              <w:spacing w:after="0"/>
              <w:rPr>
                <w:sz w:val="20"/>
                <w:szCs w:val="20"/>
                <w:color w:val="auto"/>
              </w:rPr>
            </w:pPr>
            <w:r>
              <w:rPr>
                <w:rFonts w:ascii="Arial" w:cs="Arial" w:eastAsia="Arial" w:hAnsi="Arial"/>
                <w:sz w:val="14"/>
                <w:szCs w:val="14"/>
                <w:color w:val="auto"/>
              </w:rPr>
              <w:t>2021</w:t>
            </w:r>
          </w:p>
        </w:tc>
        <w:tc>
          <w:tcPr>
            <w:tcW w:w="1000" w:type="dxa"/>
            <w:vAlign w:val="bottom"/>
            <w:shd w:val="clear" w:color="auto" w:fill="CCCCCC"/>
          </w:tcPr>
          <w:p>
            <w:pPr>
              <w:jc w:val="center"/>
              <w:ind w:left="48"/>
              <w:spacing w:after="0"/>
              <w:rPr>
                <w:sz w:val="20"/>
                <w:szCs w:val="20"/>
                <w:color w:val="auto"/>
              </w:rPr>
            </w:pPr>
            <w:r>
              <w:rPr>
                <w:rFonts w:ascii="Arial" w:cs="Arial" w:eastAsia="Arial" w:hAnsi="Arial"/>
                <w:sz w:val="14"/>
                <w:szCs w:val="14"/>
                <w:color w:val="auto"/>
              </w:rPr>
              <w:t>550,250</w:t>
            </w:r>
          </w:p>
        </w:tc>
        <w:tc>
          <w:tcPr>
            <w:tcW w:w="78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1,000,056</w:t>
            </w:r>
          </w:p>
        </w:tc>
        <w:tc>
          <w:tcPr>
            <w:tcW w:w="78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800,599</w:t>
            </w:r>
          </w:p>
        </w:tc>
        <w:tc>
          <w:tcPr>
            <w:tcW w:w="126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106,585</w:t>
            </w:r>
          </w:p>
        </w:tc>
        <w:tc>
          <w:tcPr>
            <w:tcW w:w="8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2,457,490</w:t>
            </w:r>
          </w:p>
        </w:tc>
        <w:tc>
          <w:tcPr>
            <w:tcW w:w="0" w:type="dxa"/>
            <w:vAlign w:val="bottom"/>
          </w:tcPr>
          <w:p>
            <w:pPr>
              <w:spacing w:after="0"/>
              <w:rPr>
                <w:sz w:val="1"/>
                <w:szCs w:val="1"/>
                <w:color w:val="auto"/>
              </w:rPr>
            </w:pPr>
          </w:p>
        </w:tc>
      </w:tr>
      <w:tr>
        <w:trPr>
          <w:trHeight w:val="190"/>
        </w:trPr>
        <w:tc>
          <w:tcPr>
            <w:tcW w:w="1840" w:type="dxa"/>
            <w:vAlign w:val="bottom"/>
            <w:shd w:val="clear" w:color="auto" w:fill="CCCCCC"/>
          </w:tcPr>
          <w:p>
            <w:pPr>
              <w:ind w:left="160"/>
              <w:spacing w:after="0"/>
              <w:rPr>
                <w:sz w:val="20"/>
                <w:szCs w:val="20"/>
                <w:color w:val="auto"/>
              </w:rPr>
            </w:pPr>
            <w:r>
              <w:rPr>
                <w:rFonts w:ascii="Arial" w:cs="Arial" w:eastAsia="Arial" w:hAnsi="Arial"/>
                <w:sz w:val="14"/>
                <w:szCs w:val="14"/>
                <w:color w:val="auto"/>
              </w:rPr>
              <w:t>President, International</w:t>
            </w:r>
          </w:p>
        </w:tc>
        <w:tc>
          <w:tcPr>
            <w:tcW w:w="120" w:type="dxa"/>
            <w:vAlign w:val="bottom"/>
            <w:shd w:val="clear" w:color="auto" w:fill="CCCCCC"/>
          </w:tcPr>
          <w:p>
            <w:pPr>
              <w:spacing w:after="0"/>
              <w:rPr>
                <w:sz w:val="16"/>
                <w:szCs w:val="16"/>
                <w:color w:val="auto"/>
              </w:rPr>
            </w:pPr>
          </w:p>
        </w:tc>
        <w:tc>
          <w:tcPr>
            <w:tcW w:w="340" w:type="dxa"/>
            <w:vAlign w:val="bottom"/>
            <w:vMerge w:val="restart"/>
            <w:shd w:val="clear" w:color="auto" w:fill="CCCCCC"/>
          </w:tcPr>
          <w:p>
            <w:pPr>
              <w:spacing w:after="0"/>
              <w:rPr>
                <w:sz w:val="20"/>
                <w:szCs w:val="20"/>
                <w:color w:val="auto"/>
              </w:rPr>
            </w:pPr>
            <w:r>
              <w:rPr>
                <w:rFonts w:ascii="Arial" w:cs="Arial" w:eastAsia="Arial" w:hAnsi="Arial"/>
                <w:sz w:val="14"/>
                <w:szCs w:val="14"/>
                <w:color w:val="auto"/>
              </w:rPr>
              <w:t>2020</w:t>
            </w:r>
          </w:p>
        </w:tc>
        <w:tc>
          <w:tcPr>
            <w:tcW w:w="1000" w:type="dxa"/>
            <w:vAlign w:val="bottom"/>
            <w:vMerge w:val="restart"/>
            <w:shd w:val="clear" w:color="auto" w:fill="CCCCCC"/>
          </w:tcPr>
          <w:p>
            <w:pPr>
              <w:jc w:val="center"/>
              <w:ind w:left="48"/>
              <w:spacing w:after="0"/>
              <w:rPr>
                <w:sz w:val="20"/>
                <w:szCs w:val="20"/>
                <w:color w:val="auto"/>
              </w:rPr>
            </w:pPr>
            <w:r>
              <w:rPr>
                <w:rFonts w:ascii="Arial" w:cs="Arial" w:eastAsia="Arial" w:hAnsi="Arial"/>
                <w:sz w:val="14"/>
                <w:szCs w:val="14"/>
                <w:color w:val="auto"/>
              </w:rPr>
              <w:t>500,777</w:t>
            </w:r>
          </w:p>
        </w:tc>
        <w:tc>
          <w:tcPr>
            <w:tcW w:w="78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1,049,986</w:t>
            </w:r>
          </w:p>
        </w:tc>
        <w:tc>
          <w:tcPr>
            <w:tcW w:w="78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vMerge w:val="restart"/>
            <w:shd w:val="clear" w:color="auto" w:fill="CCCCCC"/>
          </w:tcPr>
          <w:p>
            <w:pPr>
              <w:jc w:val="right"/>
              <w:ind w:right="48"/>
              <w:spacing w:after="0"/>
              <w:rPr>
                <w:sz w:val="20"/>
                <w:szCs w:val="20"/>
                <w:color w:val="auto"/>
              </w:rPr>
            </w:pPr>
            <w:r>
              <w:rPr>
                <w:rFonts w:ascii="Arial" w:cs="Arial" w:eastAsia="Arial" w:hAnsi="Arial"/>
                <w:sz w:val="14"/>
                <w:szCs w:val="14"/>
                <w:color w:val="auto"/>
              </w:rPr>
              <w:t>95,200</w:t>
            </w:r>
          </w:p>
        </w:tc>
        <w:tc>
          <w:tcPr>
            <w:tcW w:w="82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1,645,963</w:t>
            </w:r>
          </w:p>
        </w:tc>
        <w:tc>
          <w:tcPr>
            <w:tcW w:w="0" w:type="dxa"/>
            <w:vAlign w:val="bottom"/>
          </w:tcPr>
          <w:p>
            <w:pPr>
              <w:spacing w:after="0"/>
              <w:rPr>
                <w:sz w:val="1"/>
                <w:szCs w:val="1"/>
                <w:color w:val="auto"/>
              </w:rPr>
            </w:pPr>
          </w:p>
        </w:tc>
      </w:tr>
      <w:tr>
        <w:trPr>
          <w:trHeight w:val="81"/>
        </w:trPr>
        <w:tc>
          <w:tcPr>
            <w:tcW w:w="1840" w:type="dxa"/>
            <w:vAlign w:val="bottom"/>
            <w:shd w:val="clear" w:color="auto" w:fill="CCCCCC"/>
          </w:tcPr>
          <w:p>
            <w:pPr>
              <w:spacing w:after="0"/>
              <w:rPr>
                <w:sz w:val="7"/>
                <w:szCs w:val="7"/>
                <w:color w:val="auto"/>
              </w:rPr>
            </w:pPr>
          </w:p>
        </w:tc>
        <w:tc>
          <w:tcPr>
            <w:tcW w:w="120" w:type="dxa"/>
            <w:vAlign w:val="bottom"/>
            <w:shd w:val="clear" w:color="auto" w:fill="CCCCCC"/>
          </w:tcPr>
          <w:p>
            <w:pPr>
              <w:spacing w:after="0"/>
              <w:rPr>
                <w:sz w:val="7"/>
                <w:szCs w:val="7"/>
                <w:color w:val="auto"/>
              </w:rPr>
            </w:pPr>
          </w:p>
        </w:tc>
        <w:tc>
          <w:tcPr>
            <w:tcW w:w="340" w:type="dxa"/>
            <w:vAlign w:val="bottom"/>
            <w:vMerge w:val="continue"/>
            <w:shd w:val="clear" w:color="auto" w:fill="CCCCCC"/>
          </w:tcPr>
          <w:p>
            <w:pPr>
              <w:spacing w:after="0"/>
              <w:rPr>
                <w:sz w:val="7"/>
                <w:szCs w:val="7"/>
                <w:color w:val="auto"/>
              </w:rPr>
            </w:pPr>
          </w:p>
        </w:tc>
        <w:tc>
          <w:tcPr>
            <w:tcW w:w="1000" w:type="dxa"/>
            <w:vAlign w:val="bottom"/>
            <w:vMerge w:val="continue"/>
            <w:shd w:val="clear" w:color="auto" w:fill="CCCCCC"/>
          </w:tcPr>
          <w:p>
            <w:pPr>
              <w:spacing w:after="0"/>
              <w:rPr>
                <w:sz w:val="7"/>
                <w:szCs w:val="7"/>
                <w:color w:val="auto"/>
              </w:rPr>
            </w:pPr>
          </w:p>
        </w:tc>
        <w:tc>
          <w:tcPr>
            <w:tcW w:w="780" w:type="dxa"/>
            <w:vAlign w:val="bottom"/>
            <w:vMerge w:val="continue"/>
            <w:shd w:val="clear" w:color="auto" w:fill="CCCCCC"/>
          </w:tcPr>
          <w:p>
            <w:pPr>
              <w:spacing w:after="0"/>
              <w:rPr>
                <w:sz w:val="7"/>
                <w:szCs w:val="7"/>
                <w:color w:val="auto"/>
              </w:rPr>
            </w:pPr>
          </w:p>
        </w:tc>
        <w:tc>
          <w:tcPr>
            <w:tcW w:w="880" w:type="dxa"/>
            <w:vAlign w:val="bottom"/>
            <w:vMerge w:val="continue"/>
            <w:shd w:val="clear" w:color="auto" w:fill="CCCCCC"/>
          </w:tcPr>
          <w:p>
            <w:pPr>
              <w:spacing w:after="0"/>
              <w:rPr>
                <w:sz w:val="7"/>
                <w:szCs w:val="7"/>
                <w:color w:val="auto"/>
              </w:rPr>
            </w:pPr>
          </w:p>
        </w:tc>
        <w:tc>
          <w:tcPr>
            <w:tcW w:w="780" w:type="dxa"/>
            <w:vAlign w:val="bottom"/>
            <w:vMerge w:val="continue"/>
            <w:shd w:val="clear" w:color="auto" w:fill="CCCCCC"/>
          </w:tcPr>
          <w:p>
            <w:pPr>
              <w:spacing w:after="0"/>
              <w:rPr>
                <w:sz w:val="7"/>
                <w:szCs w:val="7"/>
                <w:color w:val="auto"/>
              </w:rPr>
            </w:pPr>
          </w:p>
        </w:tc>
        <w:tc>
          <w:tcPr>
            <w:tcW w:w="1240" w:type="dxa"/>
            <w:vAlign w:val="bottom"/>
            <w:vMerge w:val="continue"/>
            <w:shd w:val="clear" w:color="auto" w:fill="CCCCCC"/>
          </w:tcPr>
          <w:p>
            <w:pPr>
              <w:spacing w:after="0"/>
              <w:rPr>
                <w:sz w:val="7"/>
                <w:szCs w:val="7"/>
                <w:color w:val="auto"/>
              </w:rPr>
            </w:pPr>
          </w:p>
        </w:tc>
        <w:tc>
          <w:tcPr>
            <w:tcW w:w="1260" w:type="dxa"/>
            <w:vAlign w:val="bottom"/>
            <w:vMerge w:val="continue"/>
            <w:shd w:val="clear" w:color="auto" w:fill="CCCCCC"/>
          </w:tcPr>
          <w:p>
            <w:pPr>
              <w:spacing w:after="0"/>
              <w:rPr>
                <w:sz w:val="7"/>
                <w:szCs w:val="7"/>
                <w:color w:val="auto"/>
              </w:rPr>
            </w:pPr>
          </w:p>
        </w:tc>
        <w:tc>
          <w:tcPr>
            <w:tcW w:w="780" w:type="dxa"/>
            <w:vAlign w:val="bottom"/>
            <w:vMerge w:val="continue"/>
            <w:shd w:val="clear" w:color="auto" w:fill="CCCCCC"/>
          </w:tcPr>
          <w:p>
            <w:pPr>
              <w:spacing w:after="0"/>
              <w:rPr>
                <w:sz w:val="7"/>
                <w:szCs w:val="7"/>
                <w:color w:val="auto"/>
              </w:rPr>
            </w:pPr>
          </w:p>
        </w:tc>
        <w:tc>
          <w:tcPr>
            <w:tcW w:w="82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840" w:type="dxa"/>
            <w:vAlign w:val="bottom"/>
            <w:tcBorders>
              <w:bottom w:val="single" w:sz="8" w:color="auto"/>
            </w:tcBorders>
            <w:shd w:val="clear" w:color="auto" w:fill="CCCCCC"/>
          </w:tcPr>
          <w:p>
            <w:pPr>
              <w:spacing w:after="0"/>
              <w:rPr>
                <w:sz w:val="21"/>
                <w:szCs w:val="21"/>
                <w:color w:val="auto"/>
              </w:rPr>
            </w:pPr>
          </w:p>
        </w:tc>
        <w:tc>
          <w:tcPr>
            <w:tcW w:w="120" w:type="dxa"/>
            <w:vAlign w:val="bottom"/>
            <w:tcBorders>
              <w:bottom w:val="single" w:sz="8" w:color="auto"/>
            </w:tcBorders>
            <w:shd w:val="clear" w:color="auto" w:fill="CCCCCC"/>
          </w:tcPr>
          <w:p>
            <w:pPr>
              <w:spacing w:after="0"/>
              <w:rPr>
                <w:sz w:val="21"/>
                <w:szCs w:val="21"/>
                <w:color w:val="auto"/>
              </w:rPr>
            </w:pPr>
          </w:p>
        </w:tc>
        <w:tc>
          <w:tcPr>
            <w:tcW w:w="34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4"/>
                <w:szCs w:val="14"/>
                <w:color w:val="auto"/>
              </w:rPr>
              <w:t>2019</w:t>
            </w:r>
          </w:p>
        </w:tc>
        <w:tc>
          <w:tcPr>
            <w:tcW w:w="1000" w:type="dxa"/>
            <w:vAlign w:val="bottom"/>
            <w:tcBorders>
              <w:bottom w:val="single" w:sz="8" w:color="auto"/>
            </w:tcBorders>
            <w:shd w:val="clear" w:color="auto" w:fill="CCCCCC"/>
          </w:tcPr>
          <w:p>
            <w:pPr>
              <w:jc w:val="center"/>
              <w:ind w:left="48"/>
              <w:spacing w:after="0"/>
              <w:rPr>
                <w:sz w:val="20"/>
                <w:szCs w:val="20"/>
                <w:color w:val="auto"/>
              </w:rPr>
            </w:pPr>
            <w:r>
              <w:rPr>
                <w:rFonts w:ascii="Arial" w:cs="Arial" w:eastAsia="Arial" w:hAnsi="Arial"/>
                <w:sz w:val="14"/>
                <w:szCs w:val="14"/>
                <w:color w:val="auto"/>
              </w:rPr>
              <w:t>294,346</w:t>
            </w:r>
          </w:p>
        </w:tc>
        <w:tc>
          <w:tcPr>
            <w:tcW w:w="7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253,549</w:t>
            </w:r>
          </w:p>
        </w:tc>
        <w:tc>
          <w:tcPr>
            <w:tcW w:w="8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2,000,031</w:t>
            </w:r>
          </w:p>
        </w:tc>
        <w:tc>
          <w:tcPr>
            <w:tcW w:w="7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166,610</w:t>
            </w:r>
          </w:p>
        </w:tc>
        <w:tc>
          <w:tcPr>
            <w:tcW w:w="8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2,714,536</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60" w:hanging="350"/>
        <w:spacing w:after="0" w:line="243" w:lineRule="auto"/>
        <w:tabs>
          <w:tab w:leader="none" w:pos="3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Salary includes amounts deferred under the Company’s Deferred Compensation Plan or 401(k) Plan. For Mr. Sita, 2021 salary is prorated to reflect when his employment with the Company commenced. For Mr. Rankin, base salary reflects a monthly average £/$ exchange rate as of the date paid, received or allocated.</w:t>
      </w:r>
    </w:p>
    <w:p>
      <w:pPr>
        <w:spacing w:after="0" w:line="34" w:lineRule="exact"/>
        <w:rPr>
          <w:rFonts w:ascii="Arial" w:cs="Arial" w:eastAsia="Arial" w:hAnsi="Arial"/>
          <w:sz w:val="13"/>
          <w:szCs w:val="13"/>
          <w:color w:val="auto"/>
        </w:rPr>
      </w:pPr>
    </w:p>
    <w:p>
      <w:pPr>
        <w:jc w:val="both"/>
        <w:ind w:left="360" w:hanging="350"/>
        <w:spacing w:after="0" w:line="233" w:lineRule="auto"/>
        <w:tabs>
          <w:tab w:leader="none" w:pos="3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For Mr. Hees, represents payment in July 2021 of a cash incentive award granted upon his appointment as Executive Chairman subject to the Committee’s determination of performance during the initial twelve-month period following his appointment as Executive Chairman. For Mr. Sita, represents a sign-on bonus in connection with his hiring in March 2021.</w:t>
      </w:r>
    </w:p>
    <w:p>
      <w:pPr>
        <w:spacing w:after="0" w:line="37" w:lineRule="exact"/>
        <w:rPr>
          <w:rFonts w:ascii="Arial" w:cs="Arial" w:eastAsia="Arial" w:hAnsi="Arial"/>
          <w:sz w:val="13"/>
          <w:szCs w:val="13"/>
          <w:color w:val="auto"/>
        </w:rPr>
      </w:pPr>
    </w:p>
    <w:p>
      <w:pPr>
        <w:jc w:val="both"/>
        <w:ind w:left="360" w:hanging="350"/>
        <w:spacing w:after="0" w:line="225" w:lineRule="auto"/>
        <w:tabs>
          <w:tab w:leader="none" w:pos="3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Represents the aggregate grant date fair value computed in accordance with Financial Accounting Standards Board (“FASB”) Accounting Standards Codification (“ASC”) Topic 718, Compensation—Stock Compensation. Assumptions used in the calculation of the grant date fair value of the 2021 stock awards are included in Note 18 to our audited financial statements for the fiscal year ended December 31, 2021, included in our 2021 Annual Report. The grant date value of the 2021 stock awards assuming achievement of the highest level of performance conditions are: for Mr. Ferraro, $6,250,040; Mr. Choi, $1,874,950; and Mr. Rankin, $1,250,070. (Mr. Hees’ performance-based award has a maximum payout at target, which is reflected in the Summary Compensation Table. Mr. Sita did not receive a performance-based award during 2021.) The 2021 stock awards are further discussed in the Compensation Discussion and Analysis (the “CD&amp;A”).</w:t>
      </w:r>
    </w:p>
    <w:p>
      <w:pPr>
        <w:spacing w:after="0" w:line="50" w:lineRule="exact"/>
        <w:rPr>
          <w:rFonts w:ascii="Arial" w:cs="Arial" w:eastAsia="Arial" w:hAnsi="Arial"/>
          <w:sz w:val="13"/>
          <w:szCs w:val="13"/>
          <w:color w:val="auto"/>
        </w:rPr>
      </w:pPr>
    </w:p>
    <w:p>
      <w:pPr>
        <w:jc w:val="both"/>
        <w:ind w:left="360" w:hanging="350"/>
        <w:spacing w:after="0" w:line="233" w:lineRule="auto"/>
        <w:tabs>
          <w:tab w:leader="none" w:pos="3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For 2021, amounts reflected were earned based on the terms of the 2021 AIP or, for our Executive Chairman, his incentive award based on our fiscal 2021 performance, each as further discussed in the CD&amp;A, and include amounts deferred under the Company's Deferred Compensation Plan. For Mr. Rankin, amount reflects a monthly average £/$ exchange rate as of the date paid, received or allocated.</w:t>
      </w:r>
    </w:p>
    <w:p>
      <w:pPr>
        <w:spacing w:after="0" w:line="37" w:lineRule="exact"/>
        <w:rPr>
          <w:rFonts w:ascii="Arial" w:cs="Arial" w:eastAsia="Arial" w:hAnsi="Arial"/>
          <w:sz w:val="13"/>
          <w:szCs w:val="13"/>
          <w:color w:val="auto"/>
        </w:rPr>
      </w:pPr>
    </w:p>
    <w:p>
      <w:pPr>
        <w:jc w:val="both"/>
        <w:ind w:left="360" w:hanging="350"/>
        <w:spacing w:after="0" w:line="233" w:lineRule="auto"/>
        <w:tabs>
          <w:tab w:leader="none" w:pos="3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For Mr. Ferraro, in 2021, his pension value decreased by $9,773, primarily driven by a decrease in the discount rate. During 2019 and 2020, Mr. Ferraro’s change in pension value increased by $44,988 and $81,463, respectively, primarily driven by an increase in the discount rate. Avis froze this qualified defined benefit pension plan to new participation and future benefit accruals as of December 31, 1998. Please see the “Pension Benefits Table” for further information regarding this plan.</w:t>
      </w:r>
    </w:p>
    <w:p>
      <w:pPr>
        <w:spacing w:after="0" w:line="37" w:lineRule="exact"/>
        <w:rPr>
          <w:rFonts w:ascii="Arial" w:cs="Arial" w:eastAsia="Arial" w:hAnsi="Arial"/>
          <w:sz w:val="13"/>
          <w:szCs w:val="13"/>
          <w:color w:val="auto"/>
        </w:rPr>
      </w:pPr>
    </w:p>
    <w:p>
      <w:pPr>
        <w:ind w:left="360" w:hanging="350"/>
        <w:spacing w:after="0" w:line="243" w:lineRule="auto"/>
        <w:tabs>
          <w:tab w:leader="none" w:pos="3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All Other Compensation is comprised of the compensation described in the following tables. For Mr. Ferraro, 2020 included cash compensation of $750,000 for his interim assignment in the first half of 2020.</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All Other Compensation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To Deferred</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260" w:type="dxa"/>
            <w:vAlign w:val="bottom"/>
          </w:tcPr>
          <w:p>
            <w:pPr>
              <w:jc w:val="center"/>
              <w:ind w:left="48"/>
              <w:spacing w:after="0"/>
              <w:rPr>
                <w:sz w:val="20"/>
                <w:szCs w:val="20"/>
                <w:color w:val="auto"/>
              </w:rPr>
            </w:pPr>
            <w:r>
              <w:rPr>
                <w:rFonts w:ascii="Arial" w:cs="Arial" w:eastAsia="Arial" w:hAnsi="Arial"/>
                <w:sz w:val="14"/>
                <w:szCs w:val="14"/>
                <w:b w:val="1"/>
                <w:bCs w:val="1"/>
                <w:color w:val="auto"/>
              </w:rPr>
              <w:t>Total All Other</w:t>
            </w:r>
          </w:p>
        </w:tc>
      </w:tr>
      <w:tr>
        <w:trPr>
          <w:trHeight w:val="162"/>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Plans</w:t>
            </w:r>
          </w:p>
        </w:tc>
        <w:tc>
          <w:tcPr>
            <w:tcW w:w="1160" w:type="dxa"/>
            <w:vAlign w:val="bottom"/>
          </w:tcPr>
          <w:p>
            <w:pPr>
              <w:jc w:val="right"/>
              <w:ind w:right="128"/>
              <w:spacing w:after="0"/>
              <w:rPr>
                <w:sz w:val="20"/>
                <w:szCs w:val="20"/>
                <w:color w:val="auto"/>
              </w:rPr>
            </w:pPr>
            <w:r>
              <w:rPr>
                <w:rFonts w:ascii="Arial" w:cs="Arial" w:eastAsia="Arial" w:hAnsi="Arial"/>
                <w:sz w:val="14"/>
                <w:szCs w:val="14"/>
                <w:b w:val="1"/>
                <w:bCs w:val="1"/>
                <w:color w:val="auto"/>
              </w:rPr>
              <w:t>Perquisites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Amounts</w:t>
            </w:r>
          </w:p>
        </w:tc>
        <w:tc>
          <w:tcPr>
            <w:tcW w:w="1260" w:type="dxa"/>
            <w:vAlign w:val="bottom"/>
          </w:tcPr>
          <w:p>
            <w:pPr>
              <w:jc w:val="center"/>
              <w:ind w:left="68"/>
              <w:spacing w:after="0"/>
              <w:rPr>
                <w:sz w:val="20"/>
                <w:szCs w:val="20"/>
                <w:color w:val="auto"/>
              </w:rPr>
            </w:pPr>
            <w:r>
              <w:rPr>
                <w:rFonts w:ascii="Arial" w:cs="Arial" w:eastAsia="Arial" w:hAnsi="Arial"/>
                <w:sz w:val="14"/>
                <w:szCs w:val="14"/>
                <w:b w:val="1"/>
                <w:bCs w:val="1"/>
                <w:color w:val="auto"/>
              </w:rPr>
              <w:t>Compensation</w:t>
            </w:r>
          </w:p>
        </w:tc>
      </w:tr>
      <w:tr>
        <w:trPr>
          <w:trHeight w:val="196"/>
        </w:trPr>
        <w:tc>
          <w:tcPr>
            <w:tcW w:w="426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ind w:left="220"/>
              <w:spacing w:after="0"/>
              <w:rPr>
                <w:sz w:val="20"/>
                <w:szCs w:val="20"/>
                <w:color w:val="auto"/>
              </w:rPr>
            </w:pPr>
            <w:r>
              <w:rPr>
                <w:rFonts w:ascii="Arial" w:cs="Arial" w:eastAsia="Arial" w:hAnsi="Arial"/>
                <w:sz w:val="14"/>
                <w:szCs w:val="14"/>
                <w:b w:val="1"/>
                <w:bCs w:val="1"/>
                <w:color w:val="auto"/>
              </w:rPr>
              <w:t>Year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($)(a)</w:t>
            </w:r>
          </w:p>
        </w:tc>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($)(b)</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260" w:type="dxa"/>
            <w:vAlign w:val="bottom"/>
          </w:tcPr>
          <w:p>
            <w:pPr>
              <w:jc w:val="center"/>
              <w:ind w:left="48"/>
              <w:spacing w:after="0"/>
              <w:rPr>
                <w:sz w:val="20"/>
                <w:szCs w:val="20"/>
                <w:color w:val="auto"/>
              </w:rPr>
            </w:pPr>
            <w:r>
              <w:rPr>
                <w:rFonts w:ascii="Arial" w:cs="Arial" w:eastAsia="Arial" w:hAnsi="Arial"/>
                <w:sz w:val="14"/>
                <w:szCs w:val="14"/>
                <w:b w:val="1"/>
                <w:bCs w:val="1"/>
                <w:color w:val="auto"/>
              </w:rPr>
              <w:t>($)</w:t>
            </w:r>
          </w:p>
        </w:tc>
      </w:tr>
      <w:tr>
        <w:trPr>
          <w:trHeight w:val="29"/>
        </w:trPr>
        <w:tc>
          <w:tcPr>
            <w:tcW w:w="4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8"/>
        </w:trPr>
        <w:tc>
          <w:tcPr>
            <w:tcW w:w="426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Mr. Ferraro</w:t>
            </w:r>
          </w:p>
        </w:tc>
        <w:tc>
          <w:tcPr>
            <w:tcW w:w="74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2021</w:t>
            </w:r>
          </w:p>
        </w:tc>
        <w:tc>
          <w:tcPr>
            <w:tcW w:w="142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55,385</w:t>
            </w:r>
          </w:p>
        </w:tc>
        <w:tc>
          <w:tcPr>
            <w:tcW w:w="11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38,382</w:t>
            </w:r>
          </w:p>
        </w:tc>
        <w:tc>
          <w:tcPr>
            <w:tcW w:w="10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756</w:t>
            </w:r>
          </w:p>
        </w:tc>
        <w:tc>
          <w:tcPr>
            <w:tcW w:w="12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94,523</w:t>
            </w:r>
          </w:p>
        </w:tc>
      </w:tr>
      <w:tr>
        <w:trPr>
          <w:trHeight w:val="243"/>
        </w:trPr>
        <w:tc>
          <w:tcPr>
            <w:tcW w:w="4260" w:type="dxa"/>
            <w:vAlign w:val="bottom"/>
            <w:shd w:val="clear" w:color="auto" w:fill="CCCCCC"/>
          </w:tcPr>
          <w:p>
            <w:pPr>
              <w:spacing w:after="0"/>
              <w:rPr>
                <w:sz w:val="21"/>
                <w:szCs w:val="21"/>
                <w:color w:val="auto"/>
              </w:rPr>
            </w:pPr>
          </w:p>
        </w:tc>
        <w:tc>
          <w:tcPr>
            <w:tcW w:w="74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2021</w:t>
            </w:r>
          </w:p>
        </w:tc>
        <w:tc>
          <w:tcPr>
            <w:tcW w:w="142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81,931</w:t>
            </w:r>
          </w:p>
        </w:tc>
        <w:tc>
          <w:tcPr>
            <w:tcW w:w="11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35,726</w:t>
            </w:r>
          </w:p>
        </w:tc>
        <w:tc>
          <w:tcPr>
            <w:tcW w:w="10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750,756</w:t>
            </w:r>
          </w:p>
        </w:tc>
        <w:tc>
          <w:tcPr>
            <w:tcW w:w="12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868,413</w:t>
            </w:r>
          </w:p>
        </w:tc>
      </w:tr>
      <w:tr>
        <w:trPr>
          <w:trHeight w:val="270"/>
        </w:trPr>
        <w:tc>
          <w:tcPr>
            <w:tcW w:w="4260" w:type="dxa"/>
            <w:vAlign w:val="bottom"/>
            <w:tcBorders>
              <w:bottom w:val="single" w:sz="8" w:color="CCCCCC"/>
            </w:tcBorders>
            <w:shd w:val="clear" w:color="auto" w:fill="CCCCCC"/>
          </w:tcPr>
          <w:p>
            <w:pPr>
              <w:spacing w:after="0"/>
              <w:rPr>
                <w:sz w:val="23"/>
                <w:szCs w:val="23"/>
                <w:color w:val="auto"/>
              </w:rPr>
            </w:pPr>
          </w:p>
        </w:tc>
        <w:tc>
          <w:tcPr>
            <w:tcW w:w="740" w:type="dxa"/>
            <w:vAlign w:val="bottom"/>
            <w:tcBorders>
              <w:bottom w:val="single" w:sz="8" w:color="CCCCCC"/>
            </w:tcBorders>
            <w:shd w:val="clear" w:color="auto" w:fill="CCCCCC"/>
          </w:tcPr>
          <w:p>
            <w:pPr>
              <w:ind w:left="220"/>
              <w:spacing w:after="0"/>
              <w:rPr>
                <w:sz w:val="20"/>
                <w:szCs w:val="20"/>
                <w:color w:val="auto"/>
              </w:rPr>
            </w:pPr>
            <w:r>
              <w:rPr>
                <w:rFonts w:ascii="Arial" w:cs="Arial" w:eastAsia="Arial" w:hAnsi="Arial"/>
                <w:sz w:val="14"/>
                <w:szCs w:val="14"/>
                <w:color w:val="auto"/>
              </w:rPr>
              <w:t>2019</w:t>
            </w:r>
          </w:p>
        </w:tc>
        <w:tc>
          <w:tcPr>
            <w:tcW w:w="1420" w:type="dxa"/>
            <w:vAlign w:val="bottom"/>
            <w:tcBorders>
              <w:bottom w:val="single" w:sz="8" w:color="CCCCCC"/>
            </w:tcBorders>
            <w:shd w:val="clear" w:color="auto" w:fill="CCCCCC"/>
          </w:tcPr>
          <w:p>
            <w:pPr>
              <w:jc w:val="right"/>
              <w:ind w:right="128"/>
              <w:spacing w:after="0"/>
              <w:rPr>
                <w:sz w:val="20"/>
                <w:szCs w:val="20"/>
                <w:color w:val="auto"/>
              </w:rPr>
            </w:pPr>
            <w:r>
              <w:rPr>
                <w:rFonts w:ascii="Arial" w:cs="Arial" w:eastAsia="Arial" w:hAnsi="Arial"/>
                <w:sz w:val="14"/>
                <w:szCs w:val="14"/>
                <w:color w:val="auto"/>
              </w:rPr>
              <w:t>96,959</w:t>
            </w:r>
          </w:p>
        </w:tc>
        <w:tc>
          <w:tcPr>
            <w:tcW w:w="1160" w:type="dxa"/>
            <w:vAlign w:val="bottom"/>
            <w:tcBorders>
              <w:bottom w:val="single" w:sz="8" w:color="CCCCCC"/>
            </w:tcBorders>
            <w:shd w:val="clear" w:color="auto" w:fill="CCCCCC"/>
          </w:tcPr>
          <w:p>
            <w:pPr>
              <w:jc w:val="right"/>
              <w:ind w:right="128"/>
              <w:spacing w:after="0"/>
              <w:rPr>
                <w:sz w:val="20"/>
                <w:szCs w:val="20"/>
                <w:color w:val="auto"/>
              </w:rPr>
            </w:pPr>
            <w:r>
              <w:rPr>
                <w:rFonts w:ascii="Arial" w:cs="Arial" w:eastAsia="Arial" w:hAnsi="Arial"/>
                <w:sz w:val="14"/>
                <w:szCs w:val="14"/>
                <w:color w:val="auto"/>
              </w:rPr>
              <w:t>39,081</w:t>
            </w:r>
          </w:p>
        </w:tc>
        <w:tc>
          <w:tcPr>
            <w:tcW w:w="1000" w:type="dxa"/>
            <w:vAlign w:val="bottom"/>
            <w:tcBorders>
              <w:bottom w:val="single" w:sz="8" w:color="CCCCCC"/>
            </w:tcBorders>
            <w:shd w:val="clear" w:color="auto" w:fill="CCCCCC"/>
          </w:tcPr>
          <w:p>
            <w:pPr>
              <w:jc w:val="right"/>
              <w:ind w:right="108"/>
              <w:spacing w:after="0"/>
              <w:rPr>
                <w:sz w:val="20"/>
                <w:szCs w:val="20"/>
                <w:color w:val="auto"/>
              </w:rPr>
            </w:pPr>
            <w:r>
              <w:rPr>
                <w:rFonts w:ascii="Arial" w:cs="Arial" w:eastAsia="Arial" w:hAnsi="Arial"/>
                <w:sz w:val="14"/>
                <w:szCs w:val="14"/>
                <w:color w:val="auto"/>
              </w:rPr>
              <w:t>737</w:t>
            </w:r>
          </w:p>
        </w:tc>
        <w:tc>
          <w:tcPr>
            <w:tcW w:w="12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136,777</w:t>
            </w:r>
          </w:p>
        </w:tc>
      </w:tr>
      <w:tr>
        <w:trPr>
          <w:trHeight w:val="215"/>
        </w:trPr>
        <w:tc>
          <w:tcPr>
            <w:tcW w:w="42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Mr. Choi</w:t>
            </w:r>
          </w:p>
        </w:tc>
        <w:tc>
          <w:tcPr>
            <w:tcW w:w="74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2021</w:t>
            </w:r>
          </w:p>
        </w:tc>
        <w:tc>
          <w:tcPr>
            <w:tcW w:w="14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2,900</w:t>
            </w:r>
          </w:p>
        </w:tc>
        <w:tc>
          <w:tcPr>
            <w:tcW w:w="11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21,703</w:t>
            </w:r>
          </w:p>
        </w:tc>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510</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25,113</w:t>
            </w:r>
          </w:p>
        </w:tc>
      </w:tr>
      <w:tr>
        <w:trPr>
          <w:trHeight w:val="243"/>
        </w:trPr>
        <w:tc>
          <w:tcPr>
            <w:tcW w:w="4260" w:type="dxa"/>
            <w:vAlign w:val="bottom"/>
          </w:tcPr>
          <w:p>
            <w:pPr>
              <w:spacing w:after="0"/>
              <w:rPr>
                <w:sz w:val="21"/>
                <w:szCs w:val="21"/>
                <w:color w:val="auto"/>
              </w:rPr>
            </w:pPr>
          </w:p>
        </w:tc>
        <w:tc>
          <w:tcPr>
            <w:tcW w:w="740" w:type="dxa"/>
            <w:vAlign w:val="bottom"/>
          </w:tcPr>
          <w:p>
            <w:pPr>
              <w:ind w:left="220"/>
              <w:spacing w:after="0"/>
              <w:rPr>
                <w:sz w:val="20"/>
                <w:szCs w:val="20"/>
                <w:color w:val="auto"/>
              </w:rPr>
            </w:pPr>
            <w:r>
              <w:rPr>
                <w:rFonts w:ascii="Arial" w:cs="Arial" w:eastAsia="Arial" w:hAnsi="Arial"/>
                <w:sz w:val="14"/>
                <w:szCs w:val="14"/>
                <w:color w:val="auto"/>
              </w:rPr>
              <w:t>2020</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769</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4,121</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510</w:t>
            </w:r>
          </w:p>
        </w:tc>
        <w:tc>
          <w:tcPr>
            <w:tcW w:w="1260" w:type="dxa"/>
            <w:vAlign w:val="bottom"/>
          </w:tcPr>
          <w:p>
            <w:pPr>
              <w:jc w:val="right"/>
              <w:spacing w:after="0"/>
              <w:rPr>
                <w:sz w:val="20"/>
                <w:szCs w:val="20"/>
                <w:color w:val="auto"/>
              </w:rPr>
            </w:pPr>
            <w:r>
              <w:rPr>
                <w:rFonts w:ascii="Arial" w:cs="Arial" w:eastAsia="Arial" w:hAnsi="Arial"/>
                <w:sz w:val="14"/>
                <w:szCs w:val="14"/>
                <w:color w:val="auto"/>
              </w:rPr>
              <w:t>5,400</w:t>
            </w:r>
          </w:p>
        </w:tc>
      </w:tr>
      <w:tr>
        <w:trPr>
          <w:trHeight w:val="22"/>
        </w:trPr>
        <w:tc>
          <w:tcPr>
            <w:tcW w:w="4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5"/>
        </w:trPr>
        <w:tc>
          <w:tcPr>
            <w:tcW w:w="426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Mr. Hees</w:t>
            </w:r>
          </w:p>
        </w:tc>
        <w:tc>
          <w:tcPr>
            <w:tcW w:w="74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2021</w:t>
            </w:r>
          </w:p>
        </w:tc>
        <w:tc>
          <w:tcPr>
            <w:tcW w:w="142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1,138</w:t>
            </w:r>
          </w:p>
        </w:tc>
        <w:tc>
          <w:tcPr>
            <w:tcW w:w="11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7,378</w:t>
            </w:r>
          </w:p>
        </w:tc>
        <w:tc>
          <w:tcPr>
            <w:tcW w:w="10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510</w:t>
            </w:r>
          </w:p>
        </w:tc>
        <w:tc>
          <w:tcPr>
            <w:tcW w:w="12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9,026</w:t>
            </w:r>
          </w:p>
        </w:tc>
      </w:tr>
      <w:tr>
        <w:trPr>
          <w:trHeight w:val="269"/>
        </w:trPr>
        <w:tc>
          <w:tcPr>
            <w:tcW w:w="4260" w:type="dxa"/>
            <w:vAlign w:val="bottom"/>
            <w:tcBorders>
              <w:bottom w:val="single" w:sz="8" w:color="CCCCCC"/>
            </w:tcBorders>
            <w:shd w:val="clear" w:color="auto" w:fill="CCCCCC"/>
          </w:tcPr>
          <w:p>
            <w:pPr>
              <w:spacing w:after="0"/>
              <w:rPr>
                <w:sz w:val="23"/>
                <w:szCs w:val="23"/>
                <w:color w:val="auto"/>
              </w:rPr>
            </w:pPr>
          </w:p>
        </w:tc>
        <w:tc>
          <w:tcPr>
            <w:tcW w:w="740" w:type="dxa"/>
            <w:vAlign w:val="bottom"/>
            <w:tcBorders>
              <w:bottom w:val="single" w:sz="8" w:color="CCCCCC"/>
            </w:tcBorders>
            <w:shd w:val="clear" w:color="auto" w:fill="CCCCCC"/>
          </w:tcPr>
          <w:p>
            <w:pPr>
              <w:ind w:left="220"/>
              <w:spacing w:after="0"/>
              <w:rPr>
                <w:sz w:val="20"/>
                <w:szCs w:val="20"/>
                <w:color w:val="auto"/>
              </w:rPr>
            </w:pPr>
            <w:r>
              <w:rPr>
                <w:rFonts w:ascii="Arial" w:cs="Arial" w:eastAsia="Arial" w:hAnsi="Arial"/>
                <w:sz w:val="14"/>
                <w:szCs w:val="14"/>
                <w:color w:val="auto"/>
              </w:rPr>
              <w:t>2020</w:t>
            </w:r>
          </w:p>
        </w:tc>
        <w:tc>
          <w:tcPr>
            <w:tcW w:w="1420" w:type="dxa"/>
            <w:vAlign w:val="bottom"/>
            <w:tcBorders>
              <w:bottom w:val="single" w:sz="8" w:color="CCCCCC"/>
            </w:tcBorders>
            <w:shd w:val="clear" w:color="auto" w:fill="CCCCCC"/>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CCCC"/>
            </w:tcBorders>
            <w:shd w:val="clear" w:color="auto" w:fill="CCCCCC"/>
          </w:tcPr>
          <w:p>
            <w:pPr>
              <w:jc w:val="right"/>
              <w:ind w:right="128"/>
              <w:spacing w:after="0"/>
              <w:rPr>
                <w:sz w:val="20"/>
                <w:szCs w:val="20"/>
                <w:color w:val="auto"/>
              </w:rPr>
            </w:pPr>
            <w:r>
              <w:rPr>
                <w:rFonts w:ascii="Arial" w:cs="Arial" w:eastAsia="Arial" w:hAnsi="Arial"/>
                <w:sz w:val="14"/>
                <w:szCs w:val="14"/>
                <w:color w:val="auto"/>
              </w:rPr>
              <w:t>936</w:t>
            </w:r>
          </w:p>
        </w:tc>
        <w:tc>
          <w:tcPr>
            <w:tcW w:w="1000" w:type="dxa"/>
            <w:vAlign w:val="bottom"/>
            <w:tcBorders>
              <w:bottom w:val="single" w:sz="8" w:color="CCCCCC"/>
            </w:tcBorders>
            <w:shd w:val="clear" w:color="auto" w:fill="CCCCCC"/>
          </w:tcPr>
          <w:p>
            <w:pPr>
              <w:jc w:val="right"/>
              <w:ind w:right="108"/>
              <w:spacing w:after="0"/>
              <w:rPr>
                <w:sz w:val="20"/>
                <w:szCs w:val="20"/>
                <w:color w:val="auto"/>
              </w:rPr>
            </w:pPr>
            <w:r>
              <w:rPr>
                <w:rFonts w:ascii="Arial" w:cs="Arial" w:eastAsia="Arial" w:hAnsi="Arial"/>
                <w:sz w:val="14"/>
                <w:szCs w:val="14"/>
                <w:color w:val="auto"/>
              </w:rPr>
              <w:t>73,310</w:t>
            </w:r>
          </w:p>
        </w:tc>
        <w:tc>
          <w:tcPr>
            <w:tcW w:w="12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74,246</w:t>
            </w:r>
          </w:p>
        </w:tc>
      </w:tr>
      <w:tr>
        <w:trPr>
          <w:trHeight w:val="215"/>
        </w:trPr>
        <w:tc>
          <w:tcPr>
            <w:tcW w:w="42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Mr. Sita</w:t>
            </w:r>
          </w:p>
        </w:tc>
        <w:tc>
          <w:tcPr>
            <w:tcW w:w="74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2021</w:t>
            </w:r>
          </w:p>
        </w:tc>
        <w:tc>
          <w:tcPr>
            <w:tcW w:w="14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19,615</w:t>
            </w:r>
          </w:p>
        </w:tc>
        <w:tc>
          <w:tcPr>
            <w:tcW w:w="11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15,747</w:t>
            </w:r>
          </w:p>
        </w:tc>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567</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35,929</w:t>
            </w:r>
          </w:p>
        </w:tc>
      </w:tr>
      <w:tr>
        <w:trPr>
          <w:trHeight w:val="21"/>
        </w:trPr>
        <w:tc>
          <w:tcPr>
            <w:tcW w:w="4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5"/>
        </w:trPr>
        <w:tc>
          <w:tcPr>
            <w:tcW w:w="426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Mr. Rankin</w:t>
            </w:r>
          </w:p>
        </w:tc>
        <w:tc>
          <w:tcPr>
            <w:tcW w:w="74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2021</w:t>
            </w:r>
          </w:p>
        </w:tc>
        <w:tc>
          <w:tcPr>
            <w:tcW w:w="142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9,404</w:t>
            </w:r>
          </w:p>
        </w:tc>
        <w:tc>
          <w:tcPr>
            <w:tcW w:w="11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24,006</w:t>
            </w:r>
          </w:p>
        </w:tc>
        <w:tc>
          <w:tcPr>
            <w:tcW w:w="10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73,175</w:t>
            </w:r>
          </w:p>
        </w:tc>
        <w:tc>
          <w:tcPr>
            <w:tcW w:w="12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106,585</w:t>
            </w:r>
          </w:p>
        </w:tc>
      </w:tr>
      <w:tr>
        <w:trPr>
          <w:trHeight w:val="243"/>
        </w:trPr>
        <w:tc>
          <w:tcPr>
            <w:tcW w:w="4260" w:type="dxa"/>
            <w:vAlign w:val="bottom"/>
            <w:shd w:val="clear" w:color="auto" w:fill="CCCCCC"/>
          </w:tcPr>
          <w:p>
            <w:pPr>
              <w:spacing w:after="0"/>
              <w:rPr>
                <w:sz w:val="21"/>
                <w:szCs w:val="21"/>
                <w:color w:val="auto"/>
              </w:rPr>
            </w:pPr>
          </w:p>
        </w:tc>
        <w:tc>
          <w:tcPr>
            <w:tcW w:w="74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2020</w:t>
            </w:r>
          </w:p>
        </w:tc>
        <w:tc>
          <w:tcPr>
            <w:tcW w:w="142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9,257</w:t>
            </w:r>
          </w:p>
        </w:tc>
        <w:tc>
          <w:tcPr>
            <w:tcW w:w="11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19,250</w:t>
            </w:r>
          </w:p>
        </w:tc>
        <w:tc>
          <w:tcPr>
            <w:tcW w:w="10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66,693</w:t>
            </w:r>
          </w:p>
        </w:tc>
        <w:tc>
          <w:tcPr>
            <w:tcW w:w="12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95,200</w:t>
            </w:r>
          </w:p>
        </w:tc>
      </w:tr>
      <w:tr>
        <w:trPr>
          <w:trHeight w:val="247"/>
        </w:trPr>
        <w:tc>
          <w:tcPr>
            <w:tcW w:w="4260" w:type="dxa"/>
            <w:vAlign w:val="bottom"/>
            <w:tcBorders>
              <w:bottom w:val="single" w:sz="8" w:color="auto"/>
            </w:tcBorders>
            <w:shd w:val="clear" w:color="auto" w:fill="CCCCCC"/>
          </w:tcPr>
          <w:p>
            <w:pPr>
              <w:spacing w:after="0"/>
              <w:rPr>
                <w:sz w:val="21"/>
                <w:szCs w:val="21"/>
                <w:color w:val="auto"/>
              </w:rPr>
            </w:pPr>
          </w:p>
        </w:tc>
        <w:tc>
          <w:tcPr>
            <w:tcW w:w="740" w:type="dxa"/>
            <w:vAlign w:val="bottom"/>
            <w:tcBorders>
              <w:bottom w:val="single" w:sz="8" w:color="auto"/>
            </w:tcBorders>
            <w:shd w:val="clear" w:color="auto" w:fill="CCCCCC"/>
          </w:tcPr>
          <w:p>
            <w:pPr>
              <w:ind w:left="220"/>
              <w:spacing w:after="0"/>
              <w:rPr>
                <w:sz w:val="20"/>
                <w:szCs w:val="20"/>
                <w:color w:val="auto"/>
              </w:rPr>
            </w:pPr>
            <w:r>
              <w:rPr>
                <w:rFonts w:ascii="Arial" w:cs="Arial" w:eastAsia="Arial" w:hAnsi="Arial"/>
                <w:sz w:val="14"/>
                <w:szCs w:val="14"/>
                <w:color w:val="auto"/>
              </w:rPr>
              <w:t>2019</w:t>
            </w:r>
          </w:p>
        </w:tc>
        <w:tc>
          <w:tcPr>
            <w:tcW w:w="1420" w:type="dxa"/>
            <w:vAlign w:val="bottom"/>
            <w:tcBorders>
              <w:bottom w:val="single" w:sz="8" w:color="auto"/>
            </w:tcBorders>
            <w:shd w:val="clear" w:color="auto" w:fill="CCCCCC"/>
          </w:tcPr>
          <w:p>
            <w:pPr>
              <w:jc w:val="right"/>
              <w:ind w:right="128"/>
              <w:spacing w:after="0"/>
              <w:rPr>
                <w:sz w:val="20"/>
                <w:szCs w:val="20"/>
                <w:color w:val="auto"/>
              </w:rPr>
            </w:pPr>
            <w:r>
              <w:rPr>
                <w:rFonts w:ascii="Arial" w:cs="Arial" w:eastAsia="Arial" w:hAnsi="Arial"/>
                <w:sz w:val="14"/>
                <w:szCs w:val="14"/>
                <w:color w:val="auto"/>
              </w:rPr>
              <w:t>4,407</w:t>
            </w:r>
          </w:p>
        </w:tc>
        <w:tc>
          <w:tcPr>
            <w:tcW w:w="1160" w:type="dxa"/>
            <w:vAlign w:val="bottom"/>
            <w:tcBorders>
              <w:bottom w:val="single" w:sz="8" w:color="auto"/>
            </w:tcBorders>
            <w:shd w:val="clear" w:color="auto" w:fill="CCCCCC"/>
          </w:tcPr>
          <w:p>
            <w:pPr>
              <w:jc w:val="right"/>
              <w:ind w:right="128"/>
              <w:spacing w:after="0"/>
              <w:rPr>
                <w:sz w:val="20"/>
                <w:szCs w:val="20"/>
                <w:color w:val="auto"/>
              </w:rPr>
            </w:pPr>
            <w:r>
              <w:rPr>
                <w:rFonts w:ascii="Arial" w:cs="Arial" w:eastAsia="Arial" w:hAnsi="Arial"/>
                <w:sz w:val="14"/>
                <w:szCs w:val="14"/>
                <w:color w:val="auto"/>
              </w:rPr>
              <w:t>11,038</w:t>
            </w:r>
          </w:p>
        </w:tc>
        <w:tc>
          <w:tcPr>
            <w:tcW w:w="1000" w:type="dxa"/>
            <w:vAlign w:val="bottom"/>
            <w:tcBorders>
              <w:bottom w:val="single" w:sz="8" w:color="auto"/>
            </w:tcBorders>
            <w:shd w:val="clear" w:color="auto" w:fill="CCCCCC"/>
          </w:tcPr>
          <w:p>
            <w:pPr>
              <w:jc w:val="right"/>
              <w:ind w:right="108"/>
              <w:spacing w:after="0"/>
              <w:rPr>
                <w:sz w:val="20"/>
                <w:szCs w:val="20"/>
                <w:color w:val="auto"/>
              </w:rPr>
            </w:pPr>
            <w:r>
              <w:rPr>
                <w:rFonts w:ascii="Arial" w:cs="Arial" w:eastAsia="Arial" w:hAnsi="Arial"/>
                <w:sz w:val="14"/>
                <w:szCs w:val="14"/>
                <w:color w:val="auto"/>
              </w:rPr>
              <w:t>151,165</w:t>
            </w:r>
          </w:p>
        </w:tc>
        <w:tc>
          <w:tcPr>
            <w:tcW w:w="12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166,610</w:t>
            </w:r>
          </w:p>
        </w:tc>
      </w:tr>
    </w:tbl>
    <w:p>
      <w:pPr>
        <w:spacing w:after="0" w:line="144" w:lineRule="exact"/>
        <w:rPr>
          <w:sz w:val="20"/>
          <w:szCs w:val="20"/>
          <w:color w:val="auto"/>
        </w:rPr>
      </w:pPr>
    </w:p>
    <w:p>
      <w:pPr>
        <w:jc w:val="both"/>
        <w:ind w:left="360" w:hanging="350"/>
        <w:spacing w:after="0" w:line="229" w:lineRule="auto"/>
        <w:tabs>
          <w:tab w:leader="none" w:pos="3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For Messrs. Ferraro, Choi, Hees, and Sita, amounts represent Company matching contributions under the Company’s Executive Deferred Compensation Plan or 401(k) Plan. For Mr. Rankin, amounts represent Company matching contributions under the “Defined Contribution” section of the Avis UK Pension Plan and reflect a monthly average £/$ exchange rate as of the date paid, received or allocated. Under the terms of the Deferred Compensation Plan and the Avis UK Pension Plan, participants may receive Company matching contributions up to a maximum cap of 6% and 4%, respectively.</w:t>
      </w:r>
    </w:p>
    <w:p>
      <w:pPr>
        <w:spacing w:after="0" w:line="36" w:lineRule="exact"/>
        <w:rPr>
          <w:rFonts w:ascii="Arial" w:cs="Arial" w:eastAsia="Arial" w:hAnsi="Arial"/>
          <w:sz w:val="13"/>
          <w:szCs w:val="13"/>
          <w:color w:val="auto"/>
        </w:rPr>
      </w:pPr>
    </w:p>
    <w:p>
      <w:pPr>
        <w:ind w:left="360" w:hanging="350"/>
        <w:spacing w:after="0"/>
        <w:tabs>
          <w:tab w:leader="none" w:pos="3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the perquisites presented in the “Perquisites Table” set forth below.</w:t>
      </w:r>
    </w:p>
    <w:p>
      <w:pPr>
        <w:spacing w:after="0" w:line="66" w:lineRule="exact"/>
        <w:rPr>
          <w:rFonts w:ascii="Arial" w:cs="Arial" w:eastAsia="Arial" w:hAnsi="Arial"/>
          <w:sz w:val="13"/>
          <w:szCs w:val="13"/>
          <w:color w:val="auto"/>
        </w:rPr>
      </w:pPr>
    </w:p>
    <w:p>
      <w:pPr>
        <w:jc w:val="both"/>
        <w:ind w:left="360" w:hanging="350"/>
        <w:spacing w:after="0" w:line="226" w:lineRule="auto"/>
        <w:tabs>
          <w:tab w:leader="none" w:pos="3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For Messrs. Ferraro, Choi, Hees, and Sita, amounts include the value of insurance premiums paid by the Company for a broad-based life insurance benefit. For Mr. Ferraro in 2020, includes cash compensation of $750,000 per the terms of his interim assignment. For Mr. Hees in 2020, represents the amount received in respect of Board compensation from his appointment to the Board in February through his appointment as Executive Chairman, effective July 1, 2020. For Mr. Rankin, amount includes tuition reimbursement in accordance with his agreement with the Company for each year and for 2019 also includes relocation benefits in accordance with the Company’s standard policies for executives.</w:t>
      </w:r>
    </w:p>
    <w:p>
      <w:pPr>
        <w:sectPr>
          <w:pgSz w:w="11900" w:h="16838" w:orient="portrait"/>
          <w:cols w:equalWidth="0" w:num="1">
            <w:col w:w="9840"/>
          </w:cols>
          <w:pgMar w:left="1020" w:top="263" w:right="1039" w:bottom="1053"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161925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053" w:gutter="0" w:footer="0" w:header="0"/>
          <w:type w:val="continuous"/>
        </w:sectPr>
      </w:pPr>
    </w:p>
    <w:bookmarkStart w:id="38" w:name="page39"/>
    <w:bookmarkEnd w:id="38"/>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Perquisites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jc w:val="center"/>
              <w:ind w:left="248"/>
              <w:spacing w:after="0"/>
              <w:rPr>
                <w:sz w:val="20"/>
                <w:szCs w:val="20"/>
                <w:color w:val="auto"/>
              </w:rPr>
            </w:pPr>
            <w:r>
              <w:rPr>
                <w:rFonts w:ascii="Arial" w:cs="Arial" w:eastAsia="Arial" w:hAnsi="Arial"/>
                <w:sz w:val="14"/>
                <w:szCs w:val="14"/>
                <w:b w:val="1"/>
                <w:bCs w:val="1"/>
                <w:color w:val="auto"/>
              </w:rPr>
              <w:t>Personal</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jc w:val="center"/>
              <w:ind w:left="248"/>
              <w:spacing w:after="0"/>
              <w:rPr>
                <w:sz w:val="20"/>
                <w:szCs w:val="20"/>
                <w:color w:val="auto"/>
              </w:rPr>
            </w:pPr>
            <w:r>
              <w:rPr>
                <w:rFonts w:ascii="Arial" w:cs="Arial" w:eastAsia="Arial" w:hAnsi="Arial"/>
                <w:sz w:val="14"/>
                <w:szCs w:val="14"/>
                <w:b w:val="1"/>
                <w:bCs w:val="1"/>
                <w:color w:val="auto"/>
              </w:rPr>
              <w:t>Use of</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jc w:val="center"/>
              <w:ind w:left="308"/>
              <w:spacing w:after="0"/>
              <w:rPr>
                <w:sz w:val="20"/>
                <w:szCs w:val="20"/>
                <w:color w:val="auto"/>
              </w:rPr>
            </w:pPr>
            <w:r>
              <w:rPr>
                <w:rFonts w:ascii="Arial" w:cs="Arial" w:eastAsia="Arial" w:hAnsi="Arial"/>
                <w:sz w:val="14"/>
                <w:szCs w:val="14"/>
                <w:b w:val="1"/>
                <w:bCs w:val="1"/>
                <w:color w:val="auto"/>
              </w:rPr>
              <w:t>Company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c>
          <w:tcPr>
            <w:tcW w:w="1180" w:type="dxa"/>
            <w:vAlign w:val="bottom"/>
          </w:tcPr>
          <w:p>
            <w:pPr>
              <w:spacing w:after="0"/>
              <w:rPr>
                <w:sz w:val="14"/>
                <w:szCs w:val="14"/>
                <w:color w:val="auto"/>
              </w:rPr>
            </w:pPr>
          </w:p>
        </w:tc>
        <w:tc>
          <w:tcPr>
            <w:tcW w:w="1200" w:type="dxa"/>
            <w:vAlign w:val="bottom"/>
          </w:tcPr>
          <w:p>
            <w:pPr>
              <w:ind w:left="560"/>
              <w:spacing w:after="0"/>
              <w:rPr>
                <w:sz w:val="20"/>
                <w:szCs w:val="20"/>
                <w:color w:val="auto"/>
              </w:rPr>
            </w:pPr>
            <w:r>
              <w:rPr>
                <w:rFonts w:ascii="Arial" w:cs="Arial" w:eastAsia="Arial" w:hAnsi="Arial"/>
                <w:sz w:val="14"/>
                <w:szCs w:val="14"/>
                <w:b w:val="1"/>
                <w:bCs w:val="1"/>
                <w:color w:val="auto"/>
              </w:rPr>
              <w:t>Total</w:t>
            </w:r>
          </w:p>
        </w:tc>
      </w:tr>
      <w:tr>
        <w:trPr>
          <w:trHeight w:val="162"/>
        </w:trPr>
        <w:tc>
          <w:tcPr>
            <w:tcW w:w="3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jc w:val="center"/>
              <w:ind w:left="248"/>
              <w:spacing w:after="0"/>
              <w:rPr>
                <w:sz w:val="20"/>
                <w:szCs w:val="20"/>
                <w:color w:val="auto"/>
              </w:rPr>
            </w:pPr>
            <w:r>
              <w:rPr>
                <w:rFonts w:ascii="Arial" w:cs="Arial" w:eastAsia="Arial" w:hAnsi="Arial"/>
                <w:sz w:val="14"/>
                <w:szCs w:val="14"/>
                <w:b w:val="1"/>
                <w:bCs w:val="1"/>
                <w:color w:val="auto"/>
              </w:rPr>
              <w:t>Aircraft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Car</w:t>
            </w: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Perquisites</w:t>
            </w:r>
          </w:p>
        </w:tc>
      </w:tr>
      <w:tr>
        <w:trPr>
          <w:trHeight w:val="196"/>
        </w:trPr>
        <w:tc>
          <w:tcPr>
            <w:tcW w:w="366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Year</w:t>
            </w:r>
          </w:p>
        </w:tc>
        <w:tc>
          <w:tcPr>
            <w:tcW w:w="1760" w:type="dxa"/>
            <w:vAlign w:val="bottom"/>
          </w:tcPr>
          <w:p>
            <w:pPr>
              <w:jc w:val="center"/>
              <w:ind w:left="288"/>
              <w:spacing w:after="0"/>
              <w:rPr>
                <w:sz w:val="20"/>
                <w:szCs w:val="20"/>
                <w:color w:val="auto"/>
              </w:rPr>
            </w:pPr>
            <w:r>
              <w:rPr>
                <w:rFonts w:ascii="Arial" w:cs="Arial" w:eastAsia="Arial" w:hAnsi="Arial"/>
                <w:sz w:val="14"/>
                <w:szCs w:val="14"/>
                <w:b w:val="1"/>
                <w:bCs w:val="1"/>
                <w:color w:val="auto"/>
              </w:rPr>
              <w:t>($)(a)</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($)(c)</w:t>
            </w:r>
          </w:p>
        </w:tc>
        <w:tc>
          <w:tcPr>
            <w:tcW w:w="1200" w:type="dxa"/>
            <w:vAlign w:val="bottom"/>
          </w:tcPr>
          <w:p>
            <w:pPr>
              <w:ind w:left="580"/>
              <w:spacing w:after="0"/>
              <w:rPr>
                <w:sz w:val="20"/>
                <w:szCs w:val="20"/>
                <w:color w:val="auto"/>
              </w:rPr>
            </w:pPr>
            <w:r>
              <w:rPr>
                <w:rFonts w:ascii="Arial" w:cs="Arial" w:eastAsia="Arial" w:hAnsi="Arial"/>
                <w:sz w:val="14"/>
                <w:szCs w:val="14"/>
                <w:b w:val="1"/>
                <w:bCs w:val="1"/>
                <w:color w:val="auto"/>
              </w:rPr>
              <w:t>($)(d)</w:t>
            </w:r>
          </w:p>
        </w:tc>
      </w:tr>
      <w:tr>
        <w:trPr>
          <w:trHeight w:val="43"/>
        </w:trPr>
        <w:tc>
          <w:tcPr>
            <w:tcW w:w="36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2"/>
        </w:trPr>
        <w:tc>
          <w:tcPr>
            <w:tcW w:w="3660" w:type="dxa"/>
            <w:vAlign w:val="bottom"/>
            <w:shd w:val="clear" w:color="auto" w:fill="CCCCCC"/>
          </w:tcPr>
          <w:p>
            <w:pPr>
              <w:ind w:left="80"/>
              <w:spacing w:after="0"/>
              <w:rPr>
                <w:sz w:val="20"/>
                <w:szCs w:val="20"/>
                <w:color w:val="auto"/>
              </w:rPr>
            </w:pPr>
            <w:r>
              <w:rPr>
                <w:rFonts w:ascii="Arial" w:cs="Arial" w:eastAsia="Arial" w:hAnsi="Arial"/>
                <w:sz w:val="14"/>
                <w:szCs w:val="14"/>
                <w:color w:val="auto"/>
              </w:rPr>
              <w:t>Mr. Ferraro</w:t>
            </w: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2021</w:t>
            </w:r>
          </w:p>
        </w:tc>
        <w:tc>
          <w:tcPr>
            <w:tcW w:w="1760" w:type="dxa"/>
            <w:vAlign w:val="bottom"/>
            <w:shd w:val="clear" w:color="auto" w:fill="CCCCCC"/>
          </w:tcPr>
          <w:p>
            <w:pPr>
              <w:jc w:val="center"/>
              <w:ind w:left="30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13,647</w:t>
            </w:r>
          </w:p>
        </w:tc>
        <w:tc>
          <w:tcPr>
            <w:tcW w:w="11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24,735</w:t>
            </w:r>
          </w:p>
        </w:tc>
        <w:tc>
          <w:tcPr>
            <w:tcW w:w="1200" w:type="dxa"/>
            <w:vAlign w:val="bottom"/>
            <w:shd w:val="clear" w:color="auto" w:fill="CCCCCC"/>
          </w:tcPr>
          <w:p>
            <w:pPr>
              <w:jc w:val="center"/>
              <w:ind w:left="248"/>
              <w:spacing w:after="0"/>
              <w:rPr>
                <w:sz w:val="20"/>
                <w:szCs w:val="20"/>
                <w:color w:val="auto"/>
              </w:rPr>
            </w:pPr>
            <w:r>
              <w:rPr>
                <w:rFonts w:ascii="Arial" w:cs="Arial" w:eastAsia="Arial" w:hAnsi="Arial"/>
                <w:sz w:val="14"/>
                <w:szCs w:val="14"/>
                <w:color w:val="auto"/>
              </w:rPr>
              <w:t>38,382</w:t>
            </w:r>
          </w:p>
        </w:tc>
      </w:tr>
      <w:tr>
        <w:trPr>
          <w:trHeight w:val="297"/>
        </w:trPr>
        <w:tc>
          <w:tcPr>
            <w:tcW w:w="366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2020</w:t>
            </w:r>
          </w:p>
        </w:tc>
        <w:tc>
          <w:tcPr>
            <w:tcW w:w="1760" w:type="dxa"/>
            <w:vAlign w:val="bottom"/>
            <w:shd w:val="clear" w:color="auto" w:fill="CCCCCC"/>
          </w:tcPr>
          <w:p>
            <w:pPr>
              <w:jc w:val="center"/>
              <w:ind w:left="30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13,956</w:t>
            </w:r>
          </w:p>
        </w:tc>
        <w:tc>
          <w:tcPr>
            <w:tcW w:w="11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21,770</w:t>
            </w:r>
          </w:p>
        </w:tc>
        <w:tc>
          <w:tcPr>
            <w:tcW w:w="1200" w:type="dxa"/>
            <w:vAlign w:val="bottom"/>
            <w:shd w:val="clear" w:color="auto" w:fill="CCCCCC"/>
          </w:tcPr>
          <w:p>
            <w:pPr>
              <w:jc w:val="center"/>
              <w:ind w:left="248"/>
              <w:spacing w:after="0"/>
              <w:rPr>
                <w:sz w:val="20"/>
                <w:szCs w:val="20"/>
                <w:color w:val="auto"/>
              </w:rPr>
            </w:pPr>
            <w:r>
              <w:rPr>
                <w:rFonts w:ascii="Arial" w:cs="Arial" w:eastAsia="Arial" w:hAnsi="Arial"/>
                <w:sz w:val="14"/>
                <w:szCs w:val="14"/>
                <w:color w:val="auto"/>
              </w:rPr>
              <w:t>35,726</w:t>
            </w:r>
          </w:p>
        </w:tc>
      </w:tr>
      <w:tr>
        <w:trPr>
          <w:trHeight w:val="351"/>
        </w:trPr>
        <w:tc>
          <w:tcPr>
            <w:tcW w:w="3660" w:type="dxa"/>
            <w:vAlign w:val="bottom"/>
            <w:tcBorders>
              <w:bottom w:val="single" w:sz="8" w:color="CCCCCC"/>
            </w:tcBorders>
            <w:shd w:val="clear" w:color="auto" w:fill="CCCCCC"/>
          </w:tcPr>
          <w:p>
            <w:pPr>
              <w:spacing w:after="0"/>
              <w:rPr>
                <w:sz w:val="24"/>
                <w:szCs w:val="24"/>
                <w:color w:val="auto"/>
              </w:rPr>
            </w:pPr>
          </w:p>
        </w:tc>
        <w:tc>
          <w:tcPr>
            <w:tcW w:w="6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2019</w:t>
            </w:r>
          </w:p>
        </w:tc>
        <w:tc>
          <w:tcPr>
            <w:tcW w:w="1760" w:type="dxa"/>
            <w:vAlign w:val="bottom"/>
            <w:tcBorders>
              <w:bottom w:val="single" w:sz="8" w:color="CCCCCC"/>
            </w:tcBorders>
            <w:shd w:val="clear" w:color="auto" w:fill="CCCCCC"/>
          </w:tcPr>
          <w:p>
            <w:pPr>
              <w:jc w:val="center"/>
              <w:ind w:left="30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13,461</w:t>
            </w:r>
          </w:p>
        </w:tc>
        <w:tc>
          <w:tcPr>
            <w:tcW w:w="11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21,770</w:t>
            </w:r>
          </w:p>
        </w:tc>
        <w:tc>
          <w:tcPr>
            <w:tcW w:w="1200" w:type="dxa"/>
            <w:vAlign w:val="bottom"/>
            <w:tcBorders>
              <w:bottom w:val="single" w:sz="8" w:color="CCCCCC"/>
            </w:tcBorders>
            <w:shd w:val="clear" w:color="auto" w:fill="CCCCCC"/>
          </w:tcPr>
          <w:p>
            <w:pPr>
              <w:jc w:val="center"/>
              <w:ind w:left="248"/>
              <w:spacing w:after="0"/>
              <w:rPr>
                <w:sz w:val="20"/>
                <w:szCs w:val="20"/>
                <w:color w:val="auto"/>
              </w:rPr>
            </w:pPr>
            <w:r>
              <w:rPr>
                <w:rFonts w:ascii="Arial" w:cs="Arial" w:eastAsia="Arial" w:hAnsi="Arial"/>
                <w:sz w:val="14"/>
                <w:szCs w:val="14"/>
                <w:color w:val="auto"/>
              </w:rPr>
              <w:t>35,231</w:t>
            </w:r>
          </w:p>
        </w:tc>
      </w:tr>
      <w:tr>
        <w:trPr>
          <w:trHeight w:val="242"/>
        </w:trPr>
        <w:tc>
          <w:tcPr>
            <w:tcW w:w="366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Mr. Choi</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1760" w:type="dxa"/>
            <w:vAlign w:val="bottom"/>
            <w:tcBorders>
              <w:top w:val="single" w:sz="8" w:color="auto"/>
            </w:tcBorders>
          </w:tcPr>
          <w:p>
            <w:pPr>
              <w:jc w:val="center"/>
              <w:ind w:left="308"/>
              <w:spacing w:after="0"/>
              <w:rPr>
                <w:sz w:val="20"/>
                <w:szCs w:val="20"/>
                <w:color w:val="auto"/>
              </w:rPr>
            </w:pPr>
            <w:r>
              <w:rPr>
                <w:rFonts w:ascii="Arial" w:cs="Arial" w:eastAsia="Arial" w:hAnsi="Arial"/>
                <w:sz w:val="14"/>
                <w:szCs w:val="14"/>
                <w:color w:val="auto"/>
                <w:w w:val="99"/>
              </w:rPr>
              <w:t>—</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6,103</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11,750</w:t>
            </w:r>
          </w:p>
        </w:tc>
        <w:tc>
          <w:tcPr>
            <w:tcW w:w="120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21,703</w:t>
            </w:r>
          </w:p>
        </w:tc>
      </w:tr>
      <w:tr>
        <w:trPr>
          <w:trHeight w:val="297"/>
        </w:trPr>
        <w:tc>
          <w:tcPr>
            <w:tcW w:w="36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2020</w:t>
            </w:r>
          </w:p>
        </w:tc>
        <w:tc>
          <w:tcPr>
            <w:tcW w:w="176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506</w:t>
            </w:r>
          </w:p>
        </w:tc>
        <w:tc>
          <w:tcPr>
            <w:tcW w:w="1180" w:type="dxa"/>
            <w:vAlign w:val="bottom"/>
          </w:tcPr>
          <w:p>
            <w:pPr>
              <w:jc w:val="center"/>
              <w:spacing w:after="0"/>
              <w:rPr>
                <w:sz w:val="20"/>
                <w:szCs w:val="20"/>
                <w:color w:val="auto"/>
              </w:rPr>
            </w:pPr>
            <w:r>
              <w:rPr>
                <w:rFonts w:ascii="Arial" w:cs="Arial" w:eastAsia="Arial" w:hAnsi="Arial"/>
                <w:sz w:val="14"/>
                <w:szCs w:val="14"/>
                <w:color w:val="auto"/>
              </w:rPr>
              <w:t>3,615</w:t>
            </w:r>
          </w:p>
        </w:tc>
        <w:tc>
          <w:tcPr>
            <w:tcW w:w="1200" w:type="dxa"/>
            <w:vAlign w:val="bottom"/>
          </w:tcPr>
          <w:p>
            <w:pPr>
              <w:jc w:val="center"/>
              <w:ind w:left="248"/>
              <w:spacing w:after="0"/>
              <w:rPr>
                <w:sz w:val="20"/>
                <w:szCs w:val="20"/>
                <w:color w:val="auto"/>
              </w:rPr>
            </w:pPr>
            <w:r>
              <w:rPr>
                <w:rFonts w:ascii="Arial" w:cs="Arial" w:eastAsia="Arial" w:hAnsi="Arial"/>
                <w:sz w:val="14"/>
                <w:szCs w:val="14"/>
                <w:color w:val="auto"/>
              </w:rPr>
              <w:t>4,121</w:t>
            </w:r>
          </w:p>
        </w:tc>
      </w:tr>
      <w:tr>
        <w:trPr>
          <w:trHeight w:val="48"/>
        </w:trPr>
        <w:tc>
          <w:tcPr>
            <w:tcW w:w="3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2"/>
        </w:trPr>
        <w:tc>
          <w:tcPr>
            <w:tcW w:w="3660" w:type="dxa"/>
            <w:vAlign w:val="bottom"/>
            <w:shd w:val="clear" w:color="auto" w:fill="CCCCCC"/>
          </w:tcPr>
          <w:p>
            <w:pPr>
              <w:ind w:left="80"/>
              <w:spacing w:after="0"/>
              <w:rPr>
                <w:sz w:val="20"/>
                <w:szCs w:val="20"/>
                <w:color w:val="auto"/>
              </w:rPr>
            </w:pPr>
            <w:r>
              <w:rPr>
                <w:rFonts w:ascii="Arial" w:cs="Arial" w:eastAsia="Arial" w:hAnsi="Arial"/>
                <w:sz w:val="14"/>
                <w:szCs w:val="14"/>
                <w:color w:val="auto"/>
              </w:rPr>
              <w:t>Mr. Hees</w:t>
            </w: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2021</w:t>
            </w:r>
          </w:p>
        </w:tc>
        <w:tc>
          <w:tcPr>
            <w:tcW w:w="1760" w:type="dxa"/>
            <w:vAlign w:val="bottom"/>
            <w:shd w:val="clear" w:color="auto" w:fill="CCCCCC"/>
          </w:tcPr>
          <w:p>
            <w:pPr>
              <w:jc w:val="center"/>
              <w:ind w:left="30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3,398</w:t>
            </w:r>
          </w:p>
        </w:tc>
        <w:tc>
          <w:tcPr>
            <w:tcW w:w="118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shd w:val="clear" w:color="auto" w:fill="CCCCCC"/>
          </w:tcPr>
          <w:p>
            <w:pPr>
              <w:jc w:val="center"/>
              <w:ind w:left="248"/>
              <w:spacing w:after="0"/>
              <w:rPr>
                <w:sz w:val="20"/>
                <w:szCs w:val="20"/>
                <w:color w:val="auto"/>
              </w:rPr>
            </w:pPr>
            <w:r>
              <w:rPr>
                <w:rFonts w:ascii="Arial" w:cs="Arial" w:eastAsia="Arial" w:hAnsi="Arial"/>
                <w:sz w:val="14"/>
                <w:szCs w:val="14"/>
                <w:color w:val="auto"/>
              </w:rPr>
              <w:t>7,378</w:t>
            </w:r>
          </w:p>
        </w:tc>
      </w:tr>
      <w:tr>
        <w:trPr>
          <w:trHeight w:val="351"/>
        </w:trPr>
        <w:tc>
          <w:tcPr>
            <w:tcW w:w="3660" w:type="dxa"/>
            <w:vAlign w:val="bottom"/>
            <w:tcBorders>
              <w:bottom w:val="single" w:sz="8" w:color="CCCCCC"/>
            </w:tcBorders>
            <w:shd w:val="clear" w:color="auto" w:fill="CCCCCC"/>
          </w:tcPr>
          <w:p>
            <w:pPr>
              <w:spacing w:after="0"/>
              <w:rPr>
                <w:sz w:val="24"/>
                <w:szCs w:val="24"/>
                <w:color w:val="auto"/>
              </w:rPr>
            </w:pPr>
          </w:p>
        </w:tc>
        <w:tc>
          <w:tcPr>
            <w:tcW w:w="6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2020</w:t>
            </w:r>
          </w:p>
        </w:tc>
        <w:tc>
          <w:tcPr>
            <w:tcW w:w="1760" w:type="dxa"/>
            <w:vAlign w:val="bottom"/>
            <w:tcBorders>
              <w:bottom w:val="single" w:sz="8" w:color="CCCCCC"/>
            </w:tcBorders>
            <w:shd w:val="clear" w:color="auto" w:fill="CCCCCC"/>
          </w:tcPr>
          <w:p>
            <w:pPr>
              <w:jc w:val="center"/>
              <w:ind w:left="30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936</w:t>
            </w:r>
          </w:p>
        </w:tc>
        <w:tc>
          <w:tcPr>
            <w:tcW w:w="11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CCCCCC"/>
            </w:tcBorders>
            <w:shd w:val="clear" w:color="auto" w:fill="CCCCCC"/>
          </w:tcPr>
          <w:p>
            <w:pPr>
              <w:jc w:val="center"/>
              <w:ind w:left="248"/>
              <w:spacing w:after="0"/>
              <w:rPr>
                <w:sz w:val="20"/>
                <w:szCs w:val="20"/>
                <w:color w:val="auto"/>
              </w:rPr>
            </w:pPr>
            <w:r>
              <w:rPr>
                <w:rFonts w:ascii="Arial" w:cs="Arial" w:eastAsia="Arial" w:hAnsi="Arial"/>
                <w:sz w:val="14"/>
                <w:szCs w:val="14"/>
                <w:color w:val="auto"/>
              </w:rPr>
              <w:t>936</w:t>
            </w:r>
          </w:p>
        </w:tc>
      </w:tr>
      <w:tr>
        <w:trPr>
          <w:trHeight w:val="242"/>
        </w:trPr>
        <w:tc>
          <w:tcPr>
            <w:tcW w:w="366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Mr. Sita</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1760" w:type="dxa"/>
            <w:vAlign w:val="bottom"/>
            <w:tcBorders>
              <w:top w:val="single" w:sz="8" w:color="auto"/>
            </w:tcBorders>
          </w:tcPr>
          <w:p>
            <w:pPr>
              <w:jc w:val="center"/>
              <w:ind w:left="308"/>
              <w:spacing w:after="0"/>
              <w:rPr>
                <w:sz w:val="20"/>
                <w:szCs w:val="20"/>
                <w:color w:val="auto"/>
              </w:rPr>
            </w:pPr>
            <w:r>
              <w:rPr>
                <w:rFonts w:ascii="Arial" w:cs="Arial" w:eastAsia="Arial" w:hAnsi="Arial"/>
                <w:sz w:val="14"/>
                <w:szCs w:val="14"/>
                <w:color w:val="auto"/>
                <w:w w:val="99"/>
              </w:rPr>
              <w:t>—</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858</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10,909</w:t>
            </w:r>
          </w:p>
        </w:tc>
        <w:tc>
          <w:tcPr>
            <w:tcW w:w="120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15,747</w:t>
            </w:r>
          </w:p>
        </w:tc>
      </w:tr>
      <w:tr>
        <w:trPr>
          <w:trHeight w:val="49"/>
        </w:trPr>
        <w:tc>
          <w:tcPr>
            <w:tcW w:w="3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2"/>
        </w:trPr>
        <w:tc>
          <w:tcPr>
            <w:tcW w:w="3660" w:type="dxa"/>
            <w:vAlign w:val="bottom"/>
            <w:shd w:val="clear" w:color="auto" w:fill="CCCCCC"/>
          </w:tcPr>
          <w:p>
            <w:pPr>
              <w:ind w:left="80"/>
              <w:spacing w:after="0"/>
              <w:rPr>
                <w:sz w:val="20"/>
                <w:szCs w:val="20"/>
                <w:color w:val="auto"/>
              </w:rPr>
            </w:pPr>
            <w:r>
              <w:rPr>
                <w:rFonts w:ascii="Arial" w:cs="Arial" w:eastAsia="Arial" w:hAnsi="Arial"/>
                <w:sz w:val="14"/>
                <w:szCs w:val="14"/>
                <w:color w:val="auto"/>
              </w:rPr>
              <w:t>Mr. Rankin</w:t>
            </w: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2021</w:t>
            </w:r>
          </w:p>
        </w:tc>
        <w:tc>
          <w:tcPr>
            <w:tcW w:w="1760" w:type="dxa"/>
            <w:vAlign w:val="bottom"/>
            <w:shd w:val="clear" w:color="auto" w:fill="CCCCCC"/>
          </w:tcPr>
          <w:p>
            <w:pPr>
              <w:jc w:val="center"/>
              <w:ind w:left="30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3,372</w:t>
            </w:r>
          </w:p>
        </w:tc>
        <w:tc>
          <w:tcPr>
            <w:tcW w:w="11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20,634</w:t>
            </w:r>
          </w:p>
        </w:tc>
        <w:tc>
          <w:tcPr>
            <w:tcW w:w="1200" w:type="dxa"/>
            <w:vAlign w:val="bottom"/>
            <w:shd w:val="clear" w:color="auto" w:fill="CCCCCC"/>
          </w:tcPr>
          <w:p>
            <w:pPr>
              <w:jc w:val="center"/>
              <w:ind w:left="248"/>
              <w:spacing w:after="0"/>
              <w:rPr>
                <w:sz w:val="20"/>
                <w:szCs w:val="20"/>
                <w:color w:val="auto"/>
              </w:rPr>
            </w:pPr>
            <w:r>
              <w:rPr>
                <w:rFonts w:ascii="Arial" w:cs="Arial" w:eastAsia="Arial" w:hAnsi="Arial"/>
                <w:sz w:val="14"/>
                <w:szCs w:val="14"/>
                <w:color w:val="auto"/>
              </w:rPr>
              <w:t>24,006</w:t>
            </w:r>
          </w:p>
        </w:tc>
      </w:tr>
      <w:tr>
        <w:trPr>
          <w:trHeight w:val="297"/>
        </w:trPr>
        <w:tc>
          <w:tcPr>
            <w:tcW w:w="366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2020</w:t>
            </w:r>
          </w:p>
        </w:tc>
        <w:tc>
          <w:tcPr>
            <w:tcW w:w="1760" w:type="dxa"/>
            <w:vAlign w:val="bottom"/>
            <w:shd w:val="clear" w:color="auto" w:fill="CCCCCC"/>
          </w:tcPr>
          <w:p>
            <w:pPr>
              <w:jc w:val="center"/>
              <w:ind w:left="30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19,250</w:t>
            </w:r>
          </w:p>
        </w:tc>
        <w:tc>
          <w:tcPr>
            <w:tcW w:w="1200" w:type="dxa"/>
            <w:vAlign w:val="bottom"/>
            <w:shd w:val="clear" w:color="auto" w:fill="CCCCCC"/>
          </w:tcPr>
          <w:p>
            <w:pPr>
              <w:jc w:val="center"/>
              <w:ind w:left="248"/>
              <w:spacing w:after="0"/>
              <w:rPr>
                <w:sz w:val="20"/>
                <w:szCs w:val="20"/>
                <w:color w:val="auto"/>
              </w:rPr>
            </w:pPr>
            <w:r>
              <w:rPr>
                <w:rFonts w:ascii="Arial" w:cs="Arial" w:eastAsia="Arial" w:hAnsi="Arial"/>
                <w:sz w:val="14"/>
                <w:szCs w:val="14"/>
                <w:color w:val="auto"/>
              </w:rPr>
              <w:t>19,250</w:t>
            </w:r>
          </w:p>
        </w:tc>
      </w:tr>
      <w:tr>
        <w:trPr>
          <w:trHeight w:val="301"/>
        </w:trPr>
        <w:tc>
          <w:tcPr>
            <w:tcW w:w="3660" w:type="dxa"/>
            <w:vAlign w:val="bottom"/>
            <w:tcBorders>
              <w:bottom w:val="single" w:sz="8" w:color="auto"/>
            </w:tcBorders>
            <w:shd w:val="clear" w:color="auto" w:fill="CCCCCC"/>
          </w:tcPr>
          <w:p>
            <w:pPr>
              <w:spacing w:after="0"/>
              <w:rPr>
                <w:sz w:val="24"/>
                <w:szCs w:val="24"/>
                <w:color w:val="auto"/>
              </w:rPr>
            </w:pPr>
          </w:p>
        </w:tc>
        <w:tc>
          <w:tcPr>
            <w:tcW w:w="6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2019</w:t>
            </w:r>
          </w:p>
        </w:tc>
        <w:tc>
          <w:tcPr>
            <w:tcW w:w="1760" w:type="dxa"/>
            <w:vAlign w:val="bottom"/>
            <w:tcBorders>
              <w:bottom w:val="single" w:sz="8" w:color="auto"/>
            </w:tcBorders>
            <w:shd w:val="clear" w:color="auto" w:fill="CCCCCC"/>
          </w:tcPr>
          <w:p>
            <w:pPr>
              <w:jc w:val="center"/>
              <w:ind w:left="30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7"/>
              </w:rPr>
              <w:t>11,038</w:t>
            </w:r>
          </w:p>
        </w:tc>
        <w:tc>
          <w:tcPr>
            <w:tcW w:w="1200" w:type="dxa"/>
            <w:vAlign w:val="bottom"/>
            <w:tcBorders>
              <w:bottom w:val="single" w:sz="8" w:color="auto"/>
            </w:tcBorders>
            <w:shd w:val="clear" w:color="auto" w:fill="CCCCCC"/>
          </w:tcPr>
          <w:p>
            <w:pPr>
              <w:jc w:val="center"/>
              <w:ind w:left="228"/>
              <w:spacing w:after="0"/>
              <w:rPr>
                <w:sz w:val="20"/>
                <w:szCs w:val="20"/>
                <w:color w:val="auto"/>
              </w:rPr>
            </w:pPr>
            <w:r>
              <w:rPr>
                <w:rFonts w:ascii="Arial" w:cs="Arial" w:eastAsia="Arial" w:hAnsi="Arial"/>
                <w:sz w:val="14"/>
                <w:szCs w:val="14"/>
                <w:color w:val="auto"/>
                <w:w w:val="97"/>
              </w:rPr>
              <w:t>11,038</w:t>
            </w:r>
          </w:p>
        </w:tc>
      </w:tr>
    </w:tbl>
    <w:p>
      <w:pPr>
        <w:spacing w:after="0" w:line="153" w:lineRule="exact"/>
        <w:rPr>
          <w:sz w:val="20"/>
          <w:szCs w:val="20"/>
          <w:color w:val="auto"/>
        </w:rPr>
      </w:pPr>
    </w:p>
    <w:p>
      <w:pPr>
        <w:jc w:val="both"/>
        <w:ind w:left="360" w:hanging="350"/>
        <w:spacing w:after="0" w:line="247"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Under our aircraft policy, our CEO has reasonable non-business access to leased jet services, subject to prevailing market practices. For our other NEOs, non-business access is subject to approval by our CEO in his sole discretion. The incremental cost of personal use of the leased jet services is calculated based on the contracted per hour cost, which includes flight-specific direct operating costs such as standard fuel, maintenance, repairs, catering and miscellaneous fees such as variable fuel surcharge as applicable, and international fees for travel outside the United States. Since the aircraft is leased primarily for business travel, fixed costs, such as crew salaries, training, hangaring, insurance and services support are not included. When a NEO reimburses the Company for the incremental cost of leased jet services, no amount is reported in the table above. Spouses of NEOs are occasionally additional passengers on business flights provided by our leased jet services. In such cases, there is no incremental cost to the Company, and as a result, no amount is reflected in the table.</w:t>
      </w:r>
    </w:p>
    <w:p>
      <w:pPr>
        <w:spacing w:after="0" w:line="37" w:lineRule="exact"/>
        <w:rPr>
          <w:rFonts w:ascii="Arial" w:cs="Arial" w:eastAsia="Arial" w:hAnsi="Arial"/>
          <w:sz w:val="14"/>
          <w:szCs w:val="14"/>
          <w:color w:val="auto"/>
        </w:rPr>
      </w:pPr>
    </w:p>
    <w:p>
      <w:pPr>
        <w:jc w:val="both"/>
        <w:ind w:left="360" w:hanging="350"/>
        <w:spacing w:after="0" w:line="252"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Mr. Ferraro, includes actual costs the Company incurred for financial services provided by Ayco, including tax return preparation, financial planning and estate planning. For Messrs. Choi and Rankin, includes amounts paid directly by the Executive for financial services with a third-party provider, with qualified amounts reimbursed by the Company. Amounts also include Company-paid premiums in connection with a group excess liability umbrella insurance policy, which for 2021 did not exceed $3,398 for any NEO. In October 2021, the group excess liability umbrella insurance perquisite was eliminated.</w:t>
      </w:r>
    </w:p>
    <w:p>
      <w:pPr>
        <w:spacing w:after="0" w:line="32" w:lineRule="exact"/>
        <w:rPr>
          <w:rFonts w:ascii="Arial" w:cs="Arial" w:eastAsia="Arial" w:hAnsi="Arial"/>
          <w:sz w:val="14"/>
          <w:szCs w:val="14"/>
          <w:color w:val="auto"/>
        </w:rPr>
      </w:pPr>
    </w:p>
    <w:p>
      <w:pPr>
        <w:jc w:val="both"/>
        <w:ind w:left="360" w:right="20" w:hanging="350"/>
        <w:spacing w:after="0" w:line="263"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annual lease value of a Company-provided car, or annual car allowance. For Mr. Rankin, reflects a monthly average £/$ exchange rate for the vehicle use period. NEOs are eligible to participate in the Company’s employee auto insurance program and employee car lease program; however, no amounts are included for these programs as the Company does not incur any associated incremental cost.</w:t>
      </w:r>
    </w:p>
    <w:p>
      <w:pPr>
        <w:spacing w:after="0" w:line="37" w:lineRule="exact"/>
        <w:rPr>
          <w:rFonts w:ascii="Arial" w:cs="Arial" w:eastAsia="Arial" w:hAnsi="Arial"/>
          <w:sz w:val="14"/>
          <w:szCs w:val="14"/>
          <w:color w:val="auto"/>
        </w:rPr>
      </w:pPr>
    </w:p>
    <w:p>
      <w:pPr>
        <w:ind w:left="360" w:hanging="350"/>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Messrs. Choi, Hees, and Sita, amount includes payments for annual physical examination (annual costs did not exceed $3,980).</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CEO Pay Ratio</w:t>
      </w:r>
    </w:p>
    <w:p>
      <w:pPr>
        <w:spacing w:after="0" w:line="15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Based on a review of our internal records, we believe that there has not been a change in our employee population or compensation arrangements that would significantly change our pay ratio disclosure as compared to last year. Therefore, for 2021, we relied on the same median employee identified for 2020 (the "Median Employee") to calculate this year's pay ratio and calculated the total annual compensation for the Median Employee applying the same methodology used for our named executive officers, as set forth in the Summary Compensation Table above. Total compensation for 2021 for our CEO was $8,594,555. Our Median Employee's total compensation for 2021 was $29,628. The ratio of our CEO's pay to the pay of our Median Employee for 2021 was 290:1.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39" w:name="page40"/>
    <w:bookmarkEnd w:id="39"/>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2021 Grants of Plan-Based Awards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All</w:t>
            </w: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Other</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All Other</w:t>
            </w: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840" w:type="dxa"/>
            <w:vAlign w:val="bottom"/>
            <w:vMerge w:val="continue"/>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Exercise</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4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rPr>
              <w:t>Estimated Possible Payouts</w:t>
            </w:r>
          </w:p>
        </w:tc>
        <w:tc>
          <w:tcPr>
            <w:tcW w:w="18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Estimated Future Payouts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64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6"/>
        </w:trPr>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140" w:type="dxa"/>
            <w:vAlign w:val="bottom"/>
            <w:gridSpan w:val="4"/>
            <w:vMerge w:val="continue"/>
          </w:tcPr>
          <w:p>
            <w:pPr>
              <w:spacing w:after="0"/>
              <w:rPr>
                <w:sz w:val="11"/>
                <w:szCs w:val="11"/>
                <w:color w:val="auto"/>
              </w:rPr>
            </w:pPr>
          </w:p>
        </w:tc>
        <w:tc>
          <w:tcPr>
            <w:tcW w:w="1880" w:type="dxa"/>
            <w:vAlign w:val="bottom"/>
            <w:gridSpan w:val="3"/>
            <w:vMerge w:val="continue"/>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Number</w:t>
            </w:r>
          </w:p>
        </w:tc>
        <w:tc>
          <w:tcPr>
            <w:tcW w:w="8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Awards</w:t>
            </w:r>
          </w:p>
        </w:tc>
        <w:tc>
          <w:tcPr>
            <w:tcW w:w="6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or Base</w:t>
            </w:r>
          </w:p>
        </w:tc>
        <w:tc>
          <w:tcPr>
            <w:tcW w:w="7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Under Non-Equity Incentive</w:t>
            </w:r>
          </w:p>
        </w:tc>
        <w:tc>
          <w:tcPr>
            <w:tcW w:w="1880" w:type="dxa"/>
            <w:vAlign w:val="bottom"/>
            <w:gridSpan w:val="3"/>
          </w:tcPr>
          <w:p>
            <w:pPr>
              <w:jc w:val="center"/>
              <w:spacing w:after="0"/>
              <w:rPr>
                <w:sz w:val="20"/>
                <w:szCs w:val="20"/>
                <w:color w:val="auto"/>
              </w:rPr>
            </w:pPr>
            <w:r>
              <w:rPr>
                <w:rFonts w:ascii="Arial" w:cs="Arial" w:eastAsia="Arial" w:hAnsi="Arial"/>
                <w:sz w:val="13"/>
                <w:szCs w:val="13"/>
                <w:b w:val="1"/>
                <w:bCs w:val="1"/>
                <w:color w:val="auto"/>
              </w:rPr>
              <w:t>Under Equity Incentive</w:t>
            </w:r>
          </w:p>
        </w:tc>
        <w:tc>
          <w:tcPr>
            <w:tcW w:w="700" w:type="dxa"/>
            <w:vAlign w:val="bottom"/>
          </w:tcPr>
          <w:p>
            <w:pPr>
              <w:jc w:val="center"/>
              <w:ind w:left="13"/>
              <w:spacing w:after="0"/>
              <w:rPr>
                <w:sz w:val="20"/>
                <w:szCs w:val="20"/>
                <w:color w:val="auto"/>
              </w:rPr>
            </w:pPr>
            <w:r>
              <w:rPr>
                <w:rFonts w:ascii="Arial" w:cs="Arial" w:eastAsia="Arial" w:hAnsi="Arial"/>
                <w:sz w:val="13"/>
                <w:szCs w:val="13"/>
                <w:b w:val="1"/>
                <w:bCs w:val="1"/>
                <w:color w:val="auto"/>
              </w:rPr>
              <w:t>of</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Price of</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61"/>
        </w:trPr>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rPr>
              <w:t>Plan Awards (a)</w:t>
            </w:r>
          </w:p>
        </w:tc>
        <w:tc>
          <w:tcPr>
            <w:tcW w:w="1880" w:type="dxa"/>
            <w:vAlign w:val="bottom"/>
            <w:gridSpan w:val="3"/>
          </w:tcPr>
          <w:p>
            <w:pPr>
              <w:jc w:val="center"/>
              <w:spacing w:after="0"/>
              <w:rPr>
                <w:sz w:val="20"/>
                <w:szCs w:val="20"/>
                <w:color w:val="auto"/>
              </w:rPr>
            </w:pPr>
            <w:r>
              <w:rPr>
                <w:rFonts w:ascii="Arial" w:cs="Arial" w:eastAsia="Arial" w:hAnsi="Arial"/>
                <w:sz w:val="13"/>
                <w:szCs w:val="13"/>
                <w:b w:val="1"/>
                <w:bCs w:val="1"/>
                <w:color w:val="auto"/>
              </w:rPr>
              <w:t>Plan Awards (b)</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Securities</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42"/>
        </w:trPr>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Grant/</w:t>
            </w:r>
          </w:p>
        </w:tc>
        <w:tc>
          <w:tcPr>
            <w:tcW w:w="7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of Stock</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Underlying</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Awards</w:t>
            </w: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87"/>
        </w:trPr>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Threshold</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Target</w:t>
            </w: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Maximum</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Threshold</w:t>
            </w: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Target</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Maximum</w:t>
            </w:r>
          </w:p>
        </w:tc>
        <w:tc>
          <w:tcPr>
            <w:tcW w:w="7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9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w:t>
            </w:r>
          </w:p>
        </w:tc>
        <w:tc>
          <w:tcPr>
            <w:tcW w:w="40" w:type="dxa"/>
            <w:vAlign w:val="bottom"/>
          </w:tcPr>
          <w:p>
            <w:pPr>
              <w:spacing w:after="0"/>
              <w:rPr>
                <w:sz w:val="12"/>
                <w:szCs w:val="12"/>
                <w:color w:val="auto"/>
              </w:rPr>
            </w:pPr>
          </w:p>
        </w:tc>
        <w:tc>
          <w:tcPr>
            <w:tcW w:w="98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Award Type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Approval</w:t>
            </w: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or Units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 per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86"/>
        </w:trPr>
        <w:tc>
          <w:tcPr>
            <w:tcW w:w="9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Date</w:t>
            </w:r>
          </w:p>
        </w:tc>
        <w:tc>
          <w:tcPr>
            <w:tcW w:w="700" w:type="dxa"/>
            <w:vAlign w:val="bottom"/>
          </w:tcPr>
          <w:p>
            <w:pPr>
              <w:jc w:val="right"/>
              <w:ind w:right="213"/>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93"/>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53"/>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700" w:type="dxa"/>
            <w:vAlign w:val="bottom"/>
          </w:tcPr>
          <w:p>
            <w:pPr>
              <w:jc w:val="right"/>
              <w:ind w:right="213"/>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center"/>
              <w:ind w:left="13"/>
              <w:spacing w:after="0"/>
              <w:rPr>
                <w:sz w:val="20"/>
                <w:szCs w:val="20"/>
                <w:color w:val="auto"/>
              </w:rPr>
            </w:pPr>
            <w:r>
              <w:rPr>
                <w:rFonts w:ascii="Arial" w:cs="Arial" w:eastAsia="Arial" w:hAnsi="Arial"/>
                <w:sz w:val="13"/>
                <w:szCs w:val="13"/>
                <w:b w:val="1"/>
                <w:bCs w:val="1"/>
                <w:color w:val="auto"/>
              </w:rPr>
              <w:t>(#)(c)</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share)</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8"/>
              </w:rPr>
              <w:t>($)(d)</w:t>
            </w:r>
          </w:p>
        </w:tc>
        <w:tc>
          <w:tcPr>
            <w:tcW w:w="0" w:type="dxa"/>
            <w:vAlign w:val="bottom"/>
          </w:tcPr>
          <w:p>
            <w:pPr>
              <w:spacing w:after="0"/>
              <w:rPr>
                <w:sz w:val="1"/>
                <w:szCs w:val="1"/>
                <w:color w:val="auto"/>
              </w:rPr>
            </w:pPr>
          </w:p>
        </w:tc>
      </w:tr>
      <w:tr>
        <w:trPr>
          <w:trHeight w:val="31"/>
        </w:trPr>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CCCCCC"/>
          </w:tcPr>
          <w:p>
            <w:pPr>
              <w:ind w:left="80"/>
              <w:spacing w:after="0"/>
              <w:rPr>
                <w:sz w:val="20"/>
                <w:szCs w:val="20"/>
                <w:color w:val="auto"/>
              </w:rPr>
            </w:pPr>
            <w:r>
              <w:rPr>
                <w:rFonts w:ascii="Arial" w:cs="Arial" w:eastAsia="Arial" w:hAnsi="Arial"/>
                <w:sz w:val="13"/>
                <w:szCs w:val="13"/>
                <w:color w:val="auto"/>
              </w:rPr>
              <w:t>Mr. Ferraro</w:t>
            </w:r>
          </w:p>
        </w:tc>
        <w:tc>
          <w:tcPr>
            <w:tcW w:w="40" w:type="dxa"/>
            <w:vAlign w:val="bottom"/>
            <w:shd w:val="clear" w:color="auto" w:fill="CCCCCC"/>
          </w:tcPr>
          <w:p>
            <w:pPr>
              <w:spacing w:after="0"/>
              <w:rPr>
                <w:sz w:val="15"/>
                <w:szCs w:val="15"/>
                <w:color w:val="auto"/>
              </w:rPr>
            </w:pPr>
          </w:p>
        </w:tc>
        <w:tc>
          <w:tcPr>
            <w:tcW w:w="980" w:type="dxa"/>
            <w:vAlign w:val="bottom"/>
            <w:shd w:val="clear" w:color="auto" w:fill="CCCCCC"/>
          </w:tcPr>
          <w:p>
            <w:pPr>
              <w:spacing w:after="0"/>
              <w:rPr>
                <w:sz w:val="20"/>
                <w:szCs w:val="20"/>
                <w:color w:val="auto"/>
              </w:rPr>
            </w:pPr>
            <w:r>
              <w:rPr>
                <w:rFonts w:ascii="Arial" w:cs="Arial" w:eastAsia="Arial" w:hAnsi="Arial"/>
                <w:sz w:val="13"/>
                <w:szCs w:val="13"/>
                <w:color w:val="auto"/>
              </w:rPr>
              <w:t>Annual</w:t>
            </w:r>
          </w:p>
        </w:tc>
        <w:tc>
          <w:tcPr>
            <w:tcW w:w="980" w:type="dxa"/>
            <w:vAlign w:val="bottom"/>
            <w:shd w:val="clear" w:color="auto" w:fill="CCCCCC"/>
          </w:tcPr>
          <w:p>
            <w:pPr>
              <w:jc w:val="right"/>
              <w:ind w:right="23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CCCC"/>
          </w:tcPr>
          <w:p>
            <w:pPr>
              <w:jc w:val="right"/>
              <w:ind w:right="13"/>
              <w:spacing w:after="0"/>
              <w:rPr>
                <w:sz w:val="20"/>
                <w:szCs w:val="20"/>
                <w:color w:val="auto"/>
              </w:rPr>
            </w:pPr>
            <w:r>
              <w:rPr>
                <w:rFonts w:ascii="Arial" w:cs="Arial" w:eastAsia="Arial" w:hAnsi="Arial"/>
                <w:sz w:val="13"/>
                <w:szCs w:val="13"/>
                <w:color w:val="auto"/>
              </w:rPr>
              <w:t>1,000,000</w:t>
            </w:r>
          </w:p>
        </w:tc>
        <w:tc>
          <w:tcPr>
            <w:tcW w:w="6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2,000,000</w:t>
            </w:r>
          </w:p>
        </w:tc>
        <w:tc>
          <w:tcPr>
            <w:tcW w:w="6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2,500,000</w:t>
            </w:r>
          </w:p>
        </w:tc>
        <w:tc>
          <w:tcPr>
            <w:tcW w:w="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500" w:type="dxa"/>
            <w:vAlign w:val="bottom"/>
            <w:shd w:val="clear" w:color="auto" w:fill="CCCCCC"/>
          </w:tcPr>
          <w:p>
            <w:pPr>
              <w:spacing w:after="0"/>
              <w:rPr>
                <w:sz w:val="15"/>
                <w:szCs w:val="15"/>
                <w:color w:val="auto"/>
              </w:rPr>
            </w:pPr>
          </w:p>
        </w:tc>
        <w:tc>
          <w:tcPr>
            <w:tcW w:w="6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840" w:type="dxa"/>
            <w:vAlign w:val="bottom"/>
            <w:shd w:val="clear" w:color="auto" w:fill="CCCCCC"/>
          </w:tcPr>
          <w:p>
            <w:pPr>
              <w:spacing w:after="0"/>
              <w:rPr>
                <w:sz w:val="15"/>
                <w:szCs w:val="15"/>
                <w:color w:val="auto"/>
              </w:rPr>
            </w:pPr>
          </w:p>
        </w:tc>
        <w:tc>
          <w:tcPr>
            <w:tcW w:w="64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shd w:val="clear" w:color="auto" w:fill="CCCCCC"/>
          </w:tcPr>
          <w:p>
            <w:pPr>
              <w:spacing w:after="0"/>
              <w:rPr>
                <w:sz w:val="15"/>
                <w:szCs w:val="15"/>
                <w:color w:val="auto"/>
              </w:rPr>
            </w:pPr>
          </w:p>
        </w:tc>
        <w:tc>
          <w:tcPr>
            <w:tcW w:w="40" w:type="dxa"/>
            <w:vAlign w:val="bottom"/>
            <w:shd w:val="clear" w:color="auto" w:fill="CCCCCC"/>
          </w:tcPr>
          <w:p>
            <w:pPr>
              <w:spacing w:after="0"/>
              <w:rPr>
                <w:sz w:val="15"/>
                <w:szCs w:val="15"/>
                <w:color w:val="auto"/>
              </w:rPr>
            </w:pPr>
          </w:p>
        </w:tc>
        <w:tc>
          <w:tcPr>
            <w:tcW w:w="980" w:type="dxa"/>
            <w:vAlign w:val="bottom"/>
            <w:shd w:val="clear" w:color="auto" w:fill="CCCCCC"/>
          </w:tcPr>
          <w:p>
            <w:pPr>
              <w:spacing w:after="0"/>
              <w:rPr>
                <w:sz w:val="20"/>
                <w:szCs w:val="20"/>
                <w:color w:val="auto"/>
              </w:rPr>
            </w:pPr>
            <w:r>
              <w:rPr>
                <w:rFonts w:ascii="Arial" w:cs="Arial" w:eastAsia="Arial" w:hAnsi="Arial"/>
                <w:sz w:val="13"/>
                <w:szCs w:val="13"/>
                <w:color w:val="auto"/>
              </w:rPr>
              <w:t>Incentive</w:t>
            </w:r>
          </w:p>
        </w:tc>
        <w:tc>
          <w:tcPr>
            <w:tcW w:w="9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680" w:type="dxa"/>
            <w:vAlign w:val="bottom"/>
            <w:shd w:val="clear" w:color="auto" w:fill="CCCCCC"/>
          </w:tcPr>
          <w:p>
            <w:pPr>
              <w:spacing w:after="0"/>
              <w:rPr>
                <w:sz w:val="15"/>
                <w:szCs w:val="15"/>
                <w:color w:val="auto"/>
              </w:rPr>
            </w:pPr>
          </w:p>
        </w:tc>
        <w:tc>
          <w:tcPr>
            <w:tcW w:w="680" w:type="dxa"/>
            <w:vAlign w:val="bottom"/>
            <w:shd w:val="clear" w:color="auto" w:fill="CCCCCC"/>
          </w:tcPr>
          <w:p>
            <w:pPr>
              <w:spacing w:after="0"/>
              <w:rPr>
                <w:sz w:val="15"/>
                <w:szCs w:val="15"/>
                <w:color w:val="auto"/>
              </w:rPr>
            </w:pPr>
          </w:p>
        </w:tc>
        <w:tc>
          <w:tcPr>
            <w:tcW w:w="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500" w:type="dxa"/>
            <w:vAlign w:val="bottom"/>
            <w:shd w:val="clear" w:color="auto" w:fill="CCCCCC"/>
          </w:tcPr>
          <w:p>
            <w:pPr>
              <w:spacing w:after="0"/>
              <w:rPr>
                <w:sz w:val="15"/>
                <w:szCs w:val="15"/>
                <w:color w:val="auto"/>
              </w:rPr>
            </w:pPr>
          </w:p>
        </w:tc>
        <w:tc>
          <w:tcPr>
            <w:tcW w:w="6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840" w:type="dxa"/>
            <w:vAlign w:val="bottom"/>
            <w:shd w:val="clear" w:color="auto" w:fill="CCCCCC"/>
          </w:tcPr>
          <w:p>
            <w:pPr>
              <w:spacing w:after="0"/>
              <w:rPr>
                <w:sz w:val="15"/>
                <w:szCs w:val="15"/>
                <w:color w:val="auto"/>
              </w:rPr>
            </w:pPr>
          </w:p>
        </w:tc>
        <w:tc>
          <w:tcPr>
            <w:tcW w:w="64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940" w:type="dxa"/>
            <w:vAlign w:val="bottom"/>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980" w:type="dxa"/>
            <w:vAlign w:val="bottom"/>
            <w:shd w:val="clear" w:color="auto" w:fill="CCCCCC"/>
          </w:tcPr>
          <w:p>
            <w:pPr>
              <w:spacing w:after="0"/>
              <w:rPr>
                <w:sz w:val="20"/>
                <w:szCs w:val="20"/>
                <w:color w:val="auto"/>
              </w:rPr>
            </w:pPr>
            <w:r>
              <w:rPr>
                <w:rFonts w:ascii="Arial" w:cs="Arial" w:eastAsia="Arial" w:hAnsi="Arial"/>
                <w:sz w:val="13"/>
                <w:szCs w:val="13"/>
                <w:color w:val="auto"/>
              </w:rPr>
              <w:t>RSU</w:t>
            </w:r>
          </w:p>
        </w:tc>
        <w:tc>
          <w:tcPr>
            <w:tcW w:w="980" w:type="dxa"/>
            <w:vAlign w:val="bottom"/>
            <w:shd w:val="clear" w:color="auto" w:fill="CCCCCC"/>
          </w:tcPr>
          <w:p>
            <w:pPr>
              <w:jc w:val="right"/>
              <w:ind w:right="233"/>
              <w:spacing w:after="0"/>
              <w:rPr>
                <w:sz w:val="20"/>
                <w:szCs w:val="20"/>
                <w:color w:val="auto"/>
              </w:rPr>
            </w:pPr>
            <w:r>
              <w:rPr>
                <w:rFonts w:ascii="Arial" w:cs="Arial" w:eastAsia="Arial" w:hAnsi="Arial"/>
                <w:sz w:val="13"/>
                <w:szCs w:val="13"/>
                <w:color w:val="auto"/>
              </w:rPr>
              <w:t>3/9/2021</w:t>
            </w:r>
          </w:p>
        </w:tc>
        <w:tc>
          <w:tcPr>
            <w:tcW w:w="700" w:type="dxa"/>
            <w:vAlign w:val="bottom"/>
            <w:shd w:val="clear" w:color="auto" w:fill="CCCCCC"/>
          </w:tcPr>
          <w:p>
            <w:pPr>
              <w:spacing w:after="0"/>
              <w:rPr>
                <w:sz w:val="22"/>
                <w:szCs w:val="22"/>
                <w:color w:val="auto"/>
              </w:rPr>
            </w:pPr>
          </w:p>
        </w:tc>
        <w:tc>
          <w:tcPr>
            <w:tcW w:w="680" w:type="dxa"/>
            <w:vAlign w:val="bottom"/>
            <w:shd w:val="clear" w:color="auto" w:fill="CCCCCC"/>
          </w:tcPr>
          <w:p>
            <w:pPr>
              <w:spacing w:after="0"/>
              <w:rPr>
                <w:sz w:val="22"/>
                <w:szCs w:val="22"/>
                <w:color w:val="auto"/>
              </w:rPr>
            </w:pPr>
          </w:p>
        </w:tc>
        <w:tc>
          <w:tcPr>
            <w:tcW w:w="680" w:type="dxa"/>
            <w:vAlign w:val="bottom"/>
            <w:shd w:val="clear" w:color="auto" w:fill="CCCCCC"/>
          </w:tcPr>
          <w:p>
            <w:pPr>
              <w:spacing w:after="0"/>
              <w:rPr>
                <w:sz w:val="22"/>
                <w:szCs w:val="22"/>
                <w:color w:val="auto"/>
              </w:rPr>
            </w:pPr>
          </w:p>
        </w:tc>
        <w:tc>
          <w:tcPr>
            <w:tcW w:w="80" w:type="dxa"/>
            <w:vAlign w:val="bottom"/>
            <w:shd w:val="clear" w:color="auto" w:fill="CCCCCC"/>
          </w:tcPr>
          <w:p>
            <w:pPr>
              <w:spacing w:after="0"/>
              <w:rPr>
                <w:sz w:val="22"/>
                <w:szCs w:val="22"/>
                <w:color w:val="auto"/>
              </w:rPr>
            </w:pPr>
          </w:p>
        </w:tc>
        <w:tc>
          <w:tcPr>
            <w:tcW w:w="700" w:type="dxa"/>
            <w:vAlign w:val="bottom"/>
            <w:shd w:val="clear" w:color="auto" w:fill="CCCCCC"/>
          </w:tcPr>
          <w:p>
            <w:pPr>
              <w:spacing w:after="0"/>
              <w:rPr>
                <w:sz w:val="22"/>
                <w:szCs w:val="22"/>
                <w:color w:val="auto"/>
              </w:rPr>
            </w:pPr>
          </w:p>
        </w:tc>
        <w:tc>
          <w:tcPr>
            <w:tcW w:w="500" w:type="dxa"/>
            <w:vAlign w:val="bottom"/>
            <w:shd w:val="clear" w:color="auto" w:fill="CCCCCC"/>
          </w:tcPr>
          <w:p>
            <w:pPr>
              <w:spacing w:after="0"/>
              <w:rPr>
                <w:sz w:val="22"/>
                <w:szCs w:val="22"/>
                <w:color w:val="auto"/>
              </w:rPr>
            </w:pPr>
          </w:p>
        </w:tc>
        <w:tc>
          <w:tcPr>
            <w:tcW w:w="680" w:type="dxa"/>
            <w:vAlign w:val="bottom"/>
            <w:shd w:val="clear" w:color="auto" w:fill="CCCCCC"/>
          </w:tcPr>
          <w:p>
            <w:pPr>
              <w:spacing w:after="0"/>
              <w:rPr>
                <w:sz w:val="22"/>
                <w:szCs w:val="22"/>
                <w:color w:val="auto"/>
              </w:rPr>
            </w:pPr>
          </w:p>
        </w:tc>
        <w:tc>
          <w:tcPr>
            <w:tcW w:w="700" w:type="dxa"/>
            <w:vAlign w:val="bottom"/>
            <w:shd w:val="clear" w:color="auto" w:fill="CCCCCC"/>
          </w:tcPr>
          <w:p>
            <w:pPr>
              <w:ind w:left="180"/>
              <w:spacing w:after="0"/>
              <w:rPr>
                <w:sz w:val="20"/>
                <w:szCs w:val="20"/>
                <w:color w:val="auto"/>
              </w:rPr>
            </w:pPr>
            <w:r>
              <w:rPr>
                <w:rFonts w:ascii="Arial" w:cs="Arial" w:eastAsia="Arial" w:hAnsi="Arial"/>
                <w:sz w:val="13"/>
                <w:szCs w:val="13"/>
                <w:color w:val="auto"/>
              </w:rPr>
              <w:t>40,148</w:t>
            </w:r>
          </w:p>
        </w:tc>
        <w:tc>
          <w:tcPr>
            <w:tcW w:w="8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 2,500,016</w:t>
            </w:r>
          </w:p>
        </w:tc>
        <w:tc>
          <w:tcPr>
            <w:tcW w:w="0" w:type="dxa"/>
            <w:vAlign w:val="bottom"/>
          </w:tcPr>
          <w:p>
            <w:pPr>
              <w:spacing w:after="0"/>
              <w:rPr>
                <w:sz w:val="1"/>
                <w:szCs w:val="1"/>
                <w:color w:val="auto"/>
              </w:rPr>
            </w:pPr>
          </w:p>
        </w:tc>
      </w:tr>
      <w:tr>
        <w:trPr>
          <w:trHeight w:val="301"/>
        </w:trPr>
        <w:tc>
          <w:tcPr>
            <w:tcW w:w="940" w:type="dxa"/>
            <w:vAlign w:val="bottom"/>
            <w:tcBorders>
              <w:bottom w:val="single" w:sz="8" w:color="CCCCCC"/>
            </w:tcBorders>
            <w:shd w:val="clear" w:color="auto" w:fill="CCCCCC"/>
          </w:tcPr>
          <w:p>
            <w:pPr>
              <w:spacing w:after="0"/>
              <w:rPr>
                <w:sz w:val="24"/>
                <w:szCs w:val="24"/>
                <w:color w:val="auto"/>
              </w:rPr>
            </w:pPr>
          </w:p>
        </w:tc>
        <w:tc>
          <w:tcPr>
            <w:tcW w:w="40" w:type="dxa"/>
            <w:vAlign w:val="bottom"/>
            <w:tcBorders>
              <w:bottom w:val="single" w:sz="8" w:color="CCCCCC"/>
            </w:tcBorders>
            <w:shd w:val="clear" w:color="auto" w:fill="CCCCCC"/>
          </w:tcPr>
          <w:p>
            <w:pPr>
              <w:spacing w:after="0"/>
              <w:rPr>
                <w:sz w:val="24"/>
                <w:szCs w:val="24"/>
                <w:color w:val="auto"/>
              </w:rPr>
            </w:pPr>
          </w:p>
        </w:tc>
        <w:tc>
          <w:tcPr>
            <w:tcW w:w="9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3"/>
                <w:szCs w:val="13"/>
                <w:color w:val="auto"/>
              </w:rPr>
              <w:t>PSU</w:t>
            </w:r>
          </w:p>
        </w:tc>
        <w:tc>
          <w:tcPr>
            <w:tcW w:w="980" w:type="dxa"/>
            <w:vAlign w:val="bottom"/>
            <w:tcBorders>
              <w:bottom w:val="single" w:sz="8" w:color="CCCCCC"/>
            </w:tcBorders>
            <w:shd w:val="clear" w:color="auto" w:fill="CCCCCC"/>
          </w:tcPr>
          <w:p>
            <w:pPr>
              <w:jc w:val="right"/>
              <w:ind w:right="233"/>
              <w:spacing w:after="0"/>
              <w:rPr>
                <w:sz w:val="20"/>
                <w:szCs w:val="20"/>
                <w:color w:val="auto"/>
              </w:rPr>
            </w:pPr>
            <w:r>
              <w:rPr>
                <w:rFonts w:ascii="Arial" w:cs="Arial" w:eastAsia="Arial" w:hAnsi="Arial"/>
                <w:sz w:val="13"/>
                <w:szCs w:val="13"/>
                <w:color w:val="auto"/>
              </w:rPr>
              <w:t>3/9/2021</w:t>
            </w:r>
          </w:p>
        </w:tc>
        <w:tc>
          <w:tcPr>
            <w:tcW w:w="700" w:type="dxa"/>
            <w:vAlign w:val="bottom"/>
            <w:tcBorders>
              <w:bottom w:val="single" w:sz="8" w:color="CCCCCC"/>
            </w:tcBorders>
            <w:shd w:val="clear" w:color="auto" w:fill="CCCCCC"/>
          </w:tcPr>
          <w:p>
            <w:pPr>
              <w:spacing w:after="0"/>
              <w:rPr>
                <w:sz w:val="24"/>
                <w:szCs w:val="24"/>
                <w:color w:val="auto"/>
              </w:rPr>
            </w:pPr>
          </w:p>
        </w:tc>
        <w:tc>
          <w:tcPr>
            <w:tcW w:w="680" w:type="dxa"/>
            <w:vAlign w:val="bottom"/>
            <w:tcBorders>
              <w:bottom w:val="single" w:sz="8" w:color="CCCCCC"/>
            </w:tcBorders>
            <w:shd w:val="clear" w:color="auto" w:fill="CCCCCC"/>
          </w:tcPr>
          <w:p>
            <w:pPr>
              <w:spacing w:after="0"/>
              <w:rPr>
                <w:sz w:val="24"/>
                <w:szCs w:val="24"/>
                <w:color w:val="auto"/>
              </w:rPr>
            </w:pPr>
          </w:p>
        </w:tc>
        <w:tc>
          <w:tcPr>
            <w:tcW w:w="680" w:type="dxa"/>
            <w:vAlign w:val="bottom"/>
            <w:tcBorders>
              <w:bottom w:val="single" w:sz="8" w:color="CCCCCC"/>
            </w:tcBorders>
            <w:shd w:val="clear" w:color="auto" w:fill="CCCCCC"/>
          </w:tcPr>
          <w:p>
            <w:pPr>
              <w:spacing w:after="0"/>
              <w:rPr>
                <w:sz w:val="24"/>
                <w:szCs w:val="24"/>
                <w:color w:val="auto"/>
              </w:rPr>
            </w:pPr>
          </w:p>
        </w:tc>
        <w:tc>
          <w:tcPr>
            <w:tcW w:w="80" w:type="dxa"/>
            <w:vAlign w:val="bottom"/>
            <w:tcBorders>
              <w:bottom w:val="single" w:sz="8" w:color="CCCCCC"/>
            </w:tcBorders>
            <w:shd w:val="clear" w:color="auto" w:fill="CCCCCC"/>
          </w:tcPr>
          <w:p>
            <w:pPr>
              <w:spacing w:after="0"/>
              <w:rPr>
                <w:sz w:val="24"/>
                <w:szCs w:val="24"/>
                <w:color w:val="auto"/>
              </w:rPr>
            </w:pPr>
          </w:p>
        </w:tc>
        <w:tc>
          <w:tcPr>
            <w:tcW w:w="700" w:type="dxa"/>
            <w:vAlign w:val="bottom"/>
            <w:tcBorders>
              <w:bottom w:val="single" w:sz="8" w:color="CCCCCC"/>
            </w:tcBorders>
            <w:shd w:val="clear" w:color="auto" w:fill="CCCCCC"/>
          </w:tcPr>
          <w:p>
            <w:pPr>
              <w:jc w:val="right"/>
              <w:ind w:right="133"/>
              <w:spacing w:after="0"/>
              <w:rPr>
                <w:sz w:val="20"/>
                <w:szCs w:val="20"/>
                <w:color w:val="auto"/>
              </w:rPr>
            </w:pPr>
            <w:r>
              <w:rPr>
                <w:rFonts w:ascii="Arial" w:cs="Arial" w:eastAsia="Arial" w:hAnsi="Arial"/>
                <w:sz w:val="13"/>
                <w:szCs w:val="13"/>
                <w:color w:val="auto"/>
              </w:rPr>
              <w:t>N/A</w:t>
            </w:r>
          </w:p>
        </w:tc>
        <w:tc>
          <w:tcPr>
            <w:tcW w:w="5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3"/>
                <w:szCs w:val="13"/>
                <w:color w:val="auto"/>
              </w:rPr>
              <w:t>40,148</w:t>
            </w:r>
          </w:p>
        </w:tc>
        <w:tc>
          <w:tcPr>
            <w:tcW w:w="6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3"/>
                <w:szCs w:val="13"/>
                <w:color w:val="auto"/>
              </w:rPr>
              <w:t>60,222</w:t>
            </w:r>
          </w:p>
        </w:tc>
        <w:tc>
          <w:tcPr>
            <w:tcW w:w="700" w:type="dxa"/>
            <w:vAlign w:val="bottom"/>
            <w:tcBorders>
              <w:bottom w:val="single" w:sz="8" w:color="CCCCCC"/>
            </w:tcBorders>
            <w:shd w:val="clear" w:color="auto" w:fill="CCCCCC"/>
          </w:tcPr>
          <w:p>
            <w:pPr>
              <w:spacing w:after="0"/>
              <w:rPr>
                <w:sz w:val="24"/>
                <w:szCs w:val="24"/>
                <w:color w:val="auto"/>
              </w:rPr>
            </w:pPr>
          </w:p>
        </w:tc>
        <w:tc>
          <w:tcPr>
            <w:tcW w:w="8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2,500,016</w:t>
            </w:r>
          </w:p>
        </w:tc>
        <w:tc>
          <w:tcPr>
            <w:tcW w:w="0" w:type="dxa"/>
            <w:vAlign w:val="bottom"/>
          </w:tcPr>
          <w:p>
            <w:pPr>
              <w:spacing w:after="0"/>
              <w:rPr>
                <w:sz w:val="1"/>
                <w:szCs w:val="1"/>
                <w:color w:val="auto"/>
              </w:rPr>
            </w:pPr>
          </w:p>
        </w:tc>
      </w:tr>
      <w:tr>
        <w:trPr>
          <w:trHeight w:val="183"/>
        </w:trPr>
        <w:tc>
          <w:tcPr>
            <w:tcW w:w="94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Mr. Choi</w:t>
            </w:r>
          </w:p>
        </w:tc>
        <w:tc>
          <w:tcPr>
            <w:tcW w:w="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Annual</w:t>
            </w:r>
          </w:p>
        </w:tc>
        <w:tc>
          <w:tcPr>
            <w:tcW w:w="98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250,000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500,000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750,000</w:t>
            </w: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Incentive</w:t>
            </w: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RSU</w:t>
            </w:r>
          </w:p>
        </w:tc>
        <w:tc>
          <w:tcPr>
            <w:tcW w:w="980" w:type="dxa"/>
            <w:vAlign w:val="bottom"/>
          </w:tcPr>
          <w:p>
            <w:pPr>
              <w:jc w:val="right"/>
              <w:ind w:right="233"/>
              <w:spacing w:after="0"/>
              <w:rPr>
                <w:sz w:val="20"/>
                <w:szCs w:val="20"/>
                <w:color w:val="auto"/>
              </w:rPr>
            </w:pPr>
            <w:r>
              <w:rPr>
                <w:rFonts w:ascii="Arial" w:cs="Arial" w:eastAsia="Arial" w:hAnsi="Arial"/>
                <w:sz w:val="13"/>
                <w:szCs w:val="13"/>
                <w:color w:val="auto"/>
              </w:rPr>
              <w:t>3/9/2021</w:t>
            </w: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auto"/>
              </w:rPr>
              <w:t>12,044</w:t>
            </w:r>
          </w:p>
        </w:tc>
        <w:tc>
          <w:tcPr>
            <w:tcW w:w="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749,980</w:t>
            </w: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PSU</w:t>
            </w:r>
          </w:p>
        </w:tc>
        <w:tc>
          <w:tcPr>
            <w:tcW w:w="980" w:type="dxa"/>
            <w:vAlign w:val="bottom"/>
          </w:tcPr>
          <w:p>
            <w:pPr>
              <w:jc w:val="right"/>
              <w:ind w:right="233"/>
              <w:spacing w:after="0"/>
              <w:rPr>
                <w:sz w:val="20"/>
                <w:szCs w:val="20"/>
                <w:color w:val="auto"/>
              </w:rPr>
            </w:pPr>
            <w:r>
              <w:rPr>
                <w:rFonts w:ascii="Arial" w:cs="Arial" w:eastAsia="Arial" w:hAnsi="Arial"/>
                <w:sz w:val="13"/>
                <w:szCs w:val="13"/>
                <w:color w:val="auto"/>
              </w:rPr>
              <w:t>3/9/2021</w:t>
            </w: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N/A</w:t>
            </w:r>
          </w:p>
        </w:tc>
        <w:tc>
          <w:tcPr>
            <w:tcW w:w="500" w:type="dxa"/>
            <w:vAlign w:val="bottom"/>
          </w:tcPr>
          <w:p>
            <w:pPr>
              <w:jc w:val="center"/>
              <w:spacing w:after="0"/>
              <w:rPr>
                <w:sz w:val="20"/>
                <w:szCs w:val="20"/>
                <w:color w:val="auto"/>
              </w:rPr>
            </w:pPr>
            <w:r>
              <w:rPr>
                <w:rFonts w:ascii="Arial" w:cs="Arial" w:eastAsia="Arial" w:hAnsi="Arial"/>
                <w:sz w:val="13"/>
                <w:szCs w:val="13"/>
                <w:color w:val="auto"/>
              </w:rPr>
              <w:t>12,044</w:t>
            </w:r>
          </w:p>
        </w:tc>
        <w:tc>
          <w:tcPr>
            <w:tcW w:w="680" w:type="dxa"/>
            <w:vAlign w:val="bottom"/>
          </w:tcPr>
          <w:p>
            <w:pPr>
              <w:jc w:val="center"/>
              <w:spacing w:after="0"/>
              <w:rPr>
                <w:sz w:val="20"/>
                <w:szCs w:val="20"/>
                <w:color w:val="auto"/>
              </w:rPr>
            </w:pPr>
            <w:r>
              <w:rPr>
                <w:rFonts w:ascii="Arial" w:cs="Arial" w:eastAsia="Arial" w:hAnsi="Arial"/>
                <w:sz w:val="13"/>
                <w:szCs w:val="13"/>
                <w:color w:val="auto"/>
              </w:rPr>
              <w:t>18,066</w:t>
            </w:r>
          </w:p>
        </w:tc>
        <w:tc>
          <w:tcPr>
            <w:tcW w:w="7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749,980</w:t>
            </w:r>
          </w:p>
        </w:tc>
        <w:tc>
          <w:tcPr>
            <w:tcW w:w="0" w:type="dxa"/>
            <w:vAlign w:val="bottom"/>
          </w:tcPr>
          <w:p>
            <w:pPr>
              <w:spacing w:after="0"/>
              <w:rPr>
                <w:sz w:val="1"/>
                <w:szCs w:val="1"/>
                <w:color w:val="auto"/>
              </w:rPr>
            </w:pPr>
          </w:p>
        </w:tc>
      </w:tr>
      <w:tr>
        <w:trPr>
          <w:trHeight w:val="39"/>
        </w:trPr>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CCCCCC"/>
          </w:tcPr>
          <w:p>
            <w:pPr>
              <w:ind w:left="80"/>
              <w:spacing w:after="0"/>
              <w:rPr>
                <w:sz w:val="20"/>
                <w:szCs w:val="20"/>
                <w:color w:val="auto"/>
              </w:rPr>
            </w:pPr>
            <w:r>
              <w:rPr>
                <w:rFonts w:ascii="Arial" w:cs="Arial" w:eastAsia="Arial" w:hAnsi="Arial"/>
                <w:sz w:val="13"/>
                <w:szCs w:val="13"/>
                <w:color w:val="auto"/>
              </w:rPr>
              <w:t>Mr. Hees</w:t>
            </w:r>
          </w:p>
        </w:tc>
        <w:tc>
          <w:tcPr>
            <w:tcW w:w="40" w:type="dxa"/>
            <w:vAlign w:val="bottom"/>
            <w:shd w:val="clear" w:color="auto" w:fill="CCCCCC"/>
          </w:tcPr>
          <w:p>
            <w:pPr>
              <w:spacing w:after="0"/>
              <w:rPr>
                <w:sz w:val="15"/>
                <w:szCs w:val="15"/>
                <w:color w:val="auto"/>
              </w:rPr>
            </w:pPr>
          </w:p>
        </w:tc>
        <w:tc>
          <w:tcPr>
            <w:tcW w:w="980" w:type="dxa"/>
            <w:vAlign w:val="bottom"/>
            <w:shd w:val="clear" w:color="auto" w:fill="CCCCCC"/>
          </w:tcPr>
          <w:p>
            <w:pPr>
              <w:spacing w:after="0"/>
              <w:rPr>
                <w:sz w:val="20"/>
                <w:szCs w:val="20"/>
                <w:color w:val="auto"/>
              </w:rPr>
            </w:pPr>
            <w:r>
              <w:rPr>
                <w:rFonts w:ascii="Arial" w:cs="Arial" w:eastAsia="Arial" w:hAnsi="Arial"/>
                <w:sz w:val="13"/>
                <w:szCs w:val="13"/>
                <w:color w:val="auto"/>
              </w:rPr>
              <w:t>Annual</w:t>
            </w:r>
          </w:p>
        </w:tc>
        <w:tc>
          <w:tcPr>
            <w:tcW w:w="980" w:type="dxa"/>
            <w:vAlign w:val="bottom"/>
            <w:shd w:val="clear" w:color="auto" w:fill="CCCCCC"/>
          </w:tcPr>
          <w:p>
            <w:pPr>
              <w:jc w:val="right"/>
              <w:ind w:right="23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CCCC"/>
          </w:tcPr>
          <w:p>
            <w:pPr>
              <w:jc w:val="right"/>
              <w:ind w:right="13"/>
              <w:spacing w:after="0"/>
              <w:rPr>
                <w:sz w:val="20"/>
                <w:szCs w:val="20"/>
                <w:color w:val="auto"/>
              </w:rPr>
            </w:pPr>
            <w:r>
              <w:rPr>
                <w:rFonts w:ascii="Arial" w:cs="Arial" w:eastAsia="Arial" w:hAnsi="Arial"/>
                <w:sz w:val="13"/>
                <w:szCs w:val="13"/>
                <w:color w:val="auto"/>
              </w:rPr>
              <w:t>250,000</w:t>
            </w:r>
          </w:p>
        </w:tc>
        <w:tc>
          <w:tcPr>
            <w:tcW w:w="6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500,000</w:t>
            </w:r>
          </w:p>
        </w:tc>
        <w:tc>
          <w:tcPr>
            <w:tcW w:w="6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500" w:type="dxa"/>
            <w:vAlign w:val="bottom"/>
            <w:shd w:val="clear" w:color="auto" w:fill="CCCCCC"/>
          </w:tcPr>
          <w:p>
            <w:pPr>
              <w:spacing w:after="0"/>
              <w:rPr>
                <w:sz w:val="15"/>
                <w:szCs w:val="15"/>
                <w:color w:val="auto"/>
              </w:rPr>
            </w:pPr>
          </w:p>
        </w:tc>
        <w:tc>
          <w:tcPr>
            <w:tcW w:w="6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840" w:type="dxa"/>
            <w:vAlign w:val="bottom"/>
            <w:shd w:val="clear" w:color="auto" w:fill="CCCCCC"/>
          </w:tcPr>
          <w:p>
            <w:pPr>
              <w:spacing w:after="0"/>
              <w:rPr>
                <w:sz w:val="15"/>
                <w:szCs w:val="15"/>
                <w:color w:val="auto"/>
              </w:rPr>
            </w:pPr>
          </w:p>
        </w:tc>
        <w:tc>
          <w:tcPr>
            <w:tcW w:w="64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shd w:val="clear" w:color="auto" w:fill="CCCCCC"/>
          </w:tcPr>
          <w:p>
            <w:pPr>
              <w:spacing w:after="0"/>
              <w:rPr>
                <w:sz w:val="15"/>
                <w:szCs w:val="15"/>
                <w:color w:val="auto"/>
              </w:rPr>
            </w:pPr>
          </w:p>
        </w:tc>
        <w:tc>
          <w:tcPr>
            <w:tcW w:w="40" w:type="dxa"/>
            <w:vAlign w:val="bottom"/>
            <w:shd w:val="clear" w:color="auto" w:fill="CCCCCC"/>
          </w:tcPr>
          <w:p>
            <w:pPr>
              <w:spacing w:after="0"/>
              <w:rPr>
                <w:sz w:val="15"/>
                <w:szCs w:val="15"/>
                <w:color w:val="auto"/>
              </w:rPr>
            </w:pPr>
          </w:p>
        </w:tc>
        <w:tc>
          <w:tcPr>
            <w:tcW w:w="980" w:type="dxa"/>
            <w:vAlign w:val="bottom"/>
            <w:shd w:val="clear" w:color="auto" w:fill="CCCCCC"/>
          </w:tcPr>
          <w:p>
            <w:pPr>
              <w:spacing w:after="0"/>
              <w:rPr>
                <w:sz w:val="20"/>
                <w:szCs w:val="20"/>
                <w:color w:val="auto"/>
              </w:rPr>
            </w:pPr>
            <w:r>
              <w:rPr>
                <w:rFonts w:ascii="Arial" w:cs="Arial" w:eastAsia="Arial" w:hAnsi="Arial"/>
                <w:sz w:val="13"/>
                <w:szCs w:val="13"/>
                <w:color w:val="auto"/>
              </w:rPr>
              <w:t>Incentive</w:t>
            </w:r>
          </w:p>
        </w:tc>
        <w:tc>
          <w:tcPr>
            <w:tcW w:w="9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680" w:type="dxa"/>
            <w:vAlign w:val="bottom"/>
            <w:shd w:val="clear" w:color="auto" w:fill="CCCCCC"/>
          </w:tcPr>
          <w:p>
            <w:pPr>
              <w:spacing w:after="0"/>
              <w:rPr>
                <w:sz w:val="15"/>
                <w:szCs w:val="15"/>
                <w:color w:val="auto"/>
              </w:rPr>
            </w:pPr>
          </w:p>
        </w:tc>
        <w:tc>
          <w:tcPr>
            <w:tcW w:w="680" w:type="dxa"/>
            <w:vAlign w:val="bottom"/>
            <w:shd w:val="clear" w:color="auto" w:fill="CCCCCC"/>
          </w:tcPr>
          <w:p>
            <w:pPr>
              <w:spacing w:after="0"/>
              <w:rPr>
                <w:sz w:val="15"/>
                <w:szCs w:val="15"/>
                <w:color w:val="auto"/>
              </w:rPr>
            </w:pPr>
          </w:p>
        </w:tc>
        <w:tc>
          <w:tcPr>
            <w:tcW w:w="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500" w:type="dxa"/>
            <w:vAlign w:val="bottom"/>
            <w:shd w:val="clear" w:color="auto" w:fill="CCCCCC"/>
          </w:tcPr>
          <w:p>
            <w:pPr>
              <w:spacing w:after="0"/>
              <w:rPr>
                <w:sz w:val="15"/>
                <w:szCs w:val="15"/>
                <w:color w:val="auto"/>
              </w:rPr>
            </w:pPr>
          </w:p>
        </w:tc>
        <w:tc>
          <w:tcPr>
            <w:tcW w:w="6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840" w:type="dxa"/>
            <w:vAlign w:val="bottom"/>
            <w:shd w:val="clear" w:color="auto" w:fill="CCCCCC"/>
          </w:tcPr>
          <w:p>
            <w:pPr>
              <w:spacing w:after="0"/>
              <w:rPr>
                <w:sz w:val="15"/>
                <w:szCs w:val="15"/>
                <w:color w:val="auto"/>
              </w:rPr>
            </w:pPr>
          </w:p>
        </w:tc>
        <w:tc>
          <w:tcPr>
            <w:tcW w:w="64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940" w:type="dxa"/>
            <w:vAlign w:val="bottom"/>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980" w:type="dxa"/>
            <w:vAlign w:val="bottom"/>
            <w:shd w:val="clear" w:color="auto" w:fill="CCCCCC"/>
          </w:tcPr>
          <w:p>
            <w:pPr>
              <w:spacing w:after="0"/>
              <w:rPr>
                <w:sz w:val="20"/>
                <w:szCs w:val="20"/>
                <w:color w:val="auto"/>
              </w:rPr>
            </w:pPr>
            <w:r>
              <w:rPr>
                <w:rFonts w:ascii="Arial" w:cs="Arial" w:eastAsia="Arial" w:hAnsi="Arial"/>
                <w:sz w:val="13"/>
                <w:szCs w:val="13"/>
                <w:color w:val="auto"/>
              </w:rPr>
              <w:t>RSU</w:t>
            </w:r>
          </w:p>
        </w:tc>
        <w:tc>
          <w:tcPr>
            <w:tcW w:w="980" w:type="dxa"/>
            <w:vAlign w:val="bottom"/>
            <w:shd w:val="clear" w:color="auto" w:fill="CCCCCC"/>
          </w:tcPr>
          <w:p>
            <w:pPr>
              <w:jc w:val="right"/>
              <w:ind w:right="233"/>
              <w:spacing w:after="0"/>
              <w:rPr>
                <w:sz w:val="20"/>
                <w:szCs w:val="20"/>
                <w:color w:val="auto"/>
              </w:rPr>
            </w:pPr>
            <w:r>
              <w:rPr>
                <w:rFonts w:ascii="Arial" w:cs="Arial" w:eastAsia="Arial" w:hAnsi="Arial"/>
                <w:sz w:val="13"/>
                <w:szCs w:val="13"/>
                <w:color w:val="auto"/>
              </w:rPr>
              <w:t>3/9/2021</w:t>
            </w:r>
          </w:p>
        </w:tc>
        <w:tc>
          <w:tcPr>
            <w:tcW w:w="700" w:type="dxa"/>
            <w:vAlign w:val="bottom"/>
            <w:shd w:val="clear" w:color="auto" w:fill="CCCCCC"/>
          </w:tcPr>
          <w:p>
            <w:pPr>
              <w:spacing w:after="0"/>
              <w:rPr>
                <w:sz w:val="22"/>
                <w:szCs w:val="22"/>
                <w:color w:val="auto"/>
              </w:rPr>
            </w:pPr>
          </w:p>
        </w:tc>
        <w:tc>
          <w:tcPr>
            <w:tcW w:w="680" w:type="dxa"/>
            <w:vAlign w:val="bottom"/>
            <w:shd w:val="clear" w:color="auto" w:fill="CCCCCC"/>
          </w:tcPr>
          <w:p>
            <w:pPr>
              <w:spacing w:after="0"/>
              <w:rPr>
                <w:sz w:val="22"/>
                <w:szCs w:val="22"/>
                <w:color w:val="auto"/>
              </w:rPr>
            </w:pPr>
          </w:p>
        </w:tc>
        <w:tc>
          <w:tcPr>
            <w:tcW w:w="680" w:type="dxa"/>
            <w:vAlign w:val="bottom"/>
            <w:shd w:val="clear" w:color="auto" w:fill="CCCCCC"/>
          </w:tcPr>
          <w:p>
            <w:pPr>
              <w:spacing w:after="0"/>
              <w:rPr>
                <w:sz w:val="22"/>
                <w:szCs w:val="22"/>
                <w:color w:val="auto"/>
              </w:rPr>
            </w:pPr>
          </w:p>
        </w:tc>
        <w:tc>
          <w:tcPr>
            <w:tcW w:w="80" w:type="dxa"/>
            <w:vAlign w:val="bottom"/>
            <w:shd w:val="clear" w:color="auto" w:fill="CCCCCC"/>
          </w:tcPr>
          <w:p>
            <w:pPr>
              <w:spacing w:after="0"/>
              <w:rPr>
                <w:sz w:val="22"/>
                <w:szCs w:val="22"/>
                <w:color w:val="auto"/>
              </w:rPr>
            </w:pPr>
          </w:p>
        </w:tc>
        <w:tc>
          <w:tcPr>
            <w:tcW w:w="700" w:type="dxa"/>
            <w:vAlign w:val="bottom"/>
            <w:shd w:val="clear" w:color="auto" w:fill="CCCCCC"/>
          </w:tcPr>
          <w:p>
            <w:pPr>
              <w:spacing w:after="0"/>
              <w:rPr>
                <w:sz w:val="22"/>
                <w:szCs w:val="22"/>
                <w:color w:val="auto"/>
              </w:rPr>
            </w:pPr>
          </w:p>
        </w:tc>
        <w:tc>
          <w:tcPr>
            <w:tcW w:w="500" w:type="dxa"/>
            <w:vAlign w:val="bottom"/>
            <w:shd w:val="clear" w:color="auto" w:fill="CCCCCC"/>
          </w:tcPr>
          <w:p>
            <w:pPr>
              <w:spacing w:after="0"/>
              <w:rPr>
                <w:sz w:val="22"/>
                <w:szCs w:val="22"/>
                <w:color w:val="auto"/>
              </w:rPr>
            </w:pPr>
          </w:p>
        </w:tc>
        <w:tc>
          <w:tcPr>
            <w:tcW w:w="680" w:type="dxa"/>
            <w:vAlign w:val="bottom"/>
            <w:shd w:val="clear" w:color="auto" w:fill="CCCCCC"/>
          </w:tcPr>
          <w:p>
            <w:pPr>
              <w:spacing w:after="0"/>
              <w:rPr>
                <w:sz w:val="22"/>
                <w:szCs w:val="22"/>
                <w:color w:val="auto"/>
              </w:rPr>
            </w:pPr>
          </w:p>
        </w:tc>
        <w:tc>
          <w:tcPr>
            <w:tcW w:w="700" w:type="dxa"/>
            <w:vAlign w:val="bottom"/>
            <w:shd w:val="clear" w:color="auto" w:fill="CCCCCC"/>
          </w:tcPr>
          <w:p>
            <w:pPr>
              <w:ind w:left="180"/>
              <w:spacing w:after="0"/>
              <w:rPr>
                <w:sz w:val="20"/>
                <w:szCs w:val="20"/>
                <w:color w:val="auto"/>
              </w:rPr>
            </w:pPr>
            <w:r>
              <w:rPr>
                <w:rFonts w:ascii="Arial" w:cs="Arial" w:eastAsia="Arial" w:hAnsi="Arial"/>
                <w:sz w:val="13"/>
                <w:szCs w:val="13"/>
                <w:color w:val="auto"/>
              </w:rPr>
              <w:t>32,118</w:t>
            </w:r>
          </w:p>
        </w:tc>
        <w:tc>
          <w:tcPr>
            <w:tcW w:w="8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 1,999,988</w:t>
            </w:r>
          </w:p>
        </w:tc>
        <w:tc>
          <w:tcPr>
            <w:tcW w:w="0" w:type="dxa"/>
            <w:vAlign w:val="bottom"/>
          </w:tcPr>
          <w:p>
            <w:pPr>
              <w:spacing w:after="0"/>
              <w:rPr>
                <w:sz w:val="1"/>
                <w:szCs w:val="1"/>
                <w:color w:val="auto"/>
              </w:rPr>
            </w:pPr>
          </w:p>
        </w:tc>
      </w:tr>
      <w:tr>
        <w:trPr>
          <w:trHeight w:val="301"/>
        </w:trPr>
        <w:tc>
          <w:tcPr>
            <w:tcW w:w="940" w:type="dxa"/>
            <w:vAlign w:val="bottom"/>
            <w:tcBorders>
              <w:bottom w:val="single" w:sz="8" w:color="CCCCCC"/>
            </w:tcBorders>
            <w:shd w:val="clear" w:color="auto" w:fill="CCCCCC"/>
          </w:tcPr>
          <w:p>
            <w:pPr>
              <w:spacing w:after="0"/>
              <w:rPr>
                <w:sz w:val="24"/>
                <w:szCs w:val="24"/>
                <w:color w:val="auto"/>
              </w:rPr>
            </w:pPr>
          </w:p>
        </w:tc>
        <w:tc>
          <w:tcPr>
            <w:tcW w:w="40" w:type="dxa"/>
            <w:vAlign w:val="bottom"/>
            <w:tcBorders>
              <w:bottom w:val="single" w:sz="8" w:color="CCCCCC"/>
            </w:tcBorders>
            <w:shd w:val="clear" w:color="auto" w:fill="CCCCCC"/>
          </w:tcPr>
          <w:p>
            <w:pPr>
              <w:spacing w:after="0"/>
              <w:rPr>
                <w:sz w:val="24"/>
                <w:szCs w:val="24"/>
                <w:color w:val="auto"/>
              </w:rPr>
            </w:pPr>
          </w:p>
        </w:tc>
        <w:tc>
          <w:tcPr>
            <w:tcW w:w="9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3"/>
                <w:szCs w:val="13"/>
                <w:color w:val="auto"/>
              </w:rPr>
              <w:t>PSU</w:t>
            </w:r>
          </w:p>
        </w:tc>
        <w:tc>
          <w:tcPr>
            <w:tcW w:w="980" w:type="dxa"/>
            <w:vAlign w:val="bottom"/>
            <w:tcBorders>
              <w:bottom w:val="single" w:sz="8" w:color="CCCCCC"/>
            </w:tcBorders>
            <w:shd w:val="clear" w:color="auto" w:fill="CCCCCC"/>
          </w:tcPr>
          <w:p>
            <w:pPr>
              <w:jc w:val="right"/>
              <w:ind w:right="233"/>
              <w:spacing w:after="0"/>
              <w:rPr>
                <w:sz w:val="20"/>
                <w:szCs w:val="20"/>
                <w:color w:val="auto"/>
              </w:rPr>
            </w:pPr>
            <w:r>
              <w:rPr>
                <w:rFonts w:ascii="Arial" w:cs="Arial" w:eastAsia="Arial" w:hAnsi="Arial"/>
                <w:sz w:val="13"/>
                <w:szCs w:val="13"/>
                <w:color w:val="auto"/>
              </w:rPr>
              <w:t>3/9/2021</w:t>
            </w:r>
          </w:p>
        </w:tc>
        <w:tc>
          <w:tcPr>
            <w:tcW w:w="700" w:type="dxa"/>
            <w:vAlign w:val="bottom"/>
            <w:tcBorders>
              <w:bottom w:val="single" w:sz="8" w:color="CCCCCC"/>
            </w:tcBorders>
            <w:shd w:val="clear" w:color="auto" w:fill="CCCCCC"/>
          </w:tcPr>
          <w:p>
            <w:pPr>
              <w:spacing w:after="0"/>
              <w:rPr>
                <w:sz w:val="24"/>
                <w:szCs w:val="24"/>
                <w:color w:val="auto"/>
              </w:rPr>
            </w:pPr>
          </w:p>
        </w:tc>
        <w:tc>
          <w:tcPr>
            <w:tcW w:w="680" w:type="dxa"/>
            <w:vAlign w:val="bottom"/>
            <w:tcBorders>
              <w:bottom w:val="single" w:sz="8" w:color="CCCCCC"/>
            </w:tcBorders>
            <w:shd w:val="clear" w:color="auto" w:fill="CCCCCC"/>
          </w:tcPr>
          <w:p>
            <w:pPr>
              <w:spacing w:after="0"/>
              <w:rPr>
                <w:sz w:val="24"/>
                <w:szCs w:val="24"/>
                <w:color w:val="auto"/>
              </w:rPr>
            </w:pPr>
          </w:p>
        </w:tc>
        <w:tc>
          <w:tcPr>
            <w:tcW w:w="680" w:type="dxa"/>
            <w:vAlign w:val="bottom"/>
            <w:tcBorders>
              <w:bottom w:val="single" w:sz="8" w:color="CCCCCC"/>
            </w:tcBorders>
            <w:shd w:val="clear" w:color="auto" w:fill="CCCCCC"/>
          </w:tcPr>
          <w:p>
            <w:pPr>
              <w:spacing w:after="0"/>
              <w:rPr>
                <w:sz w:val="24"/>
                <w:szCs w:val="24"/>
                <w:color w:val="auto"/>
              </w:rPr>
            </w:pPr>
          </w:p>
        </w:tc>
        <w:tc>
          <w:tcPr>
            <w:tcW w:w="80" w:type="dxa"/>
            <w:vAlign w:val="bottom"/>
            <w:tcBorders>
              <w:bottom w:val="single" w:sz="8" w:color="CCCCCC"/>
            </w:tcBorders>
            <w:shd w:val="clear" w:color="auto" w:fill="CCCCCC"/>
          </w:tcPr>
          <w:p>
            <w:pPr>
              <w:spacing w:after="0"/>
              <w:rPr>
                <w:sz w:val="24"/>
                <w:szCs w:val="24"/>
                <w:color w:val="auto"/>
              </w:rPr>
            </w:pPr>
          </w:p>
        </w:tc>
        <w:tc>
          <w:tcPr>
            <w:tcW w:w="700" w:type="dxa"/>
            <w:vAlign w:val="bottom"/>
            <w:tcBorders>
              <w:bottom w:val="single" w:sz="8" w:color="CCCCCC"/>
            </w:tcBorders>
            <w:shd w:val="clear" w:color="auto" w:fill="CCCCCC"/>
          </w:tcPr>
          <w:p>
            <w:pPr>
              <w:jc w:val="right"/>
              <w:ind w:right="133"/>
              <w:spacing w:after="0"/>
              <w:rPr>
                <w:sz w:val="20"/>
                <w:szCs w:val="20"/>
                <w:color w:val="auto"/>
              </w:rPr>
            </w:pPr>
            <w:r>
              <w:rPr>
                <w:rFonts w:ascii="Arial" w:cs="Arial" w:eastAsia="Arial" w:hAnsi="Arial"/>
                <w:sz w:val="13"/>
                <w:szCs w:val="13"/>
                <w:color w:val="auto"/>
              </w:rPr>
              <w:t>N/A</w:t>
            </w:r>
          </w:p>
        </w:tc>
        <w:tc>
          <w:tcPr>
            <w:tcW w:w="5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3"/>
                <w:szCs w:val="13"/>
                <w:color w:val="auto"/>
              </w:rPr>
              <w:t>24,089</w:t>
            </w:r>
          </w:p>
        </w:tc>
        <w:tc>
          <w:tcPr>
            <w:tcW w:w="680" w:type="dxa"/>
            <w:vAlign w:val="bottom"/>
            <w:tcBorders>
              <w:bottom w:val="single" w:sz="8" w:color="CCCCCC"/>
            </w:tcBorders>
            <w:shd w:val="clear" w:color="auto" w:fill="CCCCCC"/>
          </w:tcPr>
          <w:p>
            <w:pPr>
              <w:ind w:left="320"/>
              <w:spacing w:after="0"/>
              <w:rPr>
                <w:sz w:val="20"/>
                <w:szCs w:val="20"/>
                <w:color w:val="auto"/>
              </w:rPr>
            </w:pPr>
            <w:r>
              <w:rPr>
                <w:rFonts w:ascii="Arial" w:cs="Arial" w:eastAsia="Arial" w:hAnsi="Arial"/>
                <w:sz w:val="13"/>
                <w:szCs w:val="13"/>
                <w:color w:val="auto"/>
              </w:rPr>
              <w:t>N/A</w:t>
            </w:r>
          </w:p>
        </w:tc>
        <w:tc>
          <w:tcPr>
            <w:tcW w:w="700" w:type="dxa"/>
            <w:vAlign w:val="bottom"/>
            <w:tcBorders>
              <w:bottom w:val="single" w:sz="8" w:color="CCCCCC"/>
            </w:tcBorders>
            <w:shd w:val="clear" w:color="auto" w:fill="CCCCCC"/>
          </w:tcPr>
          <w:p>
            <w:pPr>
              <w:spacing w:after="0"/>
              <w:rPr>
                <w:sz w:val="24"/>
                <w:szCs w:val="24"/>
                <w:color w:val="auto"/>
              </w:rPr>
            </w:pPr>
          </w:p>
        </w:tc>
        <w:tc>
          <w:tcPr>
            <w:tcW w:w="840" w:type="dxa"/>
            <w:vAlign w:val="bottom"/>
            <w:tcBorders>
              <w:bottom w:val="single" w:sz="8" w:color="CCCCCC"/>
            </w:tcBorders>
            <w:shd w:val="clear" w:color="auto" w:fill="CCCCCC"/>
          </w:tcPr>
          <w:p>
            <w:pPr>
              <w:spacing w:after="0"/>
              <w:rPr>
                <w:sz w:val="24"/>
                <w:szCs w:val="24"/>
                <w:color w:val="auto"/>
              </w:rPr>
            </w:pPr>
          </w:p>
        </w:tc>
        <w:tc>
          <w:tcPr>
            <w:tcW w:w="640" w:type="dxa"/>
            <w:vAlign w:val="bottom"/>
            <w:tcBorders>
              <w:bottom w:val="single" w:sz="8" w:color="CCCCCC"/>
            </w:tcBorders>
            <w:shd w:val="clear" w:color="auto" w:fill="CCCCCC"/>
          </w:tcPr>
          <w:p>
            <w:pPr>
              <w:spacing w:after="0"/>
              <w:rPr>
                <w:sz w:val="24"/>
                <w:szCs w:val="24"/>
                <w:color w:val="auto"/>
              </w:rPr>
            </w:pPr>
          </w:p>
        </w:tc>
        <w:tc>
          <w:tcPr>
            <w:tcW w:w="7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1,500,022</w:t>
            </w:r>
          </w:p>
        </w:tc>
        <w:tc>
          <w:tcPr>
            <w:tcW w:w="0" w:type="dxa"/>
            <w:vAlign w:val="bottom"/>
          </w:tcPr>
          <w:p>
            <w:pPr>
              <w:spacing w:after="0"/>
              <w:rPr>
                <w:sz w:val="1"/>
                <w:szCs w:val="1"/>
                <w:color w:val="auto"/>
              </w:rPr>
            </w:pPr>
          </w:p>
        </w:tc>
      </w:tr>
      <w:tr>
        <w:trPr>
          <w:trHeight w:val="183"/>
        </w:trPr>
        <w:tc>
          <w:tcPr>
            <w:tcW w:w="94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Mr. Sita</w:t>
            </w:r>
          </w:p>
        </w:tc>
        <w:tc>
          <w:tcPr>
            <w:tcW w:w="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Annual</w:t>
            </w:r>
          </w:p>
        </w:tc>
        <w:tc>
          <w:tcPr>
            <w:tcW w:w="98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250,000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500,000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750,000</w:t>
            </w: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Incentive</w:t>
            </w: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RSU</w:t>
            </w:r>
          </w:p>
        </w:tc>
        <w:tc>
          <w:tcPr>
            <w:tcW w:w="980" w:type="dxa"/>
            <w:vAlign w:val="bottom"/>
          </w:tcPr>
          <w:p>
            <w:pPr>
              <w:jc w:val="center"/>
              <w:spacing w:after="0"/>
              <w:rPr>
                <w:sz w:val="20"/>
                <w:szCs w:val="20"/>
                <w:color w:val="auto"/>
              </w:rPr>
            </w:pPr>
            <w:r>
              <w:rPr>
                <w:rFonts w:ascii="Arial" w:cs="Arial" w:eastAsia="Arial" w:hAnsi="Arial"/>
                <w:sz w:val="13"/>
                <w:szCs w:val="13"/>
                <w:color w:val="auto"/>
              </w:rPr>
              <w:t>3/15/2021 (e)</w:t>
            </w: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auto"/>
              </w:rPr>
              <w:t>20,822</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1,500,017</w:t>
            </w:r>
          </w:p>
        </w:tc>
        <w:tc>
          <w:tcPr>
            <w:tcW w:w="0" w:type="dxa"/>
            <w:vAlign w:val="bottom"/>
          </w:tcPr>
          <w:p>
            <w:pPr>
              <w:spacing w:after="0"/>
              <w:rPr>
                <w:sz w:val="1"/>
                <w:szCs w:val="1"/>
                <w:color w:val="auto"/>
              </w:rPr>
            </w:pPr>
          </w:p>
        </w:tc>
      </w:tr>
      <w:tr>
        <w:trPr>
          <w:trHeight w:val="39"/>
        </w:trPr>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CCCCCC"/>
          </w:tcPr>
          <w:p>
            <w:pPr>
              <w:ind w:left="80"/>
              <w:spacing w:after="0"/>
              <w:rPr>
                <w:sz w:val="20"/>
                <w:szCs w:val="20"/>
                <w:color w:val="auto"/>
              </w:rPr>
            </w:pPr>
            <w:r>
              <w:rPr>
                <w:rFonts w:ascii="Arial" w:cs="Arial" w:eastAsia="Arial" w:hAnsi="Arial"/>
                <w:sz w:val="13"/>
                <w:szCs w:val="13"/>
                <w:color w:val="auto"/>
              </w:rPr>
              <w:t>Mr. Rankin</w:t>
            </w:r>
          </w:p>
        </w:tc>
        <w:tc>
          <w:tcPr>
            <w:tcW w:w="40" w:type="dxa"/>
            <w:vAlign w:val="bottom"/>
            <w:shd w:val="clear" w:color="auto" w:fill="CCCCCC"/>
          </w:tcPr>
          <w:p>
            <w:pPr>
              <w:spacing w:after="0"/>
              <w:rPr>
                <w:sz w:val="15"/>
                <w:szCs w:val="15"/>
                <w:color w:val="auto"/>
              </w:rPr>
            </w:pPr>
          </w:p>
        </w:tc>
        <w:tc>
          <w:tcPr>
            <w:tcW w:w="980" w:type="dxa"/>
            <w:vAlign w:val="bottom"/>
            <w:shd w:val="clear" w:color="auto" w:fill="CCCCCC"/>
          </w:tcPr>
          <w:p>
            <w:pPr>
              <w:spacing w:after="0"/>
              <w:rPr>
                <w:sz w:val="20"/>
                <w:szCs w:val="20"/>
                <w:color w:val="auto"/>
              </w:rPr>
            </w:pPr>
            <w:r>
              <w:rPr>
                <w:rFonts w:ascii="Arial" w:cs="Arial" w:eastAsia="Arial" w:hAnsi="Arial"/>
                <w:sz w:val="13"/>
                <w:szCs w:val="13"/>
                <w:color w:val="auto"/>
              </w:rPr>
              <w:t>Annual</w:t>
            </w:r>
          </w:p>
        </w:tc>
        <w:tc>
          <w:tcPr>
            <w:tcW w:w="980" w:type="dxa"/>
            <w:vAlign w:val="bottom"/>
            <w:shd w:val="clear" w:color="auto" w:fill="CCCCCC"/>
          </w:tcPr>
          <w:p>
            <w:pPr>
              <w:jc w:val="right"/>
              <w:ind w:right="23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CCCC"/>
          </w:tcPr>
          <w:p>
            <w:pPr>
              <w:jc w:val="right"/>
              <w:ind w:right="13"/>
              <w:spacing w:after="0"/>
              <w:rPr>
                <w:sz w:val="20"/>
                <w:szCs w:val="20"/>
                <w:color w:val="auto"/>
              </w:rPr>
            </w:pPr>
            <w:r>
              <w:rPr>
                <w:rFonts w:ascii="Arial" w:cs="Arial" w:eastAsia="Arial" w:hAnsi="Arial"/>
                <w:sz w:val="13"/>
                <w:szCs w:val="13"/>
                <w:color w:val="auto"/>
              </w:rPr>
              <w:t>275,120</w:t>
            </w:r>
          </w:p>
        </w:tc>
        <w:tc>
          <w:tcPr>
            <w:tcW w:w="6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550,240</w:t>
            </w:r>
          </w:p>
        </w:tc>
        <w:tc>
          <w:tcPr>
            <w:tcW w:w="6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825,360</w:t>
            </w:r>
          </w:p>
        </w:tc>
        <w:tc>
          <w:tcPr>
            <w:tcW w:w="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500" w:type="dxa"/>
            <w:vAlign w:val="bottom"/>
            <w:shd w:val="clear" w:color="auto" w:fill="CCCCCC"/>
          </w:tcPr>
          <w:p>
            <w:pPr>
              <w:spacing w:after="0"/>
              <w:rPr>
                <w:sz w:val="15"/>
                <w:szCs w:val="15"/>
                <w:color w:val="auto"/>
              </w:rPr>
            </w:pPr>
          </w:p>
        </w:tc>
        <w:tc>
          <w:tcPr>
            <w:tcW w:w="6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840" w:type="dxa"/>
            <w:vAlign w:val="bottom"/>
            <w:shd w:val="clear" w:color="auto" w:fill="CCCCCC"/>
          </w:tcPr>
          <w:p>
            <w:pPr>
              <w:spacing w:after="0"/>
              <w:rPr>
                <w:sz w:val="15"/>
                <w:szCs w:val="15"/>
                <w:color w:val="auto"/>
              </w:rPr>
            </w:pPr>
          </w:p>
        </w:tc>
        <w:tc>
          <w:tcPr>
            <w:tcW w:w="64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shd w:val="clear" w:color="auto" w:fill="CCCCCC"/>
          </w:tcPr>
          <w:p>
            <w:pPr>
              <w:spacing w:after="0"/>
              <w:rPr>
                <w:sz w:val="15"/>
                <w:szCs w:val="15"/>
                <w:color w:val="auto"/>
              </w:rPr>
            </w:pPr>
          </w:p>
        </w:tc>
        <w:tc>
          <w:tcPr>
            <w:tcW w:w="40" w:type="dxa"/>
            <w:vAlign w:val="bottom"/>
            <w:shd w:val="clear" w:color="auto" w:fill="CCCCCC"/>
          </w:tcPr>
          <w:p>
            <w:pPr>
              <w:spacing w:after="0"/>
              <w:rPr>
                <w:sz w:val="15"/>
                <w:szCs w:val="15"/>
                <w:color w:val="auto"/>
              </w:rPr>
            </w:pPr>
          </w:p>
        </w:tc>
        <w:tc>
          <w:tcPr>
            <w:tcW w:w="980" w:type="dxa"/>
            <w:vAlign w:val="bottom"/>
            <w:shd w:val="clear" w:color="auto" w:fill="CCCCCC"/>
          </w:tcPr>
          <w:p>
            <w:pPr>
              <w:spacing w:after="0"/>
              <w:rPr>
                <w:sz w:val="20"/>
                <w:szCs w:val="20"/>
                <w:color w:val="auto"/>
              </w:rPr>
            </w:pPr>
            <w:r>
              <w:rPr>
                <w:rFonts w:ascii="Arial" w:cs="Arial" w:eastAsia="Arial" w:hAnsi="Arial"/>
                <w:sz w:val="13"/>
                <w:szCs w:val="13"/>
                <w:color w:val="auto"/>
              </w:rPr>
              <w:t>Incentive</w:t>
            </w:r>
          </w:p>
        </w:tc>
        <w:tc>
          <w:tcPr>
            <w:tcW w:w="9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680" w:type="dxa"/>
            <w:vAlign w:val="bottom"/>
            <w:shd w:val="clear" w:color="auto" w:fill="CCCCCC"/>
          </w:tcPr>
          <w:p>
            <w:pPr>
              <w:spacing w:after="0"/>
              <w:rPr>
                <w:sz w:val="15"/>
                <w:szCs w:val="15"/>
                <w:color w:val="auto"/>
              </w:rPr>
            </w:pPr>
          </w:p>
        </w:tc>
        <w:tc>
          <w:tcPr>
            <w:tcW w:w="680" w:type="dxa"/>
            <w:vAlign w:val="bottom"/>
            <w:shd w:val="clear" w:color="auto" w:fill="CCCCCC"/>
          </w:tcPr>
          <w:p>
            <w:pPr>
              <w:spacing w:after="0"/>
              <w:rPr>
                <w:sz w:val="15"/>
                <w:szCs w:val="15"/>
                <w:color w:val="auto"/>
              </w:rPr>
            </w:pPr>
          </w:p>
        </w:tc>
        <w:tc>
          <w:tcPr>
            <w:tcW w:w="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500" w:type="dxa"/>
            <w:vAlign w:val="bottom"/>
            <w:shd w:val="clear" w:color="auto" w:fill="CCCCCC"/>
          </w:tcPr>
          <w:p>
            <w:pPr>
              <w:spacing w:after="0"/>
              <w:rPr>
                <w:sz w:val="15"/>
                <w:szCs w:val="15"/>
                <w:color w:val="auto"/>
              </w:rPr>
            </w:pPr>
          </w:p>
        </w:tc>
        <w:tc>
          <w:tcPr>
            <w:tcW w:w="68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840" w:type="dxa"/>
            <w:vAlign w:val="bottom"/>
            <w:shd w:val="clear" w:color="auto" w:fill="CCCCCC"/>
          </w:tcPr>
          <w:p>
            <w:pPr>
              <w:spacing w:after="0"/>
              <w:rPr>
                <w:sz w:val="15"/>
                <w:szCs w:val="15"/>
                <w:color w:val="auto"/>
              </w:rPr>
            </w:pPr>
          </w:p>
        </w:tc>
        <w:tc>
          <w:tcPr>
            <w:tcW w:w="640" w:type="dxa"/>
            <w:vAlign w:val="bottom"/>
            <w:shd w:val="clear" w:color="auto" w:fill="CCCCCC"/>
          </w:tcPr>
          <w:p>
            <w:pPr>
              <w:spacing w:after="0"/>
              <w:rPr>
                <w:sz w:val="15"/>
                <w:szCs w:val="15"/>
                <w:color w:val="auto"/>
              </w:rPr>
            </w:pPr>
          </w:p>
        </w:tc>
        <w:tc>
          <w:tcPr>
            <w:tcW w:w="700" w:type="dxa"/>
            <w:vAlign w:val="bottom"/>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940" w:type="dxa"/>
            <w:vAlign w:val="bottom"/>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980" w:type="dxa"/>
            <w:vAlign w:val="bottom"/>
            <w:shd w:val="clear" w:color="auto" w:fill="CCCCCC"/>
          </w:tcPr>
          <w:p>
            <w:pPr>
              <w:spacing w:after="0"/>
              <w:rPr>
                <w:sz w:val="20"/>
                <w:szCs w:val="20"/>
                <w:color w:val="auto"/>
              </w:rPr>
            </w:pPr>
            <w:r>
              <w:rPr>
                <w:rFonts w:ascii="Arial" w:cs="Arial" w:eastAsia="Arial" w:hAnsi="Arial"/>
                <w:sz w:val="13"/>
                <w:szCs w:val="13"/>
                <w:color w:val="auto"/>
              </w:rPr>
              <w:t>RSU</w:t>
            </w:r>
          </w:p>
        </w:tc>
        <w:tc>
          <w:tcPr>
            <w:tcW w:w="980" w:type="dxa"/>
            <w:vAlign w:val="bottom"/>
            <w:shd w:val="clear" w:color="auto" w:fill="CCCCCC"/>
          </w:tcPr>
          <w:p>
            <w:pPr>
              <w:jc w:val="right"/>
              <w:ind w:right="233"/>
              <w:spacing w:after="0"/>
              <w:rPr>
                <w:sz w:val="20"/>
                <w:szCs w:val="20"/>
                <w:color w:val="auto"/>
              </w:rPr>
            </w:pPr>
            <w:r>
              <w:rPr>
                <w:rFonts w:ascii="Arial" w:cs="Arial" w:eastAsia="Arial" w:hAnsi="Arial"/>
                <w:sz w:val="13"/>
                <w:szCs w:val="13"/>
                <w:color w:val="auto"/>
              </w:rPr>
              <w:t>3/9/2021</w:t>
            </w:r>
          </w:p>
        </w:tc>
        <w:tc>
          <w:tcPr>
            <w:tcW w:w="700" w:type="dxa"/>
            <w:vAlign w:val="bottom"/>
            <w:shd w:val="clear" w:color="auto" w:fill="CCCCCC"/>
          </w:tcPr>
          <w:p>
            <w:pPr>
              <w:spacing w:after="0"/>
              <w:rPr>
                <w:sz w:val="22"/>
                <w:szCs w:val="22"/>
                <w:color w:val="auto"/>
              </w:rPr>
            </w:pPr>
          </w:p>
        </w:tc>
        <w:tc>
          <w:tcPr>
            <w:tcW w:w="680" w:type="dxa"/>
            <w:vAlign w:val="bottom"/>
            <w:shd w:val="clear" w:color="auto" w:fill="CCCCCC"/>
          </w:tcPr>
          <w:p>
            <w:pPr>
              <w:spacing w:after="0"/>
              <w:rPr>
                <w:sz w:val="22"/>
                <w:szCs w:val="22"/>
                <w:color w:val="auto"/>
              </w:rPr>
            </w:pPr>
          </w:p>
        </w:tc>
        <w:tc>
          <w:tcPr>
            <w:tcW w:w="680" w:type="dxa"/>
            <w:vAlign w:val="bottom"/>
            <w:shd w:val="clear" w:color="auto" w:fill="CCCCCC"/>
          </w:tcPr>
          <w:p>
            <w:pPr>
              <w:spacing w:after="0"/>
              <w:rPr>
                <w:sz w:val="22"/>
                <w:szCs w:val="22"/>
                <w:color w:val="auto"/>
              </w:rPr>
            </w:pPr>
          </w:p>
        </w:tc>
        <w:tc>
          <w:tcPr>
            <w:tcW w:w="80" w:type="dxa"/>
            <w:vAlign w:val="bottom"/>
            <w:shd w:val="clear" w:color="auto" w:fill="CCCCCC"/>
          </w:tcPr>
          <w:p>
            <w:pPr>
              <w:spacing w:after="0"/>
              <w:rPr>
                <w:sz w:val="22"/>
                <w:szCs w:val="22"/>
                <w:color w:val="auto"/>
              </w:rPr>
            </w:pPr>
          </w:p>
        </w:tc>
        <w:tc>
          <w:tcPr>
            <w:tcW w:w="700" w:type="dxa"/>
            <w:vAlign w:val="bottom"/>
            <w:shd w:val="clear" w:color="auto" w:fill="CCCCCC"/>
          </w:tcPr>
          <w:p>
            <w:pPr>
              <w:spacing w:after="0"/>
              <w:rPr>
                <w:sz w:val="22"/>
                <w:szCs w:val="22"/>
                <w:color w:val="auto"/>
              </w:rPr>
            </w:pPr>
          </w:p>
        </w:tc>
        <w:tc>
          <w:tcPr>
            <w:tcW w:w="500" w:type="dxa"/>
            <w:vAlign w:val="bottom"/>
            <w:shd w:val="clear" w:color="auto" w:fill="CCCCCC"/>
          </w:tcPr>
          <w:p>
            <w:pPr>
              <w:spacing w:after="0"/>
              <w:rPr>
                <w:sz w:val="22"/>
                <w:szCs w:val="22"/>
                <w:color w:val="auto"/>
              </w:rPr>
            </w:pPr>
          </w:p>
        </w:tc>
        <w:tc>
          <w:tcPr>
            <w:tcW w:w="680" w:type="dxa"/>
            <w:vAlign w:val="bottom"/>
            <w:shd w:val="clear" w:color="auto" w:fill="CCCCCC"/>
          </w:tcPr>
          <w:p>
            <w:pPr>
              <w:spacing w:after="0"/>
              <w:rPr>
                <w:sz w:val="22"/>
                <w:szCs w:val="22"/>
                <w:color w:val="auto"/>
              </w:rPr>
            </w:pPr>
          </w:p>
        </w:tc>
        <w:tc>
          <w:tcPr>
            <w:tcW w:w="700" w:type="dxa"/>
            <w:vAlign w:val="bottom"/>
            <w:shd w:val="clear" w:color="auto" w:fill="CCCCCC"/>
          </w:tcPr>
          <w:p>
            <w:pPr>
              <w:ind w:left="260"/>
              <w:spacing w:after="0"/>
              <w:rPr>
                <w:sz w:val="20"/>
                <w:szCs w:val="20"/>
                <w:color w:val="auto"/>
              </w:rPr>
            </w:pPr>
            <w:r>
              <w:rPr>
                <w:rFonts w:ascii="Arial" w:cs="Arial" w:eastAsia="Arial" w:hAnsi="Arial"/>
                <w:sz w:val="13"/>
                <w:szCs w:val="13"/>
                <w:color w:val="auto"/>
              </w:rPr>
              <w:t>8,030</w:t>
            </w:r>
          </w:p>
        </w:tc>
        <w:tc>
          <w:tcPr>
            <w:tcW w:w="8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500,028</w:t>
            </w:r>
          </w:p>
        </w:tc>
        <w:tc>
          <w:tcPr>
            <w:tcW w:w="0" w:type="dxa"/>
            <w:vAlign w:val="bottom"/>
          </w:tcPr>
          <w:p>
            <w:pPr>
              <w:spacing w:after="0"/>
              <w:rPr>
                <w:sz w:val="1"/>
                <w:szCs w:val="1"/>
                <w:color w:val="auto"/>
              </w:rPr>
            </w:pPr>
          </w:p>
        </w:tc>
      </w:tr>
      <w:tr>
        <w:trPr>
          <w:trHeight w:val="263"/>
        </w:trPr>
        <w:tc>
          <w:tcPr>
            <w:tcW w:w="940" w:type="dxa"/>
            <w:vAlign w:val="bottom"/>
            <w:tcBorders>
              <w:bottom w:val="single" w:sz="8" w:color="auto"/>
            </w:tcBorders>
            <w:shd w:val="clear" w:color="auto" w:fill="CCCCCC"/>
          </w:tcPr>
          <w:p>
            <w:pPr>
              <w:spacing w:after="0"/>
              <w:rPr>
                <w:sz w:val="22"/>
                <w:szCs w:val="22"/>
                <w:color w:val="auto"/>
              </w:rPr>
            </w:pPr>
          </w:p>
        </w:tc>
        <w:tc>
          <w:tcPr>
            <w:tcW w:w="40" w:type="dxa"/>
            <w:vAlign w:val="bottom"/>
            <w:tcBorders>
              <w:bottom w:val="single" w:sz="8" w:color="auto"/>
            </w:tcBorders>
            <w:shd w:val="clear" w:color="auto" w:fill="CCCCCC"/>
          </w:tcPr>
          <w:p>
            <w:pPr>
              <w:spacing w:after="0"/>
              <w:rPr>
                <w:sz w:val="22"/>
                <w:szCs w:val="22"/>
                <w:color w:val="auto"/>
              </w:rPr>
            </w:pPr>
          </w:p>
        </w:tc>
        <w:tc>
          <w:tcPr>
            <w:tcW w:w="98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3"/>
                <w:szCs w:val="13"/>
                <w:color w:val="auto"/>
              </w:rPr>
              <w:t>PSU</w:t>
            </w:r>
          </w:p>
        </w:tc>
        <w:tc>
          <w:tcPr>
            <w:tcW w:w="980" w:type="dxa"/>
            <w:vAlign w:val="bottom"/>
            <w:tcBorders>
              <w:bottom w:val="single" w:sz="8" w:color="auto"/>
            </w:tcBorders>
            <w:shd w:val="clear" w:color="auto" w:fill="CCCCCC"/>
          </w:tcPr>
          <w:p>
            <w:pPr>
              <w:jc w:val="right"/>
              <w:ind w:right="233"/>
              <w:spacing w:after="0"/>
              <w:rPr>
                <w:sz w:val="20"/>
                <w:szCs w:val="20"/>
                <w:color w:val="auto"/>
              </w:rPr>
            </w:pPr>
            <w:r>
              <w:rPr>
                <w:rFonts w:ascii="Arial" w:cs="Arial" w:eastAsia="Arial" w:hAnsi="Arial"/>
                <w:sz w:val="13"/>
                <w:szCs w:val="13"/>
                <w:color w:val="auto"/>
              </w:rPr>
              <w:t>3/9/2021</w:t>
            </w:r>
          </w:p>
        </w:tc>
        <w:tc>
          <w:tcPr>
            <w:tcW w:w="700" w:type="dxa"/>
            <w:vAlign w:val="bottom"/>
            <w:tcBorders>
              <w:bottom w:val="single" w:sz="8" w:color="auto"/>
            </w:tcBorders>
            <w:shd w:val="clear" w:color="auto" w:fill="CCCCCC"/>
          </w:tcPr>
          <w:p>
            <w:pPr>
              <w:spacing w:after="0"/>
              <w:rPr>
                <w:sz w:val="22"/>
                <w:szCs w:val="22"/>
                <w:color w:val="auto"/>
              </w:rPr>
            </w:pPr>
          </w:p>
        </w:tc>
        <w:tc>
          <w:tcPr>
            <w:tcW w:w="680" w:type="dxa"/>
            <w:vAlign w:val="bottom"/>
            <w:tcBorders>
              <w:bottom w:val="single" w:sz="8" w:color="auto"/>
            </w:tcBorders>
            <w:shd w:val="clear" w:color="auto" w:fill="CCCCCC"/>
          </w:tcPr>
          <w:p>
            <w:pPr>
              <w:spacing w:after="0"/>
              <w:rPr>
                <w:sz w:val="22"/>
                <w:szCs w:val="22"/>
                <w:color w:val="auto"/>
              </w:rPr>
            </w:pPr>
          </w:p>
        </w:tc>
        <w:tc>
          <w:tcPr>
            <w:tcW w:w="680" w:type="dxa"/>
            <w:vAlign w:val="bottom"/>
            <w:tcBorders>
              <w:bottom w:val="single" w:sz="8" w:color="auto"/>
            </w:tcBorders>
            <w:shd w:val="clear" w:color="auto" w:fill="CCCCCC"/>
          </w:tcPr>
          <w:p>
            <w:pPr>
              <w:spacing w:after="0"/>
              <w:rPr>
                <w:sz w:val="22"/>
                <w:szCs w:val="22"/>
                <w:color w:val="auto"/>
              </w:rPr>
            </w:pPr>
          </w:p>
        </w:tc>
        <w:tc>
          <w:tcPr>
            <w:tcW w:w="80" w:type="dxa"/>
            <w:vAlign w:val="bottom"/>
            <w:tcBorders>
              <w:bottom w:val="single" w:sz="8" w:color="auto"/>
            </w:tcBorders>
            <w:shd w:val="clear" w:color="auto" w:fill="CCCCCC"/>
          </w:tcPr>
          <w:p>
            <w:pPr>
              <w:spacing w:after="0"/>
              <w:rPr>
                <w:sz w:val="22"/>
                <w:szCs w:val="22"/>
                <w:color w:val="auto"/>
              </w:rPr>
            </w:pPr>
          </w:p>
        </w:tc>
        <w:tc>
          <w:tcPr>
            <w:tcW w:w="700" w:type="dxa"/>
            <w:vAlign w:val="bottom"/>
            <w:tcBorders>
              <w:bottom w:val="single" w:sz="8" w:color="auto"/>
            </w:tcBorders>
            <w:shd w:val="clear" w:color="auto" w:fill="CCCCCC"/>
          </w:tcPr>
          <w:p>
            <w:pPr>
              <w:jc w:val="right"/>
              <w:ind w:right="133"/>
              <w:spacing w:after="0"/>
              <w:rPr>
                <w:sz w:val="20"/>
                <w:szCs w:val="20"/>
                <w:color w:val="auto"/>
              </w:rPr>
            </w:pPr>
            <w:r>
              <w:rPr>
                <w:rFonts w:ascii="Arial" w:cs="Arial" w:eastAsia="Arial" w:hAnsi="Arial"/>
                <w:sz w:val="13"/>
                <w:szCs w:val="13"/>
                <w:color w:val="auto"/>
              </w:rPr>
              <w:t>4,015</w:t>
            </w:r>
          </w:p>
        </w:tc>
        <w:tc>
          <w:tcPr>
            <w:tcW w:w="5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8,030</w:t>
            </w:r>
          </w:p>
        </w:tc>
        <w:tc>
          <w:tcPr>
            <w:tcW w:w="6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3"/>
                <w:szCs w:val="13"/>
                <w:color w:val="auto"/>
              </w:rPr>
              <w:t>12,045</w:t>
            </w:r>
          </w:p>
        </w:tc>
        <w:tc>
          <w:tcPr>
            <w:tcW w:w="700" w:type="dxa"/>
            <w:vAlign w:val="bottom"/>
            <w:tcBorders>
              <w:bottom w:val="single" w:sz="8" w:color="auto"/>
            </w:tcBorders>
            <w:shd w:val="clear" w:color="auto" w:fill="CCCCCC"/>
          </w:tcPr>
          <w:p>
            <w:pPr>
              <w:spacing w:after="0"/>
              <w:rPr>
                <w:sz w:val="22"/>
                <w:szCs w:val="22"/>
                <w:color w:val="auto"/>
              </w:rPr>
            </w:pPr>
          </w:p>
        </w:tc>
        <w:tc>
          <w:tcPr>
            <w:tcW w:w="8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500,028</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60" w:hanging="350"/>
        <w:spacing w:after="0"/>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pay opportunity under the 2021 AIP, which is discussed in the CD&amp;A.</w:t>
      </w:r>
    </w:p>
    <w:p>
      <w:pPr>
        <w:spacing w:after="0" w:line="68" w:lineRule="exact"/>
        <w:rPr>
          <w:rFonts w:ascii="Arial" w:cs="Arial" w:eastAsia="Arial" w:hAnsi="Arial"/>
          <w:sz w:val="14"/>
          <w:szCs w:val="14"/>
          <w:color w:val="auto"/>
        </w:rPr>
      </w:pPr>
    </w:p>
    <w:p>
      <w:pPr>
        <w:jc w:val="both"/>
        <w:ind w:left="360" w:hanging="350"/>
        <w:spacing w:after="0" w:line="258" w:lineRule="auto"/>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awards of PSUs which are scheduled to vest on March 9, 2024, subject to continued service and based on a one-year Adjusted EBITDA goal, as more fully described in the CD&amp;A under “2021 Long-Term Incentive Awards.” Solely for the 2021 LTIP Awards, our CEO, CFO and Executive Chairman were not eligible for any vesting for performance below the target level, and our Executive Chairman’s payout was capped at the target level.</w:t>
      </w:r>
    </w:p>
    <w:p>
      <w:pPr>
        <w:spacing w:after="0" w:line="196" w:lineRule="exact"/>
        <w:rPr>
          <w:rFonts w:ascii="Arial" w:cs="Arial" w:eastAsia="Arial" w:hAnsi="Arial"/>
          <w:sz w:val="14"/>
          <w:szCs w:val="14"/>
          <w:color w:val="auto"/>
        </w:rPr>
      </w:pPr>
    </w:p>
    <w:p>
      <w:pPr>
        <w:jc w:val="both"/>
        <w:ind w:left="360" w:hanging="350"/>
        <w:spacing w:after="0" w:line="256" w:lineRule="auto"/>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Messrs. Ferraro, Choi, and Rankin, represents awards for RSUs which are scheduled to vest in equal installments on each of the first three anniversaries of the date of grant, generally subject to continued service through each vesting date. For Mr. Hees, RSU award of 32,118 vests on June 30, 2022, subject to continued service. For Mr. Sita, RSU award of 20,822 vests one-third on March 15, 2023, and two-thirds on March 15, 2024, subject to continued service.</w:t>
      </w:r>
    </w:p>
    <w:p>
      <w:pPr>
        <w:spacing w:after="0" w:line="42" w:lineRule="exact"/>
        <w:rPr>
          <w:rFonts w:ascii="Arial" w:cs="Arial" w:eastAsia="Arial" w:hAnsi="Arial"/>
          <w:sz w:val="14"/>
          <w:szCs w:val="14"/>
          <w:color w:val="auto"/>
        </w:rPr>
      </w:pPr>
    </w:p>
    <w:p>
      <w:pPr>
        <w:jc w:val="both"/>
        <w:ind w:left="360" w:hanging="350"/>
        <w:spacing w:after="0" w:line="256" w:lineRule="auto"/>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Assumptions used in the calculation of the grant date fair value of the awards are included in Note 18 to our audited financial statements for the fiscal year ended December 31, 2021, included in our 2021 Annual Report. The grant date fair value of the stock underlying the PSUs assuming attainment of the highest level of performance conditions were: for Mr. Ferraro, $3,750,024; Mr. Choi, $1,124,970; and Mr. Rankin, $750,042. Mr. Hees’ PSUs have a maximum payout at target, which is reflected in the table.</w:t>
      </w:r>
    </w:p>
    <w:p>
      <w:pPr>
        <w:spacing w:after="0" w:line="28" w:lineRule="exact"/>
        <w:rPr>
          <w:rFonts w:ascii="Arial" w:cs="Arial" w:eastAsia="Arial" w:hAnsi="Arial"/>
          <w:sz w:val="14"/>
          <w:szCs w:val="14"/>
          <w:color w:val="auto"/>
        </w:rPr>
      </w:pPr>
    </w:p>
    <w:p>
      <w:pPr>
        <w:ind w:left="360" w:hanging="350"/>
        <w:spacing w:after="0"/>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Sita’s RSU award was approved on March 9, 2021 and granted on his March 15, 2021 start date.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40" w:name="page41"/>
    <w:bookmarkEnd w:id="40"/>
    <w:p>
      <w:pPr>
        <w:ind w:left="6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ind w:left="600"/>
        <w:spacing w:after="0"/>
        <w:rPr>
          <w:sz w:val="20"/>
          <w:szCs w:val="20"/>
          <w:color w:val="auto"/>
        </w:rPr>
      </w:pPr>
      <w:r>
        <w:rPr>
          <w:rFonts w:ascii="Arial" w:cs="Arial" w:eastAsia="Arial" w:hAnsi="Arial"/>
          <w:sz w:val="25"/>
          <w:szCs w:val="25"/>
          <w:b w:val="1"/>
          <w:bCs w:val="1"/>
          <w:color w:val="auto"/>
        </w:rPr>
        <w:t>Outstanding Equity Awards at Fiscal Year-End Table</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00" w:type="dxa"/>
            <w:vAlign w:val="bottom"/>
            <w:gridSpan w:val="2"/>
          </w:tcPr>
          <w:p>
            <w:pPr>
              <w:ind w:left="900"/>
              <w:spacing w:after="0"/>
              <w:rPr>
                <w:sz w:val="20"/>
                <w:szCs w:val="20"/>
                <w:color w:val="auto"/>
              </w:rPr>
            </w:pPr>
            <w:r>
              <w:rPr>
                <w:rFonts w:ascii="Arial" w:cs="Arial" w:eastAsia="Arial" w:hAnsi="Arial"/>
                <w:sz w:val="13"/>
                <w:szCs w:val="13"/>
                <w:b w:val="1"/>
                <w:bCs w:val="1"/>
                <w:color w:val="auto"/>
              </w:rPr>
              <w:t>Option Awards</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ind w:left="320"/>
              <w:spacing w:after="0"/>
              <w:rPr>
                <w:sz w:val="20"/>
                <w:szCs w:val="20"/>
                <w:color w:val="auto"/>
              </w:rPr>
            </w:pPr>
            <w:r>
              <w:rPr>
                <w:rFonts w:ascii="Arial" w:cs="Arial" w:eastAsia="Arial" w:hAnsi="Arial"/>
                <w:sz w:val="13"/>
                <w:szCs w:val="13"/>
                <w:b w:val="1"/>
                <w:bCs w:val="1"/>
                <w:color w:val="auto"/>
              </w:rPr>
              <w:t>Stock Awards(a)</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Equity</w:t>
            </w:r>
          </w:p>
        </w:tc>
        <w:tc>
          <w:tcPr>
            <w:tcW w:w="7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9"/>
              </w:rPr>
              <w:t>Incentive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Incentive</w:t>
            </w:r>
          </w:p>
        </w:tc>
        <w:tc>
          <w:tcPr>
            <w:tcW w:w="7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Plan</w:t>
            </w:r>
          </w:p>
        </w:tc>
        <w:tc>
          <w:tcPr>
            <w:tcW w:w="7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Equity</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Awards:</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Payout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center"/>
              <w:ind w:right="37"/>
              <w:spacing w:after="0"/>
              <w:rPr>
                <w:sz w:val="20"/>
                <w:szCs w:val="20"/>
                <w:color w:val="auto"/>
              </w:rPr>
            </w:pPr>
            <w:r>
              <w:rPr>
                <w:rFonts w:ascii="Arial" w:cs="Arial" w:eastAsia="Arial" w:hAnsi="Arial"/>
                <w:sz w:val="13"/>
                <w:szCs w:val="13"/>
                <w:b w:val="1"/>
                <w:bCs w:val="1"/>
                <w:color w:val="auto"/>
                <w:w w:val="97"/>
              </w:rPr>
              <w:t>Number</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Market</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7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Incentive Plan</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center"/>
              <w:ind w:left="97"/>
              <w:spacing w:after="0" w:line="135" w:lineRule="exact"/>
              <w:rPr>
                <w:sz w:val="20"/>
                <w:szCs w:val="20"/>
                <w:color w:val="auto"/>
              </w:rPr>
            </w:pPr>
            <w:r>
              <w:rPr>
                <w:rFonts w:ascii="Arial" w:cs="Arial" w:eastAsia="Arial" w:hAnsi="Arial"/>
                <w:sz w:val="13"/>
                <w:szCs w:val="13"/>
                <w:b w:val="1"/>
                <w:bCs w:val="1"/>
                <w:color w:val="auto"/>
                <w:w w:val="97"/>
              </w:rPr>
              <w:t>of</w:t>
            </w:r>
          </w:p>
        </w:tc>
        <w:tc>
          <w:tcPr>
            <w:tcW w:w="2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Value of</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Shares,</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Shares,</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5"/>
              </w:rPr>
              <w:t>Number of</w:t>
            </w: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Shares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Units or</w:t>
            </w:r>
          </w:p>
        </w:tc>
        <w:tc>
          <w:tcPr>
            <w:tcW w:w="7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7"/>
              </w:rPr>
              <w:t>Units or</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or Units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Units of</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Securities</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Securities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57"/>
              <w:spacing w:after="0" w:line="135" w:lineRule="exact"/>
              <w:rPr>
                <w:sz w:val="20"/>
                <w:szCs w:val="20"/>
                <w:color w:val="auto"/>
              </w:rPr>
            </w:pPr>
            <w:r>
              <w:rPr>
                <w:rFonts w:ascii="Arial" w:cs="Arial" w:eastAsia="Arial" w:hAnsi="Arial"/>
                <w:sz w:val="13"/>
                <w:szCs w:val="13"/>
                <w:b w:val="1"/>
                <w:bCs w:val="1"/>
                <w:color w:val="auto"/>
                <w:w w:val="97"/>
              </w:rPr>
              <w:t>of Stock</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Rights</w:t>
            </w:r>
          </w:p>
        </w:tc>
        <w:tc>
          <w:tcPr>
            <w:tcW w:w="7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8"/>
              </w:rPr>
              <w:t>Rights</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7"/>
              </w:rPr>
              <w:t>Underlying</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10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Unexercisable</w:t>
            </w:r>
          </w:p>
        </w:tc>
        <w:tc>
          <w:tcPr>
            <w:tcW w:w="680" w:type="dxa"/>
            <w:vAlign w:val="bottom"/>
            <w:vMerge w:val="continue"/>
          </w:tcPr>
          <w:p>
            <w:pPr>
              <w:spacing w:after="0"/>
              <w:rPr>
                <w:sz w:val="11"/>
                <w:szCs w:val="11"/>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Options</w:t>
            </w:r>
          </w:p>
        </w:tc>
        <w:tc>
          <w:tcPr>
            <w:tcW w:w="700" w:type="dxa"/>
            <w:vAlign w:val="bottom"/>
            <w:gridSpan w:val="2"/>
          </w:tcPr>
          <w:p>
            <w:pPr>
              <w:jc w:val="center"/>
              <w:ind w:right="17"/>
              <w:spacing w:after="0" w:line="135" w:lineRule="exact"/>
              <w:rPr>
                <w:sz w:val="20"/>
                <w:szCs w:val="20"/>
                <w:color w:val="auto"/>
              </w:rPr>
            </w:pPr>
            <w:r>
              <w:rPr>
                <w:rFonts w:ascii="Arial" w:cs="Arial" w:eastAsia="Arial" w:hAnsi="Arial"/>
                <w:sz w:val="13"/>
                <w:szCs w:val="13"/>
                <w:b w:val="1"/>
                <w:bCs w:val="1"/>
                <w:color w:val="auto"/>
                <w:w w:val="99"/>
              </w:rPr>
              <w:t>That Have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That Have</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w:t>
            </w:r>
          </w:p>
        </w:tc>
        <w:tc>
          <w:tcPr>
            <w:tcW w:w="7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6"/>
              </w:rPr>
              <w:t>That Have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Grant</w:t>
            </w:r>
          </w:p>
        </w:tc>
        <w:tc>
          <w:tcPr>
            <w:tcW w:w="180" w:type="dxa"/>
            <w:vAlign w:val="bottom"/>
          </w:tcPr>
          <w:p>
            <w:pPr>
              <w:spacing w:after="0"/>
              <w:rPr>
                <w:sz w:val="11"/>
                <w:szCs w:val="11"/>
                <w:color w:val="auto"/>
              </w:rPr>
            </w:pPr>
          </w:p>
        </w:tc>
        <w:tc>
          <w:tcPr>
            <w:tcW w:w="9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880" w:type="dxa"/>
            <w:vAlign w:val="bottom"/>
            <w:gridSpan w:val="2"/>
            <w:vMerge w:val="continue"/>
          </w:tcPr>
          <w:p>
            <w:pPr>
              <w:spacing w:after="0"/>
              <w:rPr>
                <w:sz w:val="11"/>
                <w:szCs w:val="11"/>
                <w:color w:val="auto"/>
              </w:rPr>
            </w:pPr>
          </w:p>
        </w:tc>
        <w:tc>
          <w:tcPr>
            <w:tcW w:w="44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rPr>
              <w:t>Not</w:t>
            </w:r>
          </w:p>
        </w:tc>
        <w:tc>
          <w:tcPr>
            <w:tcW w:w="2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Not</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Not</w:t>
            </w:r>
          </w:p>
        </w:tc>
        <w:tc>
          <w:tcPr>
            <w:tcW w:w="0" w:type="dxa"/>
            <w:vAlign w:val="bottom"/>
          </w:tcPr>
          <w:p>
            <w:pPr>
              <w:spacing w:after="0"/>
              <w:rPr>
                <w:sz w:val="1"/>
                <w:szCs w:val="1"/>
                <w:color w:val="auto"/>
              </w:rPr>
            </w:pPr>
          </w:p>
        </w:tc>
      </w:tr>
      <w:tr>
        <w:trPr>
          <w:trHeight w:val="135"/>
        </w:trPr>
        <w:tc>
          <w:tcPr>
            <w:tcW w:w="104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3"/>
              </w:rPr>
              <w:t>Options</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Options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Price</w:t>
            </w: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Expiration</w:t>
            </w:r>
          </w:p>
        </w:tc>
        <w:tc>
          <w:tcPr>
            <w:tcW w:w="700" w:type="dxa"/>
            <w:vAlign w:val="bottom"/>
            <w:gridSpan w:val="2"/>
          </w:tcPr>
          <w:p>
            <w:pPr>
              <w:jc w:val="center"/>
              <w:ind w:right="57"/>
              <w:spacing w:after="0" w:line="135" w:lineRule="exact"/>
              <w:rPr>
                <w:sz w:val="20"/>
                <w:szCs w:val="20"/>
                <w:color w:val="auto"/>
              </w:rPr>
            </w:pPr>
            <w:r>
              <w:rPr>
                <w:rFonts w:ascii="Arial" w:cs="Arial" w:eastAsia="Arial" w:hAnsi="Arial"/>
                <w:sz w:val="13"/>
                <w:szCs w:val="13"/>
                <w:b w:val="1"/>
                <w:bCs w:val="1"/>
                <w:color w:val="auto"/>
                <w:w w:val="98"/>
              </w:rPr>
              <w:t>Vested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Vested</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Vested</w:t>
            </w:r>
          </w:p>
        </w:tc>
        <w:tc>
          <w:tcPr>
            <w:tcW w:w="7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3"/>
              </w:rPr>
              <w:t>Vested</w:t>
            </w:r>
          </w:p>
        </w:tc>
        <w:tc>
          <w:tcPr>
            <w:tcW w:w="0" w:type="dxa"/>
            <w:vAlign w:val="bottom"/>
          </w:tcPr>
          <w:p>
            <w:pPr>
              <w:spacing w:after="0"/>
              <w:rPr>
                <w:sz w:val="1"/>
                <w:szCs w:val="1"/>
                <w:color w:val="auto"/>
              </w:rPr>
            </w:pPr>
          </w:p>
        </w:tc>
      </w:tr>
      <w:tr>
        <w:trPr>
          <w:trHeight w:val="172"/>
        </w:trPr>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Date</w:t>
            </w:r>
          </w:p>
        </w:tc>
        <w:tc>
          <w:tcPr>
            <w:tcW w:w="180" w:type="dxa"/>
            <w:vAlign w:val="bottom"/>
          </w:tcPr>
          <w:p>
            <w:pPr>
              <w:spacing w:after="0"/>
              <w:rPr>
                <w:sz w:val="14"/>
                <w:szCs w:val="14"/>
                <w:color w:val="auto"/>
              </w:rPr>
            </w:pPr>
          </w:p>
        </w:tc>
        <w:tc>
          <w:tcPr>
            <w:tcW w:w="98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 Exercisable</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6"/>
              </w:rPr>
              <w:t>(#) Unexercisable</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Date</w:t>
            </w:r>
          </w:p>
        </w:tc>
        <w:tc>
          <w:tcPr>
            <w:tcW w:w="440" w:type="dxa"/>
            <w:vAlign w:val="bottom"/>
          </w:tcPr>
          <w:p>
            <w:pPr>
              <w:jc w:val="center"/>
              <w:ind w:left="117"/>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720" w:type="dxa"/>
            <w:vAlign w:val="bottom"/>
          </w:tcPr>
          <w:p>
            <w:pPr>
              <w:jc w:val="center"/>
              <w:ind w:left="1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CCCCCC"/>
          </w:tcPr>
          <w:p>
            <w:pPr>
              <w:ind w:left="100"/>
              <w:spacing w:after="0"/>
              <w:rPr>
                <w:sz w:val="20"/>
                <w:szCs w:val="20"/>
                <w:color w:val="auto"/>
              </w:rPr>
            </w:pPr>
            <w:r>
              <w:rPr>
                <w:rFonts w:ascii="Arial" w:cs="Arial" w:eastAsia="Arial" w:hAnsi="Arial"/>
                <w:sz w:val="13"/>
                <w:szCs w:val="13"/>
                <w:color w:val="auto"/>
              </w:rPr>
              <w:t>Mr. Ferraro</w:t>
            </w:r>
          </w:p>
        </w:tc>
        <w:tc>
          <w:tcPr>
            <w:tcW w:w="10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3/9/2021</w:t>
            </w:r>
          </w:p>
        </w:tc>
        <w:tc>
          <w:tcPr>
            <w:tcW w:w="180" w:type="dxa"/>
            <w:vAlign w:val="bottom"/>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1260" w:type="dxa"/>
            <w:vAlign w:val="bottom"/>
            <w:shd w:val="clear" w:color="auto" w:fill="CCCCCC"/>
          </w:tcPr>
          <w:p>
            <w:pPr>
              <w:spacing w:after="0"/>
              <w:rPr>
                <w:sz w:val="18"/>
                <w:szCs w:val="18"/>
                <w:color w:val="auto"/>
              </w:rPr>
            </w:pPr>
          </w:p>
        </w:tc>
        <w:tc>
          <w:tcPr>
            <w:tcW w:w="104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72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40,148</w:t>
            </w:r>
          </w:p>
        </w:tc>
        <w:tc>
          <w:tcPr>
            <w:tcW w:w="26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(b)</w:t>
            </w:r>
          </w:p>
        </w:tc>
        <w:tc>
          <w:tcPr>
            <w:tcW w:w="80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8,325,491</w:t>
            </w:r>
          </w:p>
        </w:tc>
        <w:tc>
          <w:tcPr>
            <w:tcW w:w="82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4"/>
              </w:rPr>
              <w:t>60,222 (i)</w:t>
            </w:r>
          </w:p>
        </w:tc>
        <w:tc>
          <w:tcPr>
            <w:tcW w:w="72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12,488,236</w:t>
            </w:r>
          </w:p>
        </w:tc>
        <w:tc>
          <w:tcPr>
            <w:tcW w:w="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3/9/2020</w:t>
            </w:r>
          </w:p>
        </w:tc>
        <w:tc>
          <w:tcPr>
            <w:tcW w:w="180" w:type="dxa"/>
            <w:vAlign w:val="bottom"/>
            <w:shd w:val="clear" w:color="auto" w:fill="CCCCCC"/>
          </w:tcPr>
          <w:p>
            <w:pPr>
              <w:spacing w:after="0"/>
              <w:rPr>
                <w:sz w:val="23"/>
                <w:szCs w:val="23"/>
                <w:color w:val="auto"/>
              </w:rPr>
            </w:pPr>
          </w:p>
        </w:tc>
        <w:tc>
          <w:tcPr>
            <w:tcW w:w="980" w:type="dxa"/>
            <w:vAlign w:val="bottom"/>
            <w:shd w:val="clear" w:color="auto" w:fill="CCCCCC"/>
          </w:tcPr>
          <w:p>
            <w:pPr>
              <w:spacing w:after="0"/>
              <w:rPr>
                <w:sz w:val="23"/>
                <w:szCs w:val="23"/>
                <w:color w:val="auto"/>
              </w:rPr>
            </w:pPr>
          </w:p>
        </w:tc>
        <w:tc>
          <w:tcPr>
            <w:tcW w:w="1260" w:type="dxa"/>
            <w:vAlign w:val="bottom"/>
            <w:shd w:val="clear" w:color="auto" w:fill="CCCCCC"/>
          </w:tcPr>
          <w:p>
            <w:pPr>
              <w:spacing w:after="0"/>
              <w:rPr>
                <w:sz w:val="23"/>
                <w:szCs w:val="23"/>
                <w:color w:val="auto"/>
              </w:rPr>
            </w:pPr>
          </w:p>
        </w:tc>
        <w:tc>
          <w:tcPr>
            <w:tcW w:w="1040" w:type="dxa"/>
            <w:vAlign w:val="bottom"/>
            <w:shd w:val="clear" w:color="auto" w:fill="CCCCCC"/>
          </w:tcPr>
          <w:p>
            <w:pPr>
              <w:spacing w:after="0"/>
              <w:rPr>
                <w:sz w:val="23"/>
                <w:szCs w:val="23"/>
                <w:color w:val="auto"/>
              </w:rPr>
            </w:pPr>
          </w:p>
        </w:tc>
        <w:tc>
          <w:tcPr>
            <w:tcW w:w="680" w:type="dxa"/>
            <w:vAlign w:val="bottom"/>
            <w:shd w:val="clear" w:color="auto" w:fill="CCCCCC"/>
          </w:tcPr>
          <w:p>
            <w:pPr>
              <w:spacing w:after="0"/>
              <w:rPr>
                <w:sz w:val="23"/>
                <w:szCs w:val="23"/>
                <w:color w:val="auto"/>
              </w:rPr>
            </w:pPr>
          </w:p>
        </w:tc>
        <w:tc>
          <w:tcPr>
            <w:tcW w:w="72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700" w:type="dxa"/>
            <w:vAlign w:val="bottom"/>
            <w:gridSpan w:val="2"/>
            <w:shd w:val="clear" w:color="auto" w:fill="CCCCCC"/>
          </w:tcPr>
          <w:p>
            <w:pPr>
              <w:jc w:val="right"/>
              <w:ind w:right="77"/>
              <w:spacing w:after="0"/>
              <w:rPr>
                <w:sz w:val="20"/>
                <w:szCs w:val="20"/>
                <w:color w:val="auto"/>
              </w:rPr>
            </w:pPr>
            <w:r>
              <w:rPr>
                <w:rFonts w:ascii="Arial" w:cs="Arial" w:eastAsia="Arial" w:hAnsi="Arial"/>
                <w:sz w:val="13"/>
                <w:szCs w:val="13"/>
                <w:color w:val="auto"/>
                <w:w w:val="98"/>
              </w:rPr>
              <w:t>31,611(c)</w:t>
            </w:r>
          </w:p>
        </w:tc>
        <w:tc>
          <w:tcPr>
            <w:tcW w:w="80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6,555,173</w:t>
            </w:r>
          </w:p>
        </w:tc>
        <w:tc>
          <w:tcPr>
            <w:tcW w:w="82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4"/>
              </w:rPr>
              <w:t>47,416 (j)</w:t>
            </w:r>
          </w:p>
        </w:tc>
        <w:tc>
          <w:tcPr>
            <w:tcW w:w="720" w:type="dxa"/>
            <w:vAlign w:val="bottom"/>
            <w:shd w:val="clear" w:color="auto" w:fill="CCCCCC"/>
          </w:tcPr>
          <w:p>
            <w:pPr>
              <w:jc w:val="right"/>
              <w:spacing w:after="0"/>
              <w:rPr>
                <w:sz w:val="20"/>
                <w:szCs w:val="20"/>
                <w:color w:val="auto"/>
              </w:rPr>
            </w:pPr>
            <w:r>
              <w:rPr>
                <w:rFonts w:ascii="Arial" w:cs="Arial" w:eastAsia="Arial" w:hAnsi="Arial"/>
                <w:sz w:val="13"/>
                <w:szCs w:val="13"/>
                <w:color w:val="auto"/>
              </w:rPr>
              <w:t>9,832,656</w:t>
            </w:r>
          </w:p>
        </w:tc>
        <w:tc>
          <w:tcPr>
            <w:tcW w:w="6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1040" w:type="dxa"/>
            <w:vAlign w:val="bottom"/>
            <w:tcBorders>
              <w:bottom w:val="single" w:sz="8" w:color="CCCCCC"/>
            </w:tcBorders>
            <w:shd w:val="clear" w:color="auto" w:fill="CCCCCC"/>
          </w:tcPr>
          <w:p>
            <w:pPr>
              <w:spacing w:after="0"/>
              <w:rPr>
                <w:sz w:val="24"/>
                <w:szCs w:val="24"/>
                <w:color w:val="auto"/>
              </w:rPr>
            </w:pPr>
          </w:p>
        </w:tc>
        <w:tc>
          <w:tcPr>
            <w:tcW w:w="100" w:type="dxa"/>
            <w:vAlign w:val="bottom"/>
            <w:tcBorders>
              <w:bottom w:val="single" w:sz="8" w:color="CCCCCC"/>
            </w:tcBorders>
            <w:shd w:val="clear" w:color="auto" w:fill="CCCCCC"/>
          </w:tcPr>
          <w:p>
            <w:pPr>
              <w:spacing w:after="0"/>
              <w:rPr>
                <w:sz w:val="24"/>
                <w:szCs w:val="24"/>
                <w:color w:val="auto"/>
              </w:rPr>
            </w:pP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w w:val="93"/>
              </w:rPr>
              <w:t>3/15/2019</w:t>
            </w:r>
          </w:p>
        </w:tc>
        <w:tc>
          <w:tcPr>
            <w:tcW w:w="180" w:type="dxa"/>
            <w:vAlign w:val="bottom"/>
            <w:tcBorders>
              <w:bottom w:val="single" w:sz="8" w:color="CCCCCC"/>
            </w:tcBorders>
            <w:shd w:val="clear" w:color="auto" w:fill="CCCCCC"/>
          </w:tcPr>
          <w:p>
            <w:pPr>
              <w:spacing w:after="0"/>
              <w:rPr>
                <w:sz w:val="24"/>
                <w:szCs w:val="24"/>
                <w:color w:val="auto"/>
              </w:rPr>
            </w:pPr>
          </w:p>
        </w:tc>
        <w:tc>
          <w:tcPr>
            <w:tcW w:w="980" w:type="dxa"/>
            <w:vAlign w:val="bottom"/>
            <w:tcBorders>
              <w:bottom w:val="single" w:sz="8" w:color="CCCCCC"/>
            </w:tcBorders>
            <w:shd w:val="clear" w:color="auto" w:fill="CCCCCC"/>
          </w:tcPr>
          <w:p>
            <w:pPr>
              <w:spacing w:after="0"/>
              <w:rPr>
                <w:sz w:val="24"/>
                <w:szCs w:val="24"/>
                <w:color w:val="auto"/>
              </w:rPr>
            </w:pPr>
          </w:p>
        </w:tc>
        <w:tc>
          <w:tcPr>
            <w:tcW w:w="1260" w:type="dxa"/>
            <w:vAlign w:val="bottom"/>
            <w:tcBorders>
              <w:bottom w:val="single" w:sz="8" w:color="CCCCCC"/>
            </w:tcBorders>
            <w:shd w:val="clear" w:color="auto" w:fill="CCCCCC"/>
          </w:tcPr>
          <w:p>
            <w:pPr>
              <w:spacing w:after="0"/>
              <w:rPr>
                <w:sz w:val="24"/>
                <w:szCs w:val="24"/>
                <w:color w:val="auto"/>
              </w:rPr>
            </w:pPr>
          </w:p>
        </w:tc>
        <w:tc>
          <w:tcPr>
            <w:tcW w:w="1040" w:type="dxa"/>
            <w:vAlign w:val="bottom"/>
            <w:tcBorders>
              <w:bottom w:val="single" w:sz="8" w:color="CCCCCC"/>
            </w:tcBorders>
            <w:shd w:val="clear" w:color="auto" w:fill="CCCCCC"/>
          </w:tcPr>
          <w:p>
            <w:pPr>
              <w:spacing w:after="0"/>
              <w:rPr>
                <w:sz w:val="24"/>
                <w:szCs w:val="24"/>
                <w:color w:val="auto"/>
              </w:rPr>
            </w:pPr>
          </w:p>
        </w:tc>
        <w:tc>
          <w:tcPr>
            <w:tcW w:w="680" w:type="dxa"/>
            <w:vAlign w:val="bottom"/>
            <w:tcBorders>
              <w:bottom w:val="single" w:sz="8" w:color="CCCCCC"/>
            </w:tcBorders>
            <w:shd w:val="clear" w:color="auto" w:fill="CCCCCC"/>
          </w:tcPr>
          <w:p>
            <w:pPr>
              <w:spacing w:after="0"/>
              <w:rPr>
                <w:sz w:val="24"/>
                <w:szCs w:val="24"/>
                <w:color w:val="auto"/>
              </w:rPr>
            </w:pPr>
          </w:p>
        </w:tc>
        <w:tc>
          <w:tcPr>
            <w:tcW w:w="720" w:type="dxa"/>
            <w:vAlign w:val="bottom"/>
            <w:tcBorders>
              <w:bottom w:val="single" w:sz="8" w:color="CCCCCC"/>
            </w:tcBorders>
            <w:shd w:val="clear" w:color="auto" w:fill="CCCCCC"/>
          </w:tcPr>
          <w:p>
            <w:pPr>
              <w:spacing w:after="0"/>
              <w:rPr>
                <w:sz w:val="24"/>
                <w:szCs w:val="24"/>
                <w:color w:val="auto"/>
              </w:rPr>
            </w:pPr>
          </w:p>
        </w:tc>
        <w:tc>
          <w:tcPr>
            <w:tcW w:w="160" w:type="dxa"/>
            <w:vAlign w:val="bottom"/>
            <w:tcBorders>
              <w:bottom w:val="single" w:sz="8" w:color="CCCCCC"/>
            </w:tcBorders>
            <w:shd w:val="clear" w:color="auto" w:fill="CCCCCC"/>
          </w:tcPr>
          <w:p>
            <w:pPr>
              <w:spacing w:after="0"/>
              <w:rPr>
                <w:sz w:val="24"/>
                <w:szCs w:val="24"/>
                <w:color w:val="auto"/>
              </w:rPr>
            </w:pPr>
          </w:p>
        </w:tc>
        <w:tc>
          <w:tcPr>
            <w:tcW w:w="4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7,180</w:t>
            </w:r>
          </w:p>
        </w:tc>
        <w:tc>
          <w:tcPr>
            <w:tcW w:w="260" w:type="dxa"/>
            <w:vAlign w:val="bottom"/>
            <w:tcBorders>
              <w:bottom w:val="single" w:sz="8" w:color="CCCCCC"/>
            </w:tcBorders>
            <w:shd w:val="clear" w:color="auto" w:fill="CCCCCC"/>
          </w:tcPr>
          <w:p>
            <w:pPr>
              <w:jc w:val="right"/>
              <w:ind w:right="17"/>
              <w:spacing w:after="0"/>
              <w:rPr>
                <w:sz w:val="20"/>
                <w:szCs w:val="20"/>
                <w:color w:val="auto"/>
              </w:rPr>
            </w:pPr>
            <w:r>
              <w:rPr>
                <w:rFonts w:ascii="Arial" w:cs="Arial" w:eastAsia="Arial" w:hAnsi="Arial"/>
                <w:sz w:val="13"/>
                <w:szCs w:val="13"/>
                <w:color w:val="auto"/>
              </w:rPr>
              <w:t>(d)</w:t>
            </w:r>
          </w:p>
        </w:tc>
        <w:tc>
          <w:tcPr>
            <w:tcW w:w="800" w:type="dxa"/>
            <w:vAlign w:val="bottom"/>
            <w:tcBorders>
              <w:bottom w:val="single" w:sz="8" w:color="CCCCCC"/>
            </w:tcBorders>
            <w:shd w:val="clear" w:color="auto" w:fill="CCCCCC"/>
          </w:tcPr>
          <w:p>
            <w:pPr>
              <w:jc w:val="right"/>
              <w:ind w:right="17"/>
              <w:spacing w:after="0"/>
              <w:rPr>
                <w:sz w:val="20"/>
                <w:szCs w:val="20"/>
                <w:color w:val="auto"/>
              </w:rPr>
            </w:pPr>
            <w:r>
              <w:rPr>
                <w:rFonts w:ascii="Arial" w:cs="Arial" w:eastAsia="Arial" w:hAnsi="Arial"/>
                <w:sz w:val="13"/>
                <w:szCs w:val="13"/>
                <w:color w:val="auto"/>
              </w:rPr>
              <w:t>1,488,917</w:t>
            </w:r>
          </w:p>
        </w:tc>
        <w:tc>
          <w:tcPr>
            <w:tcW w:w="820" w:type="dxa"/>
            <w:vAlign w:val="bottom"/>
            <w:tcBorders>
              <w:bottom w:val="single" w:sz="8" w:color="CCCCCC"/>
            </w:tcBorders>
            <w:shd w:val="clear" w:color="auto" w:fill="CCCCCC"/>
          </w:tcPr>
          <w:p>
            <w:pPr>
              <w:ind w:left="160"/>
              <w:spacing w:after="0"/>
              <w:rPr>
                <w:sz w:val="20"/>
                <w:szCs w:val="20"/>
                <w:color w:val="auto"/>
              </w:rPr>
            </w:pPr>
            <w:r>
              <w:rPr>
                <w:rFonts w:ascii="Arial" w:cs="Arial" w:eastAsia="Arial" w:hAnsi="Arial"/>
                <w:sz w:val="13"/>
                <w:szCs w:val="13"/>
                <w:color w:val="auto"/>
              </w:rPr>
              <w:t>43,078 (k)</w:t>
            </w:r>
          </w:p>
        </w:tc>
        <w:tc>
          <w:tcPr>
            <w:tcW w:w="7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8,933,085</w:t>
            </w:r>
          </w:p>
        </w:tc>
        <w:tc>
          <w:tcPr>
            <w:tcW w:w="60" w:type="dxa"/>
            <w:vAlign w:val="bottom"/>
            <w:tcBorders>
              <w:bottom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4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Mr. Choi</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3/9/2021</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12,044</w:t>
            </w:r>
          </w:p>
        </w:tc>
        <w:tc>
          <w:tcPr>
            <w:tcW w:w="2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(b)</w:t>
            </w: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2,497,564</w:t>
            </w: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4"/>
              </w:rPr>
              <w:t>18,066 (i)</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3,746,346</w:t>
            </w: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8/31/2020</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58,634</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(e)</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12,158,933</w:t>
            </w: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CCCCCC"/>
          </w:tcPr>
          <w:p>
            <w:pPr>
              <w:ind w:left="100"/>
              <w:spacing w:after="0"/>
              <w:rPr>
                <w:sz w:val="20"/>
                <w:szCs w:val="20"/>
                <w:color w:val="auto"/>
              </w:rPr>
            </w:pPr>
            <w:r>
              <w:rPr>
                <w:rFonts w:ascii="Arial" w:cs="Arial" w:eastAsia="Arial" w:hAnsi="Arial"/>
                <w:sz w:val="13"/>
                <w:szCs w:val="13"/>
                <w:color w:val="auto"/>
              </w:rPr>
              <w:t>Mr. Hees</w:t>
            </w:r>
          </w:p>
        </w:tc>
        <w:tc>
          <w:tcPr>
            <w:tcW w:w="10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3/9/2021</w:t>
            </w:r>
          </w:p>
        </w:tc>
        <w:tc>
          <w:tcPr>
            <w:tcW w:w="180" w:type="dxa"/>
            <w:vAlign w:val="bottom"/>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1260" w:type="dxa"/>
            <w:vAlign w:val="bottom"/>
            <w:shd w:val="clear" w:color="auto" w:fill="CCCCCC"/>
          </w:tcPr>
          <w:p>
            <w:pPr>
              <w:spacing w:after="0"/>
              <w:rPr>
                <w:sz w:val="18"/>
                <w:szCs w:val="18"/>
                <w:color w:val="auto"/>
              </w:rPr>
            </w:pPr>
          </w:p>
        </w:tc>
        <w:tc>
          <w:tcPr>
            <w:tcW w:w="104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72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700" w:type="dxa"/>
            <w:vAlign w:val="bottom"/>
            <w:gridSpan w:val="2"/>
            <w:shd w:val="clear" w:color="auto" w:fill="CCCCCC"/>
          </w:tcPr>
          <w:p>
            <w:pPr>
              <w:jc w:val="center"/>
              <w:ind w:right="37"/>
              <w:spacing w:after="0"/>
              <w:rPr>
                <w:sz w:val="20"/>
                <w:szCs w:val="20"/>
                <w:color w:val="auto"/>
              </w:rPr>
            </w:pPr>
            <w:r>
              <w:rPr>
                <w:rFonts w:ascii="Arial" w:cs="Arial" w:eastAsia="Arial" w:hAnsi="Arial"/>
                <w:sz w:val="13"/>
                <w:szCs w:val="13"/>
                <w:color w:val="auto"/>
                <w:w w:val="93"/>
              </w:rPr>
              <w:t>32,118 (f)</w:t>
            </w:r>
          </w:p>
        </w:tc>
        <w:tc>
          <w:tcPr>
            <w:tcW w:w="80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6,660,310</w:t>
            </w:r>
          </w:p>
        </w:tc>
        <w:tc>
          <w:tcPr>
            <w:tcW w:w="82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4"/>
              </w:rPr>
              <w:t>24,089 (i)</w:t>
            </w:r>
          </w:p>
        </w:tc>
        <w:tc>
          <w:tcPr>
            <w:tcW w:w="720" w:type="dxa"/>
            <w:vAlign w:val="bottom"/>
            <w:shd w:val="clear" w:color="auto" w:fill="CCCCCC"/>
          </w:tcPr>
          <w:p>
            <w:pPr>
              <w:jc w:val="right"/>
              <w:spacing w:after="0"/>
              <w:rPr>
                <w:sz w:val="20"/>
                <w:szCs w:val="20"/>
                <w:color w:val="auto"/>
              </w:rPr>
            </w:pPr>
            <w:r>
              <w:rPr>
                <w:rFonts w:ascii="Arial" w:cs="Arial" w:eastAsia="Arial" w:hAnsi="Arial"/>
                <w:sz w:val="13"/>
                <w:szCs w:val="13"/>
                <w:color w:val="auto"/>
              </w:rPr>
              <w:t>4,995,336</w:t>
            </w:r>
          </w:p>
        </w:tc>
        <w:tc>
          <w:tcPr>
            <w:tcW w:w="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1040" w:type="dxa"/>
            <w:vAlign w:val="bottom"/>
            <w:tcBorders>
              <w:bottom w:val="single" w:sz="8" w:color="CCCCCC"/>
            </w:tcBorders>
            <w:shd w:val="clear" w:color="auto" w:fill="CCCCCC"/>
          </w:tcPr>
          <w:p>
            <w:pPr>
              <w:spacing w:after="0"/>
              <w:rPr>
                <w:sz w:val="24"/>
                <w:szCs w:val="24"/>
                <w:color w:val="auto"/>
              </w:rPr>
            </w:pPr>
          </w:p>
        </w:tc>
        <w:tc>
          <w:tcPr>
            <w:tcW w:w="100" w:type="dxa"/>
            <w:vAlign w:val="bottom"/>
            <w:tcBorders>
              <w:bottom w:val="single" w:sz="8" w:color="CCCCCC"/>
            </w:tcBorders>
            <w:shd w:val="clear" w:color="auto" w:fill="CCCCCC"/>
          </w:tcPr>
          <w:p>
            <w:pPr>
              <w:spacing w:after="0"/>
              <w:rPr>
                <w:sz w:val="24"/>
                <w:szCs w:val="24"/>
                <w:color w:val="auto"/>
              </w:rPr>
            </w:pP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w w:val="93"/>
              </w:rPr>
              <w:t>6/30/2020</w:t>
            </w:r>
          </w:p>
        </w:tc>
        <w:tc>
          <w:tcPr>
            <w:tcW w:w="180" w:type="dxa"/>
            <w:vAlign w:val="bottom"/>
            <w:tcBorders>
              <w:bottom w:val="single" w:sz="8" w:color="CCCCCC"/>
            </w:tcBorders>
            <w:shd w:val="clear" w:color="auto" w:fill="CCCCCC"/>
          </w:tcPr>
          <w:p>
            <w:pPr>
              <w:spacing w:after="0"/>
              <w:rPr>
                <w:sz w:val="24"/>
                <w:szCs w:val="24"/>
                <w:color w:val="auto"/>
              </w:rPr>
            </w:pPr>
          </w:p>
        </w:tc>
        <w:tc>
          <w:tcPr>
            <w:tcW w:w="980" w:type="dxa"/>
            <w:vAlign w:val="bottom"/>
            <w:tcBorders>
              <w:bottom w:val="single" w:sz="8" w:color="CCCCCC"/>
            </w:tcBorders>
            <w:shd w:val="clear" w:color="auto" w:fill="CCCCCC"/>
          </w:tcPr>
          <w:p>
            <w:pPr>
              <w:spacing w:after="0"/>
              <w:rPr>
                <w:sz w:val="24"/>
                <w:szCs w:val="24"/>
                <w:color w:val="auto"/>
              </w:rPr>
            </w:pPr>
          </w:p>
        </w:tc>
        <w:tc>
          <w:tcPr>
            <w:tcW w:w="1260" w:type="dxa"/>
            <w:vAlign w:val="bottom"/>
            <w:tcBorders>
              <w:bottom w:val="single" w:sz="8" w:color="CCCCCC"/>
            </w:tcBorders>
            <w:shd w:val="clear" w:color="auto" w:fill="CCCCCC"/>
          </w:tcPr>
          <w:p>
            <w:pPr>
              <w:spacing w:after="0"/>
              <w:rPr>
                <w:sz w:val="24"/>
                <w:szCs w:val="24"/>
                <w:color w:val="auto"/>
              </w:rPr>
            </w:pPr>
          </w:p>
        </w:tc>
        <w:tc>
          <w:tcPr>
            <w:tcW w:w="1040" w:type="dxa"/>
            <w:vAlign w:val="bottom"/>
            <w:tcBorders>
              <w:bottom w:val="single" w:sz="8" w:color="CCCCCC"/>
            </w:tcBorders>
            <w:shd w:val="clear" w:color="auto" w:fill="CCCCCC"/>
          </w:tcPr>
          <w:p>
            <w:pPr>
              <w:spacing w:after="0"/>
              <w:rPr>
                <w:sz w:val="24"/>
                <w:szCs w:val="24"/>
                <w:color w:val="auto"/>
              </w:rPr>
            </w:pPr>
          </w:p>
        </w:tc>
        <w:tc>
          <w:tcPr>
            <w:tcW w:w="680" w:type="dxa"/>
            <w:vAlign w:val="bottom"/>
            <w:tcBorders>
              <w:bottom w:val="single" w:sz="8" w:color="CCCCCC"/>
            </w:tcBorders>
            <w:shd w:val="clear" w:color="auto" w:fill="CCCCCC"/>
          </w:tcPr>
          <w:p>
            <w:pPr>
              <w:spacing w:after="0"/>
              <w:rPr>
                <w:sz w:val="24"/>
                <w:szCs w:val="24"/>
                <w:color w:val="auto"/>
              </w:rPr>
            </w:pPr>
          </w:p>
        </w:tc>
        <w:tc>
          <w:tcPr>
            <w:tcW w:w="720" w:type="dxa"/>
            <w:vAlign w:val="bottom"/>
            <w:tcBorders>
              <w:bottom w:val="single" w:sz="8" w:color="CCCCCC"/>
            </w:tcBorders>
            <w:shd w:val="clear" w:color="auto" w:fill="CCCCCC"/>
          </w:tcPr>
          <w:p>
            <w:pPr>
              <w:spacing w:after="0"/>
              <w:rPr>
                <w:sz w:val="24"/>
                <w:szCs w:val="24"/>
                <w:color w:val="auto"/>
              </w:rPr>
            </w:pPr>
          </w:p>
        </w:tc>
        <w:tc>
          <w:tcPr>
            <w:tcW w:w="160" w:type="dxa"/>
            <w:vAlign w:val="bottom"/>
            <w:tcBorders>
              <w:bottom w:val="single" w:sz="8" w:color="CCCCCC"/>
            </w:tcBorders>
            <w:shd w:val="clear" w:color="auto" w:fill="CCCCCC"/>
          </w:tcPr>
          <w:p>
            <w:pPr>
              <w:spacing w:after="0"/>
              <w:rPr>
                <w:sz w:val="24"/>
                <w:szCs w:val="24"/>
                <w:color w:val="auto"/>
              </w:rPr>
            </w:pPr>
          </w:p>
        </w:tc>
        <w:tc>
          <w:tcPr>
            <w:tcW w:w="4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29,125</w:t>
            </w:r>
          </w:p>
        </w:tc>
        <w:tc>
          <w:tcPr>
            <w:tcW w:w="260" w:type="dxa"/>
            <w:vAlign w:val="bottom"/>
            <w:tcBorders>
              <w:bottom w:val="single" w:sz="8" w:color="CCCCCC"/>
            </w:tcBorders>
            <w:shd w:val="clear" w:color="auto" w:fill="CCCCCC"/>
          </w:tcPr>
          <w:p>
            <w:pPr>
              <w:jc w:val="right"/>
              <w:ind w:right="17"/>
              <w:spacing w:after="0"/>
              <w:rPr>
                <w:sz w:val="20"/>
                <w:szCs w:val="20"/>
                <w:color w:val="auto"/>
              </w:rPr>
            </w:pPr>
            <w:r>
              <w:rPr>
                <w:rFonts w:ascii="Arial" w:cs="Arial" w:eastAsia="Arial" w:hAnsi="Arial"/>
                <w:sz w:val="13"/>
                <w:szCs w:val="13"/>
                <w:color w:val="auto"/>
              </w:rPr>
              <w:t>(g)</w:t>
            </w:r>
          </w:p>
        </w:tc>
        <w:tc>
          <w:tcPr>
            <w:tcW w:w="800" w:type="dxa"/>
            <w:vAlign w:val="bottom"/>
            <w:tcBorders>
              <w:bottom w:val="single" w:sz="8" w:color="CCCCCC"/>
            </w:tcBorders>
            <w:shd w:val="clear" w:color="auto" w:fill="CCCCCC"/>
          </w:tcPr>
          <w:p>
            <w:pPr>
              <w:jc w:val="right"/>
              <w:ind w:right="17"/>
              <w:spacing w:after="0"/>
              <w:rPr>
                <w:sz w:val="20"/>
                <w:szCs w:val="20"/>
                <w:color w:val="auto"/>
              </w:rPr>
            </w:pPr>
            <w:r>
              <w:rPr>
                <w:rFonts w:ascii="Arial" w:cs="Arial" w:eastAsia="Arial" w:hAnsi="Arial"/>
                <w:sz w:val="13"/>
                <w:szCs w:val="13"/>
                <w:color w:val="auto"/>
              </w:rPr>
              <w:t>6,039,651</w:t>
            </w:r>
          </w:p>
        </w:tc>
        <w:tc>
          <w:tcPr>
            <w:tcW w:w="820" w:type="dxa"/>
            <w:vAlign w:val="bottom"/>
            <w:tcBorders>
              <w:bottom w:val="single" w:sz="8" w:color="CCCCCC"/>
            </w:tcBorders>
            <w:shd w:val="clear" w:color="auto" w:fill="CCCCCC"/>
          </w:tcPr>
          <w:p>
            <w:pPr>
              <w:ind w:left="160"/>
              <w:spacing w:after="0"/>
              <w:rPr>
                <w:sz w:val="20"/>
                <w:szCs w:val="20"/>
                <w:color w:val="auto"/>
              </w:rPr>
            </w:pPr>
            <w:r>
              <w:rPr>
                <w:rFonts w:ascii="Arial" w:cs="Arial" w:eastAsia="Arial" w:hAnsi="Arial"/>
                <w:sz w:val="13"/>
                <w:szCs w:val="13"/>
                <w:color w:val="auto"/>
              </w:rPr>
              <w:t>37,500</w:t>
            </w:r>
          </w:p>
        </w:tc>
        <w:tc>
          <w:tcPr>
            <w:tcW w:w="7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7,776,375</w:t>
            </w:r>
          </w:p>
        </w:tc>
        <w:tc>
          <w:tcPr>
            <w:tcW w:w="60" w:type="dxa"/>
            <w:vAlign w:val="bottom"/>
            <w:tcBorders>
              <w:bottom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4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Mr. Sita</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3/15/2021</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20,822</w:t>
            </w:r>
          </w:p>
        </w:tc>
        <w:tc>
          <w:tcPr>
            <w:tcW w:w="2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(h)</w:t>
            </w: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4,317,858</w:t>
            </w:r>
          </w:p>
        </w:tc>
        <w:tc>
          <w:tcPr>
            <w:tcW w:w="8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0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CCCCCC"/>
          </w:tcPr>
          <w:p>
            <w:pPr>
              <w:ind w:left="100"/>
              <w:spacing w:after="0"/>
              <w:rPr>
                <w:sz w:val="20"/>
                <w:szCs w:val="20"/>
                <w:color w:val="auto"/>
              </w:rPr>
            </w:pPr>
            <w:r>
              <w:rPr>
                <w:rFonts w:ascii="Arial" w:cs="Arial" w:eastAsia="Arial" w:hAnsi="Arial"/>
                <w:sz w:val="13"/>
                <w:szCs w:val="13"/>
                <w:color w:val="auto"/>
              </w:rPr>
              <w:t>Mr. Rankin</w:t>
            </w:r>
          </w:p>
        </w:tc>
        <w:tc>
          <w:tcPr>
            <w:tcW w:w="10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3/9/2021</w:t>
            </w:r>
          </w:p>
        </w:tc>
        <w:tc>
          <w:tcPr>
            <w:tcW w:w="180" w:type="dxa"/>
            <w:vAlign w:val="bottom"/>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1260" w:type="dxa"/>
            <w:vAlign w:val="bottom"/>
            <w:shd w:val="clear" w:color="auto" w:fill="CCCCCC"/>
          </w:tcPr>
          <w:p>
            <w:pPr>
              <w:spacing w:after="0"/>
              <w:rPr>
                <w:sz w:val="18"/>
                <w:szCs w:val="18"/>
                <w:color w:val="auto"/>
              </w:rPr>
            </w:pPr>
          </w:p>
        </w:tc>
        <w:tc>
          <w:tcPr>
            <w:tcW w:w="104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72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8,030</w:t>
            </w:r>
          </w:p>
        </w:tc>
        <w:tc>
          <w:tcPr>
            <w:tcW w:w="26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(b)</w:t>
            </w:r>
          </w:p>
        </w:tc>
        <w:tc>
          <w:tcPr>
            <w:tcW w:w="80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1,665,181</w:t>
            </w:r>
          </w:p>
        </w:tc>
        <w:tc>
          <w:tcPr>
            <w:tcW w:w="82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4"/>
              </w:rPr>
              <w:t>12,045 (i)</w:t>
            </w:r>
          </w:p>
        </w:tc>
        <w:tc>
          <w:tcPr>
            <w:tcW w:w="72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2,497,772</w:t>
            </w:r>
          </w:p>
        </w:tc>
        <w:tc>
          <w:tcPr>
            <w:tcW w:w="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3/9/2020</w:t>
            </w:r>
          </w:p>
        </w:tc>
        <w:tc>
          <w:tcPr>
            <w:tcW w:w="180" w:type="dxa"/>
            <w:vAlign w:val="bottom"/>
            <w:shd w:val="clear" w:color="auto" w:fill="CCCCCC"/>
          </w:tcPr>
          <w:p>
            <w:pPr>
              <w:spacing w:after="0"/>
              <w:rPr>
                <w:sz w:val="23"/>
                <w:szCs w:val="23"/>
                <w:color w:val="auto"/>
              </w:rPr>
            </w:pPr>
          </w:p>
        </w:tc>
        <w:tc>
          <w:tcPr>
            <w:tcW w:w="980" w:type="dxa"/>
            <w:vAlign w:val="bottom"/>
            <w:shd w:val="clear" w:color="auto" w:fill="CCCCCC"/>
          </w:tcPr>
          <w:p>
            <w:pPr>
              <w:spacing w:after="0"/>
              <w:rPr>
                <w:sz w:val="23"/>
                <w:szCs w:val="23"/>
                <w:color w:val="auto"/>
              </w:rPr>
            </w:pPr>
          </w:p>
        </w:tc>
        <w:tc>
          <w:tcPr>
            <w:tcW w:w="1260" w:type="dxa"/>
            <w:vAlign w:val="bottom"/>
            <w:shd w:val="clear" w:color="auto" w:fill="CCCCCC"/>
          </w:tcPr>
          <w:p>
            <w:pPr>
              <w:spacing w:after="0"/>
              <w:rPr>
                <w:sz w:val="23"/>
                <w:szCs w:val="23"/>
                <w:color w:val="auto"/>
              </w:rPr>
            </w:pPr>
          </w:p>
        </w:tc>
        <w:tc>
          <w:tcPr>
            <w:tcW w:w="1040" w:type="dxa"/>
            <w:vAlign w:val="bottom"/>
            <w:shd w:val="clear" w:color="auto" w:fill="CCCCCC"/>
          </w:tcPr>
          <w:p>
            <w:pPr>
              <w:spacing w:after="0"/>
              <w:rPr>
                <w:sz w:val="23"/>
                <w:szCs w:val="23"/>
                <w:color w:val="auto"/>
              </w:rPr>
            </w:pPr>
          </w:p>
        </w:tc>
        <w:tc>
          <w:tcPr>
            <w:tcW w:w="680" w:type="dxa"/>
            <w:vAlign w:val="bottom"/>
            <w:shd w:val="clear" w:color="auto" w:fill="CCCCCC"/>
          </w:tcPr>
          <w:p>
            <w:pPr>
              <w:spacing w:after="0"/>
              <w:rPr>
                <w:sz w:val="23"/>
                <w:szCs w:val="23"/>
                <w:color w:val="auto"/>
              </w:rPr>
            </w:pPr>
          </w:p>
        </w:tc>
        <w:tc>
          <w:tcPr>
            <w:tcW w:w="72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700" w:type="dxa"/>
            <w:vAlign w:val="bottom"/>
            <w:gridSpan w:val="2"/>
            <w:shd w:val="clear" w:color="auto" w:fill="CCCCCC"/>
          </w:tcPr>
          <w:p>
            <w:pPr>
              <w:jc w:val="right"/>
              <w:ind w:right="57"/>
              <w:spacing w:after="0"/>
              <w:rPr>
                <w:sz w:val="20"/>
                <w:szCs w:val="20"/>
                <w:color w:val="auto"/>
              </w:rPr>
            </w:pPr>
            <w:r>
              <w:rPr>
                <w:rFonts w:ascii="Arial" w:cs="Arial" w:eastAsia="Arial" w:hAnsi="Arial"/>
                <w:sz w:val="13"/>
                <w:szCs w:val="13"/>
                <w:color w:val="auto"/>
              </w:rPr>
              <w:t>16,596(c)</w:t>
            </w:r>
          </w:p>
        </w:tc>
        <w:tc>
          <w:tcPr>
            <w:tcW w:w="80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3,441,513</w:t>
            </w:r>
          </w:p>
        </w:tc>
        <w:tc>
          <w:tcPr>
            <w:tcW w:w="82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4"/>
              </w:rPr>
              <w:t>24,893 (j)</w:t>
            </w:r>
          </w:p>
        </w:tc>
        <w:tc>
          <w:tcPr>
            <w:tcW w:w="720" w:type="dxa"/>
            <w:vAlign w:val="bottom"/>
            <w:shd w:val="clear" w:color="auto" w:fill="CCCCCC"/>
          </w:tcPr>
          <w:p>
            <w:pPr>
              <w:jc w:val="right"/>
              <w:spacing w:after="0"/>
              <w:rPr>
                <w:sz w:val="20"/>
                <w:szCs w:val="20"/>
                <w:color w:val="auto"/>
              </w:rPr>
            </w:pPr>
            <w:r>
              <w:rPr>
                <w:rFonts w:ascii="Arial" w:cs="Arial" w:eastAsia="Arial" w:hAnsi="Arial"/>
                <w:sz w:val="13"/>
                <w:szCs w:val="13"/>
                <w:color w:val="auto"/>
              </w:rPr>
              <w:t>5,162,061</w:t>
            </w:r>
          </w:p>
        </w:tc>
        <w:tc>
          <w:tcPr>
            <w:tcW w:w="6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1040" w:type="dxa"/>
            <w:vAlign w:val="bottom"/>
            <w:tcBorders>
              <w:bottom w:val="single" w:sz="8" w:color="auto"/>
            </w:tcBorders>
            <w:shd w:val="clear" w:color="auto" w:fill="CCCCCC"/>
          </w:tcPr>
          <w:p>
            <w:pPr>
              <w:spacing w:after="0"/>
              <w:rPr>
                <w:sz w:val="24"/>
                <w:szCs w:val="24"/>
                <w:color w:val="auto"/>
              </w:rPr>
            </w:pPr>
          </w:p>
        </w:tc>
        <w:tc>
          <w:tcPr>
            <w:tcW w:w="100" w:type="dxa"/>
            <w:vAlign w:val="bottom"/>
            <w:tcBorders>
              <w:bottom w:val="single" w:sz="8" w:color="auto"/>
            </w:tcBorders>
            <w:shd w:val="clear" w:color="auto" w:fill="CCCCCC"/>
          </w:tcPr>
          <w:p>
            <w:pPr>
              <w:spacing w:after="0"/>
              <w:rPr>
                <w:sz w:val="24"/>
                <w:szCs w:val="24"/>
                <w:color w:val="auto"/>
              </w:rPr>
            </w:pPr>
          </w:p>
        </w:tc>
        <w:tc>
          <w:tcPr>
            <w:tcW w:w="5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8/7/2019</w:t>
            </w:r>
          </w:p>
        </w:tc>
        <w:tc>
          <w:tcPr>
            <w:tcW w:w="180" w:type="dxa"/>
            <w:vAlign w:val="bottom"/>
            <w:tcBorders>
              <w:bottom w:val="single" w:sz="8" w:color="auto"/>
            </w:tcBorders>
            <w:shd w:val="clear" w:color="auto" w:fill="CCCCCC"/>
          </w:tcPr>
          <w:p>
            <w:pPr>
              <w:spacing w:after="0"/>
              <w:rPr>
                <w:sz w:val="24"/>
                <w:szCs w:val="24"/>
                <w:color w:val="auto"/>
              </w:rPr>
            </w:pPr>
          </w:p>
        </w:tc>
        <w:tc>
          <w:tcPr>
            <w:tcW w:w="980" w:type="dxa"/>
            <w:vAlign w:val="bottom"/>
            <w:tcBorders>
              <w:bottom w:val="single" w:sz="8" w:color="auto"/>
            </w:tcBorders>
            <w:shd w:val="clear" w:color="auto" w:fill="CCCCCC"/>
          </w:tcPr>
          <w:p>
            <w:pPr>
              <w:spacing w:after="0"/>
              <w:rPr>
                <w:sz w:val="24"/>
                <w:szCs w:val="24"/>
                <w:color w:val="auto"/>
              </w:rPr>
            </w:pPr>
          </w:p>
        </w:tc>
        <w:tc>
          <w:tcPr>
            <w:tcW w:w="1260" w:type="dxa"/>
            <w:vAlign w:val="bottom"/>
            <w:tcBorders>
              <w:bottom w:val="single" w:sz="8" w:color="auto"/>
            </w:tcBorders>
            <w:shd w:val="clear" w:color="auto" w:fill="CCCCCC"/>
          </w:tcPr>
          <w:p>
            <w:pPr>
              <w:spacing w:after="0"/>
              <w:rPr>
                <w:sz w:val="24"/>
                <w:szCs w:val="24"/>
                <w:color w:val="auto"/>
              </w:rPr>
            </w:pPr>
          </w:p>
        </w:tc>
        <w:tc>
          <w:tcPr>
            <w:tcW w:w="1040" w:type="dxa"/>
            <w:vAlign w:val="bottom"/>
            <w:tcBorders>
              <w:bottom w:val="single" w:sz="8" w:color="auto"/>
            </w:tcBorders>
            <w:shd w:val="clear" w:color="auto" w:fill="CCCCCC"/>
          </w:tcPr>
          <w:p>
            <w:pPr>
              <w:spacing w:after="0"/>
              <w:rPr>
                <w:sz w:val="24"/>
                <w:szCs w:val="24"/>
                <w:color w:val="auto"/>
              </w:rPr>
            </w:pPr>
          </w:p>
        </w:tc>
        <w:tc>
          <w:tcPr>
            <w:tcW w:w="680" w:type="dxa"/>
            <w:vAlign w:val="bottom"/>
            <w:tcBorders>
              <w:bottom w:val="single" w:sz="8" w:color="auto"/>
            </w:tcBorders>
            <w:shd w:val="clear" w:color="auto" w:fill="CCCCCC"/>
          </w:tcPr>
          <w:p>
            <w:pPr>
              <w:spacing w:after="0"/>
              <w:rPr>
                <w:sz w:val="24"/>
                <w:szCs w:val="24"/>
                <w:color w:val="auto"/>
              </w:rPr>
            </w:pPr>
          </w:p>
        </w:tc>
        <w:tc>
          <w:tcPr>
            <w:tcW w:w="720" w:type="dxa"/>
            <w:vAlign w:val="bottom"/>
            <w:tcBorders>
              <w:bottom w:val="single" w:sz="8" w:color="auto"/>
            </w:tcBorders>
            <w:shd w:val="clear" w:color="auto" w:fill="CCCCCC"/>
          </w:tcPr>
          <w:p>
            <w:pPr>
              <w:spacing w:after="0"/>
              <w:rPr>
                <w:sz w:val="24"/>
                <w:szCs w:val="24"/>
                <w:color w:val="auto"/>
              </w:rPr>
            </w:pPr>
          </w:p>
        </w:tc>
        <w:tc>
          <w:tcPr>
            <w:tcW w:w="160" w:type="dxa"/>
            <w:vAlign w:val="bottom"/>
            <w:tcBorders>
              <w:bottom w:val="single" w:sz="8" w:color="auto"/>
            </w:tcBorders>
            <w:shd w:val="clear" w:color="auto" w:fill="CCCCCC"/>
          </w:tcPr>
          <w:p>
            <w:pPr>
              <w:spacing w:after="0"/>
              <w:rPr>
                <w:sz w:val="24"/>
                <w:szCs w:val="24"/>
                <w:color w:val="auto"/>
              </w:rPr>
            </w:pPr>
          </w:p>
        </w:tc>
        <w:tc>
          <w:tcPr>
            <w:tcW w:w="700" w:type="dxa"/>
            <w:vAlign w:val="bottom"/>
            <w:tcBorders>
              <w:bottom w:val="single" w:sz="8" w:color="auto"/>
            </w:tcBorders>
            <w:gridSpan w:val="2"/>
            <w:shd w:val="clear" w:color="auto" w:fill="CCCCCC"/>
          </w:tcPr>
          <w:p>
            <w:pPr>
              <w:jc w:val="right"/>
              <w:ind w:right="37"/>
              <w:spacing w:after="0"/>
              <w:rPr>
                <w:sz w:val="20"/>
                <w:szCs w:val="20"/>
                <w:color w:val="auto"/>
              </w:rPr>
            </w:pPr>
            <w:r>
              <w:rPr>
                <w:rFonts w:ascii="Arial" w:cs="Arial" w:eastAsia="Arial" w:hAnsi="Arial"/>
                <w:sz w:val="13"/>
                <w:szCs w:val="13"/>
                <w:color w:val="auto"/>
              </w:rPr>
              <w:t>8,011 (d)</w:t>
            </w:r>
          </w:p>
        </w:tc>
        <w:tc>
          <w:tcPr>
            <w:tcW w:w="800" w:type="dxa"/>
            <w:vAlign w:val="bottom"/>
            <w:tcBorders>
              <w:bottom w:val="single" w:sz="8" w:color="auto"/>
            </w:tcBorders>
            <w:shd w:val="clear" w:color="auto" w:fill="CCCCCC"/>
          </w:tcPr>
          <w:p>
            <w:pPr>
              <w:jc w:val="right"/>
              <w:ind w:right="17"/>
              <w:spacing w:after="0"/>
              <w:rPr>
                <w:sz w:val="20"/>
                <w:szCs w:val="20"/>
                <w:color w:val="auto"/>
              </w:rPr>
            </w:pPr>
            <w:r>
              <w:rPr>
                <w:rFonts w:ascii="Arial" w:cs="Arial" w:eastAsia="Arial" w:hAnsi="Arial"/>
                <w:sz w:val="13"/>
                <w:szCs w:val="13"/>
                <w:color w:val="auto"/>
              </w:rPr>
              <w:t>1,661,241</w:t>
            </w:r>
          </w:p>
        </w:tc>
        <w:tc>
          <w:tcPr>
            <w:tcW w:w="820" w:type="dxa"/>
            <w:vAlign w:val="bottom"/>
            <w:tcBorders>
              <w:bottom w:val="single" w:sz="8" w:color="auto"/>
            </w:tcBorders>
            <w:shd w:val="clear" w:color="auto" w:fill="CCCCCC"/>
          </w:tcPr>
          <w:p>
            <w:pPr>
              <w:ind w:left="160"/>
              <w:spacing w:after="0"/>
              <w:rPr>
                <w:sz w:val="20"/>
                <w:szCs w:val="20"/>
                <w:color w:val="auto"/>
              </w:rPr>
            </w:pPr>
            <w:r>
              <w:rPr>
                <w:rFonts w:ascii="Arial" w:cs="Arial" w:eastAsia="Arial" w:hAnsi="Arial"/>
                <w:sz w:val="13"/>
                <w:szCs w:val="13"/>
                <w:color w:val="auto"/>
              </w:rPr>
              <w:t>48,062 (k)</w:t>
            </w:r>
          </w:p>
        </w:tc>
        <w:tc>
          <w:tcPr>
            <w:tcW w:w="7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9,966,617</w:t>
            </w:r>
          </w:p>
        </w:tc>
        <w:tc>
          <w:tcPr>
            <w:tcW w:w="60" w:type="dxa"/>
            <w:vAlign w:val="bottom"/>
            <w:tcBorders>
              <w:bottom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940" w:right="600" w:hanging="350"/>
        <w:spacing w:after="0" w:line="285" w:lineRule="auto"/>
        <w:tabs>
          <w:tab w:leader="none" w:pos="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Stock awards include RSUs and PSUs. Values are based on the closing price of our Common Stock on December 31, 2021 of $207.37. Notes (b)-(k) are set forth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Award</w:t>
            </w:r>
          </w:p>
        </w:tc>
        <w:tc>
          <w:tcPr>
            <w:tcW w:w="8960" w:type="dxa"/>
            <w:vAlign w:val="bottom"/>
          </w:tcPr>
          <w:p>
            <w:pPr>
              <w:ind w:left="200"/>
              <w:spacing w:after="0"/>
              <w:rPr>
                <w:sz w:val="20"/>
                <w:szCs w:val="20"/>
                <w:color w:val="auto"/>
              </w:rPr>
            </w:pPr>
            <w:r>
              <w:rPr>
                <w:rFonts w:ascii="Arial" w:cs="Arial" w:eastAsia="Arial" w:hAnsi="Arial"/>
                <w:sz w:val="14"/>
                <w:szCs w:val="14"/>
                <w:b w:val="1"/>
                <w:bCs w:val="1"/>
                <w:color w:val="auto"/>
              </w:rPr>
              <w:t>Scheduled Vesting</w:t>
            </w:r>
          </w:p>
        </w:tc>
      </w:tr>
      <w:tr>
        <w:trPr>
          <w:trHeight w:val="291"/>
        </w:trPr>
        <w:tc>
          <w:tcPr>
            <w:tcW w:w="1140" w:type="dxa"/>
            <w:vAlign w:val="bottom"/>
          </w:tcPr>
          <w:p>
            <w:pPr>
              <w:ind w:left="680"/>
              <w:spacing w:after="0"/>
              <w:rPr>
                <w:sz w:val="20"/>
                <w:szCs w:val="20"/>
                <w:color w:val="auto"/>
              </w:rPr>
            </w:pPr>
            <w:r>
              <w:rPr>
                <w:rFonts w:ascii="Arial" w:cs="Arial" w:eastAsia="Arial" w:hAnsi="Arial"/>
                <w:sz w:val="14"/>
                <w:szCs w:val="14"/>
                <w:color w:val="auto"/>
              </w:rPr>
              <w:t>(b)</w:t>
            </w:r>
          </w:p>
        </w:tc>
        <w:tc>
          <w:tcPr>
            <w:tcW w:w="92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Three equal installments on March 9, 2022, 2023, and 2024.</w:t>
            </w:r>
          </w:p>
        </w:tc>
      </w:tr>
      <w:tr>
        <w:trPr>
          <w:trHeight w:val="270"/>
        </w:trPr>
        <w:tc>
          <w:tcPr>
            <w:tcW w:w="1140" w:type="dxa"/>
            <w:vAlign w:val="bottom"/>
          </w:tcPr>
          <w:p>
            <w:pPr>
              <w:ind w:left="680"/>
              <w:spacing w:after="0"/>
              <w:rPr>
                <w:sz w:val="20"/>
                <w:szCs w:val="20"/>
                <w:color w:val="auto"/>
              </w:rPr>
            </w:pPr>
            <w:r>
              <w:rPr>
                <w:rFonts w:ascii="Arial" w:cs="Arial" w:eastAsia="Arial" w:hAnsi="Arial"/>
                <w:sz w:val="14"/>
                <w:szCs w:val="14"/>
                <w:color w:val="auto"/>
              </w:rPr>
              <w:t>(c)</w:t>
            </w:r>
          </w:p>
        </w:tc>
        <w:tc>
          <w:tcPr>
            <w:tcW w:w="92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Two equal installments on March 9, 2022 and 2023.</w:t>
            </w:r>
          </w:p>
        </w:tc>
      </w:tr>
      <w:tr>
        <w:trPr>
          <w:trHeight w:val="270"/>
        </w:trPr>
        <w:tc>
          <w:tcPr>
            <w:tcW w:w="1140" w:type="dxa"/>
            <w:vAlign w:val="bottom"/>
          </w:tcPr>
          <w:p>
            <w:pPr>
              <w:ind w:left="680"/>
              <w:spacing w:after="0"/>
              <w:rPr>
                <w:sz w:val="20"/>
                <w:szCs w:val="20"/>
                <w:color w:val="auto"/>
              </w:rPr>
            </w:pPr>
            <w:r>
              <w:rPr>
                <w:rFonts w:ascii="Arial" w:cs="Arial" w:eastAsia="Arial" w:hAnsi="Arial"/>
                <w:sz w:val="14"/>
                <w:szCs w:val="14"/>
                <w:color w:val="auto"/>
              </w:rPr>
              <w:t>(d)</w:t>
            </w:r>
          </w:p>
        </w:tc>
        <w:tc>
          <w:tcPr>
            <w:tcW w:w="92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March 15, 2022.</w:t>
            </w:r>
          </w:p>
        </w:tc>
      </w:tr>
      <w:tr>
        <w:trPr>
          <w:trHeight w:val="270"/>
        </w:trPr>
        <w:tc>
          <w:tcPr>
            <w:tcW w:w="1140" w:type="dxa"/>
            <w:vAlign w:val="bottom"/>
          </w:tcPr>
          <w:p>
            <w:pPr>
              <w:ind w:left="680"/>
              <w:spacing w:after="0"/>
              <w:rPr>
                <w:sz w:val="20"/>
                <w:szCs w:val="20"/>
                <w:color w:val="auto"/>
              </w:rPr>
            </w:pPr>
            <w:r>
              <w:rPr>
                <w:rFonts w:ascii="Arial" w:cs="Arial" w:eastAsia="Arial" w:hAnsi="Arial"/>
                <w:sz w:val="14"/>
                <w:szCs w:val="14"/>
                <w:color w:val="auto"/>
              </w:rPr>
              <w:t>(e)</w:t>
            </w:r>
          </w:p>
        </w:tc>
        <w:tc>
          <w:tcPr>
            <w:tcW w:w="92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Two equal installments on August 31, 2022 and 2023.</w:t>
            </w:r>
          </w:p>
        </w:tc>
      </w:tr>
      <w:tr>
        <w:trPr>
          <w:trHeight w:val="270"/>
        </w:trPr>
        <w:tc>
          <w:tcPr>
            <w:tcW w:w="1140" w:type="dxa"/>
            <w:vAlign w:val="bottom"/>
          </w:tcPr>
          <w:p>
            <w:pPr>
              <w:ind w:left="680"/>
              <w:spacing w:after="0"/>
              <w:rPr>
                <w:sz w:val="20"/>
                <w:szCs w:val="20"/>
                <w:color w:val="auto"/>
              </w:rPr>
            </w:pPr>
            <w:r>
              <w:rPr>
                <w:rFonts w:ascii="Arial" w:cs="Arial" w:eastAsia="Arial" w:hAnsi="Arial"/>
                <w:sz w:val="14"/>
                <w:szCs w:val="14"/>
                <w:color w:val="auto"/>
              </w:rPr>
              <w:t>(f)</w:t>
            </w:r>
          </w:p>
        </w:tc>
        <w:tc>
          <w:tcPr>
            <w:tcW w:w="92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June 30, 2022.</w:t>
            </w:r>
          </w:p>
        </w:tc>
      </w:tr>
      <w:tr>
        <w:trPr>
          <w:trHeight w:val="270"/>
        </w:trPr>
        <w:tc>
          <w:tcPr>
            <w:tcW w:w="1140" w:type="dxa"/>
            <w:vAlign w:val="bottom"/>
          </w:tcPr>
          <w:p>
            <w:pPr>
              <w:ind w:left="680"/>
              <w:spacing w:after="0"/>
              <w:rPr>
                <w:sz w:val="20"/>
                <w:szCs w:val="20"/>
                <w:color w:val="auto"/>
              </w:rPr>
            </w:pPr>
            <w:r>
              <w:rPr>
                <w:rFonts w:ascii="Arial" w:cs="Arial" w:eastAsia="Arial" w:hAnsi="Arial"/>
                <w:sz w:val="14"/>
                <w:szCs w:val="14"/>
                <w:color w:val="auto"/>
              </w:rPr>
              <w:t>(g)</w:t>
            </w:r>
          </w:p>
        </w:tc>
        <w:tc>
          <w:tcPr>
            <w:tcW w:w="92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Two equal installments on June 30, 2022 and 2023.</w:t>
            </w:r>
          </w:p>
        </w:tc>
      </w:tr>
      <w:tr>
        <w:trPr>
          <w:trHeight w:val="270"/>
        </w:trPr>
        <w:tc>
          <w:tcPr>
            <w:tcW w:w="1140" w:type="dxa"/>
            <w:vAlign w:val="bottom"/>
          </w:tcPr>
          <w:p>
            <w:pPr>
              <w:ind w:left="680"/>
              <w:spacing w:after="0"/>
              <w:rPr>
                <w:sz w:val="20"/>
                <w:szCs w:val="20"/>
                <w:color w:val="auto"/>
              </w:rPr>
            </w:pPr>
            <w:r>
              <w:rPr>
                <w:rFonts w:ascii="Arial" w:cs="Arial" w:eastAsia="Arial" w:hAnsi="Arial"/>
                <w:sz w:val="14"/>
                <w:szCs w:val="14"/>
                <w:color w:val="auto"/>
              </w:rPr>
              <w:t>(h)</w:t>
            </w:r>
          </w:p>
        </w:tc>
        <w:tc>
          <w:tcPr>
            <w:tcW w:w="92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One-third on March 15, 2023, and two-thirds on March 15, 2024.</w:t>
            </w:r>
          </w:p>
        </w:tc>
      </w:tr>
      <w:tr>
        <w:trPr>
          <w:trHeight w:val="242"/>
        </w:trPr>
        <w:tc>
          <w:tcPr>
            <w:tcW w:w="1140" w:type="dxa"/>
            <w:vAlign w:val="bottom"/>
          </w:tcPr>
          <w:p>
            <w:pPr>
              <w:ind w:left="680"/>
              <w:spacing w:after="0"/>
              <w:rPr>
                <w:sz w:val="20"/>
                <w:szCs w:val="20"/>
                <w:color w:val="auto"/>
              </w:rPr>
            </w:pPr>
            <w:r>
              <w:rPr>
                <w:rFonts w:ascii="Arial" w:cs="Arial" w:eastAsia="Arial" w:hAnsi="Arial"/>
                <w:sz w:val="14"/>
                <w:szCs w:val="14"/>
                <w:color w:val="auto"/>
              </w:rPr>
              <w:t>(i)</w:t>
            </w:r>
          </w:p>
        </w:tc>
        <w:tc>
          <w:tcPr>
            <w:tcW w:w="920" w:type="dxa"/>
            <w:vAlign w:val="bottom"/>
          </w:tcPr>
          <w:p>
            <w:pPr>
              <w:ind w:left="280"/>
              <w:spacing w:after="0"/>
              <w:rPr>
                <w:sz w:val="20"/>
                <w:szCs w:val="20"/>
                <w:color w:val="auto"/>
              </w:rPr>
            </w:pPr>
            <w:r>
              <w:rPr>
                <w:rFonts w:ascii="Arial" w:cs="Arial" w:eastAsia="Arial" w:hAnsi="Arial"/>
                <w:sz w:val="14"/>
                <w:szCs w:val="14"/>
                <w:color w:val="auto"/>
              </w:rPr>
              <w:t>PSUs</w:t>
            </w:r>
          </w:p>
        </w:tc>
        <w:tc>
          <w:tcPr>
            <w:tcW w:w="8960" w:type="dxa"/>
            <w:vAlign w:val="bottom"/>
          </w:tcPr>
          <w:p>
            <w:pPr>
              <w:ind w:left="200"/>
              <w:spacing w:after="0"/>
              <w:rPr>
                <w:sz w:val="20"/>
                <w:szCs w:val="20"/>
                <w:color w:val="auto"/>
              </w:rPr>
            </w:pPr>
            <w:r>
              <w:rPr>
                <w:rFonts w:ascii="Arial" w:cs="Arial" w:eastAsia="Arial" w:hAnsi="Arial"/>
                <w:sz w:val="14"/>
                <w:szCs w:val="14"/>
                <w:color w:val="auto"/>
              </w:rPr>
              <w:t>March 9, 2024, based on highest one-year Adjusted EBITDA performance during the performance period as discussed in the</w:t>
            </w:r>
          </w:p>
        </w:tc>
      </w:tr>
      <w:tr>
        <w:trPr>
          <w:trHeight w:val="162"/>
        </w:trPr>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960" w:type="dxa"/>
            <w:vAlign w:val="bottom"/>
          </w:tcPr>
          <w:p>
            <w:pPr>
              <w:ind w:left="200"/>
              <w:spacing w:after="0"/>
              <w:rPr>
                <w:sz w:val="20"/>
                <w:szCs w:val="20"/>
                <w:color w:val="auto"/>
              </w:rPr>
            </w:pPr>
            <w:r>
              <w:rPr>
                <w:rFonts w:ascii="Arial" w:cs="Arial" w:eastAsia="Arial" w:hAnsi="Arial"/>
                <w:sz w:val="14"/>
                <w:szCs w:val="14"/>
                <w:color w:val="auto"/>
              </w:rPr>
              <w:t>CD&amp;A, and disclosed above at maximum value as performance goals were achieved at the maximum vesting level (150% of</w:t>
            </w:r>
          </w:p>
        </w:tc>
      </w:tr>
      <w:tr>
        <w:trPr>
          <w:trHeight w:val="190"/>
        </w:trPr>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960" w:type="dxa"/>
            <w:vAlign w:val="bottom"/>
          </w:tcPr>
          <w:p>
            <w:pPr>
              <w:ind w:left="200"/>
              <w:spacing w:after="0"/>
              <w:rPr>
                <w:sz w:val="20"/>
                <w:szCs w:val="20"/>
                <w:color w:val="auto"/>
              </w:rPr>
            </w:pPr>
            <w:r>
              <w:rPr>
                <w:rFonts w:ascii="Arial" w:cs="Arial" w:eastAsia="Arial" w:hAnsi="Arial"/>
                <w:sz w:val="14"/>
                <w:szCs w:val="14"/>
                <w:color w:val="auto"/>
              </w:rPr>
              <w:t>target).</w:t>
            </w:r>
          </w:p>
        </w:tc>
      </w:tr>
      <w:tr>
        <w:trPr>
          <w:trHeight w:val="270"/>
        </w:trPr>
        <w:tc>
          <w:tcPr>
            <w:tcW w:w="1140" w:type="dxa"/>
            <w:vAlign w:val="bottom"/>
          </w:tcPr>
          <w:p>
            <w:pPr>
              <w:ind w:left="680"/>
              <w:spacing w:after="0"/>
              <w:rPr>
                <w:sz w:val="20"/>
                <w:szCs w:val="20"/>
                <w:color w:val="auto"/>
              </w:rPr>
            </w:pPr>
            <w:r>
              <w:rPr>
                <w:rFonts w:ascii="Arial" w:cs="Arial" w:eastAsia="Arial" w:hAnsi="Arial"/>
                <w:sz w:val="14"/>
                <w:szCs w:val="14"/>
                <w:color w:val="auto"/>
              </w:rPr>
              <w:t>(j)</w:t>
            </w:r>
          </w:p>
        </w:tc>
        <w:tc>
          <w:tcPr>
            <w:tcW w:w="920" w:type="dxa"/>
            <w:vAlign w:val="bottom"/>
          </w:tcPr>
          <w:p>
            <w:pPr>
              <w:ind w:left="280"/>
              <w:spacing w:after="0"/>
              <w:rPr>
                <w:sz w:val="20"/>
                <w:szCs w:val="20"/>
                <w:color w:val="auto"/>
              </w:rPr>
            </w:pPr>
            <w:r>
              <w:rPr>
                <w:rFonts w:ascii="Arial" w:cs="Arial" w:eastAsia="Arial" w:hAnsi="Arial"/>
                <w:sz w:val="14"/>
                <w:szCs w:val="14"/>
                <w:color w:val="auto"/>
              </w:rPr>
              <w:t>PSUs</w:t>
            </w:r>
          </w:p>
        </w:tc>
        <w:tc>
          <w:tcPr>
            <w:tcW w:w="8960" w:type="dxa"/>
            <w:vAlign w:val="bottom"/>
          </w:tcPr>
          <w:p>
            <w:pPr>
              <w:ind w:left="200"/>
              <w:spacing w:after="0"/>
              <w:rPr>
                <w:sz w:val="20"/>
                <w:szCs w:val="20"/>
                <w:color w:val="auto"/>
              </w:rPr>
            </w:pPr>
            <w:r>
              <w:rPr>
                <w:rFonts w:ascii="Arial" w:cs="Arial" w:eastAsia="Arial" w:hAnsi="Arial"/>
                <w:sz w:val="14"/>
                <w:szCs w:val="14"/>
                <w:color w:val="auto"/>
              </w:rPr>
              <w:t>March 9, 2023 based on three-year cumulative Adjusted EBITDA performance and disclosed above at target value.</w:t>
            </w:r>
          </w:p>
        </w:tc>
      </w:tr>
      <w:tr>
        <w:trPr>
          <w:trHeight w:val="242"/>
        </w:trPr>
        <w:tc>
          <w:tcPr>
            <w:tcW w:w="1140" w:type="dxa"/>
            <w:vAlign w:val="bottom"/>
          </w:tcPr>
          <w:p>
            <w:pPr>
              <w:ind w:left="680"/>
              <w:spacing w:after="0"/>
              <w:rPr>
                <w:sz w:val="20"/>
                <w:szCs w:val="20"/>
                <w:color w:val="auto"/>
              </w:rPr>
            </w:pPr>
            <w:r>
              <w:rPr>
                <w:rFonts w:ascii="Arial" w:cs="Arial" w:eastAsia="Arial" w:hAnsi="Arial"/>
                <w:sz w:val="14"/>
                <w:szCs w:val="14"/>
                <w:color w:val="auto"/>
              </w:rPr>
              <w:t>(k)</w:t>
            </w:r>
          </w:p>
        </w:tc>
        <w:tc>
          <w:tcPr>
            <w:tcW w:w="920" w:type="dxa"/>
            <w:vAlign w:val="bottom"/>
          </w:tcPr>
          <w:p>
            <w:pPr>
              <w:ind w:left="280"/>
              <w:spacing w:after="0"/>
              <w:rPr>
                <w:sz w:val="20"/>
                <w:szCs w:val="20"/>
                <w:color w:val="auto"/>
              </w:rPr>
            </w:pPr>
            <w:r>
              <w:rPr>
                <w:rFonts w:ascii="Arial" w:cs="Arial" w:eastAsia="Arial" w:hAnsi="Arial"/>
                <w:sz w:val="14"/>
                <w:szCs w:val="14"/>
                <w:color w:val="auto"/>
              </w:rPr>
              <w:t>PSUs</w:t>
            </w:r>
          </w:p>
        </w:tc>
        <w:tc>
          <w:tcPr>
            <w:tcW w:w="8960" w:type="dxa"/>
            <w:vAlign w:val="bottom"/>
          </w:tcPr>
          <w:p>
            <w:pPr>
              <w:ind w:left="200"/>
              <w:spacing w:after="0"/>
              <w:rPr>
                <w:sz w:val="20"/>
                <w:szCs w:val="20"/>
                <w:color w:val="auto"/>
              </w:rPr>
            </w:pPr>
            <w:r>
              <w:rPr>
                <w:rFonts w:ascii="Arial" w:cs="Arial" w:eastAsia="Arial" w:hAnsi="Arial"/>
                <w:sz w:val="14"/>
                <w:szCs w:val="14"/>
                <w:color w:val="auto"/>
              </w:rPr>
              <w:t>March 15, 2022, based on three-year cumulative Adjusted EBITDA performance, and disclosed above at maximum value as</w:t>
            </w:r>
          </w:p>
        </w:tc>
      </w:tr>
      <w:tr>
        <w:trPr>
          <w:trHeight w:val="190"/>
        </w:trPr>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960" w:type="dxa"/>
            <w:vAlign w:val="bottom"/>
          </w:tcPr>
          <w:p>
            <w:pPr>
              <w:ind w:left="200"/>
              <w:spacing w:after="0"/>
              <w:rPr>
                <w:sz w:val="20"/>
                <w:szCs w:val="20"/>
                <w:color w:val="auto"/>
              </w:rPr>
            </w:pPr>
            <w:r>
              <w:rPr>
                <w:rFonts w:ascii="Arial" w:cs="Arial" w:eastAsia="Arial" w:hAnsi="Arial"/>
                <w:sz w:val="14"/>
                <w:szCs w:val="14"/>
                <w:color w:val="auto"/>
              </w:rPr>
              <w:t>performance goals were achieved at the maximum vesting level (200% of target).</w:t>
            </w:r>
          </w:p>
        </w:tc>
      </w:tr>
      <w:tr>
        <w:trPr>
          <w:trHeight w:val="552"/>
        </w:trPr>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60" w:type="dxa"/>
            <w:vAlign w:val="bottom"/>
          </w:tcPr>
          <w:p>
            <w:pPr>
              <w:ind w:left="3340"/>
              <w:spacing w:after="0"/>
              <w:rPr>
                <w:sz w:val="20"/>
                <w:szCs w:val="20"/>
                <w:color w:val="auto"/>
              </w:rPr>
            </w:pPr>
            <w:r>
              <w:rPr>
                <w:rFonts w:ascii="Arial" w:cs="Arial" w:eastAsia="Arial" w:hAnsi="Arial"/>
                <w:sz w:val="18"/>
                <w:szCs w:val="18"/>
                <w:color w:val="auto"/>
              </w:rPr>
              <w:t>36</w:t>
            </w:r>
          </w:p>
        </w:tc>
      </w:tr>
      <w:tr>
        <w:trPr>
          <w:trHeight w:val="219"/>
        </w:trPr>
        <w:tc>
          <w:tcPr>
            <w:tcW w:w="1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9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41" w:name="page42"/>
    <w:bookmarkEnd w:id="41"/>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2021 Option Exercises and Stock Vested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2420" w:type="dxa"/>
            <w:vAlign w:val="bottom"/>
            <w:gridSpan w:val="3"/>
          </w:tcPr>
          <w:p>
            <w:pPr>
              <w:ind w:left="560"/>
              <w:spacing w:after="0"/>
              <w:rPr>
                <w:sz w:val="20"/>
                <w:szCs w:val="20"/>
                <w:color w:val="auto"/>
              </w:rPr>
            </w:pPr>
            <w:r>
              <w:rPr>
                <w:rFonts w:ascii="Arial" w:cs="Arial" w:eastAsia="Arial" w:hAnsi="Arial"/>
                <w:sz w:val="14"/>
                <w:szCs w:val="14"/>
                <w:b w:val="1"/>
                <w:bCs w:val="1"/>
                <w:color w:val="auto"/>
              </w:rPr>
              <w:t>Option Awards</w:t>
            </w:r>
          </w:p>
        </w:tc>
        <w:tc>
          <w:tcPr>
            <w:tcW w:w="2300" w:type="dxa"/>
            <w:vAlign w:val="bottom"/>
            <w:gridSpan w:val="3"/>
          </w:tcPr>
          <w:p>
            <w:pPr>
              <w:ind w:left="640"/>
              <w:spacing w:after="0"/>
              <w:rPr>
                <w:sz w:val="20"/>
                <w:szCs w:val="20"/>
                <w:color w:val="auto"/>
              </w:rPr>
            </w:pPr>
            <w:r>
              <w:rPr>
                <w:rFonts w:ascii="Arial" w:cs="Arial" w:eastAsia="Arial" w:hAnsi="Arial"/>
                <w:sz w:val="14"/>
                <w:szCs w:val="14"/>
                <w:b w:val="1"/>
                <w:bCs w:val="1"/>
                <w:color w:val="auto"/>
              </w:rPr>
              <w:t>Stock Awards</w:t>
            </w:r>
          </w:p>
        </w:tc>
      </w:tr>
      <w:tr>
        <w:trPr>
          <w:trHeight w:val="43"/>
        </w:trPr>
        <w:tc>
          <w:tcPr>
            <w:tcW w:w="51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14"/>
        </w:trPr>
        <w:tc>
          <w:tcPr>
            <w:tcW w:w="5120" w:type="dxa"/>
            <w:vAlign w:val="bottom"/>
          </w:tcPr>
          <w:p>
            <w:pPr>
              <w:spacing w:after="0"/>
              <w:rPr>
                <w:sz w:val="18"/>
                <w:szCs w:val="18"/>
                <w:color w:val="auto"/>
              </w:rPr>
            </w:pPr>
          </w:p>
        </w:tc>
        <w:tc>
          <w:tcPr>
            <w:tcW w:w="1180" w:type="dxa"/>
            <w:vAlign w:val="bottom"/>
          </w:tcPr>
          <w:p>
            <w:pPr>
              <w:jc w:val="center"/>
              <w:ind w:right="68"/>
              <w:spacing w:after="0"/>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Value</w:t>
            </w:r>
          </w:p>
        </w:tc>
        <w:tc>
          <w:tcPr>
            <w:tcW w:w="1160" w:type="dxa"/>
            <w:vAlign w:val="bottom"/>
          </w:tcPr>
          <w:p>
            <w:pPr>
              <w:jc w:val="center"/>
              <w:ind w:right="168"/>
              <w:spacing w:after="0"/>
              <w:rPr>
                <w:sz w:val="20"/>
                <w:szCs w:val="20"/>
                <w:color w:val="auto"/>
              </w:rPr>
            </w:pPr>
            <w:r>
              <w:rPr>
                <w:rFonts w:ascii="Arial" w:cs="Arial" w:eastAsia="Arial" w:hAnsi="Arial"/>
                <w:sz w:val="14"/>
                <w:szCs w:val="14"/>
                <w:b w:val="1"/>
                <w:bCs w:val="1"/>
                <w:color w:val="auto"/>
              </w:rPr>
              <w:t>Number of</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2"/>
        </w:trPr>
        <w:tc>
          <w:tcPr>
            <w:tcW w:w="5120" w:type="dxa"/>
            <w:vAlign w:val="bottom"/>
          </w:tcPr>
          <w:p>
            <w:pPr>
              <w:spacing w:after="0"/>
              <w:rPr>
                <w:sz w:val="14"/>
                <w:szCs w:val="14"/>
                <w:color w:val="auto"/>
              </w:rPr>
            </w:pPr>
          </w:p>
        </w:tc>
        <w:tc>
          <w:tcPr>
            <w:tcW w:w="1180" w:type="dxa"/>
            <w:vAlign w:val="bottom"/>
          </w:tcPr>
          <w:p>
            <w:pPr>
              <w:jc w:val="center"/>
              <w:ind w:right="68"/>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Realized</w:t>
            </w:r>
          </w:p>
        </w:tc>
        <w:tc>
          <w:tcPr>
            <w:tcW w:w="1160" w:type="dxa"/>
            <w:vAlign w:val="bottom"/>
          </w:tcPr>
          <w:p>
            <w:pPr>
              <w:jc w:val="center"/>
              <w:ind w:right="168"/>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Value</w:t>
            </w:r>
          </w:p>
        </w:tc>
      </w:tr>
      <w:tr>
        <w:trPr>
          <w:trHeight w:val="162"/>
        </w:trPr>
        <w:tc>
          <w:tcPr>
            <w:tcW w:w="5120" w:type="dxa"/>
            <w:vAlign w:val="bottom"/>
          </w:tcPr>
          <w:p>
            <w:pPr>
              <w:spacing w:after="0"/>
              <w:rPr>
                <w:sz w:val="14"/>
                <w:szCs w:val="14"/>
                <w:color w:val="auto"/>
              </w:rPr>
            </w:pPr>
          </w:p>
        </w:tc>
        <w:tc>
          <w:tcPr>
            <w:tcW w:w="1180" w:type="dxa"/>
            <w:vAlign w:val="bottom"/>
          </w:tcPr>
          <w:p>
            <w:pPr>
              <w:jc w:val="center"/>
              <w:ind w:right="68"/>
              <w:spacing w:after="0"/>
              <w:rPr>
                <w:sz w:val="20"/>
                <w:szCs w:val="20"/>
                <w:color w:val="auto"/>
              </w:rPr>
            </w:pPr>
            <w:r>
              <w:rPr>
                <w:rFonts w:ascii="Arial" w:cs="Arial" w:eastAsia="Arial" w:hAnsi="Arial"/>
                <w:sz w:val="14"/>
                <w:szCs w:val="14"/>
                <w:b w:val="1"/>
                <w:bCs w:val="1"/>
                <w:color w:val="auto"/>
              </w:rPr>
              <w:t>Acquired on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on</w:t>
            </w:r>
          </w:p>
        </w:tc>
        <w:tc>
          <w:tcPr>
            <w:tcW w:w="1160" w:type="dxa"/>
            <w:vAlign w:val="bottom"/>
          </w:tcPr>
          <w:p>
            <w:pPr>
              <w:jc w:val="center"/>
              <w:ind w:right="168"/>
              <w:spacing w:after="0"/>
              <w:rPr>
                <w:sz w:val="20"/>
                <w:szCs w:val="20"/>
                <w:color w:val="auto"/>
              </w:rPr>
            </w:pPr>
            <w:r>
              <w:rPr>
                <w:rFonts w:ascii="Arial" w:cs="Arial" w:eastAsia="Arial" w:hAnsi="Arial"/>
                <w:sz w:val="14"/>
                <w:szCs w:val="14"/>
                <w:b w:val="1"/>
                <w:bCs w:val="1"/>
                <w:color w:val="auto"/>
              </w:rPr>
              <w:t>Acquired on</w:t>
            </w: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Realized</w:t>
            </w:r>
          </w:p>
        </w:tc>
      </w:tr>
      <w:tr>
        <w:trPr>
          <w:trHeight w:val="162"/>
        </w:trPr>
        <w:tc>
          <w:tcPr>
            <w:tcW w:w="5120" w:type="dxa"/>
            <w:vAlign w:val="bottom"/>
          </w:tcPr>
          <w:p>
            <w:pPr>
              <w:spacing w:after="0"/>
              <w:rPr>
                <w:sz w:val="14"/>
                <w:szCs w:val="14"/>
                <w:color w:val="auto"/>
              </w:rPr>
            </w:pPr>
          </w:p>
        </w:tc>
        <w:tc>
          <w:tcPr>
            <w:tcW w:w="1180" w:type="dxa"/>
            <w:vAlign w:val="bottom"/>
          </w:tcPr>
          <w:p>
            <w:pPr>
              <w:jc w:val="center"/>
              <w:ind w:right="68"/>
              <w:spacing w:after="0"/>
              <w:rPr>
                <w:sz w:val="20"/>
                <w:szCs w:val="20"/>
                <w:color w:val="auto"/>
              </w:rPr>
            </w:pPr>
            <w:r>
              <w:rPr>
                <w:rFonts w:ascii="Arial" w:cs="Arial" w:eastAsia="Arial" w:hAnsi="Arial"/>
                <w:sz w:val="14"/>
                <w:szCs w:val="14"/>
                <w:b w:val="1"/>
                <w:bCs w:val="1"/>
                <w:color w:val="auto"/>
              </w:rPr>
              <w:t>Exercise</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Exercise</w:t>
            </w:r>
          </w:p>
        </w:tc>
        <w:tc>
          <w:tcPr>
            <w:tcW w:w="11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Vesting</w:t>
            </w: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on Vesting</w:t>
            </w:r>
          </w:p>
        </w:tc>
      </w:tr>
      <w:tr>
        <w:trPr>
          <w:trHeight w:val="196"/>
        </w:trPr>
        <w:tc>
          <w:tcPr>
            <w:tcW w:w="512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118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980" w:type="dxa"/>
            <w:vAlign w:val="bottom"/>
          </w:tcPr>
          <w:p>
            <w:pPr>
              <w:jc w:val="center"/>
              <w:ind w:lef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ind w:left="400"/>
              <w:spacing w:after="0"/>
              <w:rPr>
                <w:sz w:val="20"/>
                <w:szCs w:val="20"/>
                <w:color w:val="auto"/>
              </w:rPr>
            </w:pPr>
            <w:r>
              <w:rPr>
                <w:rFonts w:ascii="Arial" w:cs="Arial" w:eastAsia="Arial" w:hAnsi="Arial"/>
                <w:sz w:val="14"/>
                <w:szCs w:val="14"/>
                <w:b w:val="1"/>
                <w:bCs w:val="1"/>
                <w:color w:val="auto"/>
              </w:rPr>
              <w:t>($)(a)</w:t>
            </w:r>
          </w:p>
        </w:tc>
      </w:tr>
      <w:tr>
        <w:trPr>
          <w:trHeight w:val="43"/>
        </w:trPr>
        <w:tc>
          <w:tcPr>
            <w:tcW w:w="5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512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Mr. Ferraro</w:t>
            </w:r>
          </w:p>
        </w:tc>
        <w:tc>
          <w:tcPr>
            <w:tcW w:w="1180" w:type="dxa"/>
            <w:vAlign w:val="bottom"/>
            <w:tcBorders>
              <w:bottom w:val="single" w:sz="8" w:color="CCCCCC"/>
            </w:tcBorders>
            <w:shd w:val="clear" w:color="auto" w:fill="CCCCCC"/>
          </w:tcPr>
          <w:p>
            <w:pPr>
              <w:jc w:val="center"/>
              <w:ind w:right="48"/>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CCCCCC"/>
            </w:tcBorders>
            <w:gridSpan w:val="2"/>
            <w:shd w:val="clear" w:color="auto" w:fill="CCCCCC"/>
          </w:tcPr>
          <w:p>
            <w:pPr>
              <w:jc w:val="center"/>
              <w:ind w:righ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CCCC"/>
            </w:tcBorders>
            <w:shd w:val="clear" w:color="auto" w:fill="CCCCCC"/>
          </w:tcPr>
          <w:p>
            <w:pPr>
              <w:jc w:val="right"/>
              <w:ind w:right="128"/>
              <w:spacing w:after="0"/>
              <w:rPr>
                <w:sz w:val="20"/>
                <w:szCs w:val="20"/>
                <w:color w:val="auto"/>
              </w:rPr>
            </w:pPr>
            <w:r>
              <w:rPr>
                <w:rFonts w:ascii="Arial" w:cs="Arial" w:eastAsia="Arial" w:hAnsi="Arial"/>
                <w:sz w:val="14"/>
                <w:szCs w:val="14"/>
                <w:color w:val="auto"/>
              </w:rPr>
              <w:t>97,658</w:t>
            </w:r>
          </w:p>
        </w:tc>
        <w:tc>
          <w:tcPr>
            <w:tcW w:w="1080" w:type="dxa"/>
            <w:vAlign w:val="bottom"/>
            <w:tcBorders>
              <w:bottom w:val="single" w:sz="8" w:color="CCCCCC"/>
            </w:tcBorders>
            <w:shd w:val="clear" w:color="auto" w:fill="CCCCCC"/>
          </w:tcPr>
          <w:p>
            <w:pPr>
              <w:ind w:left="400"/>
              <w:spacing w:after="0"/>
              <w:rPr>
                <w:sz w:val="20"/>
                <w:szCs w:val="20"/>
                <w:color w:val="auto"/>
              </w:rPr>
            </w:pPr>
            <w:r>
              <w:rPr>
                <w:rFonts w:ascii="Arial" w:cs="Arial" w:eastAsia="Arial" w:hAnsi="Arial"/>
                <w:sz w:val="14"/>
                <w:szCs w:val="14"/>
                <w:color w:val="auto"/>
              </w:rPr>
              <w:t>8,853,869</w:t>
            </w:r>
          </w:p>
        </w:tc>
        <w:tc>
          <w:tcPr>
            <w:tcW w:w="60" w:type="dxa"/>
            <w:vAlign w:val="bottom"/>
            <w:tcBorders>
              <w:bottom w:val="single" w:sz="8" w:color="CCCCCC"/>
            </w:tcBorders>
            <w:shd w:val="clear" w:color="auto" w:fill="CCCCCC"/>
          </w:tcPr>
          <w:p>
            <w:pPr>
              <w:spacing w:after="0"/>
              <w:rPr>
                <w:sz w:val="22"/>
                <w:szCs w:val="22"/>
                <w:color w:val="auto"/>
              </w:rPr>
            </w:pPr>
          </w:p>
        </w:tc>
      </w:tr>
      <w:tr>
        <w:trPr>
          <w:trHeight w:val="235"/>
        </w:trPr>
        <w:tc>
          <w:tcPr>
            <w:tcW w:w="5120" w:type="dxa"/>
            <w:vAlign w:val="bottom"/>
          </w:tcPr>
          <w:p>
            <w:pPr>
              <w:ind w:left="100"/>
              <w:spacing w:after="0"/>
              <w:rPr>
                <w:sz w:val="20"/>
                <w:szCs w:val="20"/>
                <w:color w:val="auto"/>
              </w:rPr>
            </w:pPr>
            <w:r>
              <w:rPr>
                <w:rFonts w:ascii="Arial" w:cs="Arial" w:eastAsia="Arial" w:hAnsi="Arial"/>
                <w:sz w:val="14"/>
                <w:szCs w:val="14"/>
                <w:color w:val="auto"/>
              </w:rPr>
              <w:t>Mr. Choi</w:t>
            </w:r>
          </w:p>
        </w:tc>
        <w:tc>
          <w:tcPr>
            <w:tcW w:w="118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29,317</w:t>
            </w:r>
          </w:p>
        </w:tc>
        <w:tc>
          <w:tcPr>
            <w:tcW w:w="1080" w:type="dxa"/>
            <w:vAlign w:val="bottom"/>
          </w:tcPr>
          <w:p>
            <w:pPr>
              <w:ind w:left="400"/>
              <w:spacing w:after="0"/>
              <w:rPr>
                <w:sz w:val="20"/>
                <w:szCs w:val="20"/>
                <w:color w:val="auto"/>
              </w:rPr>
            </w:pPr>
            <w:r>
              <w:rPr>
                <w:rFonts w:ascii="Arial" w:cs="Arial" w:eastAsia="Arial" w:hAnsi="Arial"/>
                <w:sz w:val="14"/>
                <w:szCs w:val="14"/>
                <w:color w:val="auto"/>
              </w:rPr>
              <w:t>2,660,518</w:t>
            </w:r>
          </w:p>
        </w:tc>
        <w:tc>
          <w:tcPr>
            <w:tcW w:w="60" w:type="dxa"/>
            <w:vAlign w:val="bottom"/>
          </w:tcPr>
          <w:p>
            <w:pPr>
              <w:spacing w:after="0"/>
              <w:rPr>
                <w:sz w:val="20"/>
                <w:szCs w:val="20"/>
                <w:color w:val="auto"/>
              </w:rPr>
            </w:pPr>
          </w:p>
        </w:tc>
      </w:tr>
      <w:tr>
        <w:trPr>
          <w:trHeight w:val="35"/>
        </w:trPr>
        <w:tc>
          <w:tcPr>
            <w:tcW w:w="5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512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Mr. Hees</w:t>
            </w:r>
          </w:p>
        </w:tc>
        <w:tc>
          <w:tcPr>
            <w:tcW w:w="1180" w:type="dxa"/>
            <w:vAlign w:val="bottom"/>
            <w:tcBorders>
              <w:bottom w:val="single" w:sz="8" w:color="CCCCCC"/>
            </w:tcBorders>
            <w:shd w:val="clear" w:color="auto" w:fill="CCCCCC"/>
          </w:tcPr>
          <w:p>
            <w:pPr>
              <w:jc w:val="center"/>
              <w:ind w:right="48"/>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CCCCCC"/>
            </w:tcBorders>
            <w:gridSpan w:val="2"/>
            <w:shd w:val="clear" w:color="auto" w:fill="CCCCCC"/>
          </w:tcPr>
          <w:p>
            <w:pPr>
              <w:jc w:val="center"/>
              <w:ind w:righ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CCCC"/>
            </w:tcBorders>
            <w:shd w:val="clear" w:color="auto" w:fill="CCCCCC"/>
          </w:tcPr>
          <w:p>
            <w:pPr>
              <w:jc w:val="right"/>
              <w:ind w:right="128"/>
              <w:spacing w:after="0"/>
              <w:rPr>
                <w:sz w:val="20"/>
                <w:szCs w:val="20"/>
                <w:color w:val="auto"/>
              </w:rPr>
            </w:pPr>
            <w:r>
              <w:rPr>
                <w:rFonts w:ascii="Arial" w:cs="Arial" w:eastAsia="Arial" w:hAnsi="Arial"/>
                <w:sz w:val="14"/>
                <w:szCs w:val="14"/>
                <w:color w:val="auto"/>
              </w:rPr>
              <w:t>80,093</w:t>
            </w:r>
          </w:p>
        </w:tc>
        <w:tc>
          <w:tcPr>
            <w:tcW w:w="1080" w:type="dxa"/>
            <w:vAlign w:val="bottom"/>
            <w:tcBorders>
              <w:bottom w:val="single" w:sz="8" w:color="CCCCCC"/>
            </w:tcBorders>
            <w:shd w:val="clear" w:color="auto" w:fill="CCCCCC"/>
          </w:tcPr>
          <w:p>
            <w:pPr>
              <w:ind w:left="400"/>
              <w:spacing w:after="0"/>
              <w:rPr>
                <w:sz w:val="20"/>
                <w:szCs w:val="20"/>
                <w:color w:val="auto"/>
              </w:rPr>
            </w:pPr>
            <w:r>
              <w:rPr>
                <w:rFonts w:ascii="Arial" w:cs="Arial" w:eastAsia="Arial" w:hAnsi="Arial"/>
                <w:sz w:val="14"/>
                <w:szCs w:val="14"/>
                <w:color w:val="auto"/>
              </w:rPr>
              <w:t>6,238,444</w:t>
            </w:r>
          </w:p>
        </w:tc>
        <w:tc>
          <w:tcPr>
            <w:tcW w:w="60" w:type="dxa"/>
            <w:vAlign w:val="bottom"/>
            <w:tcBorders>
              <w:bottom w:val="single" w:sz="8" w:color="CCCCCC"/>
            </w:tcBorders>
            <w:shd w:val="clear" w:color="auto" w:fill="CCCCCC"/>
          </w:tcPr>
          <w:p>
            <w:pPr>
              <w:spacing w:after="0"/>
              <w:rPr>
                <w:sz w:val="21"/>
                <w:szCs w:val="21"/>
                <w:color w:val="auto"/>
              </w:rPr>
            </w:pPr>
          </w:p>
        </w:tc>
      </w:tr>
      <w:tr>
        <w:trPr>
          <w:trHeight w:val="235"/>
        </w:trPr>
        <w:tc>
          <w:tcPr>
            <w:tcW w:w="5120" w:type="dxa"/>
            <w:vAlign w:val="bottom"/>
          </w:tcPr>
          <w:p>
            <w:pPr>
              <w:ind w:left="100"/>
              <w:spacing w:after="0"/>
              <w:rPr>
                <w:sz w:val="20"/>
                <w:szCs w:val="20"/>
                <w:color w:val="auto"/>
              </w:rPr>
            </w:pPr>
            <w:r>
              <w:rPr>
                <w:rFonts w:ascii="Arial" w:cs="Arial" w:eastAsia="Arial" w:hAnsi="Arial"/>
                <w:sz w:val="14"/>
                <w:szCs w:val="14"/>
                <w:color w:val="auto"/>
              </w:rPr>
              <w:t>Mr. Sita</w:t>
            </w:r>
          </w:p>
        </w:tc>
        <w:tc>
          <w:tcPr>
            <w:tcW w:w="118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880"/>
              <w:spacing w:after="0"/>
              <w:rPr>
                <w:sz w:val="20"/>
                <w:szCs w:val="20"/>
                <w:color w:val="auto"/>
              </w:rPr>
            </w:pPr>
            <w:r>
              <w:rPr>
                <w:rFonts w:ascii="Arial" w:cs="Arial" w:eastAsia="Arial" w:hAnsi="Arial"/>
                <w:sz w:val="14"/>
                <w:szCs w:val="14"/>
                <w:color w:val="auto"/>
              </w:rPr>
              <w:t>—</w:t>
            </w:r>
          </w:p>
        </w:tc>
      </w:tr>
      <w:tr>
        <w:trPr>
          <w:trHeight w:val="35"/>
        </w:trPr>
        <w:tc>
          <w:tcPr>
            <w:tcW w:w="5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39"/>
        </w:trPr>
        <w:tc>
          <w:tcPr>
            <w:tcW w:w="51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Mr. Rankin</w:t>
            </w:r>
          </w:p>
        </w:tc>
        <w:tc>
          <w:tcPr>
            <w:tcW w:w="1180" w:type="dxa"/>
            <w:vAlign w:val="bottom"/>
            <w:tcBorders>
              <w:bottom w:val="single" w:sz="8" w:color="auto"/>
            </w:tcBorders>
            <w:shd w:val="clear" w:color="auto" w:fill="CCCCCC"/>
          </w:tcPr>
          <w:p>
            <w:pPr>
              <w:jc w:val="center"/>
              <w:ind w:right="48"/>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tcBorders>
            <w:gridSpan w:val="2"/>
            <w:shd w:val="clear" w:color="auto" w:fill="CCCCCC"/>
          </w:tcPr>
          <w:p>
            <w:pPr>
              <w:jc w:val="center"/>
              <w:ind w:righ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CCCC"/>
          </w:tcPr>
          <w:p>
            <w:pPr>
              <w:jc w:val="right"/>
              <w:ind w:right="128"/>
              <w:spacing w:after="0"/>
              <w:rPr>
                <w:sz w:val="20"/>
                <w:szCs w:val="20"/>
                <w:color w:val="auto"/>
              </w:rPr>
            </w:pPr>
            <w:r>
              <w:rPr>
                <w:rFonts w:ascii="Arial" w:cs="Arial" w:eastAsia="Arial" w:hAnsi="Arial"/>
                <w:sz w:val="14"/>
                <w:szCs w:val="14"/>
                <w:color w:val="auto"/>
              </w:rPr>
              <w:t>32,328</w:t>
            </w:r>
          </w:p>
        </w:tc>
        <w:tc>
          <w:tcPr>
            <w:tcW w:w="1080" w:type="dxa"/>
            <w:vAlign w:val="bottom"/>
            <w:tcBorders>
              <w:bottom w:val="single" w:sz="8" w:color="auto"/>
            </w:tcBorders>
            <w:shd w:val="clear" w:color="auto" w:fill="CCCCCC"/>
          </w:tcPr>
          <w:p>
            <w:pPr>
              <w:ind w:left="400"/>
              <w:spacing w:after="0"/>
              <w:rPr>
                <w:sz w:val="20"/>
                <w:szCs w:val="20"/>
                <w:color w:val="auto"/>
              </w:rPr>
            </w:pPr>
            <w:r>
              <w:rPr>
                <w:rFonts w:ascii="Arial" w:cs="Arial" w:eastAsia="Arial" w:hAnsi="Arial"/>
                <w:sz w:val="14"/>
                <w:szCs w:val="14"/>
                <w:color w:val="auto"/>
              </w:rPr>
              <w:t>2,525,165</w:t>
            </w:r>
          </w:p>
        </w:tc>
        <w:tc>
          <w:tcPr>
            <w:tcW w:w="60" w:type="dxa"/>
            <w:vAlign w:val="bottom"/>
            <w:tcBorders>
              <w:bottom w:val="single" w:sz="8" w:color="auto"/>
            </w:tcBorders>
            <w:shd w:val="clear" w:color="auto" w:fill="CCCCCC"/>
          </w:tcPr>
          <w:p>
            <w:pPr>
              <w:spacing w:after="0"/>
              <w:rPr>
                <w:sz w:val="20"/>
                <w:szCs w:val="20"/>
                <w:color w:val="auto"/>
              </w:rPr>
            </w:pPr>
          </w:p>
        </w:tc>
      </w:tr>
    </w:tbl>
    <w:p>
      <w:pPr>
        <w:spacing w:after="0" w:line="153" w:lineRule="exact"/>
        <w:rPr>
          <w:sz w:val="20"/>
          <w:szCs w:val="20"/>
          <w:color w:val="auto"/>
        </w:rPr>
      </w:pPr>
    </w:p>
    <w:p>
      <w:pPr>
        <w:ind w:left="360" w:hanging="350"/>
        <w:spacing w:after="0"/>
        <w:tabs>
          <w:tab w:leader="none" w:pos="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value realized on vesting reflects the market value of the shares on the applicable vesting date.</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Pension Benefits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jc w:val="center"/>
              <w:ind w:left="25"/>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12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Present Value</w:t>
            </w:r>
          </w:p>
        </w:tc>
        <w:tc>
          <w:tcPr>
            <w:tcW w:w="1060" w:type="dxa"/>
            <w:vAlign w:val="bottom"/>
          </w:tcPr>
          <w:p>
            <w:pPr>
              <w:jc w:val="center"/>
              <w:ind w:left="85"/>
              <w:spacing w:after="0"/>
              <w:rPr>
                <w:sz w:val="20"/>
                <w:szCs w:val="20"/>
                <w:color w:val="auto"/>
              </w:rPr>
            </w:pPr>
            <w:r>
              <w:rPr>
                <w:rFonts w:ascii="Arial" w:cs="Arial" w:eastAsia="Arial" w:hAnsi="Arial"/>
                <w:sz w:val="14"/>
                <w:szCs w:val="14"/>
                <w:b w:val="1"/>
                <w:bCs w:val="1"/>
                <w:color w:val="auto"/>
              </w:rPr>
              <w:t>During</w:t>
            </w:r>
          </w:p>
        </w:tc>
      </w:tr>
      <w:tr>
        <w:trPr>
          <w:trHeight w:val="162"/>
        </w:trPr>
        <w:tc>
          <w:tcPr>
            <w:tcW w:w="12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jc w:val="center"/>
              <w:ind w:left="64"/>
              <w:spacing w:after="0"/>
              <w:rPr>
                <w:sz w:val="20"/>
                <w:szCs w:val="20"/>
                <w:color w:val="auto"/>
              </w:rPr>
            </w:pPr>
            <w:r>
              <w:rPr>
                <w:rFonts w:ascii="Arial" w:cs="Arial" w:eastAsia="Arial" w:hAnsi="Arial"/>
                <w:sz w:val="14"/>
                <w:szCs w:val="14"/>
                <w:b w:val="1"/>
                <w:bCs w:val="1"/>
                <w:color w:val="auto"/>
              </w:rPr>
              <w:t>Number of Years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1060" w:type="dxa"/>
            <w:vAlign w:val="bottom"/>
          </w:tcPr>
          <w:p>
            <w:pPr>
              <w:jc w:val="center"/>
              <w:ind w:left="45"/>
              <w:spacing w:after="0"/>
              <w:rPr>
                <w:sz w:val="20"/>
                <w:szCs w:val="20"/>
                <w:color w:val="auto"/>
              </w:rPr>
            </w:pPr>
            <w:r>
              <w:rPr>
                <w:rFonts w:ascii="Arial" w:cs="Arial" w:eastAsia="Arial" w:hAnsi="Arial"/>
                <w:sz w:val="14"/>
                <w:szCs w:val="14"/>
                <w:b w:val="1"/>
                <w:bCs w:val="1"/>
                <w:color w:val="auto"/>
              </w:rPr>
              <w:t>Last</w:t>
            </w:r>
          </w:p>
        </w:tc>
      </w:tr>
      <w:tr>
        <w:trPr>
          <w:trHeight w:val="162"/>
        </w:trPr>
        <w:tc>
          <w:tcPr>
            <w:tcW w:w="12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jc w:val="center"/>
              <w:ind w:left="44"/>
              <w:spacing w:after="0"/>
              <w:rPr>
                <w:sz w:val="20"/>
                <w:szCs w:val="20"/>
                <w:color w:val="auto"/>
              </w:rPr>
            </w:pPr>
            <w:r>
              <w:rPr>
                <w:rFonts w:ascii="Arial" w:cs="Arial" w:eastAsia="Arial" w:hAnsi="Arial"/>
                <w:sz w:val="14"/>
                <w:szCs w:val="14"/>
                <w:b w:val="1"/>
                <w:bCs w:val="1"/>
                <w:color w:val="auto"/>
              </w:rPr>
              <w:t>Credited Service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1060" w:type="dxa"/>
            <w:vAlign w:val="bottom"/>
          </w:tcPr>
          <w:p>
            <w:pPr>
              <w:jc w:val="center"/>
              <w:ind w:left="25"/>
              <w:spacing w:after="0"/>
              <w:rPr>
                <w:sz w:val="20"/>
                <w:szCs w:val="20"/>
                <w:color w:val="auto"/>
              </w:rPr>
            </w:pPr>
            <w:r>
              <w:rPr>
                <w:rFonts w:ascii="Arial" w:cs="Arial" w:eastAsia="Arial" w:hAnsi="Arial"/>
                <w:sz w:val="14"/>
                <w:szCs w:val="14"/>
                <w:b w:val="1"/>
                <w:bCs w:val="1"/>
                <w:color w:val="auto"/>
              </w:rPr>
              <w:t>Fiscal Year</w:t>
            </w:r>
          </w:p>
        </w:tc>
      </w:tr>
      <w:tr>
        <w:trPr>
          <w:trHeight w:val="196"/>
        </w:trPr>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4120" w:type="dxa"/>
            <w:vAlign w:val="bottom"/>
          </w:tcPr>
          <w:p>
            <w:pPr>
              <w:ind w:left="1740"/>
              <w:spacing w:after="0"/>
              <w:rPr>
                <w:sz w:val="20"/>
                <w:szCs w:val="20"/>
                <w:color w:val="auto"/>
              </w:rPr>
            </w:pPr>
            <w:r>
              <w:rPr>
                <w:rFonts w:ascii="Arial" w:cs="Arial" w:eastAsia="Arial" w:hAnsi="Arial"/>
                <w:sz w:val="14"/>
                <w:szCs w:val="14"/>
                <w:b w:val="1"/>
                <w:bCs w:val="1"/>
                <w:color w:val="auto"/>
              </w:rPr>
              <w:t>Plan Name (a)</w:t>
            </w:r>
          </w:p>
        </w:tc>
        <w:tc>
          <w:tcPr>
            <w:tcW w:w="2020" w:type="dxa"/>
            <w:vAlign w:val="bottom"/>
          </w:tcPr>
          <w:p>
            <w:pPr>
              <w:jc w:val="center"/>
              <w:ind w:left="104"/>
              <w:spacing w:after="0"/>
              <w:rPr>
                <w:sz w:val="20"/>
                <w:szCs w:val="20"/>
                <w:color w:val="auto"/>
              </w:rPr>
            </w:pPr>
            <w:r>
              <w:rPr>
                <w:rFonts w:ascii="Arial" w:cs="Arial" w:eastAsia="Arial" w:hAnsi="Arial"/>
                <w:sz w:val="14"/>
                <w:szCs w:val="14"/>
                <w:b w:val="1"/>
                <w:bCs w:val="1"/>
                <w:color w:val="auto"/>
              </w:rPr>
              <w:t>(#)(a)</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Benefit ($)(a)</w:t>
            </w:r>
          </w:p>
        </w:tc>
        <w:tc>
          <w:tcPr>
            <w:tcW w:w="1060" w:type="dxa"/>
            <w:vAlign w:val="bottom"/>
          </w:tcPr>
          <w:p>
            <w:pPr>
              <w:jc w:val="center"/>
              <w:ind w:left="85"/>
              <w:spacing w:after="0"/>
              <w:rPr>
                <w:sz w:val="20"/>
                <w:szCs w:val="20"/>
                <w:color w:val="auto"/>
              </w:rPr>
            </w:pPr>
            <w:r>
              <w:rPr>
                <w:rFonts w:ascii="Arial" w:cs="Arial" w:eastAsia="Arial" w:hAnsi="Arial"/>
                <w:sz w:val="14"/>
                <w:szCs w:val="14"/>
                <w:b w:val="1"/>
                <w:bCs w:val="1"/>
                <w:color w:val="auto"/>
              </w:rPr>
              <w:t>($)</w:t>
            </w:r>
          </w:p>
        </w:tc>
      </w:tr>
      <w:tr>
        <w:trPr>
          <w:trHeight w:val="43"/>
        </w:trPr>
        <w:tc>
          <w:tcPr>
            <w:tcW w:w="128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86"/>
        </w:trPr>
        <w:tc>
          <w:tcPr>
            <w:tcW w:w="128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Mr. Ferraro</w:t>
            </w:r>
          </w:p>
        </w:tc>
        <w:tc>
          <w:tcPr>
            <w:tcW w:w="4120" w:type="dxa"/>
            <w:vAlign w:val="bottom"/>
            <w:tcBorders>
              <w:bottom w:val="single" w:sz="8" w:color="auto"/>
            </w:tcBorders>
            <w:shd w:val="clear" w:color="auto" w:fill="CCCCCC"/>
          </w:tcPr>
          <w:p>
            <w:pPr>
              <w:ind w:left="260"/>
              <w:spacing w:after="0"/>
              <w:rPr>
                <w:sz w:val="20"/>
                <w:szCs w:val="20"/>
                <w:color w:val="auto"/>
              </w:rPr>
            </w:pPr>
            <w:r>
              <w:rPr>
                <w:rFonts w:ascii="Arial" w:cs="Arial" w:eastAsia="Arial" w:hAnsi="Arial"/>
                <w:sz w:val="18"/>
                <w:szCs w:val="18"/>
                <w:color w:val="auto"/>
              </w:rPr>
              <w:t>Avis Rent A Car System, LLC Pension Plan</w:t>
            </w:r>
          </w:p>
        </w:tc>
        <w:tc>
          <w:tcPr>
            <w:tcW w:w="2020" w:type="dxa"/>
            <w:vAlign w:val="bottom"/>
            <w:tcBorders>
              <w:bottom w:val="single" w:sz="8" w:color="auto"/>
            </w:tcBorders>
            <w:shd w:val="clear" w:color="auto" w:fill="CCCCCC"/>
          </w:tcPr>
          <w:p>
            <w:pPr>
              <w:jc w:val="center"/>
              <w:ind w:left="104"/>
              <w:spacing w:after="0"/>
              <w:rPr>
                <w:sz w:val="20"/>
                <w:szCs w:val="20"/>
                <w:color w:val="auto"/>
              </w:rPr>
            </w:pPr>
            <w:r>
              <w:rPr>
                <w:rFonts w:ascii="Arial" w:cs="Arial" w:eastAsia="Arial" w:hAnsi="Arial"/>
                <w:sz w:val="18"/>
                <w:szCs w:val="18"/>
                <w:color w:val="auto"/>
                <w:w w:val="99"/>
              </w:rPr>
              <w:t>21 years, 1 month</w:t>
            </w:r>
          </w:p>
        </w:tc>
        <w:tc>
          <w:tcPr>
            <w:tcW w:w="13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8"/>
              </w:rPr>
              <w:t>492,380</w:t>
            </w:r>
          </w:p>
        </w:tc>
        <w:tc>
          <w:tcPr>
            <w:tcW w:w="1060" w:type="dxa"/>
            <w:vAlign w:val="bottom"/>
            <w:tcBorders>
              <w:bottom w:val="single" w:sz="8" w:color="auto"/>
            </w:tcBorders>
            <w:shd w:val="clear" w:color="auto" w:fill="CCCCCC"/>
          </w:tcPr>
          <w:p>
            <w:pPr>
              <w:jc w:val="center"/>
              <w:ind w:left="85"/>
              <w:spacing w:after="0"/>
              <w:rPr>
                <w:sz w:val="20"/>
                <w:szCs w:val="20"/>
                <w:color w:val="auto"/>
              </w:rPr>
            </w:pPr>
            <w:r>
              <w:rPr>
                <w:rFonts w:ascii="Arial" w:cs="Arial" w:eastAsia="Arial" w:hAnsi="Arial"/>
                <w:sz w:val="18"/>
                <w:szCs w:val="18"/>
                <w:color w:val="auto"/>
                <w:w w:val="99"/>
              </w:rPr>
              <w:t>—</w:t>
            </w:r>
          </w:p>
        </w:tc>
      </w:tr>
    </w:tbl>
    <w:p>
      <w:pPr>
        <w:spacing w:after="0" w:line="153" w:lineRule="exact"/>
        <w:rPr>
          <w:sz w:val="20"/>
          <w:szCs w:val="20"/>
          <w:color w:val="auto"/>
        </w:rPr>
      </w:pPr>
    </w:p>
    <w:p>
      <w:pPr>
        <w:jc w:val="both"/>
        <w:ind w:left="360" w:hanging="350"/>
        <w:spacing w:after="0" w:line="256" w:lineRule="auto"/>
        <w:tabs>
          <w:tab w:leader="none" w:pos="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Avis froze its qualified defined benefit pension plan to new participation and future benefit accruals as of December 31, 1998. Mr. Ferraro is the only NEO who participated in this plan. Prior to December 31, 1998, Mr. Ferraro earned the right to receive certain benefits upon retirement at the retirement age of 65 or upon early retirement on or after age 55. For a discussion of the calculation of retirement benefits, please see Note 19 to our audited financial statements for the fiscal year ended December 31, 2021, included in our 2021 Annual Report.</w:t>
      </w:r>
    </w:p>
    <w:p>
      <w:pPr>
        <w:spacing w:after="0" w:line="28" w:lineRule="exact"/>
        <w:rPr>
          <w:rFonts w:ascii="Arial" w:cs="Arial" w:eastAsia="Arial" w:hAnsi="Arial"/>
          <w:sz w:val="14"/>
          <w:szCs w:val="14"/>
          <w:color w:val="auto"/>
        </w:rPr>
      </w:pPr>
    </w:p>
    <w:p>
      <w:pPr>
        <w:jc w:val="both"/>
        <w:ind w:left="360"/>
        <w:spacing w:after="0" w:line="250" w:lineRule="auto"/>
        <w:rPr>
          <w:rFonts w:ascii="Arial" w:cs="Arial" w:eastAsia="Arial" w:hAnsi="Arial"/>
          <w:sz w:val="14"/>
          <w:szCs w:val="14"/>
          <w:color w:val="auto"/>
        </w:rPr>
      </w:pPr>
      <w:r>
        <w:rPr>
          <w:rFonts w:ascii="Arial" w:cs="Arial" w:eastAsia="Arial" w:hAnsi="Arial"/>
          <w:sz w:val="14"/>
          <w:szCs w:val="14"/>
          <w:color w:val="auto"/>
        </w:rPr>
        <w:t>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Non-qualified Deferred Compensation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2340" w:type="dxa"/>
            <w:vAlign w:val="bottom"/>
          </w:tcPr>
          <w:p>
            <w:pPr>
              <w:jc w:val="center"/>
              <w:ind w:left="698"/>
              <w:spacing w:after="0"/>
              <w:rPr>
                <w:sz w:val="20"/>
                <w:szCs w:val="20"/>
                <w:color w:val="auto"/>
              </w:rPr>
            </w:pPr>
            <w:r>
              <w:rPr>
                <w:rFonts w:ascii="Arial" w:cs="Arial" w:eastAsia="Arial" w:hAnsi="Arial"/>
                <w:sz w:val="14"/>
                <w:szCs w:val="14"/>
                <w:b w:val="1"/>
                <w:bCs w:val="1"/>
                <w:color w:val="auto"/>
              </w:rPr>
              <w:t>Executive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Registrant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440" w:type="dxa"/>
            <w:vAlign w:val="bottom"/>
          </w:tcPr>
          <w:p>
            <w:pPr>
              <w:jc w:val="right"/>
              <w:ind w:right="298"/>
              <w:spacing w:after="0"/>
              <w:rPr>
                <w:sz w:val="20"/>
                <w:szCs w:val="20"/>
                <w:color w:val="auto"/>
              </w:rPr>
            </w:pPr>
            <w:r>
              <w:rPr>
                <w:rFonts w:ascii="Arial" w:cs="Arial" w:eastAsia="Arial" w:hAnsi="Arial"/>
                <w:sz w:val="14"/>
                <w:szCs w:val="14"/>
                <w:b w:val="1"/>
                <w:bCs w:val="1"/>
                <w:color w:val="auto"/>
              </w:rPr>
              <w:t>Aggregate</w:t>
            </w:r>
          </w:p>
        </w:tc>
        <w:tc>
          <w:tcPr>
            <w:tcW w:w="1160" w:type="dxa"/>
            <w:vAlign w:val="bottom"/>
          </w:tcPr>
          <w:p>
            <w:pPr>
              <w:jc w:val="center"/>
              <w:ind w:left="11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100" w:type="dxa"/>
            <w:vAlign w:val="bottom"/>
          </w:tcPr>
          <w:p>
            <w:pPr>
              <w:spacing w:after="0"/>
              <w:rPr>
                <w:sz w:val="14"/>
                <w:szCs w:val="14"/>
                <w:color w:val="auto"/>
              </w:rPr>
            </w:pPr>
          </w:p>
        </w:tc>
        <w:tc>
          <w:tcPr>
            <w:tcW w:w="2340" w:type="dxa"/>
            <w:vAlign w:val="bottom"/>
          </w:tcPr>
          <w:p>
            <w:pPr>
              <w:jc w:val="center"/>
              <w:ind w:left="758"/>
              <w:spacing w:after="0"/>
              <w:rPr>
                <w:sz w:val="20"/>
                <w:szCs w:val="20"/>
                <w:color w:val="auto"/>
              </w:rPr>
            </w:pPr>
            <w:r>
              <w:rPr>
                <w:rFonts w:ascii="Arial" w:cs="Arial" w:eastAsia="Arial" w:hAnsi="Arial"/>
                <w:sz w:val="14"/>
                <w:szCs w:val="14"/>
                <w:b w:val="1"/>
                <w:bCs w:val="1"/>
                <w:color w:val="auto"/>
              </w:rPr>
              <w:t>Contributions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440" w:type="dxa"/>
            <w:vAlign w:val="bottom"/>
          </w:tcPr>
          <w:p>
            <w:pPr>
              <w:jc w:val="right"/>
              <w:ind w:right="198"/>
              <w:spacing w:after="0"/>
              <w:rPr>
                <w:sz w:val="20"/>
                <w:szCs w:val="20"/>
                <w:color w:val="auto"/>
              </w:rPr>
            </w:pPr>
            <w:r>
              <w:rPr>
                <w:rFonts w:ascii="Arial" w:cs="Arial" w:eastAsia="Arial" w:hAnsi="Arial"/>
                <w:sz w:val="14"/>
                <w:szCs w:val="14"/>
                <w:b w:val="1"/>
                <w:bCs w:val="1"/>
                <w:color w:val="auto"/>
              </w:rPr>
              <w:t>Withdrawals/</w:t>
            </w:r>
          </w:p>
        </w:tc>
        <w:tc>
          <w:tcPr>
            <w:tcW w:w="1160" w:type="dxa"/>
            <w:vAlign w:val="bottom"/>
          </w:tcPr>
          <w:p>
            <w:pPr>
              <w:jc w:val="center"/>
              <w:ind w:left="118"/>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100" w:type="dxa"/>
            <w:vAlign w:val="bottom"/>
          </w:tcPr>
          <w:p>
            <w:pPr>
              <w:spacing w:after="0"/>
              <w:rPr>
                <w:sz w:val="14"/>
                <w:szCs w:val="14"/>
                <w:color w:val="auto"/>
              </w:rPr>
            </w:pPr>
          </w:p>
        </w:tc>
        <w:tc>
          <w:tcPr>
            <w:tcW w:w="2340" w:type="dxa"/>
            <w:vAlign w:val="bottom"/>
          </w:tcPr>
          <w:p>
            <w:pPr>
              <w:jc w:val="center"/>
              <w:ind w:left="698"/>
              <w:spacing w:after="0"/>
              <w:rPr>
                <w:sz w:val="20"/>
                <w:szCs w:val="20"/>
                <w:color w:val="auto"/>
              </w:rPr>
            </w:pPr>
            <w:r>
              <w:rPr>
                <w:rFonts w:ascii="Arial" w:cs="Arial" w:eastAsia="Arial" w:hAnsi="Arial"/>
                <w:sz w:val="14"/>
                <w:szCs w:val="14"/>
                <w:b w:val="1"/>
                <w:bCs w:val="1"/>
                <w:color w:val="auto"/>
              </w:rPr>
              <w:t>in Last FY</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280" w:type="dxa"/>
            <w:vAlign w:val="bottom"/>
          </w:tcPr>
          <w:p>
            <w:pPr>
              <w:jc w:val="right"/>
              <w:ind w:right="218"/>
              <w:spacing w:after="0"/>
              <w:rPr>
                <w:sz w:val="20"/>
                <w:szCs w:val="20"/>
                <w:color w:val="auto"/>
              </w:rPr>
            </w:pPr>
            <w:r>
              <w:rPr>
                <w:rFonts w:ascii="Arial" w:cs="Arial" w:eastAsia="Arial" w:hAnsi="Arial"/>
                <w:sz w:val="14"/>
                <w:szCs w:val="14"/>
                <w:b w:val="1"/>
                <w:bCs w:val="1"/>
                <w:color w:val="auto"/>
              </w:rPr>
              <w:t>in Last FY</w:t>
            </w:r>
          </w:p>
        </w:tc>
        <w:tc>
          <w:tcPr>
            <w:tcW w:w="1440" w:type="dxa"/>
            <w:vAlign w:val="bottom"/>
          </w:tcPr>
          <w:p>
            <w:pPr>
              <w:jc w:val="right"/>
              <w:ind w:right="198"/>
              <w:spacing w:after="0"/>
              <w:rPr>
                <w:sz w:val="20"/>
                <w:szCs w:val="20"/>
                <w:color w:val="auto"/>
              </w:rPr>
            </w:pPr>
            <w:r>
              <w:rPr>
                <w:rFonts w:ascii="Arial" w:cs="Arial" w:eastAsia="Arial" w:hAnsi="Arial"/>
                <w:sz w:val="14"/>
                <w:szCs w:val="14"/>
                <w:b w:val="1"/>
                <w:bCs w:val="1"/>
                <w:color w:val="auto"/>
              </w:rPr>
              <w:t>Distributions</w:t>
            </w:r>
          </w:p>
        </w:tc>
        <w:tc>
          <w:tcPr>
            <w:tcW w:w="1160" w:type="dxa"/>
            <w:vAlign w:val="bottom"/>
          </w:tcPr>
          <w:p>
            <w:pPr>
              <w:jc w:val="center"/>
              <w:ind w:left="118"/>
              <w:spacing w:after="0"/>
              <w:rPr>
                <w:sz w:val="20"/>
                <w:szCs w:val="20"/>
                <w:color w:val="auto"/>
              </w:rPr>
            </w:pPr>
            <w:r>
              <w:rPr>
                <w:rFonts w:ascii="Arial" w:cs="Arial" w:eastAsia="Arial" w:hAnsi="Arial"/>
                <w:sz w:val="14"/>
                <w:szCs w:val="14"/>
                <w:b w:val="1"/>
                <w:bCs w:val="1"/>
                <w:color w:val="auto"/>
              </w:rPr>
              <w:t>Last FYE</w:t>
            </w:r>
          </w:p>
        </w:tc>
      </w:tr>
      <w:tr>
        <w:trPr>
          <w:trHeight w:val="196"/>
        </w:trPr>
        <w:tc>
          <w:tcPr>
            <w:tcW w:w="210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2340" w:type="dxa"/>
            <w:vAlign w:val="bottom"/>
          </w:tcPr>
          <w:p>
            <w:pPr>
              <w:jc w:val="center"/>
              <w:ind w:left="738"/>
              <w:spacing w:after="0"/>
              <w:rPr>
                <w:sz w:val="20"/>
                <w:szCs w:val="20"/>
                <w:color w:val="auto"/>
              </w:rPr>
            </w:pPr>
            <w:r>
              <w:rPr>
                <w:rFonts w:ascii="Arial" w:cs="Arial" w:eastAsia="Arial" w:hAnsi="Arial"/>
                <w:sz w:val="14"/>
                <w:szCs w:val="14"/>
                <w:b w:val="1"/>
                <w:bCs w:val="1"/>
                <w:color w:val="auto"/>
              </w:rPr>
              <w:t>($)(a)</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($)(c)</w:t>
            </w:r>
          </w:p>
        </w:tc>
        <w:tc>
          <w:tcPr>
            <w:tcW w:w="1440" w:type="dxa"/>
            <w:vAlign w:val="bottom"/>
          </w:tcPr>
          <w:p>
            <w:pPr>
              <w:jc w:val="right"/>
              <w:ind w:right="458"/>
              <w:spacing w:after="0"/>
              <w:rPr>
                <w:sz w:val="20"/>
                <w:szCs w:val="20"/>
                <w:color w:val="auto"/>
              </w:rPr>
            </w:pPr>
            <w:r>
              <w:rPr>
                <w:rFonts w:ascii="Arial" w:cs="Arial" w:eastAsia="Arial" w:hAnsi="Arial"/>
                <w:sz w:val="14"/>
                <w:szCs w:val="14"/>
                <w:b w:val="1"/>
                <w:bCs w:val="1"/>
                <w:color w:val="auto"/>
              </w:rPr>
              <w:t>($)(d)</w:t>
            </w:r>
          </w:p>
        </w:tc>
        <w:tc>
          <w:tcPr>
            <w:tcW w:w="1160" w:type="dxa"/>
            <w:vAlign w:val="bottom"/>
          </w:tcPr>
          <w:p>
            <w:pPr>
              <w:jc w:val="center"/>
              <w:ind w:left="158"/>
              <w:spacing w:after="0"/>
              <w:rPr>
                <w:sz w:val="20"/>
                <w:szCs w:val="20"/>
                <w:color w:val="auto"/>
              </w:rPr>
            </w:pPr>
            <w:r>
              <w:rPr>
                <w:rFonts w:ascii="Arial" w:cs="Arial" w:eastAsia="Arial" w:hAnsi="Arial"/>
                <w:sz w:val="14"/>
                <w:szCs w:val="14"/>
                <w:b w:val="1"/>
                <w:bCs w:val="1"/>
                <w:color w:val="auto"/>
              </w:rPr>
              <w:t>($)(e)</w:t>
            </w:r>
          </w:p>
        </w:tc>
      </w:tr>
      <w:tr>
        <w:trPr>
          <w:trHeight w:val="43"/>
        </w:trPr>
        <w:tc>
          <w:tcPr>
            <w:tcW w:w="210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336"/>
        </w:trPr>
        <w:tc>
          <w:tcPr>
            <w:tcW w:w="210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Mr. Ferraro</w:t>
            </w:r>
          </w:p>
        </w:tc>
        <w:tc>
          <w:tcPr>
            <w:tcW w:w="2340" w:type="dxa"/>
            <w:vAlign w:val="bottom"/>
            <w:tcBorders>
              <w:bottom w:val="single" w:sz="8" w:color="CCCCCC"/>
            </w:tcBorders>
            <w:shd w:val="clear" w:color="auto" w:fill="CCCCCC"/>
          </w:tcPr>
          <w:p>
            <w:pPr>
              <w:jc w:val="right"/>
              <w:ind w:right="198"/>
              <w:spacing w:after="0"/>
              <w:rPr>
                <w:sz w:val="20"/>
                <w:szCs w:val="20"/>
                <w:color w:val="auto"/>
              </w:rPr>
            </w:pPr>
            <w:r>
              <w:rPr>
                <w:rFonts w:ascii="Arial" w:cs="Arial" w:eastAsia="Arial" w:hAnsi="Arial"/>
                <w:sz w:val="18"/>
                <w:szCs w:val="18"/>
                <w:color w:val="auto"/>
              </w:rPr>
              <w:t>57,692</w:t>
            </w:r>
          </w:p>
        </w:tc>
        <w:tc>
          <w:tcPr>
            <w:tcW w:w="1520" w:type="dxa"/>
            <w:vAlign w:val="bottom"/>
            <w:tcBorders>
              <w:bottom w:val="single" w:sz="8" w:color="CCCCCC"/>
            </w:tcBorders>
            <w:shd w:val="clear" w:color="auto" w:fill="CCCCCC"/>
          </w:tcPr>
          <w:p>
            <w:pPr>
              <w:jc w:val="right"/>
              <w:ind w:right="218"/>
              <w:spacing w:after="0"/>
              <w:rPr>
                <w:sz w:val="20"/>
                <w:szCs w:val="20"/>
                <w:color w:val="auto"/>
              </w:rPr>
            </w:pPr>
            <w:r>
              <w:rPr>
                <w:rFonts w:ascii="Arial" w:cs="Arial" w:eastAsia="Arial" w:hAnsi="Arial"/>
                <w:sz w:val="18"/>
                <w:szCs w:val="18"/>
                <w:color w:val="auto"/>
              </w:rPr>
              <w:t>55,385</w:t>
            </w:r>
          </w:p>
        </w:tc>
        <w:tc>
          <w:tcPr>
            <w:tcW w:w="1280" w:type="dxa"/>
            <w:vAlign w:val="bottom"/>
            <w:tcBorders>
              <w:bottom w:val="single" w:sz="8" w:color="CCCCCC"/>
            </w:tcBorders>
            <w:shd w:val="clear" w:color="auto" w:fill="CCCCCC"/>
          </w:tcPr>
          <w:p>
            <w:pPr>
              <w:jc w:val="right"/>
              <w:ind w:right="218"/>
              <w:spacing w:after="0"/>
              <w:rPr>
                <w:sz w:val="20"/>
                <w:szCs w:val="20"/>
                <w:color w:val="auto"/>
              </w:rPr>
            </w:pPr>
            <w:r>
              <w:rPr>
                <w:rFonts w:ascii="Arial" w:cs="Arial" w:eastAsia="Arial" w:hAnsi="Arial"/>
                <w:sz w:val="18"/>
                <w:szCs w:val="18"/>
                <w:color w:val="auto"/>
              </w:rPr>
              <w:t>232,257</w:t>
            </w:r>
          </w:p>
        </w:tc>
        <w:tc>
          <w:tcPr>
            <w:tcW w:w="1440" w:type="dxa"/>
            <w:vAlign w:val="bottom"/>
            <w:tcBorders>
              <w:bottom w:val="single" w:sz="8" w:color="CCCCCC"/>
            </w:tcBorders>
            <w:shd w:val="clear" w:color="auto" w:fill="CCCCCC"/>
          </w:tcPr>
          <w:p>
            <w:pPr>
              <w:jc w:val="right"/>
              <w:ind w:right="198"/>
              <w:spacing w:after="0"/>
              <w:rPr>
                <w:sz w:val="20"/>
                <w:szCs w:val="20"/>
                <w:color w:val="auto"/>
              </w:rPr>
            </w:pPr>
            <w:r>
              <w:rPr>
                <w:rFonts w:ascii="Arial" w:cs="Arial" w:eastAsia="Arial" w:hAnsi="Arial"/>
                <w:sz w:val="18"/>
                <w:szCs w:val="18"/>
                <w:color w:val="auto"/>
              </w:rPr>
              <w:t>0</w:t>
            </w:r>
          </w:p>
        </w:tc>
        <w:tc>
          <w:tcPr>
            <w:tcW w:w="11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1,109,433</w:t>
            </w:r>
          </w:p>
        </w:tc>
      </w:tr>
      <w:tr>
        <w:trPr>
          <w:trHeight w:val="281"/>
        </w:trPr>
        <w:tc>
          <w:tcPr>
            <w:tcW w:w="21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Mr. Choi</w:t>
            </w:r>
          </w:p>
        </w:tc>
        <w:tc>
          <w:tcPr>
            <w:tcW w:w="2340" w:type="dxa"/>
            <w:vAlign w:val="bottom"/>
            <w:tcBorders>
              <w:top w:val="single" w:sz="8" w:color="auto"/>
            </w:tcBorders>
          </w:tcPr>
          <w:p>
            <w:pPr>
              <w:jc w:val="right"/>
              <w:ind w:right="218"/>
              <w:spacing w:after="0"/>
              <w:rPr>
                <w:sz w:val="20"/>
                <w:szCs w:val="20"/>
                <w:color w:val="auto"/>
              </w:rPr>
            </w:pPr>
            <w:r>
              <w:rPr>
                <w:rFonts w:ascii="Arial" w:cs="Arial" w:eastAsia="Arial" w:hAnsi="Arial"/>
                <w:sz w:val="18"/>
                <w:szCs w:val="18"/>
                <w:color w:val="auto"/>
              </w:rPr>
              <w:t>0</w:t>
            </w:r>
          </w:p>
        </w:tc>
        <w:tc>
          <w:tcPr>
            <w:tcW w:w="1520" w:type="dxa"/>
            <w:vAlign w:val="bottom"/>
            <w:tcBorders>
              <w:top w:val="single" w:sz="8" w:color="auto"/>
            </w:tcBorders>
          </w:tcPr>
          <w:p>
            <w:pPr>
              <w:jc w:val="right"/>
              <w:ind w:right="218"/>
              <w:spacing w:after="0"/>
              <w:rPr>
                <w:sz w:val="20"/>
                <w:szCs w:val="20"/>
                <w:color w:val="auto"/>
              </w:rPr>
            </w:pPr>
            <w:r>
              <w:rPr>
                <w:rFonts w:ascii="Arial" w:cs="Arial" w:eastAsia="Arial" w:hAnsi="Arial"/>
                <w:sz w:val="18"/>
                <w:szCs w:val="18"/>
                <w:color w:val="auto"/>
              </w:rPr>
              <w:t>0</w:t>
            </w:r>
          </w:p>
        </w:tc>
        <w:tc>
          <w:tcPr>
            <w:tcW w:w="1280" w:type="dxa"/>
            <w:vAlign w:val="bottom"/>
            <w:tcBorders>
              <w:top w:val="single" w:sz="8" w:color="auto"/>
            </w:tcBorders>
          </w:tcPr>
          <w:p>
            <w:pPr>
              <w:jc w:val="right"/>
              <w:ind w:right="218"/>
              <w:spacing w:after="0"/>
              <w:rPr>
                <w:sz w:val="20"/>
                <w:szCs w:val="20"/>
                <w:color w:val="auto"/>
              </w:rPr>
            </w:pPr>
            <w:r>
              <w:rPr>
                <w:rFonts w:ascii="Arial" w:cs="Arial" w:eastAsia="Arial" w:hAnsi="Arial"/>
                <w:sz w:val="18"/>
                <w:szCs w:val="18"/>
                <w:color w:val="auto"/>
              </w:rPr>
              <w:t>0</w:t>
            </w:r>
          </w:p>
        </w:tc>
        <w:tc>
          <w:tcPr>
            <w:tcW w:w="1440" w:type="dxa"/>
            <w:vAlign w:val="bottom"/>
            <w:tcBorders>
              <w:top w:val="single" w:sz="8" w:color="auto"/>
            </w:tcBorders>
          </w:tcPr>
          <w:p>
            <w:pPr>
              <w:jc w:val="right"/>
              <w:ind w:right="198"/>
              <w:spacing w:after="0"/>
              <w:rPr>
                <w:sz w:val="20"/>
                <w:szCs w:val="20"/>
                <w:color w:val="auto"/>
              </w:rPr>
            </w:pPr>
            <w:r>
              <w:rPr>
                <w:rFonts w:ascii="Arial" w:cs="Arial" w:eastAsia="Arial" w:hAnsi="Arial"/>
                <w:sz w:val="18"/>
                <w:szCs w:val="18"/>
                <w:color w:val="auto"/>
              </w:rPr>
              <w:t>0</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50"/>
        </w:trPr>
        <w:tc>
          <w:tcPr>
            <w:tcW w:w="21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336"/>
        </w:trPr>
        <w:tc>
          <w:tcPr>
            <w:tcW w:w="210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Mr. Hees</w:t>
            </w:r>
          </w:p>
        </w:tc>
        <w:tc>
          <w:tcPr>
            <w:tcW w:w="2340" w:type="dxa"/>
            <w:vAlign w:val="bottom"/>
            <w:tcBorders>
              <w:bottom w:val="single" w:sz="8" w:color="CCCCCC"/>
            </w:tcBorders>
            <w:shd w:val="clear" w:color="auto" w:fill="CCCCCC"/>
          </w:tcPr>
          <w:p>
            <w:pPr>
              <w:jc w:val="right"/>
              <w:ind w:right="218"/>
              <w:spacing w:after="0"/>
              <w:rPr>
                <w:sz w:val="20"/>
                <w:szCs w:val="20"/>
                <w:color w:val="auto"/>
              </w:rPr>
            </w:pPr>
            <w:r>
              <w:rPr>
                <w:rFonts w:ascii="Arial" w:cs="Arial" w:eastAsia="Arial" w:hAnsi="Arial"/>
                <w:sz w:val="18"/>
                <w:szCs w:val="18"/>
                <w:color w:val="auto"/>
              </w:rPr>
              <w:t>0</w:t>
            </w:r>
          </w:p>
        </w:tc>
        <w:tc>
          <w:tcPr>
            <w:tcW w:w="1520" w:type="dxa"/>
            <w:vAlign w:val="bottom"/>
            <w:tcBorders>
              <w:bottom w:val="single" w:sz="8" w:color="CCCCCC"/>
            </w:tcBorders>
            <w:shd w:val="clear" w:color="auto" w:fill="CCCCCC"/>
          </w:tcPr>
          <w:p>
            <w:pPr>
              <w:jc w:val="right"/>
              <w:ind w:right="218"/>
              <w:spacing w:after="0"/>
              <w:rPr>
                <w:sz w:val="20"/>
                <w:szCs w:val="20"/>
                <w:color w:val="auto"/>
              </w:rPr>
            </w:pPr>
            <w:r>
              <w:rPr>
                <w:rFonts w:ascii="Arial" w:cs="Arial" w:eastAsia="Arial" w:hAnsi="Arial"/>
                <w:sz w:val="18"/>
                <w:szCs w:val="18"/>
                <w:color w:val="auto"/>
              </w:rPr>
              <w:t>0</w:t>
            </w:r>
          </w:p>
        </w:tc>
        <w:tc>
          <w:tcPr>
            <w:tcW w:w="1280" w:type="dxa"/>
            <w:vAlign w:val="bottom"/>
            <w:tcBorders>
              <w:bottom w:val="single" w:sz="8" w:color="CCCCCC"/>
            </w:tcBorders>
            <w:shd w:val="clear" w:color="auto" w:fill="CCCCCC"/>
          </w:tcPr>
          <w:p>
            <w:pPr>
              <w:jc w:val="right"/>
              <w:ind w:right="218"/>
              <w:spacing w:after="0"/>
              <w:rPr>
                <w:sz w:val="20"/>
                <w:szCs w:val="20"/>
                <w:color w:val="auto"/>
              </w:rPr>
            </w:pPr>
            <w:r>
              <w:rPr>
                <w:rFonts w:ascii="Arial" w:cs="Arial" w:eastAsia="Arial" w:hAnsi="Arial"/>
                <w:sz w:val="18"/>
                <w:szCs w:val="18"/>
                <w:color w:val="auto"/>
              </w:rPr>
              <w:t>0</w:t>
            </w:r>
          </w:p>
        </w:tc>
        <w:tc>
          <w:tcPr>
            <w:tcW w:w="1440" w:type="dxa"/>
            <w:vAlign w:val="bottom"/>
            <w:tcBorders>
              <w:bottom w:val="single" w:sz="8" w:color="CCCCCC"/>
            </w:tcBorders>
            <w:shd w:val="clear" w:color="auto" w:fill="CCCCCC"/>
          </w:tcPr>
          <w:p>
            <w:pPr>
              <w:jc w:val="right"/>
              <w:ind w:right="198"/>
              <w:spacing w:after="0"/>
              <w:rPr>
                <w:sz w:val="20"/>
                <w:szCs w:val="20"/>
                <w:color w:val="auto"/>
              </w:rPr>
            </w:pPr>
            <w:r>
              <w:rPr>
                <w:rFonts w:ascii="Arial" w:cs="Arial" w:eastAsia="Arial" w:hAnsi="Arial"/>
                <w:sz w:val="18"/>
                <w:szCs w:val="18"/>
                <w:color w:val="auto"/>
              </w:rPr>
              <w:t>0</w:t>
            </w:r>
          </w:p>
        </w:tc>
        <w:tc>
          <w:tcPr>
            <w:tcW w:w="11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0</w:t>
            </w:r>
          </w:p>
        </w:tc>
      </w:tr>
      <w:tr>
        <w:trPr>
          <w:trHeight w:val="281"/>
        </w:trPr>
        <w:tc>
          <w:tcPr>
            <w:tcW w:w="21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Mr. Sita</w:t>
            </w:r>
          </w:p>
        </w:tc>
        <w:tc>
          <w:tcPr>
            <w:tcW w:w="2340" w:type="dxa"/>
            <w:vAlign w:val="bottom"/>
            <w:tcBorders>
              <w:top w:val="single" w:sz="8" w:color="auto"/>
            </w:tcBorders>
          </w:tcPr>
          <w:p>
            <w:pPr>
              <w:jc w:val="right"/>
              <w:ind w:right="198"/>
              <w:spacing w:after="0"/>
              <w:rPr>
                <w:sz w:val="20"/>
                <w:szCs w:val="20"/>
                <w:color w:val="auto"/>
              </w:rPr>
            </w:pPr>
            <w:r>
              <w:rPr>
                <w:rFonts w:ascii="Arial" w:cs="Arial" w:eastAsia="Arial" w:hAnsi="Arial"/>
                <w:sz w:val="18"/>
                <w:szCs w:val="18"/>
                <w:color w:val="auto"/>
              </w:rPr>
              <w:t>32,692</w:t>
            </w:r>
          </w:p>
        </w:tc>
        <w:tc>
          <w:tcPr>
            <w:tcW w:w="1520" w:type="dxa"/>
            <w:vAlign w:val="bottom"/>
            <w:tcBorders>
              <w:top w:val="single" w:sz="8" w:color="auto"/>
            </w:tcBorders>
          </w:tcPr>
          <w:p>
            <w:pPr>
              <w:jc w:val="right"/>
              <w:ind w:right="218"/>
              <w:spacing w:after="0"/>
              <w:rPr>
                <w:sz w:val="20"/>
                <w:szCs w:val="20"/>
                <w:color w:val="auto"/>
              </w:rPr>
            </w:pPr>
            <w:r>
              <w:rPr>
                <w:rFonts w:ascii="Arial" w:cs="Arial" w:eastAsia="Arial" w:hAnsi="Arial"/>
                <w:sz w:val="18"/>
                <w:szCs w:val="18"/>
                <w:color w:val="auto"/>
              </w:rPr>
              <w:t>19,615</w:t>
            </w:r>
          </w:p>
        </w:tc>
        <w:tc>
          <w:tcPr>
            <w:tcW w:w="1280" w:type="dxa"/>
            <w:vAlign w:val="bottom"/>
            <w:tcBorders>
              <w:top w:val="single" w:sz="8" w:color="auto"/>
            </w:tcBorders>
          </w:tcPr>
          <w:p>
            <w:pPr>
              <w:jc w:val="right"/>
              <w:ind w:right="218"/>
              <w:spacing w:after="0"/>
              <w:rPr>
                <w:sz w:val="20"/>
                <w:szCs w:val="20"/>
                <w:color w:val="auto"/>
              </w:rPr>
            </w:pPr>
            <w:r>
              <w:rPr>
                <w:rFonts w:ascii="Arial" w:cs="Arial" w:eastAsia="Arial" w:hAnsi="Arial"/>
                <w:sz w:val="18"/>
                <w:szCs w:val="18"/>
                <w:color w:val="auto"/>
              </w:rPr>
              <w:t>5</w:t>
            </w:r>
          </w:p>
        </w:tc>
        <w:tc>
          <w:tcPr>
            <w:tcW w:w="1440" w:type="dxa"/>
            <w:vAlign w:val="bottom"/>
            <w:tcBorders>
              <w:top w:val="single" w:sz="8" w:color="auto"/>
            </w:tcBorders>
          </w:tcPr>
          <w:p>
            <w:pPr>
              <w:jc w:val="right"/>
              <w:ind w:right="198"/>
              <w:spacing w:after="0"/>
              <w:rPr>
                <w:sz w:val="20"/>
                <w:szCs w:val="20"/>
                <w:color w:val="auto"/>
              </w:rPr>
            </w:pPr>
            <w:r>
              <w:rPr>
                <w:rFonts w:ascii="Arial" w:cs="Arial" w:eastAsia="Arial" w:hAnsi="Arial"/>
                <w:sz w:val="18"/>
                <w:szCs w:val="18"/>
                <w:color w:val="auto"/>
              </w:rPr>
              <w:t>0</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52,312</w:t>
            </w:r>
          </w:p>
        </w:tc>
      </w:tr>
      <w:tr>
        <w:trPr>
          <w:trHeight w:val="50"/>
        </w:trPr>
        <w:tc>
          <w:tcPr>
            <w:tcW w:w="21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86"/>
        </w:trPr>
        <w:tc>
          <w:tcPr>
            <w:tcW w:w="210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Mr. Rankin</w:t>
            </w:r>
          </w:p>
        </w:tc>
        <w:tc>
          <w:tcPr>
            <w:tcW w:w="2340" w:type="dxa"/>
            <w:vAlign w:val="bottom"/>
            <w:tcBorders>
              <w:bottom w:val="single" w:sz="8" w:color="auto"/>
            </w:tcBorders>
            <w:shd w:val="clear" w:color="auto" w:fill="CCCCCC"/>
          </w:tcPr>
          <w:p>
            <w:pPr>
              <w:jc w:val="right"/>
              <w:ind w:right="218"/>
              <w:spacing w:after="0"/>
              <w:rPr>
                <w:sz w:val="20"/>
                <w:szCs w:val="20"/>
                <w:color w:val="auto"/>
              </w:rPr>
            </w:pPr>
            <w:r>
              <w:rPr>
                <w:rFonts w:ascii="Arial" w:cs="Arial" w:eastAsia="Arial" w:hAnsi="Arial"/>
                <w:sz w:val="18"/>
                <w:szCs w:val="18"/>
                <w:color w:val="auto"/>
              </w:rPr>
              <w:t>0</w:t>
            </w:r>
          </w:p>
        </w:tc>
        <w:tc>
          <w:tcPr>
            <w:tcW w:w="1520" w:type="dxa"/>
            <w:vAlign w:val="bottom"/>
            <w:tcBorders>
              <w:bottom w:val="single" w:sz="8" w:color="auto"/>
            </w:tcBorders>
            <w:shd w:val="clear" w:color="auto" w:fill="CCCCCC"/>
          </w:tcPr>
          <w:p>
            <w:pPr>
              <w:jc w:val="right"/>
              <w:ind w:right="218"/>
              <w:spacing w:after="0"/>
              <w:rPr>
                <w:sz w:val="20"/>
                <w:szCs w:val="20"/>
                <w:color w:val="auto"/>
              </w:rPr>
            </w:pPr>
            <w:r>
              <w:rPr>
                <w:rFonts w:ascii="Arial" w:cs="Arial" w:eastAsia="Arial" w:hAnsi="Arial"/>
                <w:sz w:val="18"/>
                <w:szCs w:val="18"/>
                <w:color w:val="auto"/>
              </w:rPr>
              <w:t>0</w:t>
            </w:r>
          </w:p>
        </w:tc>
        <w:tc>
          <w:tcPr>
            <w:tcW w:w="1280" w:type="dxa"/>
            <w:vAlign w:val="bottom"/>
            <w:tcBorders>
              <w:bottom w:val="single" w:sz="8" w:color="auto"/>
            </w:tcBorders>
            <w:shd w:val="clear" w:color="auto" w:fill="CCCCCC"/>
          </w:tcPr>
          <w:p>
            <w:pPr>
              <w:jc w:val="right"/>
              <w:ind w:right="218"/>
              <w:spacing w:after="0"/>
              <w:rPr>
                <w:sz w:val="20"/>
                <w:szCs w:val="20"/>
                <w:color w:val="auto"/>
              </w:rPr>
            </w:pPr>
            <w:r>
              <w:rPr>
                <w:rFonts w:ascii="Arial" w:cs="Arial" w:eastAsia="Arial" w:hAnsi="Arial"/>
                <w:sz w:val="18"/>
                <w:szCs w:val="18"/>
                <w:color w:val="auto"/>
              </w:rPr>
              <w:t>0</w:t>
            </w:r>
          </w:p>
        </w:tc>
        <w:tc>
          <w:tcPr>
            <w:tcW w:w="1440" w:type="dxa"/>
            <w:vAlign w:val="bottom"/>
            <w:tcBorders>
              <w:bottom w:val="single" w:sz="8" w:color="auto"/>
            </w:tcBorders>
            <w:shd w:val="clear" w:color="auto" w:fill="CCCCCC"/>
          </w:tcPr>
          <w:p>
            <w:pPr>
              <w:jc w:val="right"/>
              <w:ind w:right="198"/>
              <w:spacing w:after="0"/>
              <w:rPr>
                <w:sz w:val="20"/>
                <w:szCs w:val="20"/>
                <w:color w:val="auto"/>
              </w:rPr>
            </w:pPr>
            <w:r>
              <w:rPr>
                <w:rFonts w:ascii="Arial" w:cs="Arial" w:eastAsia="Arial" w:hAnsi="Arial"/>
                <w:sz w:val="18"/>
                <w:szCs w:val="18"/>
                <w:color w:val="auto"/>
              </w:rPr>
              <w:t>0</w:t>
            </w:r>
          </w:p>
        </w:tc>
        <w:tc>
          <w:tcPr>
            <w:tcW w:w="11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0</w:t>
            </w:r>
          </w:p>
        </w:tc>
      </w:tr>
    </w:tbl>
    <w:p>
      <w:pPr>
        <w:spacing w:after="0" w:line="153" w:lineRule="exact"/>
        <w:rPr>
          <w:sz w:val="20"/>
          <w:szCs w:val="20"/>
          <w:color w:val="auto"/>
        </w:rPr>
      </w:pPr>
    </w:p>
    <w:p>
      <w:pPr>
        <w:jc w:val="both"/>
        <w:ind w:left="360" w:hanging="350"/>
        <w:spacing w:after="0" w:line="246"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installments over a period of up to 10 years; however, the participant’s entire account balance will be paid in a single lump-sum following a change in control.</w:t>
      </w:r>
    </w:p>
    <w:p>
      <w:pPr>
        <w:spacing w:after="0" w:line="40" w:lineRule="exact"/>
        <w:rPr>
          <w:rFonts w:ascii="Arial" w:cs="Arial" w:eastAsia="Arial" w:hAnsi="Arial"/>
          <w:sz w:val="14"/>
          <w:szCs w:val="14"/>
          <w:color w:val="auto"/>
        </w:rPr>
      </w:pPr>
    </w:p>
    <w:p>
      <w:pPr>
        <w:ind w:left="360" w:hanging="350"/>
        <w:spacing w:after="0"/>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Company provides matching contributions for its NEOs up to a cap of 6% of base salary and annual incentive, as applicable.</w:t>
      </w:r>
    </w:p>
    <w:p>
      <w:pPr>
        <w:spacing w:after="0" w:line="68" w:lineRule="exact"/>
        <w:rPr>
          <w:rFonts w:ascii="Arial" w:cs="Arial" w:eastAsia="Arial" w:hAnsi="Arial"/>
          <w:sz w:val="14"/>
          <w:szCs w:val="14"/>
          <w:color w:val="auto"/>
        </w:rPr>
      </w:pPr>
    </w:p>
    <w:p>
      <w:pPr>
        <w:jc w:val="both"/>
        <w:ind w:left="360" w:right="20" w:hanging="350"/>
        <w:spacing w:after="0" w:line="256"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All participant deferrals and matching contributions are immediately vested and are held in a grantor trust. Under this arrangement, the Company takes no tax deduction, and the beneficiaries pay no tax on contributions to the trust until amounts are paid. Although funds are potentially subject to the employer’s creditors, they are inaccessible to present and future management until payment is required to be made in accordance with the terms of the plan.</w:t>
      </w:r>
    </w:p>
    <w:p>
      <w:pPr>
        <w:spacing w:after="0" w:line="42" w:lineRule="exact"/>
        <w:rPr>
          <w:rFonts w:ascii="Arial" w:cs="Arial" w:eastAsia="Arial" w:hAnsi="Arial"/>
          <w:sz w:val="14"/>
          <w:szCs w:val="14"/>
          <w:color w:val="auto"/>
        </w:rPr>
      </w:pPr>
    </w:p>
    <w:p>
      <w:pPr>
        <w:ind w:left="360" w:hanging="350"/>
        <w:spacing w:after="0" w:line="285"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represent ordinary-course distributions pursuant to prior payment elections made by the NEOs in accordance with the terms and conditions of the applicable plan (as further discussed in note (a) above).</w:t>
      </w:r>
    </w:p>
    <w:p>
      <w:pPr>
        <w:spacing w:after="0" w:line="9" w:lineRule="exact"/>
        <w:rPr>
          <w:rFonts w:ascii="Arial" w:cs="Arial" w:eastAsia="Arial" w:hAnsi="Arial"/>
          <w:sz w:val="14"/>
          <w:szCs w:val="14"/>
          <w:color w:val="auto"/>
        </w:rPr>
      </w:pPr>
    </w:p>
    <w:p>
      <w:pPr>
        <w:ind w:left="360" w:right="20" w:hanging="350"/>
        <w:spacing w:after="0" w:line="285"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total trust assets accumulated for all periods of plan participation through the end of 2021. The aggregate balance is the sum of all participant and registrant contributions and investment earnings less any withdrawals or distributions.</w:t>
      </w:r>
    </w:p>
    <w:p>
      <w:pPr>
        <w:sectPr>
          <w:pgSz w:w="11900" w:h="16838" w:orient="portrait"/>
          <w:cols w:equalWidth="0" w:num="1">
            <w:col w:w="9840"/>
          </w:cols>
          <w:pgMar w:left="1020" w:top="263" w:right="10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161925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type w:val="continuous"/>
        </w:sectPr>
      </w:pPr>
    </w:p>
    <w:bookmarkStart w:id="42" w:name="page43"/>
    <w:bookmarkEnd w:id="42"/>
    <w:p>
      <w:pPr>
        <w:ind w:left="1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Employment Agreements and Other Arrangements</w:t>
      </w:r>
    </w:p>
    <w:p>
      <w:pPr>
        <w:spacing w:after="0" w:line="164" w:lineRule="exact"/>
        <w:rPr>
          <w:sz w:val="20"/>
          <w:szCs w:val="20"/>
          <w:color w:val="auto"/>
        </w:rPr>
      </w:pPr>
    </w:p>
    <w:p>
      <w:pPr>
        <w:jc w:val="both"/>
        <w:ind w:left="10" w:right="20"/>
        <w:spacing w:after="0" w:line="271" w:lineRule="auto"/>
        <w:rPr>
          <w:sz w:val="20"/>
          <w:szCs w:val="20"/>
          <w:color w:val="auto"/>
        </w:rPr>
      </w:pPr>
      <w:r>
        <w:rPr>
          <w:rFonts w:ascii="Arial" w:cs="Arial" w:eastAsia="Arial" w:hAnsi="Arial"/>
          <w:sz w:val="18"/>
          <w:szCs w:val="18"/>
          <w:color w:val="auto"/>
        </w:rPr>
        <w:t>Each NEO has a written agreement with the Company or is eligible to participate in the Executive Severance Plan, as summarized below and discussed under “Employment and Change of Control Agreements; Severance Arrangements.”</w:t>
      </w:r>
    </w:p>
    <w:p>
      <w:pPr>
        <w:spacing w:after="0" w:line="29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CEO and President, International</w:t>
      </w:r>
    </w:p>
    <w:p>
      <w:pPr>
        <w:spacing w:after="0" w:line="126"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Each of our CEO and our President, International is party to a severance agreement with the Company. Each agreement generally provides that if the executive’s employment is terminated by us other than for “Cause” (as described below), disability or death, he will receive lump-sum severance equal to 200% of the sum of base salary plus target incentive bonus, and perquisites to include, if applicable, car usage and financial planning for a period of up to 24 months.</w:t>
      </w:r>
    </w:p>
    <w:p>
      <w:pPr>
        <w:spacing w:after="0" w:line="106"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color w:val="auto"/>
        </w:rPr>
        <w:t>In addition, in connection with any such termination, each agreement also generally provides for accelerated vesting on termination of the stock-based awards that would have vested in accordance with their original vesting schedule by the two-year anniversary of termination of employment. However, awards that vest based on the achievement of specified objective performance goals will remain outstanding following such termination and become vested or be forfeited based on actual achievement of the applicable performance goals during the two-year period following such termination.</w:t>
      </w:r>
    </w:p>
    <w:p>
      <w:pPr>
        <w:spacing w:after="0" w:line="109"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Severance is contingent upon the executive’s execution and non-revocation of a separation agreement containing a release of claims against the Company and non-competition covenants.</w:t>
      </w:r>
    </w:p>
    <w:p>
      <w:pPr>
        <w:spacing w:after="0" w:line="73"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Our President, International is also party to an employment agreement under English law, which provides customary terms and conditions for employment in the United Kingdom, including non-competition and confidentiality provisions.</w:t>
      </w:r>
    </w:p>
    <w:p>
      <w:pPr>
        <w:spacing w:after="0" w:line="29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Other NEOs</w:t>
      </w:r>
    </w:p>
    <w:p>
      <w:pPr>
        <w:spacing w:after="0" w:line="139"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Each of our Executive Chairman, CFO and Chief Digital &amp; Innovation Officer may be eligible to participate in the Executive Severance Pay Plan adopted by the Board in December 2020 (the “Executive Severance Plan”). The Executive Severance Plan provides that if any of these executives is involuntarily terminated other than for cause and delivers an agreement and general release as set forth in the plan, such executive shall be entitled to:</w:t>
      </w:r>
    </w:p>
    <w:p>
      <w:pPr>
        <w:spacing w:after="0" w:line="93" w:lineRule="exact"/>
        <w:rPr>
          <w:sz w:val="20"/>
          <w:szCs w:val="20"/>
          <w:color w:val="auto"/>
        </w:rPr>
      </w:pPr>
    </w:p>
    <w:p>
      <w:pPr>
        <w:ind w:left="350" w:hanging="350"/>
        <w:spacing w:after="0"/>
        <w:tabs>
          <w:tab w:leader="none" w:pos="3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two years of base pay;</w:t>
      </w:r>
    </w:p>
    <w:p>
      <w:pPr>
        <w:spacing w:after="0" w:line="144" w:lineRule="exact"/>
        <w:rPr>
          <w:rFonts w:ascii="Arial" w:cs="Arial" w:eastAsia="Arial" w:hAnsi="Arial"/>
          <w:sz w:val="18"/>
          <w:szCs w:val="18"/>
          <w:color w:val="auto"/>
        </w:rPr>
      </w:pPr>
    </w:p>
    <w:p>
      <w:pPr>
        <w:jc w:val="both"/>
        <w:ind w:left="350" w:hanging="350"/>
        <w:spacing w:after="0" w:line="253" w:lineRule="auto"/>
        <w:tabs>
          <w:tab w:leader="none" w:pos="3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payment under the short term incentive plan in place in the year of termination, pro rata for the amount of time employed in that year, based on the extent to which performance goals are achieved, with any individual component computed as though the applicable target was reached;</w:t>
      </w:r>
    </w:p>
    <w:p>
      <w:pPr>
        <w:spacing w:after="0" w:line="101" w:lineRule="exact"/>
        <w:rPr>
          <w:rFonts w:ascii="Arial" w:cs="Arial" w:eastAsia="Arial" w:hAnsi="Arial"/>
          <w:sz w:val="18"/>
          <w:szCs w:val="18"/>
          <w:color w:val="auto"/>
        </w:rPr>
      </w:pPr>
    </w:p>
    <w:p>
      <w:pPr>
        <w:jc w:val="both"/>
        <w:ind w:left="350" w:hanging="350"/>
        <w:spacing w:after="0" w:line="253" w:lineRule="auto"/>
        <w:tabs>
          <w:tab w:leader="none" w:pos="3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accelerated vesting of unvested RSUs scheduled to vest within one year of employment termination, and vesting of unvested PSUs scheduled to vest within one year of employment termination based on the extent to which the performance goals are achieved; and</w:t>
      </w:r>
    </w:p>
    <w:p>
      <w:pPr>
        <w:spacing w:after="0" w:line="87"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lump-sum payment equal to the Company’s portion of certain health care premiums for one year of coverage, and perquisites to include, if applicable, car usage and financial planning for a period of up to 12 months.</w:t>
      </w:r>
    </w:p>
    <w:p>
      <w:pPr>
        <w:spacing w:after="0" w:line="86"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As noted above, no NEO is entitled to any tax gross-up or other payments for any “golden parachute” excise taxes, interest or penalties.</w:t>
      </w:r>
    </w:p>
    <w:p>
      <w:pPr>
        <w:spacing w:after="0" w:line="29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Definition of Cause</w:t>
      </w:r>
    </w:p>
    <w:p>
      <w:pPr>
        <w:spacing w:after="0" w:line="126"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For all NEOs, “Cause” is defined to generally include the willful failure to substantially perform duties, any act of fraud, embezzlement or similar conduct and conviction of a felony.</w:t>
      </w:r>
    </w:p>
    <w:p>
      <w:pPr>
        <w:spacing w:after="0" w:line="29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Discussion of Change-in-Control Provisions</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Equity Awards</w:t>
      </w:r>
    </w:p>
    <w:p>
      <w:pPr>
        <w:spacing w:after="0" w:line="129"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The Company’s Amended and Restated Equity and Incentive Plan (the “Equity Plan”) generally provides that equity awards accelerate following a Change in Control (as defined in the Equity Plan) of the Company only if a participant is also terminated without cause or experiences a Constructive Discharge (as defined in the Equity Plan) within two years following a Change in Control. Under the Equity Plan:</w:t>
      </w:r>
    </w:p>
    <w:p>
      <w:pPr>
        <w:spacing w:after="0" w:line="28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163195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43" w:name="page44"/>
    <w:bookmarkEnd w:id="43"/>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20"/>
        <w:spacing w:after="0" w:line="241" w:lineRule="auto"/>
        <w:rPr>
          <w:sz w:val="20"/>
          <w:szCs w:val="20"/>
          <w:color w:val="auto"/>
        </w:rPr>
      </w:pPr>
      <w:r>
        <w:rPr>
          <w:rFonts w:ascii="Arial" w:cs="Arial" w:eastAsia="Arial" w:hAnsi="Arial"/>
          <w:sz w:val="18"/>
          <w:szCs w:val="18"/>
          <w:color w:val="auto"/>
        </w:rPr>
        <w:t>“Change in Control” is generally defined as (a) any person or entity is or becomes the “beneficial owner” of 50% or more of the combined voting power of the Company’s then outstanding voting securities; (b) a change in the majority of the members of the Board unless approved or recommended by a vote of at least a majority of the directors then still in office;</w:t>
      </w:r>
    </w:p>
    <w:p>
      <w:pPr>
        <w:spacing w:after="0" w:line="2" w:lineRule="exact"/>
        <w:rPr>
          <w:sz w:val="20"/>
          <w:szCs w:val="20"/>
          <w:color w:val="auto"/>
        </w:rPr>
      </w:pPr>
    </w:p>
    <w:p>
      <w:pPr>
        <w:jc w:val="both"/>
        <w:ind w:left="20" w:hanging="10"/>
        <w:spacing w:after="0"/>
        <w:tabs>
          <w:tab w:leader="none" w:pos="28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is a merger or consolidation of the Company (other than when 50% or more of the voting power remains the same or a recapitalization where no person owns more than 50% of the voting power); or (d) shareholders of the Company approve a plan of complete liquidation or dissolution of the Company or there is a sale or disposition by the Company, of all or substantially all of the Company’s assets; and</w:t>
      </w:r>
    </w:p>
    <w:p>
      <w:pPr>
        <w:spacing w:after="0" w:line="113"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“Constructive Discharge” is generally defined as set forth in a grantee’s employment agreement, or if no agreement or definition exists it is defined as: (a) a material reduction in base compensation, (b) a material adverse change in the nature or status of duties or responsibilities, or (c) a relocation of more than 30 miles from the principal place of employment.</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Severance</w:t>
      </w:r>
    </w:p>
    <w:p>
      <w:pPr>
        <w:spacing w:after="0" w:line="142"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Potential severance payments are described above, none of which are payable solely due to a Change in Control (as defined above).</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Termination, Severance and Change of Control Arrangements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table and narrative below describes the potential severance payments for each NEO, as of December 31,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tcPr>
          <w:p>
            <w:pPr>
              <w:jc w:val="right"/>
              <w:ind w:right="208"/>
              <w:spacing w:after="0"/>
              <w:rPr>
                <w:sz w:val="20"/>
                <w:szCs w:val="20"/>
                <w:color w:val="auto"/>
              </w:rPr>
            </w:pPr>
            <w:r>
              <w:rPr>
                <w:rFonts w:ascii="Arial" w:cs="Arial" w:eastAsia="Arial" w:hAnsi="Arial"/>
                <w:sz w:val="14"/>
                <w:szCs w:val="14"/>
                <w:b w:val="1"/>
                <w:bCs w:val="1"/>
                <w:color w:val="auto"/>
              </w:rPr>
              <w:t>Accelerated</w:t>
            </w: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tcPr>
          <w:p>
            <w:pPr>
              <w:jc w:val="center"/>
              <w:ind w:left="148"/>
              <w:spacing w:after="0"/>
              <w:rPr>
                <w:sz w:val="20"/>
                <w:szCs w:val="20"/>
                <w:color w:val="auto"/>
              </w:rPr>
            </w:pPr>
            <w:r>
              <w:rPr>
                <w:rFonts w:ascii="Arial" w:cs="Arial" w:eastAsia="Arial" w:hAnsi="Arial"/>
                <w:sz w:val="14"/>
                <w:szCs w:val="14"/>
                <w:b w:val="1"/>
                <w:bCs w:val="1"/>
                <w:color w:val="auto"/>
              </w:rPr>
              <w:t>Vesting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Continuation</w:t>
            </w:r>
          </w:p>
        </w:tc>
        <w:tc>
          <w:tcPr>
            <w:tcW w:w="106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Lump-Sum</w:t>
            </w:r>
          </w:p>
        </w:tc>
        <w:tc>
          <w:tcPr>
            <w:tcW w:w="1640" w:type="dxa"/>
            <w:vAlign w:val="bottom"/>
          </w:tcPr>
          <w:p>
            <w:pPr>
              <w:jc w:val="center"/>
              <w:ind w:left="208"/>
              <w:spacing w:after="0"/>
              <w:rPr>
                <w:sz w:val="20"/>
                <w:szCs w:val="20"/>
                <w:color w:val="auto"/>
              </w:rPr>
            </w:pPr>
            <w:r>
              <w:rPr>
                <w:rFonts w:ascii="Arial" w:cs="Arial" w:eastAsia="Arial" w:hAnsi="Arial"/>
                <w:sz w:val="14"/>
                <w:szCs w:val="14"/>
                <w:b w:val="1"/>
                <w:bCs w:val="1"/>
                <w:color w:val="auto"/>
              </w:rPr>
              <w:t>Stock-</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of Benefits</w:t>
            </w:r>
          </w:p>
        </w:tc>
        <w:tc>
          <w:tcPr>
            <w:tcW w:w="106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Severance</w:t>
            </w:r>
          </w:p>
        </w:tc>
        <w:tc>
          <w:tcPr>
            <w:tcW w:w="1640" w:type="dxa"/>
            <w:vAlign w:val="bottom"/>
          </w:tcPr>
          <w:p>
            <w:pPr>
              <w:jc w:val="center"/>
              <w:ind w:left="148"/>
              <w:spacing w:after="0"/>
              <w:rPr>
                <w:sz w:val="20"/>
                <w:szCs w:val="20"/>
                <w:color w:val="auto"/>
              </w:rPr>
            </w:pPr>
            <w:r>
              <w:rPr>
                <w:rFonts w:ascii="Arial" w:cs="Arial" w:eastAsia="Arial" w:hAnsi="Arial"/>
                <w:sz w:val="14"/>
                <w:szCs w:val="14"/>
                <w:b w:val="1"/>
                <w:bCs w:val="1"/>
                <w:color w:val="auto"/>
              </w:rPr>
              <w:t>based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06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Payment</w:t>
            </w:r>
          </w:p>
        </w:tc>
        <w:tc>
          <w:tcPr>
            <w:tcW w:w="1640" w:type="dxa"/>
            <w:vAlign w:val="bottom"/>
          </w:tcPr>
          <w:p>
            <w:pPr>
              <w:jc w:val="center"/>
              <w:ind w:left="168"/>
              <w:spacing w:after="0"/>
              <w:rPr>
                <w:sz w:val="20"/>
                <w:szCs w:val="20"/>
                <w:color w:val="auto"/>
              </w:rPr>
            </w:pPr>
            <w:r>
              <w:rPr>
                <w:rFonts w:ascii="Arial" w:cs="Arial" w:eastAsia="Arial" w:hAnsi="Arial"/>
                <w:sz w:val="14"/>
                <w:szCs w:val="14"/>
                <w:b w:val="1"/>
                <w:bCs w:val="1"/>
                <w:color w:val="auto"/>
              </w:rPr>
              <w:t>Awards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Perquisites</w:t>
            </w:r>
          </w:p>
        </w:tc>
        <w:tc>
          <w:tcPr>
            <w:tcW w:w="1060" w:type="dxa"/>
            <w:vAlign w:val="bottom"/>
          </w:tcPr>
          <w:p>
            <w:pPr>
              <w:jc w:val="center"/>
              <w:ind w:left="108"/>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4420" w:type="dxa"/>
            <w:vAlign w:val="bottom"/>
          </w:tcPr>
          <w:p>
            <w:pPr>
              <w:ind w:left="100"/>
              <w:spacing w:after="0"/>
              <w:rPr>
                <w:sz w:val="20"/>
                <w:szCs w:val="20"/>
                <w:color w:val="auto"/>
              </w:rPr>
            </w:pPr>
            <w:r>
              <w:rPr>
                <w:rFonts w:ascii="Arial" w:cs="Arial" w:eastAsia="Arial" w:hAnsi="Arial"/>
                <w:sz w:val="14"/>
                <w:szCs w:val="14"/>
                <w:b w:val="1"/>
                <w:bCs w:val="1"/>
                <w:color w:val="auto"/>
              </w:rPr>
              <w:t>Name and Triggering Event(a)</w:t>
            </w:r>
          </w:p>
        </w:tc>
        <w:tc>
          <w:tcPr>
            <w:tcW w:w="1300" w:type="dxa"/>
            <w:vAlign w:val="bottom"/>
          </w:tcPr>
          <w:p>
            <w:pPr>
              <w:jc w:val="right"/>
              <w:ind w:right="128"/>
              <w:spacing w:after="0"/>
              <w:rPr>
                <w:sz w:val="20"/>
                <w:szCs w:val="20"/>
                <w:color w:val="auto"/>
              </w:rPr>
            </w:pPr>
            <w:r>
              <w:rPr>
                <w:rFonts w:ascii="Arial" w:cs="Arial" w:eastAsia="Arial" w:hAnsi="Arial"/>
                <w:sz w:val="14"/>
                <w:szCs w:val="14"/>
                <w:b w:val="1"/>
                <w:bCs w:val="1"/>
                <w:color w:val="auto"/>
              </w:rPr>
              <w:t>($)(b)</w:t>
            </w:r>
          </w:p>
        </w:tc>
        <w:tc>
          <w:tcPr>
            <w:tcW w:w="1640" w:type="dxa"/>
            <w:vAlign w:val="bottom"/>
          </w:tcPr>
          <w:p>
            <w:pPr>
              <w:jc w:val="center"/>
              <w:ind w:left="188"/>
              <w:spacing w:after="0"/>
              <w:rPr>
                <w:sz w:val="20"/>
                <w:szCs w:val="20"/>
                <w:color w:val="auto"/>
              </w:rPr>
            </w:pPr>
            <w:r>
              <w:rPr>
                <w:rFonts w:ascii="Arial" w:cs="Arial" w:eastAsia="Arial" w:hAnsi="Arial"/>
                <w:sz w:val="14"/>
                <w:szCs w:val="14"/>
                <w:b w:val="1"/>
                <w:bCs w:val="1"/>
                <w:color w:val="auto"/>
                <w:w w:val="99"/>
              </w:rPr>
              <w:t>($)(c)</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06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w:t>
            </w:r>
          </w:p>
        </w:tc>
      </w:tr>
      <w:tr>
        <w:trPr>
          <w:trHeight w:val="29"/>
        </w:trPr>
        <w:tc>
          <w:tcPr>
            <w:tcW w:w="4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b w:val="1"/>
                <w:bCs w:val="1"/>
                <w:color w:val="auto"/>
              </w:rPr>
              <w:t>Mr. Ferraro</w:t>
            </w:r>
          </w:p>
        </w:tc>
        <w:tc>
          <w:tcPr>
            <w:tcW w:w="1300" w:type="dxa"/>
            <w:vAlign w:val="bottom"/>
            <w:shd w:val="clear" w:color="auto" w:fill="CCCCCC"/>
          </w:tcPr>
          <w:p>
            <w:pPr>
              <w:spacing w:after="0"/>
              <w:rPr>
                <w:sz w:val="20"/>
                <w:szCs w:val="20"/>
                <w:color w:val="auto"/>
              </w:rPr>
            </w:pPr>
          </w:p>
        </w:tc>
        <w:tc>
          <w:tcPr>
            <w:tcW w:w="1640" w:type="dxa"/>
            <w:vAlign w:val="bottom"/>
            <w:shd w:val="clear" w:color="auto" w:fill="CCCCCC"/>
          </w:tcPr>
          <w:p>
            <w:pPr>
              <w:spacing w:after="0"/>
              <w:rPr>
                <w:sz w:val="20"/>
                <w:szCs w:val="20"/>
                <w:color w:val="auto"/>
              </w:rPr>
            </w:pPr>
          </w:p>
        </w:tc>
        <w:tc>
          <w:tcPr>
            <w:tcW w:w="1420" w:type="dxa"/>
            <w:vAlign w:val="bottom"/>
            <w:shd w:val="clear" w:color="auto" w:fill="CCCCCC"/>
          </w:tcPr>
          <w:p>
            <w:pPr>
              <w:spacing w:after="0"/>
              <w:rPr>
                <w:sz w:val="20"/>
                <w:szCs w:val="20"/>
                <w:color w:val="auto"/>
              </w:rPr>
            </w:pPr>
          </w:p>
        </w:tc>
        <w:tc>
          <w:tcPr>
            <w:tcW w:w="1060" w:type="dxa"/>
            <w:vAlign w:val="bottom"/>
            <w:shd w:val="clear" w:color="auto" w:fill="CCCCCC"/>
          </w:tcPr>
          <w:p>
            <w:pPr>
              <w:spacing w:after="0"/>
              <w:rPr>
                <w:sz w:val="20"/>
                <w:szCs w:val="20"/>
                <w:color w:val="auto"/>
              </w:rPr>
            </w:pPr>
          </w:p>
        </w:tc>
      </w:tr>
      <w:tr>
        <w:trPr>
          <w:trHeight w:val="237"/>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2,500,000</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47,623,557</w:t>
            </w:r>
          </w:p>
        </w:tc>
        <w:tc>
          <w:tcPr>
            <w:tcW w:w="14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center"/>
              <w:ind w:left="148"/>
              <w:spacing w:after="0"/>
              <w:rPr>
                <w:sz w:val="20"/>
                <w:szCs w:val="20"/>
                <w:color w:val="auto"/>
              </w:rPr>
            </w:pPr>
            <w:r>
              <w:rPr>
                <w:rFonts w:ascii="Arial" w:cs="Arial" w:eastAsia="Arial" w:hAnsi="Arial"/>
                <w:sz w:val="14"/>
                <w:szCs w:val="14"/>
                <w:color w:val="auto"/>
              </w:rPr>
              <w:t>50,123,557</w:t>
            </w:r>
          </w:p>
        </w:tc>
      </w:tr>
      <w:tr>
        <w:trPr>
          <w:trHeight w:val="215"/>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Termination by Company without Cause or due to Constructive</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6,000,000</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32,360,158</w:t>
            </w:r>
          </w:p>
        </w:tc>
        <w:tc>
          <w:tcPr>
            <w:tcW w:w="1420" w:type="dxa"/>
            <w:vAlign w:val="bottom"/>
            <w:shd w:val="clear" w:color="auto" w:fill="CCCCCC"/>
          </w:tcPr>
          <w:p>
            <w:pPr>
              <w:jc w:val="right"/>
              <w:ind w:right="188"/>
              <w:spacing w:after="0"/>
              <w:rPr>
                <w:sz w:val="20"/>
                <w:szCs w:val="20"/>
                <w:color w:val="auto"/>
              </w:rPr>
            </w:pPr>
            <w:r>
              <w:rPr>
                <w:rFonts w:ascii="Arial" w:cs="Arial" w:eastAsia="Arial" w:hAnsi="Arial"/>
                <w:sz w:val="14"/>
                <w:szCs w:val="14"/>
                <w:color w:val="auto"/>
              </w:rPr>
              <w:t>104,745</w:t>
            </w:r>
          </w:p>
        </w:tc>
        <w:tc>
          <w:tcPr>
            <w:tcW w:w="1060" w:type="dxa"/>
            <w:vAlign w:val="bottom"/>
            <w:shd w:val="clear" w:color="auto" w:fill="CCCCCC"/>
          </w:tcPr>
          <w:p>
            <w:pPr>
              <w:jc w:val="center"/>
              <w:ind w:left="148"/>
              <w:spacing w:after="0"/>
              <w:rPr>
                <w:sz w:val="20"/>
                <w:szCs w:val="20"/>
                <w:color w:val="auto"/>
              </w:rPr>
            </w:pPr>
            <w:r>
              <w:rPr>
                <w:rFonts w:ascii="Arial" w:cs="Arial" w:eastAsia="Arial" w:hAnsi="Arial"/>
                <w:sz w:val="14"/>
                <w:szCs w:val="14"/>
                <w:color w:val="auto"/>
              </w:rPr>
              <w:t>38,464,902</w:t>
            </w:r>
          </w:p>
        </w:tc>
      </w:tr>
      <w:tr>
        <w:trPr>
          <w:trHeight w:val="190"/>
        </w:trPr>
        <w:tc>
          <w:tcPr>
            <w:tcW w:w="4420" w:type="dxa"/>
            <w:vAlign w:val="bottom"/>
            <w:shd w:val="clear" w:color="auto" w:fill="CCCCCC"/>
          </w:tcPr>
          <w:p>
            <w:pPr>
              <w:ind w:left="280"/>
              <w:spacing w:after="0"/>
              <w:rPr>
                <w:sz w:val="20"/>
                <w:szCs w:val="20"/>
                <w:color w:val="auto"/>
              </w:rPr>
            </w:pPr>
            <w:r>
              <w:rPr>
                <w:rFonts w:ascii="Arial" w:cs="Arial" w:eastAsia="Arial" w:hAnsi="Arial"/>
                <w:sz w:val="14"/>
                <w:szCs w:val="14"/>
                <w:color w:val="auto"/>
              </w:rPr>
              <w:t>Discharge</w:t>
            </w:r>
          </w:p>
        </w:tc>
        <w:tc>
          <w:tcPr>
            <w:tcW w:w="1300" w:type="dxa"/>
            <w:vAlign w:val="bottom"/>
            <w:shd w:val="clear" w:color="auto" w:fill="CCCCCC"/>
          </w:tcPr>
          <w:p>
            <w:pPr>
              <w:spacing w:after="0"/>
              <w:rPr>
                <w:sz w:val="16"/>
                <w:szCs w:val="16"/>
                <w:color w:val="auto"/>
              </w:rPr>
            </w:pPr>
          </w:p>
        </w:tc>
        <w:tc>
          <w:tcPr>
            <w:tcW w:w="1640" w:type="dxa"/>
            <w:vAlign w:val="bottom"/>
            <w:shd w:val="clear" w:color="auto" w:fill="CCCCCC"/>
          </w:tcPr>
          <w:p>
            <w:pPr>
              <w:spacing w:after="0"/>
              <w:rPr>
                <w:sz w:val="16"/>
                <w:szCs w:val="16"/>
                <w:color w:val="auto"/>
              </w:rPr>
            </w:pPr>
          </w:p>
        </w:tc>
        <w:tc>
          <w:tcPr>
            <w:tcW w:w="1420" w:type="dxa"/>
            <w:vAlign w:val="bottom"/>
            <w:shd w:val="clear" w:color="auto" w:fill="CCCCCC"/>
          </w:tcPr>
          <w:p>
            <w:pPr>
              <w:spacing w:after="0"/>
              <w:rPr>
                <w:sz w:val="16"/>
                <w:szCs w:val="16"/>
                <w:color w:val="auto"/>
              </w:rPr>
            </w:pPr>
          </w:p>
        </w:tc>
        <w:tc>
          <w:tcPr>
            <w:tcW w:w="1060" w:type="dxa"/>
            <w:vAlign w:val="bottom"/>
            <w:shd w:val="clear" w:color="auto" w:fill="CCCCCC"/>
          </w:tcPr>
          <w:p>
            <w:pPr>
              <w:spacing w:after="0"/>
              <w:rPr>
                <w:sz w:val="16"/>
                <w:szCs w:val="16"/>
                <w:color w:val="auto"/>
              </w:rPr>
            </w:pPr>
          </w:p>
        </w:tc>
      </w:tr>
      <w:tr>
        <w:trPr>
          <w:trHeight w:val="215"/>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6,000,000</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47,623,557</w:t>
            </w:r>
          </w:p>
        </w:tc>
        <w:tc>
          <w:tcPr>
            <w:tcW w:w="1420" w:type="dxa"/>
            <w:vAlign w:val="bottom"/>
            <w:shd w:val="clear" w:color="auto" w:fill="CCCCCC"/>
          </w:tcPr>
          <w:p>
            <w:pPr>
              <w:jc w:val="right"/>
              <w:ind w:right="188"/>
              <w:spacing w:after="0"/>
              <w:rPr>
                <w:sz w:val="20"/>
                <w:szCs w:val="20"/>
                <w:color w:val="auto"/>
              </w:rPr>
            </w:pPr>
            <w:r>
              <w:rPr>
                <w:rFonts w:ascii="Arial" w:cs="Arial" w:eastAsia="Arial" w:hAnsi="Arial"/>
                <w:sz w:val="14"/>
                <w:szCs w:val="14"/>
                <w:color w:val="auto"/>
              </w:rPr>
              <w:t>104,745</w:t>
            </w:r>
          </w:p>
        </w:tc>
        <w:tc>
          <w:tcPr>
            <w:tcW w:w="1060" w:type="dxa"/>
            <w:vAlign w:val="bottom"/>
            <w:shd w:val="clear" w:color="auto" w:fill="CCCCCC"/>
          </w:tcPr>
          <w:p>
            <w:pPr>
              <w:jc w:val="center"/>
              <w:ind w:left="148"/>
              <w:spacing w:after="0"/>
              <w:rPr>
                <w:sz w:val="20"/>
                <w:szCs w:val="20"/>
                <w:color w:val="auto"/>
              </w:rPr>
            </w:pPr>
            <w:r>
              <w:rPr>
                <w:rFonts w:ascii="Arial" w:cs="Arial" w:eastAsia="Arial" w:hAnsi="Arial"/>
                <w:sz w:val="14"/>
                <w:szCs w:val="14"/>
                <w:color w:val="auto"/>
              </w:rPr>
              <w:t>53,728,302</w:t>
            </w:r>
          </w:p>
        </w:tc>
      </w:tr>
      <w:tr>
        <w:trPr>
          <w:trHeight w:val="190"/>
        </w:trPr>
        <w:tc>
          <w:tcPr>
            <w:tcW w:w="4420" w:type="dxa"/>
            <w:vAlign w:val="bottom"/>
            <w:shd w:val="clear" w:color="auto" w:fill="CCCCCC"/>
          </w:tcPr>
          <w:p>
            <w:pPr>
              <w:ind w:left="280"/>
              <w:spacing w:after="0"/>
              <w:rPr>
                <w:sz w:val="20"/>
                <w:szCs w:val="20"/>
                <w:color w:val="auto"/>
              </w:rPr>
            </w:pPr>
            <w:r>
              <w:rPr>
                <w:rFonts w:ascii="Arial" w:cs="Arial" w:eastAsia="Arial" w:hAnsi="Arial"/>
                <w:sz w:val="14"/>
                <w:szCs w:val="14"/>
                <w:color w:val="auto"/>
              </w:rPr>
              <w:t>without Cause or due to a Constructive Discharge</w:t>
            </w:r>
          </w:p>
        </w:tc>
        <w:tc>
          <w:tcPr>
            <w:tcW w:w="1300" w:type="dxa"/>
            <w:vAlign w:val="bottom"/>
            <w:shd w:val="clear" w:color="auto" w:fill="CCCCCC"/>
          </w:tcPr>
          <w:p>
            <w:pPr>
              <w:spacing w:after="0"/>
              <w:rPr>
                <w:sz w:val="16"/>
                <w:szCs w:val="16"/>
                <w:color w:val="auto"/>
              </w:rPr>
            </w:pPr>
          </w:p>
        </w:tc>
        <w:tc>
          <w:tcPr>
            <w:tcW w:w="1640" w:type="dxa"/>
            <w:vAlign w:val="bottom"/>
            <w:shd w:val="clear" w:color="auto" w:fill="CCCCCC"/>
          </w:tcPr>
          <w:p>
            <w:pPr>
              <w:spacing w:after="0"/>
              <w:rPr>
                <w:sz w:val="16"/>
                <w:szCs w:val="16"/>
                <w:color w:val="auto"/>
              </w:rPr>
            </w:pPr>
          </w:p>
        </w:tc>
        <w:tc>
          <w:tcPr>
            <w:tcW w:w="1420" w:type="dxa"/>
            <w:vAlign w:val="bottom"/>
            <w:shd w:val="clear" w:color="auto" w:fill="CCCCCC"/>
          </w:tcPr>
          <w:p>
            <w:pPr>
              <w:spacing w:after="0"/>
              <w:rPr>
                <w:sz w:val="16"/>
                <w:szCs w:val="16"/>
                <w:color w:val="auto"/>
              </w:rPr>
            </w:pPr>
          </w:p>
        </w:tc>
        <w:tc>
          <w:tcPr>
            <w:tcW w:w="1060" w:type="dxa"/>
            <w:vAlign w:val="bottom"/>
            <w:shd w:val="clear" w:color="auto" w:fill="CCCCCC"/>
          </w:tcPr>
          <w:p>
            <w:pPr>
              <w:spacing w:after="0"/>
              <w:rPr>
                <w:sz w:val="16"/>
                <w:szCs w:val="16"/>
                <w:color w:val="auto"/>
              </w:rPr>
            </w:pPr>
          </w:p>
        </w:tc>
      </w:tr>
      <w:tr>
        <w:trPr>
          <w:trHeight w:val="283"/>
        </w:trPr>
        <w:tc>
          <w:tcPr>
            <w:tcW w:w="442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3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CCCC"/>
            </w:tcBorders>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CCCC"/>
            </w:tcBorders>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CCCC"/>
            </w:tcBorders>
            <w:shd w:val="clear" w:color="auto" w:fill="CCCCCC"/>
          </w:tcPr>
          <w:p>
            <w:pPr>
              <w:jc w:val="right"/>
              <w:ind w:right="8"/>
              <w:spacing w:after="0"/>
              <w:rPr>
                <w:sz w:val="20"/>
                <w:szCs w:val="20"/>
                <w:color w:val="auto"/>
              </w:rPr>
            </w:pPr>
            <w:r>
              <w:rPr>
                <w:rFonts w:ascii="Arial" w:cs="Arial" w:eastAsia="Arial" w:hAnsi="Arial"/>
                <w:sz w:val="14"/>
                <w:szCs w:val="14"/>
                <w:color w:val="auto"/>
              </w:rPr>
              <w:t>—</w:t>
            </w:r>
          </w:p>
        </w:tc>
      </w:tr>
      <w:tr>
        <w:trPr>
          <w:trHeight w:val="235"/>
        </w:trPr>
        <w:tc>
          <w:tcPr>
            <w:tcW w:w="44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Mr. Choi</w:t>
            </w:r>
          </w:p>
        </w:tc>
        <w:tc>
          <w:tcPr>
            <w:tcW w:w="1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37"/>
        </w:trPr>
        <w:tc>
          <w:tcPr>
            <w:tcW w:w="4420" w:type="dxa"/>
            <w:vAlign w:val="bottom"/>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420" w:type="dxa"/>
            <w:vAlign w:val="bottom"/>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300" w:type="dxa"/>
            <w:vAlign w:val="bottom"/>
          </w:tcPr>
          <w:p>
            <w:pPr>
              <w:jc w:val="right"/>
              <w:spacing w:after="0"/>
              <w:rPr>
                <w:sz w:val="20"/>
                <w:szCs w:val="20"/>
                <w:color w:val="auto"/>
              </w:rPr>
            </w:pPr>
            <w:r>
              <w:rPr>
                <w:rFonts w:ascii="Arial" w:cs="Arial" w:eastAsia="Arial" w:hAnsi="Arial"/>
                <w:sz w:val="14"/>
                <w:szCs w:val="14"/>
                <w:color w:val="auto"/>
              </w:rPr>
              <w:t>742,500</w:t>
            </w:r>
          </w:p>
        </w:tc>
        <w:tc>
          <w:tcPr>
            <w:tcW w:w="1640" w:type="dxa"/>
            <w:vAlign w:val="bottom"/>
          </w:tcPr>
          <w:p>
            <w:pPr>
              <w:jc w:val="right"/>
              <w:ind w:right="208"/>
              <w:spacing w:after="0"/>
              <w:rPr>
                <w:sz w:val="20"/>
                <w:szCs w:val="20"/>
                <w:color w:val="auto"/>
              </w:rPr>
            </w:pPr>
            <w:r>
              <w:rPr>
                <w:rFonts w:ascii="Arial" w:cs="Arial" w:eastAsia="Arial" w:hAnsi="Arial"/>
                <w:sz w:val="14"/>
                <w:szCs w:val="14"/>
                <w:color w:val="auto"/>
              </w:rPr>
              <w:t>18,402,843</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left="148"/>
              <w:spacing w:after="0"/>
              <w:rPr>
                <w:sz w:val="20"/>
                <w:szCs w:val="20"/>
                <w:color w:val="auto"/>
              </w:rPr>
            </w:pPr>
            <w:r>
              <w:rPr>
                <w:rFonts w:ascii="Arial" w:cs="Arial" w:eastAsia="Arial" w:hAnsi="Arial"/>
                <w:sz w:val="14"/>
                <w:szCs w:val="14"/>
                <w:color w:val="auto"/>
              </w:rPr>
              <w:t>19,145,343</w:t>
            </w:r>
          </w:p>
        </w:tc>
      </w:tr>
      <w:tr>
        <w:trPr>
          <w:trHeight w:val="215"/>
        </w:trPr>
        <w:tc>
          <w:tcPr>
            <w:tcW w:w="4420" w:type="dxa"/>
            <w:vAlign w:val="bottom"/>
          </w:tcPr>
          <w:p>
            <w:pPr>
              <w:ind w:left="100"/>
              <w:spacing w:after="0"/>
              <w:rPr>
                <w:sz w:val="20"/>
                <w:szCs w:val="20"/>
                <w:color w:val="auto"/>
              </w:rPr>
            </w:pPr>
            <w:r>
              <w:rPr>
                <w:rFonts w:ascii="Arial" w:cs="Arial" w:eastAsia="Arial" w:hAnsi="Arial"/>
                <w:sz w:val="14"/>
                <w:szCs w:val="14"/>
                <w:color w:val="auto"/>
              </w:rPr>
              <w:t>Termination by Company without Cause or due to Constructive</w:t>
            </w:r>
          </w:p>
        </w:tc>
        <w:tc>
          <w:tcPr>
            <w:tcW w:w="1300" w:type="dxa"/>
            <w:vAlign w:val="bottom"/>
          </w:tcPr>
          <w:p>
            <w:pPr>
              <w:jc w:val="right"/>
              <w:spacing w:after="0"/>
              <w:rPr>
                <w:sz w:val="20"/>
                <w:szCs w:val="20"/>
                <w:color w:val="auto"/>
              </w:rPr>
            </w:pPr>
            <w:r>
              <w:rPr>
                <w:rFonts w:ascii="Arial" w:cs="Arial" w:eastAsia="Arial" w:hAnsi="Arial"/>
                <w:sz w:val="14"/>
                <w:szCs w:val="14"/>
                <w:color w:val="auto"/>
              </w:rPr>
              <w:t>1,763,810</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6,911,988</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21,203</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8,697,001</w:t>
            </w:r>
          </w:p>
        </w:tc>
      </w:tr>
      <w:tr>
        <w:trPr>
          <w:trHeight w:val="190"/>
        </w:trPr>
        <w:tc>
          <w:tcPr>
            <w:tcW w:w="4420" w:type="dxa"/>
            <w:vAlign w:val="bottom"/>
          </w:tcPr>
          <w:p>
            <w:pPr>
              <w:ind w:left="280"/>
              <w:spacing w:after="0"/>
              <w:rPr>
                <w:sz w:val="20"/>
                <w:szCs w:val="20"/>
                <w:color w:val="auto"/>
              </w:rPr>
            </w:pPr>
            <w:r>
              <w:rPr>
                <w:rFonts w:ascii="Arial" w:cs="Arial" w:eastAsia="Arial" w:hAnsi="Arial"/>
                <w:sz w:val="14"/>
                <w:szCs w:val="14"/>
                <w:color w:val="auto"/>
              </w:rPr>
              <w:t>Discharge</w:t>
            </w:r>
          </w:p>
        </w:tc>
        <w:tc>
          <w:tcPr>
            <w:tcW w:w="1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5"/>
        </w:trPr>
        <w:tc>
          <w:tcPr>
            <w:tcW w:w="4420" w:type="dxa"/>
            <w:vAlign w:val="bottom"/>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300" w:type="dxa"/>
            <w:vAlign w:val="bottom"/>
          </w:tcPr>
          <w:p>
            <w:pPr>
              <w:jc w:val="right"/>
              <w:spacing w:after="0"/>
              <w:rPr>
                <w:sz w:val="20"/>
                <w:szCs w:val="20"/>
                <w:color w:val="auto"/>
              </w:rPr>
            </w:pPr>
            <w:r>
              <w:rPr>
                <w:rFonts w:ascii="Arial" w:cs="Arial" w:eastAsia="Arial" w:hAnsi="Arial"/>
                <w:sz w:val="14"/>
                <w:szCs w:val="14"/>
                <w:color w:val="auto"/>
              </w:rPr>
              <w:t>1,763,810</w:t>
            </w:r>
          </w:p>
        </w:tc>
        <w:tc>
          <w:tcPr>
            <w:tcW w:w="1640" w:type="dxa"/>
            <w:vAlign w:val="bottom"/>
          </w:tcPr>
          <w:p>
            <w:pPr>
              <w:jc w:val="right"/>
              <w:ind w:right="208"/>
              <w:spacing w:after="0"/>
              <w:rPr>
                <w:sz w:val="20"/>
                <w:szCs w:val="20"/>
                <w:color w:val="auto"/>
              </w:rPr>
            </w:pPr>
            <w:r>
              <w:rPr>
                <w:rFonts w:ascii="Arial" w:cs="Arial" w:eastAsia="Arial" w:hAnsi="Arial"/>
                <w:sz w:val="14"/>
                <w:szCs w:val="14"/>
                <w:color w:val="auto"/>
              </w:rPr>
              <w:t>18,402,843</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21,203</w:t>
            </w:r>
          </w:p>
        </w:tc>
        <w:tc>
          <w:tcPr>
            <w:tcW w:w="1060" w:type="dxa"/>
            <w:vAlign w:val="bottom"/>
          </w:tcPr>
          <w:p>
            <w:pPr>
              <w:jc w:val="center"/>
              <w:ind w:left="148"/>
              <w:spacing w:after="0"/>
              <w:rPr>
                <w:sz w:val="20"/>
                <w:szCs w:val="20"/>
                <w:color w:val="auto"/>
              </w:rPr>
            </w:pPr>
            <w:r>
              <w:rPr>
                <w:rFonts w:ascii="Arial" w:cs="Arial" w:eastAsia="Arial" w:hAnsi="Arial"/>
                <w:sz w:val="14"/>
                <w:szCs w:val="14"/>
                <w:color w:val="auto"/>
              </w:rPr>
              <w:t>20,187,856</w:t>
            </w:r>
          </w:p>
        </w:tc>
      </w:tr>
      <w:tr>
        <w:trPr>
          <w:trHeight w:val="190"/>
        </w:trPr>
        <w:tc>
          <w:tcPr>
            <w:tcW w:w="4420" w:type="dxa"/>
            <w:vAlign w:val="bottom"/>
          </w:tcPr>
          <w:p>
            <w:pPr>
              <w:ind w:left="280"/>
              <w:spacing w:after="0"/>
              <w:rPr>
                <w:sz w:val="20"/>
                <w:szCs w:val="20"/>
                <w:color w:val="auto"/>
              </w:rPr>
            </w:pPr>
            <w:r>
              <w:rPr>
                <w:rFonts w:ascii="Arial" w:cs="Arial" w:eastAsia="Arial" w:hAnsi="Arial"/>
                <w:sz w:val="14"/>
                <w:szCs w:val="14"/>
                <w:color w:val="auto"/>
              </w:rPr>
              <w:t>without Cause or due to Constructive Discharge</w:t>
            </w:r>
          </w:p>
        </w:tc>
        <w:tc>
          <w:tcPr>
            <w:tcW w:w="1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3"/>
        </w:trPr>
        <w:tc>
          <w:tcPr>
            <w:tcW w:w="4420" w:type="dxa"/>
            <w:vAlign w:val="bottom"/>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5"/>
        </w:trPr>
        <w:tc>
          <w:tcPr>
            <w:tcW w:w="44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5"/>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b w:val="1"/>
                <w:bCs w:val="1"/>
                <w:color w:val="auto"/>
              </w:rPr>
              <w:t>Mr. Hees</w:t>
            </w:r>
          </w:p>
        </w:tc>
        <w:tc>
          <w:tcPr>
            <w:tcW w:w="1300" w:type="dxa"/>
            <w:vAlign w:val="bottom"/>
            <w:shd w:val="clear" w:color="auto" w:fill="CCCCCC"/>
          </w:tcPr>
          <w:p>
            <w:pPr>
              <w:spacing w:after="0"/>
              <w:rPr>
                <w:sz w:val="20"/>
                <w:szCs w:val="20"/>
                <w:color w:val="auto"/>
              </w:rPr>
            </w:pPr>
          </w:p>
        </w:tc>
        <w:tc>
          <w:tcPr>
            <w:tcW w:w="1640" w:type="dxa"/>
            <w:vAlign w:val="bottom"/>
            <w:shd w:val="clear" w:color="auto" w:fill="CCCCCC"/>
          </w:tcPr>
          <w:p>
            <w:pPr>
              <w:spacing w:after="0"/>
              <w:rPr>
                <w:sz w:val="20"/>
                <w:szCs w:val="20"/>
                <w:color w:val="auto"/>
              </w:rPr>
            </w:pPr>
          </w:p>
        </w:tc>
        <w:tc>
          <w:tcPr>
            <w:tcW w:w="1420" w:type="dxa"/>
            <w:vAlign w:val="bottom"/>
            <w:shd w:val="clear" w:color="auto" w:fill="CCCCCC"/>
          </w:tcPr>
          <w:p>
            <w:pPr>
              <w:spacing w:after="0"/>
              <w:rPr>
                <w:sz w:val="20"/>
                <w:szCs w:val="20"/>
                <w:color w:val="auto"/>
              </w:rPr>
            </w:pPr>
          </w:p>
        </w:tc>
        <w:tc>
          <w:tcPr>
            <w:tcW w:w="1060" w:type="dxa"/>
            <w:vAlign w:val="bottom"/>
            <w:shd w:val="clear" w:color="auto" w:fill="CCCCCC"/>
          </w:tcPr>
          <w:p>
            <w:pPr>
              <w:spacing w:after="0"/>
              <w:rPr>
                <w:sz w:val="20"/>
                <w:szCs w:val="20"/>
                <w:color w:val="auto"/>
              </w:rPr>
            </w:pPr>
          </w:p>
        </w:tc>
      </w:tr>
      <w:tr>
        <w:trPr>
          <w:trHeight w:val="237"/>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500,000</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25,471,672</w:t>
            </w:r>
          </w:p>
        </w:tc>
        <w:tc>
          <w:tcPr>
            <w:tcW w:w="14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center"/>
              <w:ind w:left="148"/>
              <w:spacing w:after="0"/>
              <w:rPr>
                <w:sz w:val="20"/>
                <w:szCs w:val="20"/>
                <w:color w:val="auto"/>
              </w:rPr>
            </w:pPr>
            <w:r>
              <w:rPr>
                <w:rFonts w:ascii="Arial" w:cs="Arial" w:eastAsia="Arial" w:hAnsi="Arial"/>
                <w:sz w:val="14"/>
                <w:szCs w:val="14"/>
                <w:color w:val="auto"/>
              </w:rPr>
              <w:t>25,971,672</w:t>
            </w:r>
          </w:p>
        </w:tc>
      </w:tr>
      <w:tr>
        <w:trPr>
          <w:trHeight w:val="215"/>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Termination by Company without Cause or due to Constructive</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1,521,310</w:t>
            </w:r>
          </w:p>
        </w:tc>
        <w:tc>
          <w:tcPr>
            <w:tcW w:w="164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9,680,135</w:t>
            </w:r>
          </w:p>
        </w:tc>
        <w:tc>
          <w:tcPr>
            <w:tcW w:w="14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11,201,445</w:t>
            </w:r>
          </w:p>
        </w:tc>
      </w:tr>
      <w:tr>
        <w:trPr>
          <w:trHeight w:val="190"/>
        </w:trPr>
        <w:tc>
          <w:tcPr>
            <w:tcW w:w="4420" w:type="dxa"/>
            <w:vAlign w:val="bottom"/>
            <w:shd w:val="clear" w:color="auto" w:fill="CCCCCC"/>
          </w:tcPr>
          <w:p>
            <w:pPr>
              <w:ind w:left="280"/>
              <w:spacing w:after="0"/>
              <w:rPr>
                <w:sz w:val="20"/>
                <w:szCs w:val="20"/>
                <w:color w:val="auto"/>
              </w:rPr>
            </w:pPr>
            <w:r>
              <w:rPr>
                <w:rFonts w:ascii="Arial" w:cs="Arial" w:eastAsia="Arial" w:hAnsi="Arial"/>
                <w:sz w:val="14"/>
                <w:szCs w:val="14"/>
                <w:color w:val="auto"/>
              </w:rPr>
              <w:t>Discharge</w:t>
            </w:r>
          </w:p>
        </w:tc>
        <w:tc>
          <w:tcPr>
            <w:tcW w:w="1300" w:type="dxa"/>
            <w:vAlign w:val="bottom"/>
            <w:shd w:val="clear" w:color="auto" w:fill="CCCCCC"/>
          </w:tcPr>
          <w:p>
            <w:pPr>
              <w:spacing w:after="0"/>
              <w:rPr>
                <w:sz w:val="16"/>
                <w:szCs w:val="16"/>
                <w:color w:val="auto"/>
              </w:rPr>
            </w:pPr>
          </w:p>
        </w:tc>
        <w:tc>
          <w:tcPr>
            <w:tcW w:w="1640" w:type="dxa"/>
            <w:vAlign w:val="bottom"/>
            <w:shd w:val="clear" w:color="auto" w:fill="CCCCCC"/>
          </w:tcPr>
          <w:p>
            <w:pPr>
              <w:spacing w:after="0"/>
              <w:rPr>
                <w:sz w:val="16"/>
                <w:szCs w:val="16"/>
                <w:color w:val="auto"/>
              </w:rPr>
            </w:pPr>
          </w:p>
        </w:tc>
        <w:tc>
          <w:tcPr>
            <w:tcW w:w="1420" w:type="dxa"/>
            <w:vAlign w:val="bottom"/>
            <w:shd w:val="clear" w:color="auto" w:fill="CCCCCC"/>
          </w:tcPr>
          <w:p>
            <w:pPr>
              <w:spacing w:after="0"/>
              <w:rPr>
                <w:sz w:val="16"/>
                <w:szCs w:val="16"/>
                <w:color w:val="auto"/>
              </w:rPr>
            </w:pPr>
          </w:p>
        </w:tc>
        <w:tc>
          <w:tcPr>
            <w:tcW w:w="1060" w:type="dxa"/>
            <w:vAlign w:val="bottom"/>
            <w:shd w:val="clear" w:color="auto" w:fill="CCCCCC"/>
          </w:tcPr>
          <w:p>
            <w:pPr>
              <w:spacing w:after="0"/>
              <w:rPr>
                <w:sz w:val="16"/>
                <w:szCs w:val="16"/>
                <w:color w:val="auto"/>
              </w:rPr>
            </w:pPr>
          </w:p>
        </w:tc>
      </w:tr>
      <w:tr>
        <w:trPr>
          <w:trHeight w:val="215"/>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1,521,310</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25,471,672</w:t>
            </w:r>
          </w:p>
        </w:tc>
        <w:tc>
          <w:tcPr>
            <w:tcW w:w="14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center"/>
              <w:ind w:left="148"/>
              <w:spacing w:after="0"/>
              <w:rPr>
                <w:sz w:val="20"/>
                <w:szCs w:val="20"/>
                <w:color w:val="auto"/>
              </w:rPr>
            </w:pPr>
            <w:r>
              <w:rPr>
                <w:rFonts w:ascii="Arial" w:cs="Arial" w:eastAsia="Arial" w:hAnsi="Arial"/>
                <w:sz w:val="14"/>
                <w:szCs w:val="14"/>
                <w:color w:val="auto"/>
              </w:rPr>
              <w:t>26,992,982</w:t>
            </w:r>
          </w:p>
        </w:tc>
      </w:tr>
      <w:tr>
        <w:trPr>
          <w:trHeight w:val="190"/>
        </w:trPr>
        <w:tc>
          <w:tcPr>
            <w:tcW w:w="4420" w:type="dxa"/>
            <w:vAlign w:val="bottom"/>
            <w:shd w:val="clear" w:color="auto" w:fill="CCCCCC"/>
          </w:tcPr>
          <w:p>
            <w:pPr>
              <w:ind w:left="280"/>
              <w:spacing w:after="0"/>
              <w:rPr>
                <w:sz w:val="20"/>
                <w:szCs w:val="20"/>
                <w:color w:val="auto"/>
              </w:rPr>
            </w:pPr>
            <w:r>
              <w:rPr>
                <w:rFonts w:ascii="Arial" w:cs="Arial" w:eastAsia="Arial" w:hAnsi="Arial"/>
                <w:sz w:val="14"/>
                <w:szCs w:val="14"/>
                <w:color w:val="auto"/>
              </w:rPr>
              <w:t>without Cause or due to a Constructive Discharge</w:t>
            </w:r>
          </w:p>
        </w:tc>
        <w:tc>
          <w:tcPr>
            <w:tcW w:w="1300" w:type="dxa"/>
            <w:vAlign w:val="bottom"/>
            <w:shd w:val="clear" w:color="auto" w:fill="CCCCCC"/>
          </w:tcPr>
          <w:p>
            <w:pPr>
              <w:spacing w:after="0"/>
              <w:rPr>
                <w:sz w:val="16"/>
                <w:szCs w:val="16"/>
                <w:color w:val="auto"/>
              </w:rPr>
            </w:pPr>
          </w:p>
        </w:tc>
        <w:tc>
          <w:tcPr>
            <w:tcW w:w="1640" w:type="dxa"/>
            <w:vAlign w:val="bottom"/>
            <w:shd w:val="clear" w:color="auto" w:fill="CCCCCC"/>
          </w:tcPr>
          <w:p>
            <w:pPr>
              <w:spacing w:after="0"/>
              <w:rPr>
                <w:sz w:val="16"/>
                <w:szCs w:val="16"/>
                <w:color w:val="auto"/>
              </w:rPr>
            </w:pPr>
          </w:p>
        </w:tc>
        <w:tc>
          <w:tcPr>
            <w:tcW w:w="1420" w:type="dxa"/>
            <w:vAlign w:val="bottom"/>
            <w:shd w:val="clear" w:color="auto" w:fill="CCCCCC"/>
          </w:tcPr>
          <w:p>
            <w:pPr>
              <w:spacing w:after="0"/>
              <w:rPr>
                <w:sz w:val="16"/>
                <w:szCs w:val="16"/>
                <w:color w:val="auto"/>
              </w:rPr>
            </w:pPr>
          </w:p>
        </w:tc>
        <w:tc>
          <w:tcPr>
            <w:tcW w:w="1060" w:type="dxa"/>
            <w:vAlign w:val="bottom"/>
            <w:shd w:val="clear" w:color="auto" w:fill="CCCCCC"/>
          </w:tcPr>
          <w:p>
            <w:pPr>
              <w:spacing w:after="0"/>
              <w:rPr>
                <w:sz w:val="16"/>
                <w:szCs w:val="16"/>
                <w:color w:val="auto"/>
              </w:rPr>
            </w:pPr>
          </w:p>
        </w:tc>
      </w:tr>
      <w:tr>
        <w:trPr>
          <w:trHeight w:val="283"/>
        </w:trPr>
        <w:tc>
          <w:tcPr>
            <w:tcW w:w="442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3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CCCC"/>
            </w:tcBorders>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CCCC"/>
            </w:tcBorders>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CCCC"/>
            </w:tcBorders>
            <w:shd w:val="clear" w:color="auto" w:fill="CCCCCC"/>
          </w:tcPr>
          <w:p>
            <w:pPr>
              <w:jc w:val="right"/>
              <w:ind w:right="8"/>
              <w:spacing w:after="0"/>
              <w:rPr>
                <w:sz w:val="20"/>
                <w:szCs w:val="20"/>
                <w:color w:val="auto"/>
              </w:rPr>
            </w:pPr>
            <w:r>
              <w:rPr>
                <w:rFonts w:ascii="Arial" w:cs="Arial" w:eastAsia="Arial" w:hAnsi="Arial"/>
                <w:sz w:val="14"/>
                <w:szCs w:val="14"/>
                <w:color w:val="auto"/>
              </w:rPr>
              <w:t>—</w:t>
            </w:r>
          </w:p>
        </w:tc>
      </w:tr>
      <w:tr>
        <w:trPr>
          <w:trHeight w:val="235"/>
        </w:trPr>
        <w:tc>
          <w:tcPr>
            <w:tcW w:w="44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Mr. Sita</w:t>
            </w:r>
          </w:p>
        </w:tc>
        <w:tc>
          <w:tcPr>
            <w:tcW w:w="1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37"/>
        </w:trPr>
        <w:tc>
          <w:tcPr>
            <w:tcW w:w="4420" w:type="dxa"/>
            <w:vAlign w:val="bottom"/>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420" w:type="dxa"/>
            <w:vAlign w:val="bottom"/>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300" w:type="dxa"/>
            <w:vAlign w:val="bottom"/>
          </w:tcPr>
          <w:p>
            <w:pPr>
              <w:jc w:val="right"/>
              <w:spacing w:after="0"/>
              <w:rPr>
                <w:sz w:val="20"/>
                <w:szCs w:val="20"/>
                <w:color w:val="auto"/>
              </w:rPr>
            </w:pPr>
            <w:r>
              <w:rPr>
                <w:rFonts w:ascii="Arial" w:cs="Arial" w:eastAsia="Arial" w:hAnsi="Arial"/>
                <w:sz w:val="14"/>
                <w:szCs w:val="14"/>
                <w:color w:val="auto"/>
              </w:rPr>
              <w:t>712,500</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4,317,858</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5,030,358</w:t>
            </w:r>
          </w:p>
        </w:tc>
      </w:tr>
      <w:tr>
        <w:trPr>
          <w:trHeight w:val="215"/>
        </w:trPr>
        <w:tc>
          <w:tcPr>
            <w:tcW w:w="4420" w:type="dxa"/>
            <w:vAlign w:val="bottom"/>
          </w:tcPr>
          <w:p>
            <w:pPr>
              <w:ind w:left="100"/>
              <w:spacing w:after="0"/>
              <w:rPr>
                <w:sz w:val="20"/>
                <w:szCs w:val="20"/>
                <w:color w:val="auto"/>
              </w:rPr>
            </w:pPr>
            <w:r>
              <w:rPr>
                <w:rFonts w:ascii="Arial" w:cs="Arial" w:eastAsia="Arial" w:hAnsi="Arial"/>
                <w:sz w:val="14"/>
                <w:szCs w:val="14"/>
                <w:color w:val="auto"/>
              </w:rPr>
              <w:t>Termination by Company without Cause or due to Constructive</w:t>
            </w:r>
          </w:p>
        </w:tc>
        <w:tc>
          <w:tcPr>
            <w:tcW w:w="1300" w:type="dxa"/>
            <w:vAlign w:val="bottom"/>
          </w:tcPr>
          <w:p>
            <w:pPr>
              <w:jc w:val="right"/>
              <w:spacing w:after="0"/>
              <w:rPr>
                <w:sz w:val="20"/>
                <w:szCs w:val="20"/>
                <w:color w:val="auto"/>
              </w:rPr>
            </w:pPr>
            <w:r>
              <w:rPr>
                <w:rFonts w:ascii="Arial" w:cs="Arial" w:eastAsia="Arial" w:hAnsi="Arial"/>
                <w:sz w:val="14"/>
                <w:szCs w:val="14"/>
                <w:color w:val="auto"/>
              </w:rPr>
              <w:t>1,733,810</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15,974</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1,749,784</w:t>
            </w:r>
          </w:p>
        </w:tc>
      </w:tr>
      <w:tr>
        <w:trPr>
          <w:trHeight w:val="190"/>
        </w:trPr>
        <w:tc>
          <w:tcPr>
            <w:tcW w:w="4420" w:type="dxa"/>
            <w:vAlign w:val="bottom"/>
          </w:tcPr>
          <w:p>
            <w:pPr>
              <w:ind w:left="280"/>
              <w:spacing w:after="0"/>
              <w:rPr>
                <w:sz w:val="20"/>
                <w:szCs w:val="20"/>
                <w:color w:val="auto"/>
              </w:rPr>
            </w:pPr>
            <w:r>
              <w:rPr>
                <w:rFonts w:ascii="Arial" w:cs="Arial" w:eastAsia="Arial" w:hAnsi="Arial"/>
                <w:sz w:val="14"/>
                <w:szCs w:val="14"/>
                <w:color w:val="auto"/>
              </w:rPr>
              <w:t>Discharge</w:t>
            </w:r>
          </w:p>
        </w:tc>
        <w:tc>
          <w:tcPr>
            <w:tcW w:w="1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5"/>
        </w:trPr>
        <w:tc>
          <w:tcPr>
            <w:tcW w:w="4420" w:type="dxa"/>
            <w:vAlign w:val="bottom"/>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300" w:type="dxa"/>
            <w:vAlign w:val="bottom"/>
          </w:tcPr>
          <w:p>
            <w:pPr>
              <w:jc w:val="right"/>
              <w:spacing w:after="0"/>
              <w:rPr>
                <w:sz w:val="20"/>
                <w:szCs w:val="20"/>
                <w:color w:val="auto"/>
              </w:rPr>
            </w:pPr>
            <w:r>
              <w:rPr>
                <w:rFonts w:ascii="Arial" w:cs="Arial" w:eastAsia="Arial" w:hAnsi="Arial"/>
                <w:sz w:val="14"/>
                <w:szCs w:val="14"/>
                <w:color w:val="auto"/>
              </w:rPr>
              <w:t>1,733,810</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4,317,858</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15,974</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6,067,642</w:t>
            </w:r>
          </w:p>
        </w:tc>
      </w:tr>
      <w:tr>
        <w:trPr>
          <w:trHeight w:val="190"/>
        </w:trPr>
        <w:tc>
          <w:tcPr>
            <w:tcW w:w="4420" w:type="dxa"/>
            <w:vAlign w:val="bottom"/>
          </w:tcPr>
          <w:p>
            <w:pPr>
              <w:ind w:left="280"/>
              <w:spacing w:after="0"/>
              <w:rPr>
                <w:sz w:val="20"/>
                <w:szCs w:val="20"/>
                <w:color w:val="auto"/>
              </w:rPr>
            </w:pPr>
            <w:r>
              <w:rPr>
                <w:rFonts w:ascii="Arial" w:cs="Arial" w:eastAsia="Arial" w:hAnsi="Arial"/>
                <w:sz w:val="14"/>
                <w:szCs w:val="14"/>
                <w:color w:val="auto"/>
              </w:rPr>
              <w:t>without Cause or due to a Constructive Discharge</w:t>
            </w:r>
          </w:p>
        </w:tc>
        <w:tc>
          <w:tcPr>
            <w:tcW w:w="1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7"/>
        </w:trPr>
        <w:tc>
          <w:tcPr>
            <w:tcW w:w="44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ectPr>
          <w:pgSz w:w="11900" w:h="16838" w:orient="portrait"/>
          <w:cols w:equalWidth="0" w:num="1">
            <w:col w:w="9840"/>
          </w:cols>
          <w:pgMar w:left="1020" w:top="263" w:right="10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161925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4560" w:type="dxa"/>
            <w:vAlign w:val="bottom"/>
            <w:gridSpan w:val="2"/>
          </w:tcPr>
          <w:p>
            <w:pPr>
              <w:ind w:left="20"/>
              <w:spacing w:after="0"/>
              <w:rPr>
                <w:rFonts w:ascii="Times New Roman" w:cs="Times New Roman" w:eastAsia="Times New Roman" w:hAnsi="Times New Roman"/>
                <w:sz w:val="14"/>
                <w:szCs w:val="14"/>
                <w:b w:val="1"/>
                <w:bCs w:val="1"/>
                <w:color w:val="0000EE"/>
              </w:rPr>
            </w:pPr>
            <w:hyperlink w:anchor="page4">
              <w:r>
                <w:rPr>
                  <w:rFonts w:ascii="Times New Roman" w:cs="Times New Roman" w:eastAsia="Times New Roman" w:hAnsi="Times New Roman"/>
                  <w:sz w:val="14"/>
                  <w:szCs w:val="14"/>
                  <w:b w:val="1"/>
                  <w:bCs w:val="1"/>
                  <w:color w:val="0000EE"/>
                </w:rPr>
                <w:t>TABLE OF CONTENTS</w:t>
              </w:r>
            </w:hyperlink>
          </w:p>
        </w:tc>
        <w:tc>
          <w:tcPr>
            <w:tcW w:w="1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35"/>
        </w:trPr>
        <w:tc>
          <w:tcPr>
            <w:tcW w:w="1560" w:type="dxa"/>
            <w:vAlign w:val="bottom"/>
            <w:tcBorders>
              <w:top w:val="single" w:sz="8" w:color="0000EE"/>
            </w:tcBorders>
          </w:tcPr>
          <w:p>
            <w:pPr>
              <w:spacing w:after="0"/>
              <w:rPr>
                <w:sz w:val="24"/>
                <w:szCs w:val="24"/>
                <w:color w:val="auto"/>
              </w:rPr>
            </w:pP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jc w:val="center"/>
              <w:ind w:left="188"/>
              <w:spacing w:after="0"/>
              <w:rPr>
                <w:sz w:val="20"/>
                <w:szCs w:val="20"/>
                <w:color w:val="auto"/>
              </w:rPr>
            </w:pPr>
            <w:r>
              <w:rPr>
                <w:rFonts w:ascii="Arial" w:cs="Arial" w:eastAsia="Arial" w:hAnsi="Arial"/>
                <w:sz w:val="14"/>
                <w:szCs w:val="14"/>
                <w:b w:val="1"/>
                <w:bCs w:val="1"/>
                <w:color w:val="auto"/>
              </w:rPr>
              <w:t>Accelerated</w:t>
            </w: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2"/>
        </w:trPr>
        <w:tc>
          <w:tcPr>
            <w:tcW w:w="1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jc w:val="center"/>
              <w:ind w:left="148"/>
              <w:spacing w:after="0"/>
              <w:rPr>
                <w:sz w:val="20"/>
                <w:szCs w:val="20"/>
                <w:color w:val="auto"/>
              </w:rPr>
            </w:pPr>
            <w:r>
              <w:rPr>
                <w:rFonts w:ascii="Arial" w:cs="Arial" w:eastAsia="Arial" w:hAnsi="Arial"/>
                <w:sz w:val="14"/>
                <w:szCs w:val="14"/>
                <w:b w:val="1"/>
                <w:bCs w:val="1"/>
                <w:color w:val="auto"/>
              </w:rPr>
              <w:t>Vesting of</w:t>
            </w: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auto"/>
              </w:rPr>
              <w:t>Continuation</w:t>
            </w:r>
          </w:p>
        </w:tc>
        <w:tc>
          <w:tcPr>
            <w:tcW w:w="106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60" w:type="dxa"/>
            <w:vAlign w:val="bottom"/>
          </w:tcPr>
          <w:p>
            <w:pPr>
              <w:jc w:val="center"/>
              <w:ind w:left="328"/>
              <w:spacing w:after="0"/>
              <w:rPr>
                <w:sz w:val="20"/>
                <w:szCs w:val="20"/>
                <w:color w:val="auto"/>
              </w:rPr>
            </w:pPr>
            <w:r>
              <w:rPr>
                <w:rFonts w:ascii="Arial" w:cs="Arial" w:eastAsia="Arial" w:hAnsi="Arial"/>
                <w:sz w:val="14"/>
                <w:szCs w:val="14"/>
                <w:b w:val="1"/>
                <w:bCs w:val="1"/>
                <w:color w:val="auto"/>
              </w:rPr>
              <w:t>Lump-Sum</w:t>
            </w:r>
          </w:p>
        </w:tc>
        <w:tc>
          <w:tcPr>
            <w:tcW w:w="1640" w:type="dxa"/>
            <w:vAlign w:val="bottom"/>
          </w:tcPr>
          <w:p>
            <w:pPr>
              <w:jc w:val="center"/>
              <w:ind w:left="208"/>
              <w:spacing w:after="0"/>
              <w:rPr>
                <w:sz w:val="20"/>
                <w:szCs w:val="20"/>
                <w:color w:val="auto"/>
              </w:rPr>
            </w:pPr>
            <w:r>
              <w:rPr>
                <w:rFonts w:ascii="Arial" w:cs="Arial" w:eastAsia="Arial" w:hAnsi="Arial"/>
                <w:sz w:val="14"/>
                <w:szCs w:val="14"/>
                <w:b w:val="1"/>
                <w:bCs w:val="1"/>
                <w:color w:val="auto"/>
              </w:rPr>
              <w:t>Stock-</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of Benefits</w:t>
            </w:r>
          </w:p>
        </w:tc>
        <w:tc>
          <w:tcPr>
            <w:tcW w:w="106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60" w:type="dxa"/>
            <w:vAlign w:val="bottom"/>
          </w:tcPr>
          <w:p>
            <w:pPr>
              <w:jc w:val="center"/>
              <w:ind w:left="328"/>
              <w:spacing w:after="0"/>
              <w:rPr>
                <w:sz w:val="20"/>
                <w:szCs w:val="20"/>
                <w:color w:val="auto"/>
              </w:rPr>
            </w:pPr>
            <w:r>
              <w:rPr>
                <w:rFonts w:ascii="Arial" w:cs="Arial" w:eastAsia="Arial" w:hAnsi="Arial"/>
                <w:sz w:val="14"/>
                <w:szCs w:val="14"/>
                <w:b w:val="1"/>
                <w:bCs w:val="1"/>
                <w:color w:val="auto"/>
              </w:rPr>
              <w:t>Severance</w:t>
            </w:r>
          </w:p>
        </w:tc>
        <w:tc>
          <w:tcPr>
            <w:tcW w:w="1640" w:type="dxa"/>
            <w:vAlign w:val="bottom"/>
          </w:tcPr>
          <w:p>
            <w:pPr>
              <w:jc w:val="center"/>
              <w:ind w:left="148"/>
              <w:spacing w:after="0"/>
              <w:rPr>
                <w:sz w:val="20"/>
                <w:szCs w:val="20"/>
                <w:color w:val="auto"/>
              </w:rPr>
            </w:pPr>
            <w:r>
              <w:rPr>
                <w:rFonts w:ascii="Arial" w:cs="Arial" w:eastAsia="Arial" w:hAnsi="Arial"/>
                <w:sz w:val="14"/>
                <w:szCs w:val="14"/>
                <w:b w:val="1"/>
                <w:bCs w:val="1"/>
                <w:color w:val="auto"/>
              </w:rPr>
              <w:t>based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06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60" w:type="dxa"/>
            <w:vAlign w:val="bottom"/>
          </w:tcPr>
          <w:p>
            <w:pPr>
              <w:jc w:val="center"/>
              <w:ind w:left="288"/>
              <w:spacing w:after="0"/>
              <w:rPr>
                <w:sz w:val="20"/>
                <w:szCs w:val="20"/>
                <w:color w:val="auto"/>
              </w:rPr>
            </w:pPr>
            <w:r>
              <w:rPr>
                <w:rFonts w:ascii="Arial" w:cs="Arial" w:eastAsia="Arial" w:hAnsi="Arial"/>
                <w:sz w:val="14"/>
                <w:szCs w:val="14"/>
                <w:b w:val="1"/>
                <w:bCs w:val="1"/>
                <w:color w:val="auto"/>
              </w:rPr>
              <w:t>Payment</w:t>
            </w:r>
          </w:p>
        </w:tc>
        <w:tc>
          <w:tcPr>
            <w:tcW w:w="1640" w:type="dxa"/>
            <w:vAlign w:val="bottom"/>
          </w:tcPr>
          <w:p>
            <w:pPr>
              <w:jc w:val="center"/>
              <w:ind w:left="168"/>
              <w:spacing w:after="0"/>
              <w:rPr>
                <w:sz w:val="20"/>
                <w:szCs w:val="20"/>
                <w:color w:val="auto"/>
              </w:rPr>
            </w:pPr>
            <w:r>
              <w:rPr>
                <w:rFonts w:ascii="Arial" w:cs="Arial" w:eastAsia="Arial" w:hAnsi="Arial"/>
                <w:sz w:val="14"/>
                <w:szCs w:val="14"/>
                <w:b w:val="1"/>
                <w:bCs w:val="1"/>
                <w:color w:val="auto"/>
              </w:rPr>
              <w:t>Awards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Perquisites</w:t>
            </w:r>
          </w:p>
        </w:tc>
        <w:tc>
          <w:tcPr>
            <w:tcW w:w="1060" w:type="dxa"/>
            <w:vAlign w:val="bottom"/>
          </w:tcPr>
          <w:p>
            <w:pPr>
              <w:jc w:val="center"/>
              <w:ind w:left="108"/>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4560" w:type="dxa"/>
            <w:vAlign w:val="bottom"/>
            <w:gridSpan w:val="2"/>
          </w:tcPr>
          <w:p>
            <w:pPr>
              <w:ind w:left="100"/>
              <w:spacing w:after="0"/>
              <w:rPr>
                <w:sz w:val="20"/>
                <w:szCs w:val="20"/>
                <w:color w:val="auto"/>
              </w:rPr>
            </w:pPr>
            <w:r>
              <w:rPr>
                <w:rFonts w:ascii="Arial" w:cs="Arial" w:eastAsia="Arial" w:hAnsi="Arial"/>
                <w:sz w:val="14"/>
                <w:szCs w:val="14"/>
                <w:b w:val="1"/>
                <w:bCs w:val="1"/>
                <w:color w:val="auto"/>
              </w:rPr>
              <w:t>Name and Triggering Event(a)</w:t>
            </w:r>
          </w:p>
        </w:tc>
        <w:tc>
          <w:tcPr>
            <w:tcW w:w="1160" w:type="dxa"/>
            <w:vAlign w:val="bottom"/>
          </w:tcPr>
          <w:p>
            <w:pPr>
              <w:jc w:val="center"/>
              <w:ind w:left="328"/>
              <w:spacing w:after="0"/>
              <w:rPr>
                <w:sz w:val="20"/>
                <w:szCs w:val="20"/>
                <w:color w:val="auto"/>
              </w:rPr>
            </w:pPr>
            <w:r>
              <w:rPr>
                <w:rFonts w:ascii="Arial" w:cs="Arial" w:eastAsia="Arial" w:hAnsi="Arial"/>
                <w:sz w:val="14"/>
                <w:szCs w:val="14"/>
                <w:b w:val="1"/>
                <w:bCs w:val="1"/>
                <w:color w:val="auto"/>
              </w:rPr>
              <w:t>($)(b)</w:t>
            </w:r>
          </w:p>
        </w:tc>
        <w:tc>
          <w:tcPr>
            <w:tcW w:w="1640" w:type="dxa"/>
            <w:vAlign w:val="bottom"/>
          </w:tcPr>
          <w:p>
            <w:pPr>
              <w:jc w:val="center"/>
              <w:ind w:left="188"/>
              <w:spacing w:after="0"/>
              <w:rPr>
                <w:sz w:val="20"/>
                <w:szCs w:val="20"/>
                <w:color w:val="auto"/>
              </w:rPr>
            </w:pPr>
            <w:r>
              <w:rPr>
                <w:rFonts w:ascii="Arial" w:cs="Arial" w:eastAsia="Arial" w:hAnsi="Arial"/>
                <w:sz w:val="14"/>
                <w:szCs w:val="14"/>
                <w:b w:val="1"/>
                <w:bCs w:val="1"/>
                <w:color w:val="auto"/>
                <w:w w:val="99"/>
              </w:rPr>
              <w:t>($)(c)</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06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w:t>
            </w:r>
          </w:p>
        </w:tc>
      </w:tr>
      <w:tr>
        <w:trPr>
          <w:trHeight w:val="29"/>
        </w:trPr>
        <w:tc>
          <w:tcPr>
            <w:tcW w:w="15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4560" w:type="dxa"/>
            <w:vAlign w:val="bottom"/>
            <w:gridSpan w:val="2"/>
            <w:shd w:val="clear" w:color="auto" w:fill="CCCCCC"/>
          </w:tcPr>
          <w:p>
            <w:pPr>
              <w:ind w:left="100"/>
              <w:spacing w:after="0"/>
              <w:rPr>
                <w:sz w:val="20"/>
                <w:szCs w:val="20"/>
                <w:color w:val="auto"/>
              </w:rPr>
            </w:pPr>
            <w:r>
              <w:rPr>
                <w:rFonts w:ascii="Arial" w:cs="Arial" w:eastAsia="Arial" w:hAnsi="Arial"/>
                <w:sz w:val="14"/>
                <w:szCs w:val="14"/>
                <w:b w:val="1"/>
                <w:bCs w:val="1"/>
                <w:color w:val="auto"/>
              </w:rPr>
              <w:t>Mr. Rankin</w:t>
            </w:r>
          </w:p>
        </w:tc>
        <w:tc>
          <w:tcPr>
            <w:tcW w:w="1160" w:type="dxa"/>
            <w:vAlign w:val="bottom"/>
            <w:shd w:val="clear" w:color="auto" w:fill="CCCCCC"/>
          </w:tcPr>
          <w:p>
            <w:pPr>
              <w:spacing w:after="0"/>
              <w:rPr>
                <w:sz w:val="20"/>
                <w:szCs w:val="20"/>
                <w:color w:val="auto"/>
              </w:rPr>
            </w:pPr>
          </w:p>
        </w:tc>
        <w:tc>
          <w:tcPr>
            <w:tcW w:w="1640" w:type="dxa"/>
            <w:vAlign w:val="bottom"/>
            <w:shd w:val="clear" w:color="auto" w:fill="CCCCCC"/>
          </w:tcPr>
          <w:p>
            <w:pPr>
              <w:spacing w:after="0"/>
              <w:rPr>
                <w:sz w:val="20"/>
                <w:szCs w:val="20"/>
                <w:color w:val="auto"/>
              </w:rPr>
            </w:pPr>
          </w:p>
        </w:tc>
        <w:tc>
          <w:tcPr>
            <w:tcW w:w="1420" w:type="dxa"/>
            <w:vAlign w:val="bottom"/>
            <w:shd w:val="clear" w:color="auto" w:fill="CCCCCC"/>
          </w:tcPr>
          <w:p>
            <w:pPr>
              <w:spacing w:after="0"/>
              <w:rPr>
                <w:sz w:val="20"/>
                <w:szCs w:val="20"/>
                <w:color w:val="auto"/>
              </w:rPr>
            </w:pPr>
          </w:p>
        </w:tc>
        <w:tc>
          <w:tcPr>
            <w:tcW w:w="1060" w:type="dxa"/>
            <w:vAlign w:val="bottom"/>
            <w:shd w:val="clear" w:color="auto" w:fill="CCCCCC"/>
          </w:tcPr>
          <w:p>
            <w:pPr>
              <w:spacing w:after="0"/>
              <w:rPr>
                <w:sz w:val="20"/>
                <w:szCs w:val="20"/>
                <w:color w:val="auto"/>
              </w:rPr>
            </w:pPr>
          </w:p>
        </w:tc>
      </w:tr>
      <w:tr>
        <w:trPr>
          <w:trHeight w:val="237"/>
        </w:trPr>
        <w:tc>
          <w:tcPr>
            <w:tcW w:w="4560" w:type="dxa"/>
            <w:vAlign w:val="bottom"/>
            <w:gridSpan w:val="2"/>
            <w:shd w:val="clear" w:color="auto" w:fill="CCCCCC"/>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1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CCCC"/>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560" w:type="dxa"/>
            <w:vAlign w:val="bottom"/>
            <w:gridSpan w:val="2"/>
            <w:shd w:val="clear" w:color="auto" w:fill="CCCCCC"/>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1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800,599</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24,394,385</w:t>
            </w:r>
          </w:p>
        </w:tc>
        <w:tc>
          <w:tcPr>
            <w:tcW w:w="1420" w:type="dxa"/>
            <w:vAlign w:val="bottom"/>
            <w:shd w:val="clear" w:color="auto" w:fill="CCCCCC"/>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center"/>
              <w:ind w:left="148"/>
              <w:spacing w:after="0"/>
              <w:rPr>
                <w:sz w:val="20"/>
                <w:szCs w:val="20"/>
                <w:color w:val="auto"/>
              </w:rPr>
            </w:pPr>
            <w:r>
              <w:rPr>
                <w:rFonts w:ascii="Arial" w:cs="Arial" w:eastAsia="Arial" w:hAnsi="Arial"/>
                <w:sz w:val="14"/>
                <w:szCs w:val="14"/>
                <w:color w:val="auto"/>
              </w:rPr>
              <w:t>25,194,984</w:t>
            </w:r>
          </w:p>
        </w:tc>
      </w:tr>
      <w:tr>
        <w:trPr>
          <w:trHeight w:val="215"/>
        </w:trPr>
        <w:tc>
          <w:tcPr>
            <w:tcW w:w="4560" w:type="dxa"/>
            <w:vAlign w:val="bottom"/>
            <w:gridSpan w:val="2"/>
            <w:shd w:val="clear" w:color="auto" w:fill="CCCCCC"/>
          </w:tcPr>
          <w:p>
            <w:pPr>
              <w:ind w:left="100"/>
              <w:spacing w:after="0"/>
              <w:rPr>
                <w:sz w:val="20"/>
                <w:szCs w:val="20"/>
                <w:color w:val="auto"/>
              </w:rPr>
            </w:pPr>
            <w:r>
              <w:rPr>
                <w:rFonts w:ascii="Arial" w:cs="Arial" w:eastAsia="Arial" w:hAnsi="Arial"/>
                <w:sz w:val="14"/>
                <w:szCs w:val="14"/>
                <w:color w:val="auto"/>
              </w:rPr>
              <w:t>Termination by Company without Cause or due to Constructive</w:t>
            </w:r>
          </w:p>
        </w:tc>
        <w:tc>
          <w:tcPr>
            <w:tcW w:w="11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2,226,725</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21,341,553</w:t>
            </w:r>
          </w:p>
        </w:tc>
        <w:tc>
          <w:tcPr>
            <w:tcW w:w="1420" w:type="dxa"/>
            <w:vAlign w:val="bottom"/>
            <w:shd w:val="clear" w:color="auto" w:fill="CCCCCC"/>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center"/>
              <w:ind w:left="148"/>
              <w:spacing w:after="0"/>
              <w:rPr>
                <w:sz w:val="20"/>
                <w:szCs w:val="20"/>
                <w:color w:val="auto"/>
              </w:rPr>
            </w:pPr>
            <w:r>
              <w:rPr>
                <w:rFonts w:ascii="Arial" w:cs="Arial" w:eastAsia="Arial" w:hAnsi="Arial"/>
                <w:sz w:val="14"/>
                <w:szCs w:val="14"/>
                <w:color w:val="auto"/>
              </w:rPr>
              <w:t>23,568,278</w:t>
            </w:r>
          </w:p>
        </w:tc>
      </w:tr>
      <w:tr>
        <w:trPr>
          <w:trHeight w:val="190"/>
        </w:trPr>
        <w:tc>
          <w:tcPr>
            <w:tcW w:w="4560" w:type="dxa"/>
            <w:vAlign w:val="bottom"/>
            <w:gridSpan w:val="2"/>
            <w:shd w:val="clear" w:color="auto" w:fill="CCCCCC"/>
          </w:tcPr>
          <w:p>
            <w:pPr>
              <w:ind w:left="280"/>
              <w:spacing w:after="0"/>
              <w:rPr>
                <w:sz w:val="20"/>
                <w:szCs w:val="20"/>
                <w:color w:val="auto"/>
              </w:rPr>
            </w:pPr>
            <w:r>
              <w:rPr>
                <w:rFonts w:ascii="Arial" w:cs="Arial" w:eastAsia="Arial" w:hAnsi="Arial"/>
                <w:sz w:val="14"/>
                <w:szCs w:val="14"/>
                <w:color w:val="auto"/>
              </w:rPr>
              <w:t>Discharge</w:t>
            </w:r>
          </w:p>
        </w:tc>
        <w:tc>
          <w:tcPr>
            <w:tcW w:w="1160" w:type="dxa"/>
            <w:vAlign w:val="bottom"/>
            <w:shd w:val="clear" w:color="auto" w:fill="CCCCCC"/>
          </w:tcPr>
          <w:p>
            <w:pPr>
              <w:spacing w:after="0"/>
              <w:rPr>
                <w:sz w:val="16"/>
                <w:szCs w:val="16"/>
                <w:color w:val="auto"/>
              </w:rPr>
            </w:pPr>
          </w:p>
        </w:tc>
        <w:tc>
          <w:tcPr>
            <w:tcW w:w="1640" w:type="dxa"/>
            <w:vAlign w:val="bottom"/>
            <w:shd w:val="clear" w:color="auto" w:fill="CCCCCC"/>
          </w:tcPr>
          <w:p>
            <w:pPr>
              <w:spacing w:after="0"/>
              <w:rPr>
                <w:sz w:val="16"/>
                <w:szCs w:val="16"/>
                <w:color w:val="auto"/>
              </w:rPr>
            </w:pPr>
          </w:p>
        </w:tc>
        <w:tc>
          <w:tcPr>
            <w:tcW w:w="1420" w:type="dxa"/>
            <w:vAlign w:val="bottom"/>
            <w:shd w:val="clear" w:color="auto" w:fill="CCCCCC"/>
          </w:tcPr>
          <w:p>
            <w:pPr>
              <w:spacing w:after="0"/>
              <w:rPr>
                <w:sz w:val="16"/>
                <w:szCs w:val="16"/>
                <w:color w:val="auto"/>
              </w:rPr>
            </w:pPr>
          </w:p>
        </w:tc>
        <w:tc>
          <w:tcPr>
            <w:tcW w:w="1060" w:type="dxa"/>
            <w:vAlign w:val="bottom"/>
            <w:shd w:val="clear" w:color="auto" w:fill="CCCCCC"/>
          </w:tcPr>
          <w:p>
            <w:pPr>
              <w:spacing w:after="0"/>
              <w:rPr>
                <w:sz w:val="16"/>
                <w:szCs w:val="16"/>
                <w:color w:val="auto"/>
              </w:rPr>
            </w:pPr>
          </w:p>
        </w:tc>
      </w:tr>
      <w:tr>
        <w:trPr>
          <w:trHeight w:val="215"/>
        </w:trPr>
        <w:tc>
          <w:tcPr>
            <w:tcW w:w="4560" w:type="dxa"/>
            <w:vAlign w:val="bottom"/>
            <w:gridSpan w:val="2"/>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1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2,226,725</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24,394,385</w:t>
            </w:r>
          </w:p>
        </w:tc>
        <w:tc>
          <w:tcPr>
            <w:tcW w:w="1420" w:type="dxa"/>
            <w:vAlign w:val="bottom"/>
            <w:shd w:val="clear" w:color="auto" w:fill="CCCCCC"/>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26,621,110</w:t>
            </w:r>
          </w:p>
        </w:tc>
      </w:tr>
      <w:tr>
        <w:trPr>
          <w:trHeight w:val="190"/>
        </w:trPr>
        <w:tc>
          <w:tcPr>
            <w:tcW w:w="4560" w:type="dxa"/>
            <w:vAlign w:val="bottom"/>
            <w:gridSpan w:val="2"/>
            <w:shd w:val="clear" w:color="auto" w:fill="CCCCCC"/>
          </w:tcPr>
          <w:p>
            <w:pPr>
              <w:ind w:left="280"/>
              <w:spacing w:after="0"/>
              <w:rPr>
                <w:sz w:val="20"/>
                <w:szCs w:val="20"/>
                <w:color w:val="auto"/>
              </w:rPr>
            </w:pPr>
            <w:r>
              <w:rPr>
                <w:rFonts w:ascii="Arial" w:cs="Arial" w:eastAsia="Arial" w:hAnsi="Arial"/>
                <w:sz w:val="14"/>
                <w:szCs w:val="14"/>
                <w:color w:val="auto"/>
              </w:rPr>
              <w:t>without Cause or due to Constructive Discharge</w:t>
            </w:r>
          </w:p>
        </w:tc>
        <w:tc>
          <w:tcPr>
            <w:tcW w:w="1160" w:type="dxa"/>
            <w:vAlign w:val="bottom"/>
            <w:shd w:val="clear" w:color="auto" w:fill="CCCCCC"/>
          </w:tcPr>
          <w:p>
            <w:pPr>
              <w:spacing w:after="0"/>
              <w:rPr>
                <w:sz w:val="16"/>
                <w:szCs w:val="16"/>
                <w:color w:val="auto"/>
              </w:rPr>
            </w:pPr>
          </w:p>
        </w:tc>
        <w:tc>
          <w:tcPr>
            <w:tcW w:w="1640" w:type="dxa"/>
            <w:vAlign w:val="bottom"/>
            <w:shd w:val="clear" w:color="auto" w:fill="CCCCCC"/>
          </w:tcPr>
          <w:p>
            <w:pPr>
              <w:spacing w:after="0"/>
              <w:rPr>
                <w:sz w:val="16"/>
                <w:szCs w:val="16"/>
                <w:color w:val="auto"/>
              </w:rPr>
            </w:pPr>
          </w:p>
        </w:tc>
        <w:tc>
          <w:tcPr>
            <w:tcW w:w="1420" w:type="dxa"/>
            <w:vAlign w:val="bottom"/>
            <w:shd w:val="clear" w:color="auto" w:fill="CCCCCC"/>
          </w:tcPr>
          <w:p>
            <w:pPr>
              <w:spacing w:after="0"/>
              <w:rPr>
                <w:sz w:val="16"/>
                <w:szCs w:val="16"/>
                <w:color w:val="auto"/>
              </w:rPr>
            </w:pPr>
          </w:p>
        </w:tc>
        <w:tc>
          <w:tcPr>
            <w:tcW w:w="1060" w:type="dxa"/>
            <w:vAlign w:val="bottom"/>
            <w:shd w:val="clear" w:color="auto" w:fill="CCCCCC"/>
          </w:tcPr>
          <w:p>
            <w:pPr>
              <w:spacing w:after="0"/>
              <w:rPr>
                <w:sz w:val="16"/>
                <w:szCs w:val="16"/>
                <w:color w:val="auto"/>
              </w:rPr>
            </w:pPr>
          </w:p>
        </w:tc>
      </w:tr>
      <w:tr>
        <w:trPr>
          <w:trHeight w:val="247"/>
        </w:trPr>
        <w:tc>
          <w:tcPr>
            <w:tcW w:w="4560" w:type="dxa"/>
            <w:vAlign w:val="bottom"/>
            <w:tcBorders>
              <w:bottom w:val="single" w:sz="8" w:color="auto"/>
            </w:tcBorders>
            <w:gridSpan w:val="2"/>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1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CCCC"/>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CCCC"/>
          </w:tcPr>
          <w:p>
            <w:pPr>
              <w:jc w:val="right"/>
              <w:ind w:right="8"/>
              <w:spacing w:after="0"/>
              <w:rPr>
                <w:sz w:val="20"/>
                <w:szCs w:val="20"/>
                <w:color w:val="auto"/>
              </w:rPr>
            </w:pPr>
            <w:r>
              <w:rPr>
                <w:rFonts w:ascii="Arial" w:cs="Arial" w:eastAsia="Arial" w:hAnsi="Arial"/>
                <w:sz w:val="14"/>
                <w:szCs w:val="14"/>
                <w:color w:val="auto"/>
              </w:rPr>
              <w:t>—</w:t>
            </w:r>
          </w:p>
        </w:tc>
      </w:tr>
    </w:tbl>
    <w:p>
      <w:pPr>
        <w:spacing w:after="0" w:line="153" w:lineRule="exact"/>
        <w:rPr>
          <w:sz w:val="20"/>
          <w:szCs w:val="20"/>
          <w:color w:val="auto"/>
        </w:rPr>
      </w:pPr>
    </w:p>
    <w:p>
      <w:pPr>
        <w:ind w:left="360" w:hanging="350"/>
        <w:spacing w:after="0" w:line="285" w:lineRule="auto"/>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Descriptions of the terms “Cause”, “Constructive Discharge” and “Change in Control” are provided above under the sections captioned “Employment Agreements and Other Arrangements — Definition of Cause” and “Discussion of Change-in-Control Provisions.”</w:t>
      </w:r>
    </w:p>
    <w:p>
      <w:pPr>
        <w:spacing w:after="0" w:line="22" w:lineRule="exact"/>
        <w:rPr>
          <w:rFonts w:ascii="Arial" w:cs="Arial" w:eastAsia="Arial" w:hAnsi="Arial"/>
          <w:sz w:val="14"/>
          <w:szCs w:val="14"/>
          <w:color w:val="auto"/>
        </w:rPr>
      </w:pPr>
    </w:p>
    <w:p>
      <w:pPr>
        <w:jc w:val="both"/>
        <w:ind w:left="360" w:hanging="350"/>
        <w:spacing w:after="0" w:line="248" w:lineRule="auto"/>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Lump-sum severance payments due to death or disability, for each NEO, are based on actual annual incentives under the AIP in 2021. For Mr. Ferraro, lump-sum severance payments, other than due to death or disability, are calculated as of December 31, 2021, based on base salary and target annual incentive and multiplied by 200%. For Messrs. Choi, Hees, and Sita, lump-sum severance payments, other than due to death or disability, are calculated as of December 31, 2021, based on base salary multiplied by 200%, actual incentives earned under the AIP in 2021, and the annual amount of the Company's contribution towards medical and dental premiums. For Mr. Rankin, lump-sum severance payments, other than due to death or disability, are calculated as of December 31, 2021, based on base salary, target annual incentive, and annual car and financial planning allowance, multiplied by 200%.</w:t>
      </w:r>
    </w:p>
    <w:p>
      <w:pPr>
        <w:spacing w:after="0" w:line="36" w:lineRule="exact"/>
        <w:rPr>
          <w:rFonts w:ascii="Arial" w:cs="Arial" w:eastAsia="Arial" w:hAnsi="Arial"/>
          <w:sz w:val="14"/>
          <w:szCs w:val="14"/>
          <w:color w:val="auto"/>
        </w:rPr>
      </w:pPr>
    </w:p>
    <w:p>
      <w:pPr>
        <w:jc w:val="both"/>
        <w:ind w:left="360" w:hanging="350"/>
        <w:spacing w:after="0" w:line="263" w:lineRule="auto"/>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values of RSUs and PSUs were calculated assuming accelerated vesting as of December 31, 2021 and based on the closing price of our Common Stock of $207.37. Additionally, values are based on maximum vesting levels for the 2019 and 2021 PSUs, and target vesting for the 2020 PSUs. Descriptions of the accelerated vesting provisions are provided under “Employment Agreements and Other Arrangements.”</w:t>
      </w:r>
    </w:p>
    <w:p>
      <w:pPr>
        <w:spacing w:after="0" w:line="24" w:lineRule="exact"/>
        <w:rPr>
          <w:rFonts w:ascii="Arial" w:cs="Arial" w:eastAsia="Arial" w:hAnsi="Arial"/>
          <w:sz w:val="14"/>
          <w:szCs w:val="14"/>
          <w:color w:val="auto"/>
        </w:rPr>
      </w:pPr>
    </w:p>
    <w:p>
      <w:pPr>
        <w:jc w:val="both"/>
        <w:ind w:left="360" w:hanging="350"/>
        <w:spacing w:after="0" w:line="263" w:lineRule="auto"/>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Mr. Ferraro, reflects 24 months of continued health and dental, car benefits and financial planning. For Messrs. Choi, Hees, and Sita, reflects 12 months of continued participation in financial planning and car benefits, as applicable based on each Executive's participation in such programs as of December 31, 2021.</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2" w:right="1039" w:bottom="1440" w:gutter="0" w:footer="0" w:header="0"/>
        </w:sectPr>
      </w:pPr>
    </w:p>
    <w:bookmarkStart w:id="45" w:name="page46"/>
    <w:bookmarkEnd w:id="45"/>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Compensation</w:t>
      </w:r>
    </w:p>
    <w:p>
      <w:pPr>
        <w:spacing w:after="0" w:line="158"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For 2021, our non-employee directors were eligible to receive an annual director retainer of $225,000. To reflect their additional responsibilities, the chairs and members of the Audit, Compensation and Corporate Governance Committees were also eligible to receive additional annual retainers in 2021 at the rates set forth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4020" w:type="dxa"/>
            <w:vAlign w:val="bottom"/>
          </w:tcPr>
          <w:p>
            <w:pPr>
              <w:jc w:val="right"/>
              <w:ind w:right="475"/>
              <w:spacing w:after="0"/>
              <w:rPr>
                <w:sz w:val="20"/>
                <w:szCs w:val="20"/>
                <w:color w:val="auto"/>
              </w:rPr>
            </w:pPr>
            <w:r>
              <w:rPr>
                <w:rFonts w:ascii="Arial" w:cs="Arial" w:eastAsia="Arial" w:hAnsi="Arial"/>
                <w:sz w:val="14"/>
                <w:szCs w:val="14"/>
                <w:b w:val="1"/>
                <w:bCs w:val="1"/>
                <w:color w:val="auto"/>
              </w:rPr>
              <w:t>Annual Retainers</w:t>
            </w:r>
          </w:p>
        </w:tc>
      </w:tr>
      <w:tr>
        <w:trPr>
          <w:trHeight w:val="196"/>
        </w:trPr>
        <w:tc>
          <w:tcPr>
            <w:tcW w:w="5820" w:type="dxa"/>
            <w:vAlign w:val="bottom"/>
          </w:tcPr>
          <w:p>
            <w:pPr>
              <w:spacing w:after="0"/>
              <w:rPr>
                <w:sz w:val="17"/>
                <w:szCs w:val="17"/>
                <w:color w:val="auto"/>
              </w:rPr>
            </w:pPr>
          </w:p>
        </w:tc>
        <w:tc>
          <w:tcPr>
            <w:tcW w:w="4020" w:type="dxa"/>
            <w:vAlign w:val="bottom"/>
          </w:tcPr>
          <w:p>
            <w:pPr>
              <w:jc w:val="right"/>
              <w:ind w:right="955"/>
              <w:spacing w:after="0"/>
              <w:rPr>
                <w:sz w:val="20"/>
                <w:szCs w:val="20"/>
                <w:color w:val="auto"/>
              </w:rPr>
            </w:pPr>
            <w:r>
              <w:rPr>
                <w:rFonts w:ascii="Arial" w:cs="Arial" w:eastAsia="Arial" w:hAnsi="Arial"/>
                <w:sz w:val="14"/>
                <w:szCs w:val="14"/>
                <w:b w:val="1"/>
                <w:bCs w:val="1"/>
                <w:color w:val="auto"/>
              </w:rPr>
              <w:t>($)</w:t>
            </w:r>
          </w:p>
        </w:tc>
      </w:tr>
      <w:tr>
        <w:trPr>
          <w:trHeight w:val="70"/>
        </w:trPr>
        <w:tc>
          <w:tcPr>
            <w:tcW w:w="582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tcPr>
          <w:p>
            <w:pPr>
              <w:spacing w:after="0"/>
              <w:rPr>
                <w:sz w:val="6"/>
                <w:szCs w:val="6"/>
                <w:color w:val="auto"/>
              </w:rPr>
            </w:pPr>
          </w:p>
        </w:tc>
      </w:tr>
      <w:tr>
        <w:trPr>
          <w:trHeight w:val="308"/>
        </w:trPr>
        <w:tc>
          <w:tcPr>
            <w:tcW w:w="5820" w:type="dxa"/>
            <w:vAlign w:val="bottom"/>
            <w:shd w:val="clear" w:color="auto" w:fill="CCCCCC"/>
          </w:tcPr>
          <w:p>
            <w:pPr>
              <w:ind w:left="100"/>
              <w:spacing w:after="0"/>
              <w:rPr>
                <w:sz w:val="20"/>
                <w:szCs w:val="20"/>
                <w:color w:val="auto"/>
              </w:rPr>
            </w:pPr>
            <w:r>
              <w:rPr>
                <w:rFonts w:ascii="Arial" w:cs="Arial" w:eastAsia="Arial" w:hAnsi="Arial"/>
                <w:sz w:val="18"/>
                <w:szCs w:val="18"/>
                <w:color w:val="auto"/>
              </w:rPr>
              <w:t>Audit Committee Chair</w:t>
            </w:r>
          </w:p>
        </w:tc>
        <w:tc>
          <w:tcPr>
            <w:tcW w:w="4020" w:type="dxa"/>
            <w:vAlign w:val="bottom"/>
            <w:shd w:val="clear" w:color="auto" w:fill="CCCCCC"/>
          </w:tcPr>
          <w:p>
            <w:pPr>
              <w:jc w:val="right"/>
              <w:ind w:right="775"/>
              <w:spacing w:after="0"/>
              <w:rPr>
                <w:sz w:val="20"/>
                <w:szCs w:val="20"/>
                <w:color w:val="auto"/>
              </w:rPr>
            </w:pPr>
            <w:r>
              <w:rPr>
                <w:rFonts w:ascii="Arial" w:cs="Arial" w:eastAsia="Arial" w:hAnsi="Arial"/>
                <w:sz w:val="18"/>
                <w:szCs w:val="18"/>
                <w:color w:val="auto"/>
              </w:rPr>
              <w:t>25,000</w:t>
            </w:r>
          </w:p>
        </w:tc>
      </w:tr>
      <w:tr>
        <w:trPr>
          <w:trHeight w:val="77"/>
        </w:trPr>
        <w:tc>
          <w:tcPr>
            <w:tcW w:w="5820" w:type="dxa"/>
            <w:vAlign w:val="bottom"/>
            <w:tcBorders>
              <w:bottom w:val="single" w:sz="8" w:color="auto"/>
            </w:tcBorders>
            <w:shd w:val="clear" w:color="auto" w:fill="CCCCCC"/>
          </w:tcPr>
          <w:p>
            <w:pPr>
              <w:spacing w:after="0"/>
              <w:rPr>
                <w:sz w:val="6"/>
                <w:szCs w:val="6"/>
                <w:color w:val="auto"/>
              </w:rPr>
            </w:pPr>
          </w:p>
        </w:tc>
        <w:tc>
          <w:tcPr>
            <w:tcW w:w="4020" w:type="dxa"/>
            <w:vAlign w:val="bottom"/>
            <w:tcBorders>
              <w:bottom w:val="single" w:sz="8" w:color="auto"/>
            </w:tcBorders>
            <w:shd w:val="clear" w:color="auto" w:fill="CCCCCC"/>
          </w:tcPr>
          <w:p>
            <w:pPr>
              <w:spacing w:after="0"/>
              <w:rPr>
                <w:sz w:val="6"/>
                <w:szCs w:val="6"/>
                <w:color w:val="auto"/>
              </w:rPr>
            </w:pPr>
          </w:p>
        </w:tc>
      </w:tr>
      <w:tr>
        <w:trPr>
          <w:trHeight w:val="308"/>
        </w:trPr>
        <w:tc>
          <w:tcPr>
            <w:tcW w:w="5820" w:type="dxa"/>
            <w:vAlign w:val="bottom"/>
          </w:tcPr>
          <w:p>
            <w:pPr>
              <w:ind w:left="100"/>
              <w:spacing w:after="0"/>
              <w:rPr>
                <w:sz w:val="20"/>
                <w:szCs w:val="20"/>
                <w:color w:val="auto"/>
              </w:rPr>
            </w:pPr>
            <w:r>
              <w:rPr>
                <w:rFonts w:ascii="Arial" w:cs="Arial" w:eastAsia="Arial" w:hAnsi="Arial"/>
                <w:sz w:val="18"/>
                <w:szCs w:val="18"/>
                <w:color w:val="auto"/>
              </w:rPr>
              <w:t>Audit Committee Member</w:t>
            </w:r>
          </w:p>
        </w:tc>
        <w:tc>
          <w:tcPr>
            <w:tcW w:w="4020" w:type="dxa"/>
            <w:vAlign w:val="bottom"/>
          </w:tcPr>
          <w:p>
            <w:pPr>
              <w:jc w:val="right"/>
              <w:ind w:right="775"/>
              <w:spacing w:after="0"/>
              <w:rPr>
                <w:sz w:val="20"/>
                <w:szCs w:val="20"/>
                <w:color w:val="auto"/>
              </w:rPr>
            </w:pPr>
            <w:r>
              <w:rPr>
                <w:rFonts w:ascii="Arial" w:cs="Arial" w:eastAsia="Arial" w:hAnsi="Arial"/>
                <w:sz w:val="18"/>
                <w:szCs w:val="18"/>
                <w:color w:val="auto"/>
              </w:rPr>
              <w:t>12,500</w:t>
            </w:r>
          </w:p>
        </w:tc>
      </w:tr>
      <w:tr>
        <w:trPr>
          <w:trHeight w:val="77"/>
        </w:trPr>
        <w:tc>
          <w:tcPr>
            <w:tcW w:w="582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tcPr>
          <w:p>
            <w:pPr>
              <w:spacing w:after="0"/>
              <w:rPr>
                <w:sz w:val="6"/>
                <w:szCs w:val="6"/>
                <w:color w:val="auto"/>
              </w:rPr>
            </w:pPr>
          </w:p>
        </w:tc>
      </w:tr>
      <w:tr>
        <w:trPr>
          <w:trHeight w:val="308"/>
        </w:trPr>
        <w:tc>
          <w:tcPr>
            <w:tcW w:w="5820" w:type="dxa"/>
            <w:vAlign w:val="bottom"/>
            <w:shd w:val="clear" w:color="auto" w:fill="CCCCCC"/>
          </w:tcPr>
          <w:p>
            <w:pPr>
              <w:ind w:left="100"/>
              <w:spacing w:after="0"/>
              <w:rPr>
                <w:sz w:val="20"/>
                <w:szCs w:val="20"/>
                <w:color w:val="auto"/>
              </w:rPr>
            </w:pPr>
            <w:r>
              <w:rPr>
                <w:rFonts w:ascii="Arial" w:cs="Arial" w:eastAsia="Arial" w:hAnsi="Arial"/>
                <w:sz w:val="18"/>
                <w:szCs w:val="18"/>
                <w:color w:val="auto"/>
              </w:rPr>
              <w:t>Compensation Committee Chair</w:t>
            </w:r>
          </w:p>
        </w:tc>
        <w:tc>
          <w:tcPr>
            <w:tcW w:w="4020" w:type="dxa"/>
            <w:vAlign w:val="bottom"/>
            <w:shd w:val="clear" w:color="auto" w:fill="CCCCCC"/>
          </w:tcPr>
          <w:p>
            <w:pPr>
              <w:jc w:val="right"/>
              <w:ind w:right="775"/>
              <w:spacing w:after="0"/>
              <w:rPr>
                <w:sz w:val="20"/>
                <w:szCs w:val="20"/>
                <w:color w:val="auto"/>
              </w:rPr>
            </w:pPr>
            <w:r>
              <w:rPr>
                <w:rFonts w:ascii="Arial" w:cs="Arial" w:eastAsia="Arial" w:hAnsi="Arial"/>
                <w:sz w:val="18"/>
                <w:szCs w:val="18"/>
                <w:color w:val="auto"/>
              </w:rPr>
              <w:t>25,000</w:t>
            </w:r>
          </w:p>
        </w:tc>
      </w:tr>
      <w:tr>
        <w:trPr>
          <w:trHeight w:val="77"/>
        </w:trPr>
        <w:tc>
          <w:tcPr>
            <w:tcW w:w="5820" w:type="dxa"/>
            <w:vAlign w:val="bottom"/>
            <w:tcBorders>
              <w:bottom w:val="single" w:sz="8" w:color="auto"/>
            </w:tcBorders>
            <w:shd w:val="clear" w:color="auto" w:fill="CCCCCC"/>
          </w:tcPr>
          <w:p>
            <w:pPr>
              <w:spacing w:after="0"/>
              <w:rPr>
                <w:sz w:val="6"/>
                <w:szCs w:val="6"/>
                <w:color w:val="auto"/>
              </w:rPr>
            </w:pPr>
          </w:p>
        </w:tc>
        <w:tc>
          <w:tcPr>
            <w:tcW w:w="4020" w:type="dxa"/>
            <w:vAlign w:val="bottom"/>
            <w:tcBorders>
              <w:bottom w:val="single" w:sz="8" w:color="auto"/>
            </w:tcBorders>
            <w:shd w:val="clear" w:color="auto" w:fill="CCCCCC"/>
          </w:tcPr>
          <w:p>
            <w:pPr>
              <w:spacing w:after="0"/>
              <w:rPr>
                <w:sz w:val="6"/>
                <w:szCs w:val="6"/>
                <w:color w:val="auto"/>
              </w:rPr>
            </w:pPr>
          </w:p>
        </w:tc>
      </w:tr>
      <w:tr>
        <w:trPr>
          <w:trHeight w:val="308"/>
        </w:trPr>
        <w:tc>
          <w:tcPr>
            <w:tcW w:w="5820" w:type="dxa"/>
            <w:vAlign w:val="bottom"/>
          </w:tcPr>
          <w:p>
            <w:pPr>
              <w:ind w:left="100"/>
              <w:spacing w:after="0"/>
              <w:rPr>
                <w:sz w:val="20"/>
                <w:szCs w:val="20"/>
                <w:color w:val="auto"/>
              </w:rPr>
            </w:pPr>
            <w:r>
              <w:rPr>
                <w:rFonts w:ascii="Arial" w:cs="Arial" w:eastAsia="Arial" w:hAnsi="Arial"/>
                <w:sz w:val="18"/>
                <w:szCs w:val="18"/>
                <w:color w:val="auto"/>
              </w:rPr>
              <w:t>Compensation Committee Member</w:t>
            </w:r>
          </w:p>
        </w:tc>
        <w:tc>
          <w:tcPr>
            <w:tcW w:w="4020" w:type="dxa"/>
            <w:vAlign w:val="bottom"/>
          </w:tcPr>
          <w:p>
            <w:pPr>
              <w:jc w:val="right"/>
              <w:ind w:right="775"/>
              <w:spacing w:after="0"/>
              <w:rPr>
                <w:sz w:val="20"/>
                <w:szCs w:val="20"/>
                <w:color w:val="auto"/>
              </w:rPr>
            </w:pPr>
            <w:r>
              <w:rPr>
                <w:rFonts w:ascii="Arial" w:cs="Arial" w:eastAsia="Arial" w:hAnsi="Arial"/>
                <w:sz w:val="18"/>
                <w:szCs w:val="18"/>
                <w:color w:val="auto"/>
              </w:rPr>
              <w:t>12,500</w:t>
            </w:r>
          </w:p>
        </w:tc>
      </w:tr>
      <w:tr>
        <w:trPr>
          <w:trHeight w:val="77"/>
        </w:trPr>
        <w:tc>
          <w:tcPr>
            <w:tcW w:w="582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tcPr>
          <w:p>
            <w:pPr>
              <w:spacing w:after="0"/>
              <w:rPr>
                <w:sz w:val="6"/>
                <w:szCs w:val="6"/>
                <w:color w:val="auto"/>
              </w:rPr>
            </w:pPr>
          </w:p>
        </w:tc>
      </w:tr>
      <w:tr>
        <w:trPr>
          <w:trHeight w:val="308"/>
        </w:trPr>
        <w:tc>
          <w:tcPr>
            <w:tcW w:w="5820" w:type="dxa"/>
            <w:vAlign w:val="bottom"/>
            <w:shd w:val="clear" w:color="auto" w:fill="CCCCCC"/>
          </w:tcPr>
          <w:p>
            <w:pPr>
              <w:ind w:left="100"/>
              <w:spacing w:after="0"/>
              <w:rPr>
                <w:sz w:val="20"/>
                <w:szCs w:val="20"/>
                <w:color w:val="auto"/>
              </w:rPr>
            </w:pPr>
            <w:r>
              <w:rPr>
                <w:rFonts w:ascii="Arial" w:cs="Arial" w:eastAsia="Arial" w:hAnsi="Arial"/>
                <w:sz w:val="18"/>
                <w:szCs w:val="18"/>
                <w:color w:val="auto"/>
              </w:rPr>
              <w:t>Corporate Governance Committee Chair</w:t>
            </w:r>
          </w:p>
        </w:tc>
        <w:tc>
          <w:tcPr>
            <w:tcW w:w="4020" w:type="dxa"/>
            <w:vAlign w:val="bottom"/>
            <w:shd w:val="clear" w:color="auto" w:fill="CCCCCC"/>
          </w:tcPr>
          <w:p>
            <w:pPr>
              <w:jc w:val="right"/>
              <w:ind w:right="775"/>
              <w:spacing w:after="0"/>
              <w:rPr>
                <w:sz w:val="20"/>
                <w:szCs w:val="20"/>
                <w:color w:val="auto"/>
              </w:rPr>
            </w:pPr>
            <w:r>
              <w:rPr>
                <w:rFonts w:ascii="Arial" w:cs="Arial" w:eastAsia="Arial" w:hAnsi="Arial"/>
                <w:sz w:val="18"/>
                <w:szCs w:val="18"/>
                <w:color w:val="auto"/>
              </w:rPr>
              <w:t>18,000</w:t>
            </w:r>
          </w:p>
        </w:tc>
      </w:tr>
      <w:tr>
        <w:trPr>
          <w:trHeight w:val="77"/>
        </w:trPr>
        <w:tc>
          <w:tcPr>
            <w:tcW w:w="5820" w:type="dxa"/>
            <w:vAlign w:val="bottom"/>
            <w:tcBorders>
              <w:bottom w:val="single" w:sz="8" w:color="auto"/>
            </w:tcBorders>
            <w:shd w:val="clear" w:color="auto" w:fill="CCCCCC"/>
          </w:tcPr>
          <w:p>
            <w:pPr>
              <w:spacing w:after="0"/>
              <w:rPr>
                <w:sz w:val="6"/>
                <w:szCs w:val="6"/>
                <w:color w:val="auto"/>
              </w:rPr>
            </w:pPr>
          </w:p>
        </w:tc>
        <w:tc>
          <w:tcPr>
            <w:tcW w:w="4020" w:type="dxa"/>
            <w:vAlign w:val="bottom"/>
            <w:tcBorders>
              <w:bottom w:val="single" w:sz="8" w:color="auto"/>
            </w:tcBorders>
            <w:shd w:val="clear" w:color="auto" w:fill="CCCCCC"/>
          </w:tcPr>
          <w:p>
            <w:pPr>
              <w:spacing w:after="0"/>
              <w:rPr>
                <w:sz w:val="6"/>
                <w:szCs w:val="6"/>
                <w:color w:val="auto"/>
              </w:rPr>
            </w:pPr>
          </w:p>
        </w:tc>
      </w:tr>
      <w:tr>
        <w:trPr>
          <w:trHeight w:val="313"/>
        </w:trPr>
        <w:tc>
          <w:tcPr>
            <w:tcW w:w="5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Corporate Governance Committee Member</w:t>
            </w:r>
          </w:p>
        </w:tc>
        <w:tc>
          <w:tcPr>
            <w:tcW w:w="402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rPr>
              <w:t>9,000</w:t>
            </w:r>
          </w:p>
        </w:tc>
      </w:tr>
    </w:tbl>
    <w:p>
      <w:pPr>
        <w:spacing w:after="0" w:line="197"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Annual retainers described above (collectively, “Director Fees”) are paid (i) 50% in cash on a quarterly basis and (ii) 50% in the form of an annual RSU award with vesting scheduled on the one-year anniversary of the grant date, subject to an annual cap of 30,000 units.</w:t>
      </w:r>
    </w:p>
    <w:p>
      <w:pPr>
        <w:spacing w:after="0" w:line="88"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Under the Company’s deferred compensation plan applicable to non-employee directors (the “NED Plan”), directors may elect to defer all or a portion of their Director Fees. Directors who elect to defer cash fees may choose from various investment choices similar to those available to the NEOs under our executive deferred compensation plan or may elect to receive an increased RSU award in lieu of some or all of such cash fees. Under the NED Plan, settlement of RSUs is automatically deferred. Such units convert on a one-on-one basis into the Company’s Common Stock upon termination of service, a change in control, or at a different time based on a director’s election. Directors can also elect settlement to occur on the scheduled vesting date.</w:t>
      </w:r>
    </w:p>
    <w:p>
      <w:pPr>
        <w:spacing w:after="0" w:line="117"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Directors do not receive any meeting fees or any benefits such as life or medical insurance. Any member of the Board who is also an officer or employee of our Company does not receive compensation for serving as a director. Directors are eligible for limited matching of charitable contributions through the Avis Budget Group Charitable Foundation, and are also eligible to purchase vehicles through the auto lease program we make available to our employees; however, such purchases do not result in an associated incremental cost to the Company.</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Stock Ownership Guidelines</w:t>
      </w:r>
    </w:p>
    <w:p>
      <w:pPr>
        <w:spacing w:after="0" w:line="164"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Minimum stock ownership guidelines require each non-employee director to acquire and hold designated levels of our Company’s Common Stock. Under these guidelines, our non-employee directors are required to retain a minimum of 50% of the net shares (net of taxes) awarded in connection with their director compensation, until reaching an ownership threshold of five times the annual cash retainer. Given the mandatory hold provision until the threshold is obtained, there is no specified deadline for achieving designated thresholds. Under these guidelines, stock ownership is defined to include stock owned by the director directly or indirectly, any vested award deferred under the NED Plan and the “in-the-money” portion of vested stock options, if any. As of March 15, 2022, all current directors subject to these guidelines had exceeded such minimum ownership threshold other than Ms. Hariharan, who joined the Board effective January 1, 2022. SRS’s policies do not allow Mr. Pahwa to directly own any shares of the Company’s Common Stock, and he is therefore not subject to the Company’s stock ownership guidelines.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46" w:name="page47"/>
    <w:bookmarkEnd w:id="46"/>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2021 Director Compensation Table</w:t>
      </w:r>
    </w:p>
    <w:p>
      <w:pPr>
        <w:spacing w:after="0" w:line="164"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following table sets forth compensation paid to our directors during 2021, except for our Executive Chairman, who did not receive separate compensation for his service as a director during 2021 and whose compensation is set forth above in the Summary Compensation Table.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80" w:type="dxa"/>
            <w:vAlign w:val="bottom"/>
          </w:tcPr>
          <w:p>
            <w:pPr>
              <w:jc w:val="center"/>
              <w:ind w:left="21"/>
              <w:spacing w:after="0"/>
              <w:rPr>
                <w:sz w:val="20"/>
                <w:szCs w:val="20"/>
                <w:color w:val="auto"/>
              </w:rPr>
            </w:pPr>
            <w:r>
              <w:rPr>
                <w:rFonts w:ascii="Arial" w:cs="Arial" w:eastAsia="Arial" w:hAnsi="Arial"/>
                <w:sz w:val="14"/>
                <w:szCs w:val="14"/>
                <w:b w:val="1"/>
                <w:bCs w:val="1"/>
                <w:color w:val="auto"/>
              </w:rPr>
              <w:t>Change in</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80" w:type="dxa"/>
            <w:vAlign w:val="bottom"/>
          </w:tcPr>
          <w:p>
            <w:pPr>
              <w:jc w:val="center"/>
              <w:ind w:left="1"/>
              <w:spacing w:after="0"/>
              <w:rPr>
                <w:sz w:val="20"/>
                <w:szCs w:val="20"/>
                <w:color w:val="auto"/>
              </w:rPr>
            </w:pPr>
            <w:r>
              <w:rPr>
                <w:rFonts w:ascii="Arial" w:cs="Arial" w:eastAsia="Arial" w:hAnsi="Arial"/>
                <w:sz w:val="14"/>
                <w:szCs w:val="14"/>
                <w:b w:val="1"/>
                <w:bCs w:val="1"/>
                <w:color w:val="auto"/>
              </w:rPr>
              <w:t>Pension</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1900" w:type="dxa"/>
            <w:vAlign w:val="bottom"/>
          </w:tcPr>
          <w:p>
            <w:pPr>
              <w:jc w:val="center"/>
              <w:ind w:left="318"/>
              <w:spacing w:after="0"/>
              <w:rPr>
                <w:sz w:val="20"/>
                <w:szCs w:val="20"/>
                <w:color w:val="auto"/>
              </w:rPr>
            </w:pPr>
            <w:r>
              <w:rPr>
                <w:rFonts w:ascii="Arial" w:cs="Arial" w:eastAsia="Arial" w:hAnsi="Arial"/>
                <w:sz w:val="14"/>
                <w:szCs w:val="14"/>
                <w:b w:val="1"/>
                <w:bCs w:val="1"/>
                <w:color w:val="auto"/>
              </w:rPr>
              <w:t>Fees Earned</w:t>
            </w:r>
          </w:p>
        </w:tc>
        <w:tc>
          <w:tcPr>
            <w:tcW w:w="13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1900" w:type="dxa"/>
            <w:vAlign w:val="bottom"/>
          </w:tcPr>
          <w:p>
            <w:pPr>
              <w:jc w:val="center"/>
              <w:ind w:left="278"/>
              <w:spacing w:after="0"/>
              <w:rPr>
                <w:sz w:val="20"/>
                <w:szCs w:val="20"/>
                <w:color w:val="auto"/>
              </w:rPr>
            </w:pPr>
            <w:r>
              <w:rPr>
                <w:rFonts w:ascii="Arial" w:cs="Arial" w:eastAsia="Arial" w:hAnsi="Arial"/>
                <w:sz w:val="14"/>
                <w:szCs w:val="14"/>
                <w:b w:val="1"/>
                <w:bCs w:val="1"/>
                <w:color w:val="auto"/>
                <w:w w:val="99"/>
              </w:rPr>
              <w:t>or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680" w:type="dxa"/>
            <w:vAlign w:val="bottom"/>
          </w:tcPr>
          <w:p>
            <w:pPr>
              <w:jc w:val="center"/>
              <w:ind w:left="1"/>
              <w:spacing w:after="0"/>
              <w:rPr>
                <w:sz w:val="20"/>
                <w:szCs w:val="20"/>
                <w:color w:val="auto"/>
              </w:rPr>
            </w:pPr>
            <w:r>
              <w:rPr>
                <w:rFonts w:ascii="Arial" w:cs="Arial" w:eastAsia="Arial" w:hAnsi="Arial"/>
                <w:sz w:val="14"/>
                <w:szCs w:val="14"/>
                <w:b w:val="1"/>
                <w:bCs w:val="1"/>
                <w:color w:val="auto"/>
              </w:rPr>
              <w:t>Compensation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96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1900" w:type="dxa"/>
            <w:vAlign w:val="bottom"/>
          </w:tcPr>
          <w:p>
            <w:pPr>
              <w:jc w:val="center"/>
              <w:ind w:left="318"/>
              <w:spacing w:after="0"/>
              <w:rPr>
                <w:sz w:val="20"/>
                <w:szCs w:val="20"/>
                <w:color w:val="auto"/>
              </w:rPr>
            </w:pPr>
            <w:r>
              <w:rPr>
                <w:rFonts w:ascii="Arial" w:cs="Arial" w:eastAsia="Arial" w:hAnsi="Arial"/>
                <w:sz w:val="14"/>
                <w:szCs w:val="14"/>
                <w:b w:val="1"/>
                <w:bCs w:val="1"/>
                <w:color w:val="auto"/>
              </w:rPr>
              <w:t>Paid In Cash</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540" w:type="dxa"/>
            <w:vAlign w:val="bottom"/>
          </w:tcPr>
          <w:p>
            <w:pPr>
              <w:jc w:val="center"/>
              <w:ind w:left="17"/>
              <w:spacing w:after="0"/>
              <w:rPr>
                <w:sz w:val="20"/>
                <w:szCs w:val="20"/>
                <w:color w:val="auto"/>
              </w:rPr>
            </w:pPr>
            <w:r>
              <w:rPr>
                <w:rFonts w:ascii="Arial" w:cs="Arial" w:eastAsia="Arial" w:hAnsi="Arial"/>
                <w:sz w:val="14"/>
                <w:szCs w:val="14"/>
                <w:b w:val="1"/>
                <w:bCs w:val="1"/>
                <w:color w:val="auto"/>
              </w:rPr>
              <w:t>Compensation</w:t>
            </w:r>
          </w:p>
        </w:tc>
        <w:tc>
          <w:tcPr>
            <w:tcW w:w="960" w:type="dxa"/>
            <w:vAlign w:val="bottom"/>
          </w:tcPr>
          <w:p>
            <w:pPr>
              <w:jc w:val="right"/>
              <w:ind w:right="155"/>
              <w:spacing w:after="0"/>
              <w:rPr>
                <w:sz w:val="20"/>
                <w:szCs w:val="20"/>
                <w:color w:val="auto"/>
              </w:rPr>
            </w:pPr>
            <w:r>
              <w:rPr>
                <w:rFonts w:ascii="Arial" w:cs="Arial" w:eastAsia="Arial" w:hAnsi="Arial"/>
                <w:sz w:val="14"/>
                <w:szCs w:val="14"/>
                <w:b w:val="1"/>
                <w:bCs w:val="1"/>
                <w:color w:val="auto"/>
              </w:rPr>
              <w:t>Total</w:t>
            </w:r>
          </w:p>
        </w:tc>
      </w:tr>
      <w:tr>
        <w:trPr>
          <w:trHeight w:val="196"/>
        </w:trPr>
        <w:tc>
          <w:tcPr>
            <w:tcW w:w="2440" w:type="dxa"/>
            <w:vAlign w:val="bottom"/>
          </w:tcPr>
          <w:p>
            <w:pPr>
              <w:ind w:left="100"/>
              <w:spacing w:after="0"/>
              <w:rPr>
                <w:sz w:val="20"/>
                <w:szCs w:val="20"/>
                <w:color w:val="auto"/>
              </w:rPr>
            </w:pPr>
            <w:r>
              <w:rPr>
                <w:rFonts w:ascii="Arial" w:cs="Arial" w:eastAsia="Arial" w:hAnsi="Arial"/>
                <w:sz w:val="14"/>
                <w:szCs w:val="14"/>
                <w:b w:val="1"/>
                <w:bCs w:val="1"/>
                <w:color w:val="auto"/>
              </w:rPr>
              <w:t>Name of Director</w:t>
            </w:r>
          </w:p>
        </w:tc>
        <w:tc>
          <w:tcPr>
            <w:tcW w:w="1900" w:type="dxa"/>
            <w:vAlign w:val="bottom"/>
          </w:tcPr>
          <w:p>
            <w:pPr>
              <w:jc w:val="center"/>
              <w:ind w:left="318"/>
              <w:spacing w:after="0"/>
              <w:rPr>
                <w:sz w:val="20"/>
                <w:szCs w:val="20"/>
                <w:color w:val="auto"/>
              </w:rPr>
            </w:pPr>
            <w:r>
              <w:rPr>
                <w:rFonts w:ascii="Arial" w:cs="Arial" w:eastAsia="Arial" w:hAnsi="Arial"/>
                <w:sz w:val="14"/>
                <w:szCs w:val="14"/>
                <w:b w:val="1"/>
                <w:bCs w:val="1"/>
                <w:color w:val="auto"/>
                <w:w w:val="99"/>
              </w:rPr>
              <w:t>($)(a)</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680" w:type="dxa"/>
            <w:vAlign w:val="bottom"/>
          </w:tcPr>
          <w:p>
            <w:pPr>
              <w:ind w:left="800"/>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center"/>
              <w:ind w:left="17"/>
              <w:spacing w:after="0"/>
              <w:rPr>
                <w:sz w:val="20"/>
                <w:szCs w:val="20"/>
                <w:color w:val="auto"/>
              </w:rPr>
            </w:pPr>
            <w:r>
              <w:rPr>
                <w:rFonts w:ascii="Arial" w:cs="Arial" w:eastAsia="Arial" w:hAnsi="Arial"/>
                <w:sz w:val="14"/>
                <w:szCs w:val="14"/>
                <w:b w:val="1"/>
                <w:bCs w:val="1"/>
                <w:color w:val="auto"/>
              </w:rPr>
              <w:t>($)(c)</w:t>
            </w:r>
          </w:p>
        </w:tc>
        <w:tc>
          <w:tcPr>
            <w:tcW w:w="96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r>
      <w:tr>
        <w:trPr>
          <w:trHeight w:val="70"/>
        </w:trPr>
        <w:tc>
          <w:tcPr>
            <w:tcW w:w="24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308"/>
        </w:trPr>
        <w:tc>
          <w:tcPr>
            <w:tcW w:w="2440" w:type="dxa"/>
            <w:vAlign w:val="bottom"/>
            <w:shd w:val="clear" w:color="auto" w:fill="CCCCCC"/>
          </w:tcPr>
          <w:p>
            <w:pPr>
              <w:ind w:left="100"/>
              <w:spacing w:after="0"/>
              <w:rPr>
                <w:sz w:val="20"/>
                <w:szCs w:val="20"/>
                <w:color w:val="auto"/>
              </w:rPr>
            </w:pPr>
            <w:r>
              <w:rPr>
                <w:rFonts w:ascii="Arial" w:cs="Arial" w:eastAsia="Arial" w:hAnsi="Arial"/>
                <w:sz w:val="18"/>
                <w:szCs w:val="18"/>
                <w:color w:val="auto"/>
              </w:rPr>
              <w:t>Pahwa, Jagdeep (d)</w:t>
            </w:r>
          </w:p>
        </w:tc>
        <w:tc>
          <w:tcPr>
            <w:tcW w:w="1900" w:type="dxa"/>
            <w:vAlign w:val="bottom"/>
            <w:shd w:val="clear" w:color="auto" w:fill="CCCCCC"/>
          </w:tcPr>
          <w:p>
            <w:pPr>
              <w:jc w:val="right"/>
              <w:ind w:right="358"/>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CCCC"/>
          </w:tcPr>
          <w:p>
            <w:pPr>
              <w:jc w:val="right"/>
              <w:ind w:right="27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CCCC"/>
          </w:tcPr>
          <w:p>
            <w:pPr>
              <w:ind w:left="8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CCCC"/>
          </w:tcPr>
          <w:p>
            <w:pPr>
              <w:jc w:val="right"/>
              <w:ind w:right="41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77"/>
        </w:trPr>
        <w:tc>
          <w:tcPr>
            <w:tcW w:w="2440" w:type="dxa"/>
            <w:vAlign w:val="bottom"/>
            <w:tcBorders>
              <w:bottom w:val="single" w:sz="8" w:color="auto"/>
            </w:tcBorders>
            <w:shd w:val="clear" w:color="auto" w:fill="CCCCCC"/>
          </w:tcPr>
          <w:p>
            <w:pPr>
              <w:spacing w:after="0"/>
              <w:rPr>
                <w:sz w:val="6"/>
                <w:szCs w:val="6"/>
                <w:color w:val="auto"/>
              </w:rPr>
            </w:pPr>
          </w:p>
        </w:tc>
        <w:tc>
          <w:tcPr>
            <w:tcW w:w="1900" w:type="dxa"/>
            <w:vAlign w:val="bottom"/>
            <w:tcBorders>
              <w:bottom w:val="single" w:sz="8" w:color="auto"/>
            </w:tcBorders>
            <w:shd w:val="clear" w:color="auto" w:fill="CCCCCC"/>
          </w:tcPr>
          <w:p>
            <w:pPr>
              <w:spacing w:after="0"/>
              <w:rPr>
                <w:sz w:val="6"/>
                <w:szCs w:val="6"/>
                <w:color w:val="auto"/>
              </w:rPr>
            </w:pPr>
          </w:p>
        </w:tc>
        <w:tc>
          <w:tcPr>
            <w:tcW w:w="1320" w:type="dxa"/>
            <w:vAlign w:val="bottom"/>
            <w:tcBorders>
              <w:bottom w:val="single" w:sz="8" w:color="auto"/>
            </w:tcBorders>
            <w:shd w:val="clear" w:color="auto" w:fill="CCCCCC"/>
          </w:tcPr>
          <w:p>
            <w:pPr>
              <w:spacing w:after="0"/>
              <w:rPr>
                <w:sz w:val="6"/>
                <w:szCs w:val="6"/>
                <w:color w:val="auto"/>
              </w:rPr>
            </w:pPr>
          </w:p>
        </w:tc>
        <w:tc>
          <w:tcPr>
            <w:tcW w:w="1680" w:type="dxa"/>
            <w:vAlign w:val="bottom"/>
            <w:tcBorders>
              <w:bottom w:val="single" w:sz="8" w:color="auto"/>
            </w:tcBorders>
            <w:shd w:val="clear" w:color="auto" w:fill="CCCCCC"/>
          </w:tcPr>
          <w:p>
            <w:pPr>
              <w:spacing w:after="0"/>
              <w:rPr>
                <w:sz w:val="6"/>
                <w:szCs w:val="6"/>
                <w:color w:val="auto"/>
              </w:rPr>
            </w:pPr>
          </w:p>
        </w:tc>
        <w:tc>
          <w:tcPr>
            <w:tcW w:w="1540" w:type="dxa"/>
            <w:vAlign w:val="bottom"/>
            <w:tcBorders>
              <w:bottom w:val="single" w:sz="8" w:color="auto"/>
            </w:tcBorders>
            <w:shd w:val="clear" w:color="auto" w:fill="CCCCCC"/>
          </w:tcPr>
          <w:p>
            <w:pPr>
              <w:spacing w:after="0"/>
              <w:rPr>
                <w:sz w:val="6"/>
                <w:szCs w:val="6"/>
                <w:color w:val="auto"/>
              </w:rPr>
            </w:pPr>
          </w:p>
        </w:tc>
        <w:tc>
          <w:tcPr>
            <w:tcW w:w="960" w:type="dxa"/>
            <w:vAlign w:val="bottom"/>
            <w:tcBorders>
              <w:bottom w:val="single" w:sz="8" w:color="auto"/>
            </w:tcBorders>
            <w:shd w:val="clear" w:color="auto" w:fill="CCCCCC"/>
          </w:tcPr>
          <w:p>
            <w:pPr>
              <w:spacing w:after="0"/>
              <w:rPr>
                <w:sz w:val="6"/>
                <w:szCs w:val="6"/>
                <w:color w:val="auto"/>
              </w:rPr>
            </w:pPr>
          </w:p>
        </w:tc>
      </w:tr>
      <w:tr>
        <w:trPr>
          <w:trHeight w:val="308"/>
        </w:trPr>
        <w:tc>
          <w:tcPr>
            <w:tcW w:w="2440" w:type="dxa"/>
            <w:vAlign w:val="bottom"/>
          </w:tcPr>
          <w:p>
            <w:pPr>
              <w:ind w:left="100"/>
              <w:spacing w:after="0"/>
              <w:rPr>
                <w:sz w:val="20"/>
                <w:szCs w:val="20"/>
                <w:color w:val="auto"/>
              </w:rPr>
            </w:pPr>
            <w:r>
              <w:rPr>
                <w:rFonts w:ascii="Arial" w:cs="Arial" w:eastAsia="Arial" w:hAnsi="Arial"/>
                <w:sz w:val="18"/>
                <w:szCs w:val="18"/>
                <w:color w:val="auto"/>
              </w:rPr>
              <w:t>Krominga, Lynn</w:t>
            </w:r>
          </w:p>
        </w:tc>
        <w:tc>
          <w:tcPr>
            <w:tcW w:w="1900" w:type="dxa"/>
            <w:vAlign w:val="bottom"/>
          </w:tcPr>
          <w:p>
            <w:pPr>
              <w:jc w:val="right"/>
              <w:ind w:right="338"/>
              <w:spacing w:after="0"/>
              <w:rPr>
                <w:sz w:val="20"/>
                <w:szCs w:val="20"/>
                <w:color w:val="auto"/>
              </w:rPr>
            </w:pPr>
            <w:r>
              <w:rPr>
                <w:rFonts w:ascii="Arial" w:cs="Arial" w:eastAsia="Arial" w:hAnsi="Arial"/>
                <w:sz w:val="18"/>
                <w:szCs w:val="18"/>
                <w:color w:val="auto"/>
              </w:rPr>
              <w:t>134,000</w:t>
            </w:r>
          </w:p>
        </w:tc>
        <w:tc>
          <w:tcPr>
            <w:tcW w:w="1320" w:type="dxa"/>
            <w:vAlign w:val="bottom"/>
          </w:tcPr>
          <w:p>
            <w:pPr>
              <w:jc w:val="right"/>
              <w:ind w:right="277"/>
              <w:spacing w:after="0"/>
              <w:rPr>
                <w:sz w:val="20"/>
                <w:szCs w:val="20"/>
                <w:color w:val="auto"/>
              </w:rPr>
            </w:pPr>
            <w:r>
              <w:rPr>
                <w:rFonts w:ascii="Arial" w:cs="Arial" w:eastAsia="Arial" w:hAnsi="Arial"/>
                <w:sz w:val="18"/>
                <w:szCs w:val="18"/>
                <w:color w:val="auto"/>
              </w:rPr>
              <w:t>134,000</w:t>
            </w:r>
          </w:p>
        </w:tc>
        <w:tc>
          <w:tcPr>
            <w:tcW w:w="1680" w:type="dxa"/>
            <w:vAlign w:val="bottom"/>
          </w:tcPr>
          <w:p>
            <w:pPr>
              <w:ind w:left="8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17"/>
              <w:spacing w:after="0"/>
              <w:rPr>
                <w:sz w:val="20"/>
                <w:szCs w:val="20"/>
                <w:color w:val="auto"/>
              </w:rPr>
            </w:pPr>
            <w:r>
              <w:rPr>
                <w:rFonts w:ascii="Arial" w:cs="Arial" w:eastAsia="Arial" w:hAnsi="Arial"/>
                <w:sz w:val="18"/>
                <w:szCs w:val="18"/>
                <w:color w:val="auto"/>
              </w:rPr>
              <w:t>5,000</w:t>
            </w:r>
          </w:p>
        </w:tc>
        <w:tc>
          <w:tcPr>
            <w:tcW w:w="960" w:type="dxa"/>
            <w:vAlign w:val="bottom"/>
          </w:tcPr>
          <w:p>
            <w:pPr>
              <w:jc w:val="right"/>
              <w:spacing w:after="0"/>
              <w:rPr>
                <w:sz w:val="20"/>
                <w:szCs w:val="20"/>
                <w:color w:val="auto"/>
              </w:rPr>
            </w:pPr>
            <w:r>
              <w:rPr>
                <w:rFonts w:ascii="Arial" w:cs="Arial" w:eastAsia="Arial" w:hAnsi="Arial"/>
                <w:sz w:val="18"/>
                <w:szCs w:val="18"/>
                <w:color w:val="auto"/>
              </w:rPr>
              <w:t>273,000</w:t>
            </w:r>
          </w:p>
        </w:tc>
      </w:tr>
      <w:tr>
        <w:trPr>
          <w:trHeight w:val="77"/>
        </w:trPr>
        <w:tc>
          <w:tcPr>
            <w:tcW w:w="24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308"/>
        </w:trPr>
        <w:tc>
          <w:tcPr>
            <w:tcW w:w="2440" w:type="dxa"/>
            <w:vAlign w:val="bottom"/>
            <w:shd w:val="clear" w:color="auto" w:fill="CCCCCC"/>
          </w:tcPr>
          <w:p>
            <w:pPr>
              <w:ind w:left="100"/>
              <w:spacing w:after="0"/>
              <w:rPr>
                <w:sz w:val="20"/>
                <w:szCs w:val="20"/>
                <w:color w:val="auto"/>
              </w:rPr>
            </w:pPr>
            <w:r>
              <w:rPr>
                <w:rFonts w:ascii="Arial" w:cs="Arial" w:eastAsia="Arial" w:hAnsi="Arial"/>
                <w:sz w:val="18"/>
                <w:szCs w:val="18"/>
                <w:color w:val="auto"/>
              </w:rPr>
              <w:t>Lurie, Glenn</w:t>
            </w:r>
          </w:p>
        </w:tc>
        <w:tc>
          <w:tcPr>
            <w:tcW w:w="1900" w:type="dxa"/>
            <w:vAlign w:val="bottom"/>
            <w:shd w:val="clear" w:color="auto" w:fill="CCCCCC"/>
          </w:tcPr>
          <w:p>
            <w:pPr>
              <w:jc w:val="right"/>
              <w:ind w:right="338"/>
              <w:spacing w:after="0"/>
              <w:rPr>
                <w:sz w:val="20"/>
                <w:szCs w:val="20"/>
                <w:color w:val="auto"/>
              </w:rPr>
            </w:pPr>
            <w:r>
              <w:rPr>
                <w:rFonts w:ascii="Arial" w:cs="Arial" w:eastAsia="Arial" w:hAnsi="Arial"/>
                <w:sz w:val="18"/>
                <w:szCs w:val="18"/>
                <w:color w:val="auto"/>
              </w:rPr>
              <w:t>126,563</w:t>
            </w:r>
          </w:p>
        </w:tc>
        <w:tc>
          <w:tcPr>
            <w:tcW w:w="1320" w:type="dxa"/>
            <w:vAlign w:val="bottom"/>
            <w:shd w:val="clear" w:color="auto" w:fill="CCCCCC"/>
          </w:tcPr>
          <w:p>
            <w:pPr>
              <w:jc w:val="right"/>
              <w:ind w:right="277"/>
              <w:spacing w:after="0"/>
              <w:rPr>
                <w:sz w:val="20"/>
                <w:szCs w:val="20"/>
                <w:color w:val="auto"/>
              </w:rPr>
            </w:pPr>
            <w:r>
              <w:rPr>
                <w:rFonts w:ascii="Arial" w:cs="Arial" w:eastAsia="Arial" w:hAnsi="Arial"/>
                <w:sz w:val="18"/>
                <w:szCs w:val="18"/>
                <w:color w:val="auto"/>
              </w:rPr>
              <w:t>125,014</w:t>
            </w:r>
          </w:p>
        </w:tc>
        <w:tc>
          <w:tcPr>
            <w:tcW w:w="1680" w:type="dxa"/>
            <w:vAlign w:val="bottom"/>
            <w:shd w:val="clear" w:color="auto" w:fill="CCCCCC"/>
          </w:tcPr>
          <w:p>
            <w:pPr>
              <w:ind w:left="8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CCCC"/>
          </w:tcPr>
          <w:p>
            <w:pPr>
              <w:jc w:val="right"/>
              <w:ind w:right="417"/>
              <w:spacing w:after="0"/>
              <w:rPr>
                <w:sz w:val="20"/>
                <w:szCs w:val="20"/>
                <w:color w:val="auto"/>
              </w:rPr>
            </w:pPr>
            <w:r>
              <w:rPr>
                <w:rFonts w:ascii="Arial" w:cs="Arial" w:eastAsia="Arial" w:hAnsi="Arial"/>
                <w:sz w:val="18"/>
                <w:szCs w:val="18"/>
                <w:color w:val="auto"/>
              </w:rPr>
              <w:t>5,000</w:t>
            </w:r>
          </w:p>
        </w:tc>
        <w:tc>
          <w:tcPr>
            <w:tcW w:w="9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256,577</w:t>
            </w:r>
          </w:p>
        </w:tc>
      </w:tr>
      <w:tr>
        <w:trPr>
          <w:trHeight w:val="77"/>
        </w:trPr>
        <w:tc>
          <w:tcPr>
            <w:tcW w:w="2440" w:type="dxa"/>
            <w:vAlign w:val="bottom"/>
            <w:tcBorders>
              <w:bottom w:val="single" w:sz="8" w:color="auto"/>
            </w:tcBorders>
            <w:shd w:val="clear" w:color="auto" w:fill="CCCCCC"/>
          </w:tcPr>
          <w:p>
            <w:pPr>
              <w:spacing w:after="0"/>
              <w:rPr>
                <w:sz w:val="6"/>
                <w:szCs w:val="6"/>
                <w:color w:val="auto"/>
              </w:rPr>
            </w:pPr>
          </w:p>
        </w:tc>
        <w:tc>
          <w:tcPr>
            <w:tcW w:w="1900" w:type="dxa"/>
            <w:vAlign w:val="bottom"/>
            <w:tcBorders>
              <w:bottom w:val="single" w:sz="8" w:color="auto"/>
            </w:tcBorders>
            <w:shd w:val="clear" w:color="auto" w:fill="CCCCCC"/>
          </w:tcPr>
          <w:p>
            <w:pPr>
              <w:spacing w:after="0"/>
              <w:rPr>
                <w:sz w:val="6"/>
                <w:szCs w:val="6"/>
                <w:color w:val="auto"/>
              </w:rPr>
            </w:pPr>
          </w:p>
        </w:tc>
        <w:tc>
          <w:tcPr>
            <w:tcW w:w="1320" w:type="dxa"/>
            <w:vAlign w:val="bottom"/>
            <w:tcBorders>
              <w:bottom w:val="single" w:sz="8" w:color="auto"/>
            </w:tcBorders>
            <w:shd w:val="clear" w:color="auto" w:fill="CCCCCC"/>
          </w:tcPr>
          <w:p>
            <w:pPr>
              <w:spacing w:after="0"/>
              <w:rPr>
                <w:sz w:val="6"/>
                <w:szCs w:val="6"/>
                <w:color w:val="auto"/>
              </w:rPr>
            </w:pPr>
          </w:p>
        </w:tc>
        <w:tc>
          <w:tcPr>
            <w:tcW w:w="1680" w:type="dxa"/>
            <w:vAlign w:val="bottom"/>
            <w:tcBorders>
              <w:bottom w:val="single" w:sz="8" w:color="auto"/>
            </w:tcBorders>
            <w:shd w:val="clear" w:color="auto" w:fill="CCCCCC"/>
          </w:tcPr>
          <w:p>
            <w:pPr>
              <w:spacing w:after="0"/>
              <w:rPr>
                <w:sz w:val="6"/>
                <w:szCs w:val="6"/>
                <w:color w:val="auto"/>
              </w:rPr>
            </w:pPr>
          </w:p>
        </w:tc>
        <w:tc>
          <w:tcPr>
            <w:tcW w:w="1540" w:type="dxa"/>
            <w:vAlign w:val="bottom"/>
            <w:tcBorders>
              <w:bottom w:val="single" w:sz="8" w:color="auto"/>
            </w:tcBorders>
            <w:shd w:val="clear" w:color="auto" w:fill="CCCCCC"/>
          </w:tcPr>
          <w:p>
            <w:pPr>
              <w:spacing w:after="0"/>
              <w:rPr>
                <w:sz w:val="6"/>
                <w:szCs w:val="6"/>
                <w:color w:val="auto"/>
              </w:rPr>
            </w:pPr>
          </w:p>
        </w:tc>
        <w:tc>
          <w:tcPr>
            <w:tcW w:w="960" w:type="dxa"/>
            <w:vAlign w:val="bottom"/>
            <w:tcBorders>
              <w:bottom w:val="single" w:sz="8" w:color="auto"/>
            </w:tcBorders>
            <w:shd w:val="clear" w:color="auto" w:fill="CCCCCC"/>
          </w:tcPr>
          <w:p>
            <w:pPr>
              <w:spacing w:after="0"/>
              <w:rPr>
                <w:sz w:val="6"/>
                <w:szCs w:val="6"/>
                <w:color w:val="auto"/>
              </w:rPr>
            </w:pPr>
          </w:p>
        </w:tc>
      </w:tr>
      <w:tr>
        <w:trPr>
          <w:trHeight w:val="308"/>
        </w:trPr>
        <w:tc>
          <w:tcPr>
            <w:tcW w:w="2440" w:type="dxa"/>
            <w:vAlign w:val="bottom"/>
          </w:tcPr>
          <w:p>
            <w:pPr>
              <w:ind w:left="100"/>
              <w:spacing w:after="0"/>
              <w:rPr>
                <w:sz w:val="20"/>
                <w:szCs w:val="20"/>
                <w:color w:val="auto"/>
              </w:rPr>
            </w:pPr>
            <w:r>
              <w:rPr>
                <w:rFonts w:ascii="Arial" w:cs="Arial" w:eastAsia="Arial" w:hAnsi="Arial"/>
                <w:sz w:val="18"/>
                <w:szCs w:val="18"/>
                <w:color w:val="auto"/>
              </w:rPr>
              <w:t>Sarma, Karthik (d)</w:t>
            </w:r>
          </w:p>
        </w:tc>
        <w:tc>
          <w:tcPr>
            <w:tcW w:w="190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7"/>
              <w:spacing w:after="0"/>
              <w:rPr>
                <w:sz w:val="20"/>
                <w:szCs w:val="20"/>
                <w:color w:val="auto"/>
              </w:rPr>
            </w:pPr>
            <w:r>
              <w:rPr>
                <w:rFonts w:ascii="Arial" w:cs="Arial" w:eastAsia="Arial" w:hAnsi="Arial"/>
                <w:sz w:val="18"/>
                <w:szCs w:val="18"/>
                <w:color w:val="auto"/>
              </w:rPr>
              <w:t>—</w:t>
            </w:r>
          </w:p>
        </w:tc>
        <w:tc>
          <w:tcPr>
            <w:tcW w:w="1680" w:type="dxa"/>
            <w:vAlign w:val="bottom"/>
          </w:tcPr>
          <w:p>
            <w:pPr>
              <w:ind w:left="8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1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7"/>
        </w:trPr>
        <w:tc>
          <w:tcPr>
            <w:tcW w:w="24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313"/>
        </w:trPr>
        <w:tc>
          <w:tcPr>
            <w:tcW w:w="244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Sparks, Carl (e)</w:t>
            </w:r>
          </w:p>
        </w:tc>
        <w:tc>
          <w:tcPr>
            <w:tcW w:w="1900" w:type="dxa"/>
            <w:vAlign w:val="bottom"/>
            <w:tcBorders>
              <w:bottom w:val="single" w:sz="8" w:color="auto"/>
            </w:tcBorders>
            <w:shd w:val="clear" w:color="auto" w:fill="CCCCCC"/>
          </w:tcPr>
          <w:p>
            <w:pPr>
              <w:jc w:val="right"/>
              <w:ind w:right="358"/>
              <w:spacing w:after="0"/>
              <w:rPr>
                <w:sz w:val="20"/>
                <w:szCs w:val="20"/>
                <w:color w:val="auto"/>
              </w:rPr>
            </w:pPr>
            <w:r>
              <w:rPr>
                <w:rFonts w:ascii="Arial" w:cs="Arial" w:eastAsia="Arial" w:hAnsi="Arial"/>
                <w:sz w:val="18"/>
                <w:szCs w:val="18"/>
                <w:color w:val="auto"/>
              </w:rPr>
              <w:t>97,125</w:t>
            </w:r>
          </w:p>
        </w:tc>
        <w:tc>
          <w:tcPr>
            <w:tcW w:w="1320" w:type="dxa"/>
            <w:vAlign w:val="bottom"/>
            <w:tcBorders>
              <w:bottom w:val="single" w:sz="8" w:color="auto"/>
            </w:tcBorders>
            <w:shd w:val="clear" w:color="auto" w:fill="CCCCCC"/>
          </w:tcPr>
          <w:p>
            <w:pPr>
              <w:jc w:val="right"/>
              <w:ind w:right="277"/>
              <w:spacing w:after="0"/>
              <w:rPr>
                <w:sz w:val="20"/>
                <w:szCs w:val="20"/>
                <w:color w:val="auto"/>
              </w:rPr>
            </w:pPr>
            <w:r>
              <w:rPr>
                <w:rFonts w:ascii="Arial" w:cs="Arial" w:eastAsia="Arial" w:hAnsi="Arial"/>
                <w:sz w:val="18"/>
                <w:szCs w:val="18"/>
                <w:color w:val="auto"/>
              </w:rPr>
              <w:t>97,130</w:t>
            </w:r>
          </w:p>
        </w:tc>
        <w:tc>
          <w:tcPr>
            <w:tcW w:w="1680" w:type="dxa"/>
            <w:vAlign w:val="bottom"/>
            <w:tcBorders>
              <w:bottom w:val="single" w:sz="8" w:color="auto"/>
            </w:tcBorders>
            <w:shd w:val="clear" w:color="auto" w:fill="CCCCCC"/>
          </w:tcPr>
          <w:p>
            <w:pPr>
              <w:ind w:left="8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CCCC"/>
          </w:tcPr>
          <w:p>
            <w:pPr>
              <w:jc w:val="right"/>
              <w:ind w:right="417"/>
              <w:spacing w:after="0"/>
              <w:rPr>
                <w:sz w:val="20"/>
                <w:szCs w:val="20"/>
                <w:color w:val="auto"/>
              </w:rPr>
            </w:pPr>
            <w:r>
              <w:rPr>
                <w:rFonts w:ascii="Arial" w:cs="Arial" w:eastAsia="Arial" w:hAnsi="Arial"/>
                <w:sz w:val="18"/>
                <w:szCs w:val="18"/>
                <w:color w:val="auto"/>
              </w:rPr>
              <w:t>5,000</w:t>
            </w:r>
          </w:p>
        </w:tc>
        <w:tc>
          <w:tcPr>
            <w:tcW w:w="9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199,255</w:t>
            </w:r>
          </w:p>
        </w:tc>
      </w:tr>
    </w:tbl>
    <w:p>
      <w:pPr>
        <w:spacing w:after="0" w:line="153" w:lineRule="exact"/>
        <w:rPr>
          <w:sz w:val="20"/>
          <w:szCs w:val="20"/>
          <w:color w:val="auto"/>
        </w:rPr>
      </w:pPr>
    </w:p>
    <w:p>
      <w:pPr>
        <w:ind w:left="360" w:right="20" w:hanging="350"/>
        <w:spacing w:after="0" w:line="285" w:lineRule="auto"/>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no more than 50% of non-employee director compensation as discussed above. For Mr. Lurie, includes additional cash compensation in connection with his appointment as Audit Committee Chair effective October 1, 2021.</w:t>
      </w:r>
    </w:p>
    <w:p>
      <w:pPr>
        <w:spacing w:after="0" w:line="22" w:lineRule="exact"/>
        <w:rPr>
          <w:rFonts w:ascii="Arial" w:cs="Arial" w:eastAsia="Arial" w:hAnsi="Arial"/>
          <w:sz w:val="14"/>
          <w:szCs w:val="14"/>
          <w:color w:val="auto"/>
        </w:rPr>
      </w:pPr>
    </w:p>
    <w:p>
      <w:pPr>
        <w:jc w:val="both"/>
        <w:ind w:left="360" w:hanging="350"/>
        <w:spacing w:after="0" w:line="263" w:lineRule="auto"/>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Stock awards represent a minimum of 50% of non-employee director compensation in the form of RSU awards. Amounts represent the aggregate grant date fair value computed in accordance with FASB ASC Topic 718. The number of stock units are determined by dividing such value by the Company’s closing stock price on the date of grant.</w:t>
      </w:r>
    </w:p>
    <w:p>
      <w:pPr>
        <w:spacing w:after="0" w:line="24" w:lineRule="exact"/>
        <w:rPr>
          <w:rFonts w:ascii="Arial" w:cs="Arial" w:eastAsia="Arial" w:hAnsi="Arial"/>
          <w:sz w:val="14"/>
          <w:szCs w:val="14"/>
          <w:color w:val="auto"/>
        </w:rPr>
      </w:pPr>
    </w:p>
    <w:p>
      <w:pPr>
        <w:ind w:left="360"/>
        <w:spacing w:after="0" w:line="285" w:lineRule="auto"/>
        <w:rPr>
          <w:rFonts w:ascii="Arial" w:cs="Arial" w:eastAsia="Arial" w:hAnsi="Arial"/>
          <w:sz w:val="14"/>
          <w:szCs w:val="14"/>
          <w:color w:val="auto"/>
        </w:rPr>
      </w:pPr>
      <w:r>
        <w:rPr>
          <w:rFonts w:ascii="Arial" w:cs="Arial" w:eastAsia="Arial" w:hAnsi="Arial"/>
          <w:sz w:val="14"/>
          <w:szCs w:val="14"/>
          <w:color w:val="auto"/>
        </w:rPr>
        <w:t>Outstanding awards for the Company’s non-employee directors at fiscal year-end were as follows: for Ms. Krominga, 56,948 RSUs; and for Mr. Lurie, 10,940 RSUs.</w:t>
      </w:r>
    </w:p>
    <w:p>
      <w:pPr>
        <w:spacing w:after="0" w:line="9" w:lineRule="exact"/>
        <w:rPr>
          <w:rFonts w:ascii="Arial" w:cs="Arial" w:eastAsia="Arial" w:hAnsi="Arial"/>
          <w:sz w:val="14"/>
          <w:szCs w:val="14"/>
          <w:color w:val="auto"/>
        </w:rPr>
      </w:pPr>
    </w:p>
    <w:p>
      <w:pPr>
        <w:ind w:left="360" w:hanging="350"/>
        <w:spacing w:after="0"/>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discretionary matching contributions available through The Avis Budget Group Charitable Foundation.</w:t>
      </w:r>
    </w:p>
    <w:p>
      <w:pPr>
        <w:spacing w:after="0" w:line="82" w:lineRule="exact"/>
        <w:rPr>
          <w:rFonts w:ascii="Arial" w:cs="Arial" w:eastAsia="Arial" w:hAnsi="Arial"/>
          <w:sz w:val="14"/>
          <w:szCs w:val="14"/>
          <w:color w:val="auto"/>
        </w:rPr>
      </w:pPr>
    </w:p>
    <w:p>
      <w:pPr>
        <w:ind w:left="360" w:hanging="350"/>
        <w:spacing w:after="0"/>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Pahwa and Mr. Sarma have waived compensation for Board service.</w:t>
      </w:r>
    </w:p>
    <w:p>
      <w:pPr>
        <w:spacing w:after="0" w:line="68" w:lineRule="exact"/>
        <w:rPr>
          <w:rFonts w:ascii="Arial" w:cs="Arial" w:eastAsia="Arial" w:hAnsi="Arial"/>
          <w:sz w:val="14"/>
          <w:szCs w:val="14"/>
          <w:color w:val="auto"/>
        </w:rPr>
      </w:pPr>
    </w:p>
    <w:p>
      <w:pPr>
        <w:ind w:left="360" w:hanging="350"/>
        <w:spacing w:after="0"/>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Sparks resigned from the Board, effective October 1, 2021.</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164"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Our Compensation Committee, which administers the Company’s executive compensation policies and programs, is comprised entirely of independent directors: Karthik Sarma (Chair), Lynn Krominga and Glenn Lurie. No member of the Compensation Committee is or was formerly an officer or employee of the Company or any of the Company’s subsidiaries. See “</w:t>
      </w:r>
      <w:r>
        <w:rPr>
          <w:rFonts w:ascii="Arial" w:cs="Arial" w:eastAsia="Arial" w:hAnsi="Arial"/>
          <w:sz w:val="18"/>
          <w:szCs w:val="18"/>
          <w:i w:val="1"/>
          <w:iCs w:val="1"/>
          <w:color w:val="auto"/>
        </w:rPr>
        <w:t>Corporate Governance—Related Person Transactions</w:t>
      </w:r>
      <w:r>
        <w:rPr>
          <w:rFonts w:ascii="Arial" w:cs="Arial" w:eastAsia="Arial" w:hAnsi="Arial"/>
          <w:sz w:val="18"/>
          <w:szCs w:val="18"/>
          <w:color w:val="auto"/>
        </w:rPr>
        <w:t>” above for certain transactions involving the Company in which Mr. Sarma, in his capacity as Managing Partner at SRS, may potentially be deemed to have an indirect interest. In addition, none of our executive officers serve on the compensation committee or board of directors of a company for which any of our directors serves as an executive officer.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47" w:name="page48"/>
    <w:bookmarkEnd w:id="47"/>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Report of Audit Committee</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performing its oversight function, the Audit Committee reviewed and discussed the consolidated financial statements with management and the independent auditors. The Audit Committee also discussed with the independent auditors the matters required to be discussed under the rules adopted by the PCAOB and the SEC.</w:t>
      </w:r>
    </w:p>
    <w:p>
      <w:pPr>
        <w:spacing w:after="0" w:line="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applicable requirements of the PCAOB regarding the independent accountant’s communications with the Audit Committee concerning independence.</w:t>
      </w:r>
    </w:p>
    <w:p>
      <w:pPr>
        <w:spacing w:after="0" w:line="10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and the evaluations of the Company’s internal controls.</w:t>
      </w:r>
    </w:p>
    <w:p>
      <w:pPr>
        <w:spacing w:after="0" w:line="1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Based on the reviews and discussions referred to above and subject to the limitations on the roles and responsibilities of the Audit Committee referred to above and in its Charter, the Audit Committee recommended to the Board of Directors that the audited consolidated financial statements be included in the Company’s Annual Report on Form 10-K for the year ended December 31, 2021 for filing with the SEC. The Audit Committee also has recommended the selection of the Company’s independent registered public accounting firm for fiscal year 2022.</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AUDIT COMMITTEE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Glenn Lurie, Chair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Lynn Krominga</w:t>
      </w:r>
    </w:p>
    <w:p>
      <w:pPr>
        <w:jc w:val="center"/>
        <w:spacing w:after="0"/>
        <w:rPr>
          <w:sz w:val="20"/>
          <w:szCs w:val="20"/>
          <w:color w:val="auto"/>
        </w:rPr>
      </w:pPr>
      <w:r>
        <w:rPr>
          <w:rFonts w:ascii="Arial" w:cs="Arial" w:eastAsia="Arial" w:hAnsi="Arial"/>
          <w:sz w:val="18"/>
          <w:szCs w:val="18"/>
          <w:i w:val="1"/>
          <w:iCs w:val="1"/>
          <w:color w:val="auto"/>
        </w:rPr>
        <w:t>Anu Hariharan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48" w:name="page49"/>
    <w:bookmarkEnd w:id="48"/>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color w:val="auto"/>
        </w:rPr>
        <w:t>Proposal No. 2</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Ratification of Appointment of Auditors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Audit Committee’s Charter provides that the Audit Committee is responsible for:</w:t>
      </w:r>
    </w:p>
    <w:p>
      <w:pPr>
        <w:spacing w:after="0" w:line="131" w:lineRule="exact"/>
        <w:rPr>
          <w:sz w:val="20"/>
          <w:szCs w:val="20"/>
          <w:color w:val="auto"/>
        </w:rPr>
      </w:pPr>
    </w:p>
    <w:p>
      <w:pPr>
        <w:ind w:left="360" w:right="20" w:hanging="350"/>
        <w:spacing w:after="0" w:line="271" w:lineRule="auto"/>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appointing, compensating and overseeing the work performed by our independent auditors related to the audit of our annual consolidated financial statements and internal controls over financial reporting; and</w:t>
      </w:r>
    </w:p>
    <w:p>
      <w:pPr>
        <w:spacing w:after="0" w:line="86" w:lineRule="exact"/>
        <w:rPr>
          <w:rFonts w:ascii="Arial" w:cs="Arial" w:eastAsia="Arial" w:hAnsi="Arial"/>
          <w:sz w:val="18"/>
          <w:szCs w:val="18"/>
          <w:color w:val="auto"/>
        </w:rPr>
      </w:pPr>
    </w:p>
    <w:p>
      <w:pPr>
        <w:ind w:left="360" w:hanging="350"/>
        <w:spacing w:after="0" w:line="271" w:lineRule="auto"/>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auditors with the assistance of management.</w:t>
      </w:r>
    </w:p>
    <w:p>
      <w:pPr>
        <w:spacing w:after="0" w:line="86"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Audit Committee has appointed Deloitte &amp; Touche LLP (“Deloitte”) as the Company’s independent registered public accounting firm for the fiscal year ending December 31, 2022. Deloitte has served as our independent registered public accounting firm since 1997. Prior to appointing Deloitte for 2022, the Audit Committee considered Deloitte’s tenure, technical expertise, capabilities as independent auditors, industry knowledge and communication with the Audit Committee, and also considered the impact on the Company of changing independent auditors.</w:t>
      </w:r>
    </w:p>
    <w:p>
      <w:pPr>
        <w:spacing w:after="0" w:line="95"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lead engagement partner from Deloitte is required to be rotated every five years. The process for selecting a new lead engagement partner includes a meeting between the Audit Committee Chair and the candidate for this role, as well as discussion by the full Audit Committee and with senior management.</w:t>
      </w:r>
    </w:p>
    <w:p>
      <w:pPr>
        <w:spacing w:after="0" w:line="101"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A representative of Deloitte is expected to be present at the Meeting and will have the opportunity to make a statement if he or she desires to do so and will be available to respond to appropriate questions of shareholders.</w:t>
      </w:r>
    </w:p>
    <w:p>
      <w:pPr>
        <w:spacing w:after="0" w:line="8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i w:val="1"/>
          <w:iCs w:val="1"/>
          <w:color w:val="auto"/>
        </w:rPr>
        <w:t>Principal Accounting Firm Fees</w:t>
      </w:r>
      <w:r>
        <w:rPr>
          <w:rFonts w:ascii="Arial" w:cs="Arial" w:eastAsia="Arial" w:hAnsi="Arial"/>
          <w:sz w:val="18"/>
          <w:szCs w:val="18"/>
          <w:color w:val="auto"/>
        </w:rPr>
        <w:t>. Fees billed to the Company by Deloitte, the member firms of Deloitte Touche Tohmatsu,</w:t>
      </w:r>
      <w:r>
        <w:rPr>
          <w:rFonts w:ascii="Arial" w:cs="Arial" w:eastAsia="Arial" w:hAnsi="Arial"/>
          <w:sz w:val="18"/>
          <w:szCs w:val="18"/>
          <w:i w:val="1"/>
          <w:iCs w:val="1"/>
          <w:color w:val="auto"/>
        </w:rPr>
        <w:t xml:space="preserve"> </w:t>
      </w:r>
      <w:r>
        <w:rPr>
          <w:rFonts w:ascii="Arial" w:cs="Arial" w:eastAsia="Arial" w:hAnsi="Arial"/>
          <w:sz w:val="18"/>
          <w:szCs w:val="18"/>
          <w:color w:val="auto"/>
        </w:rPr>
        <w:t>and their respective affiliates (collectively, the “Deloitte Entities”) for the years ended December 31, 2021 and 2020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rPr>
              <w:t>Fee</w:t>
            </w:r>
          </w:p>
        </w:tc>
        <w:tc>
          <w:tcPr>
            <w:tcW w:w="500" w:type="dxa"/>
            <w:vAlign w:val="bottom"/>
          </w:tcPr>
          <w:p>
            <w:pPr>
              <w:spacing w:after="0"/>
              <w:rPr>
                <w:sz w:val="14"/>
                <w:szCs w:val="14"/>
                <w:color w:val="auto"/>
              </w:rPr>
            </w:pPr>
          </w:p>
        </w:tc>
      </w:tr>
      <w:tr>
        <w:trPr>
          <w:trHeight w:val="196"/>
        </w:trPr>
        <w:tc>
          <w:tcPr>
            <w:tcW w:w="48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8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(in thousands)</w:t>
            </w:r>
          </w:p>
        </w:tc>
      </w:tr>
      <w:tr>
        <w:trPr>
          <w:trHeight w:val="56"/>
        </w:trPr>
        <w:tc>
          <w:tcPr>
            <w:tcW w:w="486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62"/>
        </w:trPr>
        <w:tc>
          <w:tcPr>
            <w:tcW w:w="4860" w:type="dxa"/>
            <w:vAlign w:val="bottom"/>
          </w:tcPr>
          <w:p>
            <w:pPr>
              <w:ind w:left="100"/>
              <w:spacing w:after="0"/>
              <w:rPr>
                <w:sz w:val="20"/>
                <w:szCs w:val="20"/>
                <w:color w:val="auto"/>
              </w:rPr>
            </w:pPr>
            <w:r>
              <w:rPr>
                <w:rFonts w:ascii="Arial" w:cs="Arial" w:eastAsia="Arial" w:hAnsi="Arial"/>
                <w:sz w:val="14"/>
                <w:szCs w:val="14"/>
                <w:b w:val="1"/>
                <w:bCs w:val="1"/>
                <w:color w:val="auto"/>
              </w:rPr>
              <w:t>Type of Fees</w:t>
            </w:r>
          </w:p>
        </w:tc>
        <w:tc>
          <w:tcPr>
            <w:tcW w:w="3300" w:type="dxa"/>
            <w:vAlign w:val="bottom"/>
          </w:tcPr>
          <w:p>
            <w:pPr>
              <w:spacing w:after="0"/>
              <w:rPr>
                <w:sz w:val="22"/>
                <w:szCs w:val="22"/>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22"/>
                <w:szCs w:val="22"/>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2020</w:t>
            </w:r>
          </w:p>
        </w:tc>
      </w:tr>
      <w:tr>
        <w:trPr>
          <w:trHeight w:val="56"/>
        </w:trPr>
        <w:tc>
          <w:tcPr>
            <w:tcW w:w="486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95"/>
        </w:trPr>
        <w:tc>
          <w:tcPr>
            <w:tcW w:w="4860" w:type="dxa"/>
            <w:vAlign w:val="bottom"/>
            <w:shd w:val="clear" w:color="auto" w:fill="CCCCCC"/>
          </w:tcPr>
          <w:p>
            <w:pPr>
              <w:ind w:left="100"/>
              <w:spacing w:after="0"/>
              <w:rPr>
                <w:sz w:val="20"/>
                <w:szCs w:val="20"/>
                <w:color w:val="auto"/>
              </w:rPr>
            </w:pPr>
            <w:r>
              <w:rPr>
                <w:rFonts w:ascii="Arial" w:cs="Arial" w:eastAsia="Arial" w:hAnsi="Arial"/>
                <w:sz w:val="18"/>
                <w:szCs w:val="18"/>
                <w:color w:val="auto"/>
              </w:rPr>
              <w:t>Audit Fees</w:t>
            </w:r>
          </w:p>
        </w:tc>
        <w:tc>
          <w:tcPr>
            <w:tcW w:w="33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ind w:right="16"/>
              <w:spacing w:after="0"/>
              <w:rPr>
                <w:sz w:val="20"/>
                <w:szCs w:val="20"/>
                <w:color w:val="auto"/>
              </w:rPr>
            </w:pPr>
            <w:r>
              <w:rPr>
                <w:rFonts w:ascii="Arial" w:cs="Arial" w:eastAsia="Arial" w:hAnsi="Arial"/>
                <w:sz w:val="18"/>
                <w:szCs w:val="18"/>
                <w:color w:val="auto"/>
                <w:w w:val="93"/>
              </w:rPr>
              <w:t>7,622</w:t>
            </w:r>
          </w:p>
        </w:tc>
        <w:tc>
          <w:tcPr>
            <w:tcW w:w="6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3"/>
              </w:rPr>
              <w:t>7,301</w:t>
            </w:r>
          </w:p>
        </w:tc>
      </w:tr>
      <w:tr>
        <w:trPr>
          <w:trHeight w:val="63"/>
        </w:trPr>
        <w:tc>
          <w:tcPr>
            <w:tcW w:w="4860" w:type="dxa"/>
            <w:vAlign w:val="bottom"/>
            <w:tcBorders>
              <w:bottom w:val="single" w:sz="8" w:color="auto"/>
            </w:tcBorders>
            <w:shd w:val="clear" w:color="auto" w:fill="CCCCCC"/>
          </w:tcPr>
          <w:p>
            <w:pPr>
              <w:spacing w:after="0"/>
              <w:rPr>
                <w:sz w:val="5"/>
                <w:szCs w:val="5"/>
                <w:color w:val="auto"/>
              </w:rPr>
            </w:pPr>
          </w:p>
        </w:tc>
        <w:tc>
          <w:tcPr>
            <w:tcW w:w="3300" w:type="dxa"/>
            <w:vAlign w:val="bottom"/>
            <w:tcBorders>
              <w:bottom w:val="single" w:sz="8" w:color="auto"/>
            </w:tcBorders>
            <w:shd w:val="clear" w:color="auto" w:fill="CCCCCC"/>
          </w:tcPr>
          <w:p>
            <w:pPr>
              <w:spacing w:after="0"/>
              <w:rPr>
                <w:sz w:val="5"/>
                <w:szCs w:val="5"/>
                <w:color w:val="auto"/>
              </w:rPr>
            </w:pPr>
          </w:p>
        </w:tc>
        <w:tc>
          <w:tcPr>
            <w:tcW w:w="540" w:type="dxa"/>
            <w:vAlign w:val="bottom"/>
            <w:tcBorders>
              <w:bottom w:val="single" w:sz="8" w:color="auto"/>
            </w:tcBorders>
            <w:shd w:val="clear" w:color="auto" w:fill="CCCCCC"/>
          </w:tcPr>
          <w:p>
            <w:pPr>
              <w:spacing w:after="0"/>
              <w:rPr>
                <w:sz w:val="5"/>
                <w:szCs w:val="5"/>
                <w:color w:val="auto"/>
              </w:rPr>
            </w:pPr>
          </w:p>
        </w:tc>
        <w:tc>
          <w:tcPr>
            <w:tcW w:w="640" w:type="dxa"/>
            <w:vAlign w:val="bottom"/>
            <w:tcBorders>
              <w:bottom w:val="single" w:sz="8" w:color="auto"/>
            </w:tcBorders>
            <w:shd w:val="clear" w:color="auto" w:fill="CCCCCC"/>
          </w:tcPr>
          <w:p>
            <w:pPr>
              <w:spacing w:after="0"/>
              <w:rPr>
                <w:sz w:val="5"/>
                <w:szCs w:val="5"/>
                <w:color w:val="auto"/>
              </w:rPr>
            </w:pPr>
          </w:p>
        </w:tc>
        <w:tc>
          <w:tcPr>
            <w:tcW w:w="500" w:type="dxa"/>
            <w:vAlign w:val="bottom"/>
            <w:tcBorders>
              <w:bottom w:val="single" w:sz="8" w:color="auto"/>
            </w:tcBorders>
            <w:shd w:val="clear" w:color="auto" w:fill="CCCCCC"/>
          </w:tcPr>
          <w:p>
            <w:pPr>
              <w:spacing w:after="0"/>
              <w:rPr>
                <w:sz w:val="5"/>
                <w:szCs w:val="5"/>
                <w:color w:val="auto"/>
              </w:rPr>
            </w:pPr>
          </w:p>
        </w:tc>
      </w:tr>
      <w:tr>
        <w:trPr>
          <w:trHeight w:val="295"/>
        </w:trPr>
        <w:tc>
          <w:tcPr>
            <w:tcW w:w="4860" w:type="dxa"/>
            <w:vAlign w:val="bottom"/>
          </w:tcPr>
          <w:p>
            <w:pPr>
              <w:ind w:left="100"/>
              <w:spacing w:after="0"/>
              <w:rPr>
                <w:sz w:val="20"/>
                <w:szCs w:val="20"/>
                <w:color w:val="auto"/>
              </w:rPr>
            </w:pPr>
            <w:r>
              <w:rPr>
                <w:rFonts w:ascii="Arial" w:cs="Arial" w:eastAsia="Arial" w:hAnsi="Arial"/>
                <w:sz w:val="18"/>
                <w:szCs w:val="18"/>
                <w:color w:val="auto"/>
              </w:rPr>
              <w:t>Audit-Related Fees</w:t>
            </w:r>
          </w:p>
        </w:tc>
        <w:tc>
          <w:tcPr>
            <w:tcW w:w="3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31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63"/>
        </w:trPr>
        <w:tc>
          <w:tcPr>
            <w:tcW w:w="486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r>
      <w:tr>
        <w:trPr>
          <w:trHeight w:val="295"/>
        </w:trPr>
        <w:tc>
          <w:tcPr>
            <w:tcW w:w="4860" w:type="dxa"/>
            <w:vAlign w:val="bottom"/>
            <w:shd w:val="clear" w:color="auto" w:fill="CCCCCC"/>
          </w:tcPr>
          <w:p>
            <w:pPr>
              <w:ind w:left="100"/>
              <w:spacing w:after="0"/>
              <w:rPr>
                <w:sz w:val="20"/>
                <w:szCs w:val="20"/>
                <w:color w:val="auto"/>
              </w:rPr>
            </w:pPr>
            <w:r>
              <w:rPr>
                <w:rFonts w:ascii="Arial" w:cs="Arial" w:eastAsia="Arial" w:hAnsi="Arial"/>
                <w:sz w:val="18"/>
                <w:szCs w:val="18"/>
                <w:color w:val="auto"/>
              </w:rPr>
              <w:t>Tax Fees</w:t>
            </w:r>
          </w:p>
        </w:tc>
        <w:tc>
          <w:tcPr>
            <w:tcW w:w="33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ind w:right="16"/>
              <w:spacing w:after="0"/>
              <w:rPr>
                <w:sz w:val="20"/>
                <w:szCs w:val="20"/>
                <w:color w:val="auto"/>
              </w:rPr>
            </w:pPr>
            <w:r>
              <w:rPr>
                <w:rFonts w:ascii="Arial" w:cs="Arial" w:eastAsia="Arial" w:hAnsi="Arial"/>
                <w:sz w:val="18"/>
                <w:szCs w:val="18"/>
                <w:color w:val="auto"/>
                <w:w w:val="93"/>
              </w:rPr>
              <w:t>5,334</w:t>
            </w:r>
          </w:p>
        </w:tc>
        <w:tc>
          <w:tcPr>
            <w:tcW w:w="6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3"/>
              </w:rPr>
              <w:t>2,231</w:t>
            </w:r>
          </w:p>
        </w:tc>
      </w:tr>
      <w:tr>
        <w:trPr>
          <w:trHeight w:val="64"/>
        </w:trPr>
        <w:tc>
          <w:tcPr>
            <w:tcW w:w="4860" w:type="dxa"/>
            <w:vAlign w:val="bottom"/>
            <w:tcBorders>
              <w:bottom w:val="single" w:sz="8" w:color="auto"/>
            </w:tcBorders>
            <w:shd w:val="clear" w:color="auto" w:fill="CCCCCC"/>
          </w:tcPr>
          <w:p>
            <w:pPr>
              <w:spacing w:after="0"/>
              <w:rPr>
                <w:sz w:val="5"/>
                <w:szCs w:val="5"/>
                <w:color w:val="auto"/>
              </w:rPr>
            </w:pPr>
          </w:p>
        </w:tc>
        <w:tc>
          <w:tcPr>
            <w:tcW w:w="3300" w:type="dxa"/>
            <w:vAlign w:val="bottom"/>
            <w:tcBorders>
              <w:bottom w:val="single" w:sz="8" w:color="auto"/>
            </w:tcBorders>
            <w:shd w:val="clear" w:color="auto" w:fill="CCCCCC"/>
          </w:tcPr>
          <w:p>
            <w:pPr>
              <w:spacing w:after="0"/>
              <w:rPr>
                <w:sz w:val="5"/>
                <w:szCs w:val="5"/>
                <w:color w:val="auto"/>
              </w:rPr>
            </w:pPr>
          </w:p>
        </w:tc>
        <w:tc>
          <w:tcPr>
            <w:tcW w:w="540" w:type="dxa"/>
            <w:vAlign w:val="bottom"/>
            <w:tcBorders>
              <w:bottom w:val="single" w:sz="8" w:color="auto"/>
            </w:tcBorders>
            <w:shd w:val="clear" w:color="auto" w:fill="CCCCCC"/>
          </w:tcPr>
          <w:p>
            <w:pPr>
              <w:spacing w:after="0"/>
              <w:rPr>
                <w:sz w:val="5"/>
                <w:szCs w:val="5"/>
                <w:color w:val="auto"/>
              </w:rPr>
            </w:pPr>
          </w:p>
        </w:tc>
        <w:tc>
          <w:tcPr>
            <w:tcW w:w="640" w:type="dxa"/>
            <w:vAlign w:val="bottom"/>
            <w:tcBorders>
              <w:bottom w:val="single" w:sz="8" w:color="auto"/>
            </w:tcBorders>
            <w:shd w:val="clear" w:color="auto" w:fill="CCCCCC"/>
          </w:tcPr>
          <w:p>
            <w:pPr>
              <w:spacing w:after="0"/>
              <w:rPr>
                <w:sz w:val="5"/>
                <w:szCs w:val="5"/>
                <w:color w:val="auto"/>
              </w:rPr>
            </w:pPr>
          </w:p>
        </w:tc>
        <w:tc>
          <w:tcPr>
            <w:tcW w:w="500" w:type="dxa"/>
            <w:vAlign w:val="bottom"/>
            <w:tcBorders>
              <w:bottom w:val="single" w:sz="8" w:color="auto"/>
            </w:tcBorders>
            <w:shd w:val="clear" w:color="auto" w:fill="CCCCCC"/>
          </w:tcPr>
          <w:p>
            <w:pPr>
              <w:spacing w:after="0"/>
              <w:rPr>
                <w:sz w:val="5"/>
                <w:szCs w:val="5"/>
                <w:color w:val="auto"/>
              </w:rPr>
            </w:pPr>
          </w:p>
        </w:tc>
      </w:tr>
      <w:tr>
        <w:trPr>
          <w:trHeight w:val="299"/>
        </w:trPr>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All Other Fees</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audit fees primarily relate to the audit of the Company’s annual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for the fiscal years ended December 31, 2021 and 2020 and for the reviews of the consolidated condensed financial statements included in the Company’s Quarterly Reports on Form 10-Q and for other attest services, including services related to regulatory and statutory filings and financings.</w:t>
      </w:r>
    </w:p>
    <w:p>
      <w:pPr>
        <w:spacing w:after="0" w:line="10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audit-related fees for 2021 and 2020 primarily relate to services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transactions or investments and audits of employee benefit plans.</w:t>
      </w:r>
    </w:p>
    <w:p>
      <w:pPr>
        <w:spacing w:after="0" w:line="73"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for tax services for the fiscal years ended December 31, 2021 and 2020 relate to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tax advice and tax planning. For the fiscal year ended December 31, 2021, approximately $1.0 million of such fees related to tax compliance and approximately $4.3 million related to tax advice and tax planning. For the fiscal year ended December 31, 2020, approximately $1.0 million of such fees related to tax compliance and approximately $1.2 million related to tax advice and tax planning.</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ll Other Fees.</w:t>
      </w:r>
      <w:r>
        <w:rPr>
          <w:rFonts w:ascii="Arial" w:cs="Arial" w:eastAsia="Arial" w:hAnsi="Arial"/>
          <w:sz w:val="18"/>
          <w:szCs w:val="18"/>
          <w:color w:val="auto"/>
        </w:rPr>
        <w:t xml:space="preserve"> There were no other fees for the fiscal year ended December 31, 2021 or December 31, 2020.</w:t>
      </w:r>
    </w:p>
    <w:p>
      <w:pPr>
        <w:spacing w:after="0" w:line="131"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The Audit Committee considered the non-audit services provided by the Deloitte Entities and determined that the provision of such services was compatible with maintaining the Deloitte Entities’ independence.</w:t>
      </w:r>
    </w:p>
    <w:p>
      <w:pPr>
        <w:spacing w:after="0" w:line="86"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The Audit Committee has established a policy for the pre-approval of all audit and permissible non-audit services to be provided by the independent registered public accounting firm, as described below.</w:t>
      </w:r>
    </w:p>
    <w:p>
      <w:pPr>
        <w:spacing w:after="0" w:line="8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All services performed by the independent registered public accounting firm in 2021 were pre-approved in accordance with the pre-approval policy and procedures adopted by the Audit Committee. This policy describes the permitted audit, audit-related,</w:t>
      </w:r>
    </w:p>
    <w:p>
      <w:pPr>
        <w:sectPr>
          <w:pgSz w:w="11900" w:h="16838" w:orient="portrait"/>
          <w:cols w:equalWidth="0" w:num="1">
            <w:col w:w="9840"/>
          </w:cols>
          <w:pgMar w:left="1020" w:top="263" w:right="1039" w:bottom="1440" w:gutter="0" w:footer="0" w:header="0"/>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161925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type w:val="continuous"/>
        </w:sectPr>
      </w:pPr>
    </w:p>
    <w:bookmarkStart w:id="49" w:name="page50"/>
    <w:bookmarkEnd w:id="49"/>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tax and other services (collectively, the “Disclosure Categories”) that the independent registered public accounting firm may perform. Prior to the beginning of each fiscal year, a description of the services (the “Service List”) anticipated to be performed by the independent registered public accounting firm in each of the Disclosure Categories in the ensuing fiscal year is presented to the Audit Committee for approval.</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requests for audit, audit-related, tax and other services not contemplated by the Service List must be submitted to the Audit Committee for specific pre-approval, except for de minimis amounts under certain circumstances as described below, and the provision of such services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no later than the next regularly scheduled meeting for any interim approvals granted.</w:t>
      </w:r>
    </w:p>
    <w:p>
      <w:pPr>
        <w:spacing w:after="0" w:line="11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 a quarterly basis, the Audit Committee reviews the status of services and fees incurred year-to-date as compared to the original Service List and the forecast of remaining services for the fiscal year.</w:t>
      </w:r>
    </w:p>
    <w:p>
      <w:pPr>
        <w:spacing w:after="0" w:line="7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policy contains a de minimis provision that operates to provide retroactive approval for permissible non-audit services under certain circumstances.</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consolidated financial statements.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not required by the Company’s By-laws or otherwise, the Board of Directors is submitting for shareholder ratification the selection of Deloitte as the Company’s independent registered public accounting firm. If the selection is not ratified, the Audit Committee will consider whether it is appropriate to select another independent registered public accounting firm.</w:t>
      </w:r>
    </w:p>
    <w:p>
      <w:pPr>
        <w:spacing w:after="0" w:line="191" w:lineRule="exact"/>
        <w:rPr>
          <w:sz w:val="20"/>
          <w:szCs w:val="20"/>
          <w:color w:val="auto"/>
        </w:rPr>
      </w:pPr>
    </w:p>
    <w:p>
      <w:pPr>
        <w:jc w:val="center"/>
        <w:ind w:right="20"/>
        <w:spacing w:after="0" w:line="241" w:lineRule="auto"/>
        <w:rPr>
          <w:sz w:val="20"/>
          <w:szCs w:val="20"/>
          <w:color w:val="auto"/>
        </w:rPr>
      </w:pPr>
      <w:r>
        <w:rPr>
          <w:rFonts w:ascii="Arial" w:cs="Arial" w:eastAsia="Arial" w:hAnsi="Arial"/>
          <w:sz w:val="22"/>
          <w:szCs w:val="22"/>
          <w:b w:val="1"/>
          <w:bCs w:val="1"/>
          <w:color w:val="auto"/>
        </w:rPr>
        <w:t>THE BOARD OF DIRECTORS RECOMMENDS A VOTE “FOR” THE RATIFICATION OF DELOITTE &amp; TOUCHE LLP AS THE COMPANY’S INDEPENDENT REGISTERED PUBLIC ACCOUNTING FIRM FOR THE FISCAL YEAR ENDING DECEMBER 31, 2022.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50" w:name="page51"/>
    <w:bookmarkEnd w:id="50"/>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color w:val="auto"/>
        </w:rPr>
        <w:t>Proposal No. 3</w:t>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Advisory Approval of Executive Compensation</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required by Section 14A of the Exchange Act, the Company is asking its shareholders to approve an advisory resolution to approve the compensation of our named executive officers as follows:</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our named executive officers, as described in this Proxy Statement.</w:t>
      </w:r>
    </w:p>
    <w:p>
      <w:pPr>
        <w:spacing w:after="0" w:line="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vote is advisory and, therefore,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shareholders, and to the extent there is any significant vote against the named executive officer compensation as disclosed in this Proxy Statement, the Compensation Committee and our Board of Directors will consider shareholders’ concerns and the Compensation Committee will evaluate whether any actions are necessary to address those concerns.</w:t>
      </w:r>
    </w:p>
    <w:p>
      <w:pPr>
        <w:spacing w:after="0" w:line="21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12"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auto"/>
        </w:rPr>
        <w:t>THE APPROVAL OF THE RESOLUTION SET FORTH ABOVE.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51" w:name="page52"/>
    <w:bookmarkEnd w:id="51"/>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color w:val="auto"/>
        </w:rPr>
        <w:t>Shareholder Proposals for 2023 Annual Meeting</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Proposals received from shareholders are given careful consideration by the Company. Shareholder proposals submitted in accordance with Rule 14a-8 under the Exchange Act are eligible for consideration for inclusion in the Company’s proxy statement for the 2023 annual meeting of shareholders if they are received by the Company on or before December 9, 2022. Any proposal should be directed to the attention of the Corporate Secretary, Avis Budget Group, Inc., 6 Sylvan Way, Parsippany, N.J. 07054. In order for a shareholder proposal submitted outside of Rule 14a-8 to be considered at the 2023 annual meeting of shareholders, such proposal must be received by the Company not later than the last date for submission of shareholder proposals under the By-laws. In order for a proposal (other than nominations of directors) to be timely under the By-laws, it must be received not less than sixty days (i.e., March 26, 2023) nor more than ninety days (i.e., February 24, 2023) before the anniversary date of the immediately preceding annual meeting of shareholders. In order for a director nomination to be timely under the By-laws, it must be received not less than ninety days (i.e., February 24, 2023) before the anniversary date of the immediately preceding annual meeting of shareholders. However, in the event that the annual meeting of shareholders is called for a date that is not within twenty-five days before or after the anniversary date of the immediately preceding annual meeting of shareholders, notice of a shareholder proposal in order to be timely must be received not later than the close of business on the tenth day following the day on which notice of the date of the annual meeting of shareholders was mailed or public disclosure of the date of the annual meeting of shareholders was made, whichever occurs first. Additionally, to comply with the SEC’s universal proxy rules (once effective), stockholders who intend to solicit proxies in support of director nominees other than the Company’s nominees must provide notice that sets forth the information required by Rule 14a-19 under the Exchange Act no later than March 26, 2023.</w:t>
      </w:r>
    </w:p>
    <w:p>
      <w:pPr>
        <w:spacing w:after="0" w:line="163" w:lineRule="exact"/>
        <w:rPr>
          <w:sz w:val="20"/>
          <w:szCs w:val="20"/>
          <w:color w:val="auto"/>
        </w:rPr>
      </w:pPr>
    </w:p>
    <w:p>
      <w:pPr>
        <w:spacing w:after="0"/>
        <w:rPr>
          <w:sz w:val="20"/>
          <w:szCs w:val="20"/>
          <w:color w:val="auto"/>
        </w:rPr>
      </w:pPr>
      <w:r>
        <w:rPr>
          <w:rFonts w:ascii="Arial" w:cs="Arial" w:eastAsia="Arial" w:hAnsi="Arial"/>
          <w:sz w:val="36"/>
          <w:szCs w:val="36"/>
          <w:color w:val="auto"/>
        </w:rPr>
        <w:t>Additional Information</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Additional Copies. </w:t>
      </w:r>
      <w:r>
        <w:rPr>
          <w:rFonts w:ascii="Arial" w:cs="Arial" w:eastAsia="Arial" w:hAnsi="Arial"/>
          <w:sz w:val="18"/>
          <w:szCs w:val="18"/>
          <w:color w:val="auto"/>
        </w:rPr>
        <w:t>If you share an address with other shareholders of the Company, you may receive a single copy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materials (including a copy of the Proxy Statement and the 2021 Annual Report), unless your bank, broker or other intermediary that provides the notification receives contrary instructions from the affected shareholders. This practice, permitted under SEC rules and commonly referred to as “householding,” is designed to provide extra convenience for shareholders and potential cost savings for companies.</w:t>
      </w:r>
    </w:p>
    <w:p>
      <w:pPr>
        <w:spacing w:after="0" w:line="10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at any time, you no longer wish to participate in householding and would prefer to receive a separate set of proxy materials, please notify your broker if your shares of Common Stock are held in a brokerage account or the Company if you hold registered shares of Common Stock. We will promptly deliver a separate copy of the proxy materials upon request. You can notify the Company by sending a written request to Avis Budget Group, Inc., 6 Sylvan Way, Parsippany, N.J. 07054, Attention: Corporate Secretary, or by calling (973) 496-4700 and selecting the “Investor Relations” option. You should also follow these steps to notify your broker or us, as applicable, if you currently receive multiple copies of the proxy materials and wish to instead participate in householding.</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Solicitation of Proxies. </w:t>
      </w:r>
      <w:r>
        <w:rPr>
          <w:rFonts w:ascii="Arial" w:cs="Arial" w:eastAsia="Arial" w:hAnsi="Arial"/>
          <w:sz w:val="18"/>
          <w:szCs w:val="18"/>
          <w:color w:val="auto"/>
        </w:rPr>
        <w:t>The accompanying form of proxy is being solicited on behalf of the Board of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expenses of solicitation of proxies for the Meeting will be paid by the Company. In addition to the mailing of the proxy materials,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Common Stock. The Company has hired Innisfree M&amp;A Incorporated to aid in the solicitation of proxies. We estimate that the fee for Innisfree M&amp;A Incorporated will be up to $15,000 plus the reimbursement of reasonable out-of-pocket costs and expenses. Such fee will be paid by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JEAN M. SERA</w:t>
      </w:r>
    </w:p>
    <w:p>
      <w:pPr>
        <w:spacing w:after="0" w:line="234" w:lineRule="auto"/>
        <w:rPr>
          <w:sz w:val="20"/>
          <w:szCs w:val="20"/>
          <w:color w:val="auto"/>
        </w:rPr>
      </w:pPr>
      <w:r>
        <w:rPr>
          <w:rFonts w:ascii="Arial" w:cs="Arial" w:eastAsia="Arial" w:hAnsi="Arial"/>
          <w:sz w:val="18"/>
          <w:szCs w:val="18"/>
          <w:color w:val="auto"/>
        </w:rPr>
        <w:t>Corporate Secretary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Dated: April 8, 2022</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52" w:name="page53"/>
    <w:bookmarkEnd w:id="52"/>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409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40994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53" w:name="page54"/>
    <w:bookmarkEnd w:id="53"/>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upperLetter"/>
      <w:start w:val="24"/>
    </w:lvl>
  </w:abstractNum>
  <w:abstractNum w:abstractNumId="2">
    <w:nsid w:val="2901D82"/>
    <w:multiLevelType w:val="hybridMultilevel"/>
    <w:lvl w:ilvl="0">
      <w:lvlJc w:val="left"/>
      <w:lvlText w:val="[%1]"/>
      <w:numFmt w:val="upperLetter"/>
      <w:start w:val="24"/>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lowerLetter"/>
      <w:start w:val="1"/>
    </w:lvl>
  </w:abstractNum>
  <w:abstractNum w:abstractNumId="20">
    <w:nsid w:val="5C482A97"/>
    <w:multiLevelType w:val="hybridMultilevel"/>
    <w:lvl w:ilvl="0">
      <w:lvlJc w:val="left"/>
      <w:lvlText w:val="(%1)"/>
      <w:numFmt w:val="lowerRoman"/>
      <w:start w:val="2"/>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5"/>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decimal"/>
      <w:start w:val="2"/>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2"/>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lowerLetter"/>
      <w:start w:val="3"/>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2022-04-08T15:08:36Z</dcterms:created>
  <dcterms:modified xsi:type="dcterms:W3CDTF">2022-04-08T15:08:36Z</dcterms:modified>
</cp:coreProperties>
</file>