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Avis Budget Group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053774105</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29, 2017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80" w:hanging="216"/>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680" w:hanging="216"/>
        <w:spacing w:after="0"/>
        <w:tabs>
          <w:tab w:leader="none" w:pos="68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680" w:hanging="216"/>
        <w:spacing w:after="0"/>
        <w:tabs>
          <w:tab w:leader="none" w:pos="68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12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5120" w:type="dxa"/>
            <w:vAlign w:val="bottom"/>
            <w:gridSpan w:val="7"/>
          </w:tcPr>
          <w:p>
            <w:pPr>
              <w:spacing w:after="0"/>
              <w:rPr>
                <w:sz w:val="20"/>
                <w:szCs w:val="20"/>
                <w:color w:val="auto"/>
              </w:rPr>
            </w:pPr>
            <w:r>
              <w:rPr>
                <w:rFonts w:ascii="Arial" w:cs="Arial" w:eastAsia="Arial" w:hAnsi="Arial"/>
                <w:sz w:val="18"/>
                <w:szCs w:val="18"/>
                <w:color w:val="auto"/>
              </w:rPr>
              <w:t>CUSIP No. 053774105</w:t>
            </w:r>
          </w:p>
        </w:tc>
        <w:tc>
          <w:tcPr>
            <w:tcW w:w="3500" w:type="dxa"/>
            <w:vAlign w:val="bottom"/>
          </w:tcPr>
          <w:p>
            <w:pPr>
              <w:ind w:left="80"/>
              <w:spacing w:after="0"/>
              <w:rPr>
                <w:sz w:val="20"/>
                <w:szCs w:val="20"/>
                <w:color w:val="auto"/>
              </w:rPr>
            </w:pPr>
            <w:r>
              <w:rPr>
                <w:rFonts w:ascii="Arial" w:cs="Arial" w:eastAsia="Arial" w:hAnsi="Arial"/>
                <w:sz w:val="18"/>
                <w:szCs w:val="18"/>
                <w:color w:val="auto"/>
              </w:rPr>
              <w:t>SCHEDULE 13G</w:t>
            </w:r>
          </w:p>
        </w:tc>
        <w:tc>
          <w:tcPr>
            <w:tcW w:w="2820" w:type="dxa"/>
            <w:vAlign w:val="bottom"/>
          </w:tcPr>
          <w:p>
            <w:pPr>
              <w:ind w:left="1980"/>
              <w:spacing w:after="0"/>
              <w:rPr>
                <w:sz w:val="20"/>
                <w:szCs w:val="20"/>
                <w:color w:val="auto"/>
              </w:rPr>
            </w:pPr>
            <w:r>
              <w:rPr>
                <w:rFonts w:ascii="Arial" w:cs="Arial" w:eastAsia="Arial" w:hAnsi="Arial"/>
                <w:sz w:val="18"/>
                <w:szCs w:val="18"/>
                <w:color w:val="auto"/>
                <w:w w:val="86"/>
              </w:rPr>
              <w:t>Page 2 of 5</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580" w:type="dxa"/>
            <w:vAlign w:val="bottom"/>
            <w:tcBorders>
              <w:bottom w:val="single" w:sz="8" w:color="auto"/>
            </w:tcBorders>
            <w:gridSpan w:val="4"/>
          </w:tcPr>
          <w:p>
            <w:pPr>
              <w:spacing w:after="0"/>
              <w:rPr>
                <w:sz w:val="12"/>
                <w:szCs w:val="12"/>
                <w:color w:val="auto"/>
              </w:rPr>
            </w:pPr>
          </w:p>
        </w:tc>
        <w:tc>
          <w:tcPr>
            <w:tcW w:w="3500" w:type="dxa"/>
            <w:vAlign w:val="bottom"/>
            <w:tcBorders>
              <w:bottom w:val="single" w:sz="8" w:color="auto"/>
            </w:tcBorders>
          </w:tcPr>
          <w:p>
            <w:pPr>
              <w:spacing w:after="0"/>
              <w:rPr>
                <w:sz w:val="12"/>
                <w:szCs w:val="12"/>
                <w:color w:val="auto"/>
              </w:rPr>
            </w:pPr>
          </w:p>
        </w:tc>
        <w:tc>
          <w:tcPr>
            <w:tcW w:w="28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right w:val="single" w:sz="8" w:color="auto"/>
            </w:tcBorders>
          </w:tcPr>
          <w:p>
            <w:pPr>
              <w:spacing w:after="0"/>
              <w:rPr>
                <w:sz w:val="19"/>
                <w:szCs w:val="19"/>
                <w:color w:val="auto"/>
              </w:rPr>
            </w:pPr>
          </w:p>
        </w:tc>
        <w:tc>
          <w:tcPr>
            <w:tcW w:w="4580" w:type="dxa"/>
            <w:vAlign w:val="bottom"/>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3500" w:type="dxa"/>
            <w:vAlign w:val="bottom"/>
          </w:tcPr>
          <w:p>
            <w:pPr>
              <w:spacing w:after="0"/>
              <w:rPr>
                <w:sz w:val="19"/>
                <w:szCs w:val="19"/>
                <w:color w:val="auto"/>
              </w:rPr>
            </w:pPr>
          </w:p>
        </w:tc>
        <w:tc>
          <w:tcPr>
            <w:tcW w:w="2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45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w w:val="93"/>
              </w:rPr>
              <w:t>UBS Group AG directly and on behalf of certain subsidiaries</w:t>
            </w:r>
          </w:p>
        </w:tc>
        <w:tc>
          <w:tcPr>
            <w:tcW w:w="3500" w:type="dxa"/>
            <w:vAlign w:val="bottom"/>
            <w:tcBorders>
              <w:bottom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20"/>
                <w:szCs w:val="20"/>
                <w:color w:val="auto"/>
              </w:rPr>
            </w:pPr>
          </w:p>
        </w:tc>
        <w:tc>
          <w:tcPr>
            <w:tcW w:w="8080" w:type="dxa"/>
            <w:vAlign w:val="bottom"/>
            <w:gridSpan w:val="5"/>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w w:val="90"/>
              </w:rPr>
              <w:t>(b)</w:t>
            </w:r>
          </w:p>
        </w:tc>
        <w:tc>
          <w:tcPr>
            <w:tcW w:w="346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500" w:type="dxa"/>
            <w:vAlign w:val="bottom"/>
            <w:tcBorders>
              <w:bottom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color w:val="auto"/>
                <w:w w:val="93"/>
              </w:rPr>
              <w:t>SEC use only</w:t>
            </w:r>
          </w:p>
        </w:tc>
        <w:tc>
          <w:tcPr>
            <w:tcW w:w="34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4580" w:type="dxa"/>
            <w:vAlign w:val="bottom"/>
            <w:tcBorders>
              <w:bottom w:val="single" w:sz="8" w:color="auto"/>
            </w:tcBorders>
            <w:gridSpan w:val="4"/>
          </w:tcPr>
          <w:p>
            <w:pPr>
              <w:spacing w:after="0"/>
              <w:rPr>
                <w:sz w:val="21"/>
                <w:szCs w:val="21"/>
                <w:color w:val="auto"/>
              </w:rPr>
            </w:pPr>
          </w:p>
        </w:tc>
        <w:tc>
          <w:tcPr>
            <w:tcW w:w="3500" w:type="dxa"/>
            <w:vAlign w:val="bottom"/>
            <w:tcBorders>
              <w:bottom w:val="single" w:sz="8" w:color="auto"/>
            </w:tcBorders>
          </w:tcPr>
          <w:p>
            <w:pPr>
              <w:spacing w:after="0"/>
              <w:rPr>
                <w:sz w:val="21"/>
                <w:szCs w:val="21"/>
                <w:color w:val="auto"/>
              </w:rPr>
            </w:pPr>
          </w:p>
        </w:tc>
        <w:tc>
          <w:tcPr>
            <w:tcW w:w="28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45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3500" w:type="dxa"/>
            <w:vAlign w:val="bottom"/>
          </w:tcPr>
          <w:p>
            <w:pPr>
              <w:spacing w:after="0"/>
              <w:rPr>
                <w:sz w:val="19"/>
                <w:szCs w:val="19"/>
                <w:color w:val="auto"/>
              </w:rPr>
            </w:pPr>
          </w:p>
        </w:tc>
        <w:tc>
          <w:tcPr>
            <w:tcW w:w="2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Switzerland</w:t>
            </w:r>
          </w:p>
        </w:tc>
        <w:tc>
          <w:tcPr>
            <w:tcW w:w="34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Sole voting power</w:t>
            </w:r>
          </w:p>
        </w:tc>
        <w:tc>
          <w:tcPr>
            <w:tcW w:w="350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tcPr>
          <w:p>
            <w:pPr>
              <w:spacing w:after="0"/>
              <w:rPr>
                <w:sz w:val="21"/>
                <w:szCs w:val="21"/>
                <w:color w:val="auto"/>
              </w:rPr>
            </w:pPr>
          </w:p>
        </w:tc>
        <w:tc>
          <w:tcPr>
            <w:tcW w:w="116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36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tcPr>
          <w:p>
            <w:pPr>
              <w:spacing w:after="0"/>
              <w:rPr>
                <w:sz w:val="21"/>
                <w:szCs w:val="21"/>
                <w:color w:val="auto"/>
              </w:rPr>
            </w:pPr>
          </w:p>
        </w:tc>
        <w:tc>
          <w:tcPr>
            <w:tcW w:w="28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85"/>
              </w:rPr>
              <w:t>shares</w:t>
            </w: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Shared voting power</w:t>
            </w:r>
          </w:p>
        </w:tc>
        <w:tc>
          <w:tcPr>
            <w:tcW w:w="350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6"/>
              </w:rPr>
              <w:t>beneficially</w:t>
            </w:r>
          </w:p>
        </w:tc>
        <w:tc>
          <w:tcPr>
            <w:tcW w:w="3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vMerge w:val="restart"/>
          </w:tcPr>
          <w:p>
            <w:pPr>
              <w:spacing w:after="0"/>
              <w:rPr>
                <w:sz w:val="20"/>
                <w:szCs w:val="20"/>
                <w:color w:val="auto"/>
              </w:rPr>
            </w:pPr>
            <w:r>
              <w:rPr>
                <w:rFonts w:ascii="Arial" w:cs="Arial" w:eastAsia="Arial" w:hAnsi="Arial"/>
                <w:sz w:val="18"/>
                <w:szCs w:val="18"/>
                <w:color w:val="auto"/>
              </w:rPr>
              <w:t>&lt;5%</w:t>
            </w:r>
          </w:p>
        </w:tc>
        <w:tc>
          <w:tcPr>
            <w:tcW w:w="3500" w:type="dxa"/>
            <w:vAlign w:val="bottom"/>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0"/>
              </w:rPr>
              <w:t>owned by</w:t>
            </w:r>
          </w:p>
        </w:tc>
        <w:tc>
          <w:tcPr>
            <w:tcW w:w="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vMerge w:val="continue"/>
          </w:tcPr>
          <w:p>
            <w:pPr>
              <w:spacing w:after="0"/>
              <w:rPr>
                <w:sz w:val="20"/>
                <w:szCs w:val="20"/>
                <w:color w:val="auto"/>
              </w:rPr>
            </w:pPr>
          </w:p>
        </w:tc>
        <w:tc>
          <w:tcPr>
            <w:tcW w:w="3500" w:type="dxa"/>
            <w:vAlign w:val="bottom"/>
            <w:tcBorders>
              <w:bottom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Borders>
              <w:right w:val="single" w:sz="8" w:color="auto"/>
            </w:tcBorders>
            <w:gridSpan w:val="2"/>
          </w:tcPr>
          <w:p>
            <w:pPr>
              <w:jc w:val="center"/>
              <w:ind w:right="250"/>
              <w:spacing w:after="0" w:line="182" w:lineRule="exact"/>
              <w:rPr>
                <w:sz w:val="20"/>
                <w:szCs w:val="20"/>
                <w:color w:val="auto"/>
              </w:rPr>
            </w:pPr>
            <w:r>
              <w:rPr>
                <w:rFonts w:ascii="Arial" w:cs="Arial" w:eastAsia="Arial" w:hAnsi="Arial"/>
                <w:sz w:val="18"/>
                <w:szCs w:val="18"/>
                <w:color w:val="auto"/>
                <w:w w:val="86"/>
              </w:rPr>
              <w:t>each</w:t>
            </w:r>
          </w:p>
        </w:tc>
        <w:tc>
          <w:tcPr>
            <w:tcW w:w="3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346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3500" w:type="dxa"/>
            <w:vAlign w:val="bottom"/>
          </w:tcPr>
          <w:p>
            <w:pPr>
              <w:spacing w:after="0"/>
              <w:rPr>
                <w:sz w:val="15"/>
                <w:szCs w:val="15"/>
                <w:color w:val="auto"/>
              </w:rPr>
            </w:pPr>
          </w:p>
        </w:tc>
        <w:tc>
          <w:tcPr>
            <w:tcW w:w="2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reporting</w:t>
            </w:r>
          </w:p>
        </w:tc>
        <w:tc>
          <w:tcPr>
            <w:tcW w:w="3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87"/>
              </w:rPr>
              <w:t>person</w:t>
            </w:r>
          </w:p>
        </w:tc>
        <w:tc>
          <w:tcPr>
            <w:tcW w:w="36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60" w:type="dxa"/>
            <w:vAlign w:val="bottom"/>
            <w:tcBorders>
              <w:bottom w:val="single" w:sz="8" w:color="auto"/>
            </w:tcBorders>
          </w:tcPr>
          <w:p>
            <w:pPr>
              <w:spacing w:after="0"/>
              <w:rPr>
                <w:sz w:val="5"/>
                <w:szCs w:val="5"/>
                <w:color w:val="auto"/>
              </w:rPr>
            </w:pPr>
          </w:p>
        </w:tc>
        <w:tc>
          <w:tcPr>
            <w:tcW w:w="3500" w:type="dxa"/>
            <w:vAlign w:val="bottom"/>
            <w:tcBorders>
              <w:bottom w:val="single" w:sz="8" w:color="auto"/>
            </w:tcBorders>
          </w:tcPr>
          <w:p>
            <w:pPr>
              <w:spacing w:after="0"/>
              <w:rPr>
                <w:sz w:val="5"/>
                <w:szCs w:val="5"/>
                <w:color w:val="auto"/>
              </w:rPr>
            </w:pPr>
          </w:p>
        </w:tc>
        <w:tc>
          <w:tcPr>
            <w:tcW w:w="28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gridSpan w:val="3"/>
            <w:vMerge w:val="continue"/>
          </w:tcPr>
          <w:p>
            <w:pPr>
              <w:spacing w:after="0"/>
              <w:rPr>
                <w:sz w:val="11"/>
                <w:szCs w:val="11"/>
                <w:color w:val="auto"/>
              </w:rPr>
            </w:pPr>
          </w:p>
        </w:tc>
        <w:tc>
          <w:tcPr>
            <w:tcW w:w="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1"/>
                <w:szCs w:val="11"/>
                <w:color w:val="auto"/>
              </w:rPr>
            </w:pPr>
          </w:p>
        </w:tc>
        <w:tc>
          <w:tcPr>
            <w:tcW w:w="346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3500" w:type="dxa"/>
            <w:vAlign w:val="bottom"/>
          </w:tcPr>
          <w:p>
            <w:pPr>
              <w:spacing w:after="0"/>
              <w:rPr>
                <w:sz w:val="11"/>
                <w:szCs w:val="11"/>
                <w:color w:val="auto"/>
              </w:rPr>
            </w:pPr>
          </w:p>
        </w:tc>
        <w:tc>
          <w:tcPr>
            <w:tcW w:w="28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right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rPr>
              <w:t>with:</w:t>
            </w:r>
          </w:p>
        </w:tc>
        <w:tc>
          <w:tcPr>
            <w:tcW w:w="36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3460" w:type="dxa"/>
            <w:vAlign w:val="bottom"/>
            <w:vMerge w:val="continue"/>
          </w:tcPr>
          <w:p>
            <w:pPr>
              <w:spacing w:after="0"/>
              <w:rPr>
                <w:sz w:val="8"/>
                <w:szCs w:val="8"/>
                <w:color w:val="auto"/>
              </w:rPr>
            </w:pPr>
          </w:p>
        </w:tc>
        <w:tc>
          <w:tcPr>
            <w:tcW w:w="3500" w:type="dxa"/>
            <w:vAlign w:val="bottom"/>
          </w:tcPr>
          <w:p>
            <w:pPr>
              <w:spacing w:after="0"/>
              <w:rPr>
                <w:sz w:val="8"/>
                <w:szCs w:val="8"/>
                <w:color w:val="auto"/>
              </w:rPr>
            </w:pPr>
          </w:p>
        </w:tc>
        <w:tc>
          <w:tcPr>
            <w:tcW w:w="28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40" w:type="dxa"/>
            <w:vAlign w:val="bottom"/>
            <w:tcBorders>
              <w:right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Borders>
              <w:right w:val="single" w:sz="8" w:color="auto"/>
            </w:tcBorders>
            <w:gridSpan w:val="2"/>
            <w:vMerge w:val="continue"/>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28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40" w:type="dxa"/>
            <w:vAlign w:val="bottom"/>
            <w:tcBorders>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&lt;5%</w:t>
            </w:r>
          </w:p>
        </w:tc>
        <w:tc>
          <w:tcPr>
            <w:tcW w:w="3500" w:type="dxa"/>
            <w:vAlign w:val="bottom"/>
            <w:tcBorders>
              <w:bottom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7060" w:type="dxa"/>
            <w:vAlign w:val="bottom"/>
            <w:gridSpan w:val="3"/>
          </w:tcPr>
          <w:p>
            <w:pPr>
              <w:spacing w:after="0"/>
              <w:rPr>
                <w:sz w:val="20"/>
                <w:szCs w:val="20"/>
                <w:color w:val="auto"/>
              </w:rPr>
            </w:pPr>
            <w:r>
              <w:rPr>
                <w:rFonts w:ascii="Arial" w:cs="Arial" w:eastAsia="Arial" w:hAnsi="Arial"/>
                <w:sz w:val="18"/>
                <w:szCs w:val="18"/>
                <w:color w:val="auto"/>
              </w:rPr>
              <w:t>amount beneficially owned by each reporting person</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&lt;5%</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0"/>
                <w:szCs w:val="20"/>
                <w:color w:val="auto"/>
              </w:rPr>
            </w:pPr>
          </w:p>
        </w:tc>
        <w:tc>
          <w:tcPr>
            <w:tcW w:w="8080" w:type="dxa"/>
            <w:vAlign w:val="bottom"/>
            <w:gridSpan w:val="5"/>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50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45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3500" w:type="dxa"/>
            <w:vAlign w:val="bottom"/>
          </w:tcPr>
          <w:p>
            <w:pPr>
              <w:spacing w:after="0"/>
              <w:rPr>
                <w:sz w:val="19"/>
                <w:szCs w:val="19"/>
                <w:color w:val="auto"/>
              </w:rPr>
            </w:pPr>
          </w:p>
        </w:tc>
        <w:tc>
          <w:tcPr>
            <w:tcW w:w="2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&lt;5%</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45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350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BK</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74"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spacing w:after="0"/>
        <w:tabs>
          <w:tab w:leader="none" w:pos="5180" w:val="left"/>
          <w:tab w:leader="none" w:pos="105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053774105</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3 of 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Name of 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Avis Budget Group Inc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1(b) Address of issuer’s principal executive offices: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6 Sylvan Way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Parsippany, NJ 07054</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2(a) Name of person filing: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UBS Group AG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2(b) Address or principal business office or, if none, residence: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UBS Group AG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Bahnhofstrasse 45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CH-8021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Zurich, Switzerland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2(c) Citizenship: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2(d) Title of class of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2(e) CUSIP No.: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053774105</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i w:val="1"/>
          <w:iCs w:val="1"/>
          <w:color w:val="auto"/>
        </w:rPr>
        <w:t>Item 3.</w:t>
      </w:r>
      <w:r>
        <w:rPr>
          <w:sz w:val="20"/>
          <w:szCs w:val="20"/>
          <w:color w:val="auto"/>
        </w:rPr>
        <w:tab/>
      </w:r>
      <w:r>
        <w:rPr>
          <w:rFonts w:ascii="Arial" w:cs="Arial" w:eastAsia="Arial" w:hAnsi="Arial"/>
          <w:sz w:val="15"/>
          <w:szCs w:val="15"/>
          <w:b w:val="1"/>
          <w:bCs w:val="1"/>
          <w:i w:val="1"/>
          <w:iCs w:val="1"/>
          <w:color w:val="auto"/>
        </w:rPr>
        <w:t>If this statement is filed pursuant to §§240.13d–1(b) or 240.13d–2(b) or (c), check whether the person filing is a:</w:t>
      </w:r>
    </w:p>
    <w:p>
      <w:pPr>
        <w:spacing w:after="0" w:line="98" w:lineRule="exact"/>
        <w:rPr>
          <w:sz w:val="20"/>
          <w:szCs w:val="20"/>
          <w:color w:val="auto"/>
        </w:rPr>
      </w:pPr>
    </w:p>
    <w:p>
      <w:pPr>
        <w:ind w:left="420" w:hanging="412"/>
        <w:spacing w:after="0" w:line="207" w:lineRule="exact"/>
        <w:tabs>
          <w:tab w:leader="none" w:pos="4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117" w:lineRule="exact"/>
        <w:rPr>
          <w:rFonts w:ascii="Arial" w:cs="Arial" w:eastAsia="Arial" w:hAnsi="Arial"/>
          <w:sz w:val="18"/>
          <w:szCs w:val="18"/>
          <w:color w:val="auto"/>
        </w:rPr>
      </w:pPr>
    </w:p>
    <w:p>
      <w:pPr>
        <w:ind w:left="420" w:hanging="412"/>
        <w:spacing w:after="0" w:line="207" w:lineRule="exact"/>
        <w:tabs>
          <w:tab w:leader="none" w:pos="4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117" w:lineRule="exact"/>
        <w:rPr>
          <w:rFonts w:ascii="Arial" w:cs="Arial" w:eastAsia="Arial" w:hAnsi="Arial"/>
          <w:sz w:val="18"/>
          <w:szCs w:val="18"/>
          <w:color w:val="auto"/>
        </w:rPr>
      </w:pPr>
    </w:p>
    <w:p>
      <w:pPr>
        <w:ind w:left="420" w:hanging="412"/>
        <w:spacing w:after="0" w:line="207" w:lineRule="exact"/>
        <w:tabs>
          <w:tab w:leader="none" w:pos="4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117" w:lineRule="exact"/>
        <w:rPr>
          <w:rFonts w:ascii="Arial" w:cs="Arial" w:eastAsia="Arial" w:hAnsi="Arial"/>
          <w:sz w:val="18"/>
          <w:szCs w:val="18"/>
          <w:color w:val="auto"/>
        </w:rPr>
      </w:pPr>
    </w:p>
    <w:p>
      <w:pPr>
        <w:ind w:left="420" w:hanging="412"/>
        <w:spacing w:after="0" w:line="207" w:lineRule="exact"/>
        <w:tabs>
          <w:tab w:leader="none" w:pos="4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420" w:hanging="412"/>
        <w:spacing w:after="0" w:line="207" w:lineRule="exact"/>
        <w:tabs>
          <w:tab w:leader="none" w:pos="4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§240.13d–1(b)(1)(ii)(E);</w:t>
      </w:r>
    </w:p>
    <w:p>
      <w:pPr>
        <w:spacing w:after="0" w:line="117" w:lineRule="exact"/>
        <w:rPr>
          <w:rFonts w:ascii="Arial" w:cs="Arial" w:eastAsia="Arial" w:hAnsi="Arial"/>
          <w:sz w:val="18"/>
          <w:szCs w:val="18"/>
          <w:color w:val="auto"/>
        </w:rPr>
      </w:pPr>
    </w:p>
    <w:p>
      <w:pPr>
        <w:ind w:left="420" w:hanging="412"/>
        <w:spacing w:after="0" w:line="207" w:lineRule="exact"/>
        <w:tabs>
          <w:tab w:leader="none" w:pos="4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§240.13d–1(b)(1)(ii)(F);</w:t>
      </w:r>
    </w:p>
    <w:p>
      <w:pPr>
        <w:spacing w:after="0" w:line="117" w:lineRule="exact"/>
        <w:rPr>
          <w:rFonts w:ascii="Arial" w:cs="Arial" w:eastAsia="Arial" w:hAnsi="Arial"/>
          <w:sz w:val="18"/>
          <w:szCs w:val="18"/>
          <w:color w:val="auto"/>
        </w:rPr>
      </w:pPr>
    </w:p>
    <w:p>
      <w:pPr>
        <w:ind w:left="420" w:hanging="412"/>
        <w:spacing w:after="0" w:line="207" w:lineRule="exact"/>
        <w:tabs>
          <w:tab w:leader="none" w:pos="4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§240.13d–1(b)(1)(ii)(G);</w:t>
      </w:r>
    </w:p>
    <w:p>
      <w:pPr>
        <w:spacing w:after="0" w:line="117" w:lineRule="exact"/>
        <w:rPr>
          <w:rFonts w:ascii="Arial" w:cs="Arial" w:eastAsia="Arial" w:hAnsi="Arial"/>
          <w:sz w:val="18"/>
          <w:szCs w:val="18"/>
          <w:color w:val="auto"/>
        </w:rPr>
      </w:pPr>
    </w:p>
    <w:p>
      <w:pPr>
        <w:ind w:left="420" w:hanging="412"/>
        <w:spacing w:after="0" w:line="207" w:lineRule="exact"/>
        <w:tabs>
          <w:tab w:leader="none" w:pos="4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920" w:right="60" w:hanging="912"/>
        <w:spacing w:after="0" w:line="223" w:lineRule="exact"/>
        <w:tabs>
          <w:tab w:leader="none" w:pos="4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 (15 U.S.C. 80a–3);</w:t>
      </w:r>
    </w:p>
    <w:p>
      <w:pPr>
        <w:sectPr>
          <w:pgSz w:w="11900" w:h="16838" w:orient="portrait"/>
          <w:cols w:equalWidth="0" w:num="1">
            <w:col w:w="11420"/>
          </w:cols>
          <w:pgMar w:left="240" w:top="274" w:right="239" w:bottom="1440" w:gutter="0" w:footer="0" w:header="0"/>
        </w:sectPr>
      </w:pPr>
    </w:p>
    <w:bookmarkStart w:id="3" w:name="page4"/>
    <w:bookmarkEnd w:id="3"/>
    <w:p>
      <w:pPr>
        <w:spacing w:after="0"/>
        <w:tabs>
          <w:tab w:leader="none" w:pos="5180" w:val="left"/>
          <w:tab w:leader="none" w:pos="105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053774105</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4 of 5</w:t>
      </w:r>
    </w:p>
    <w:p>
      <w:pPr>
        <w:spacing w:after="0" w:line="233" w:lineRule="exact"/>
        <w:rPr>
          <w:sz w:val="20"/>
          <w:szCs w:val="20"/>
          <w:color w:val="auto"/>
        </w:rPr>
      </w:pPr>
    </w:p>
    <w:p>
      <w:pPr>
        <w:ind w:left="420" w:hanging="412"/>
        <w:spacing w:after="0" w:line="207" w:lineRule="exact"/>
        <w:tabs>
          <w:tab w:leader="none" w:pos="42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§240.13d–1(b)(1)(ii)(J);</w:t>
      </w:r>
    </w:p>
    <w:p>
      <w:pPr>
        <w:spacing w:after="0" w:line="117" w:lineRule="exact"/>
        <w:rPr>
          <w:rFonts w:ascii="Arial" w:cs="Arial" w:eastAsia="Arial" w:hAnsi="Arial"/>
          <w:sz w:val="18"/>
          <w:szCs w:val="18"/>
          <w:color w:val="auto"/>
        </w:rPr>
      </w:pPr>
    </w:p>
    <w:p>
      <w:pPr>
        <w:ind w:left="920" w:right="120" w:hanging="912"/>
        <w:spacing w:after="0" w:line="223" w:lineRule="exact"/>
        <w:tabs>
          <w:tab w:leader="none" w:pos="42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Group, in accordance with §240.13d–1(b)(1)(ii)(K). If filing as a non-U.S. institution in accordance with §240.13d–1(b)(1)(ii)(J), please specify the type of institution: ________________________________</w:t>
      </w:r>
    </w:p>
    <w:p>
      <w:pPr>
        <w:spacing w:after="0" w:line="38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i w:val="1"/>
          <w:iCs w:val="1"/>
          <w:color w:val="auto"/>
        </w:rPr>
        <w:t>Item 4.</w:t>
      </w:r>
      <w:r>
        <w:rPr>
          <w:sz w:val="20"/>
          <w:szCs w:val="20"/>
          <w:color w:val="auto"/>
        </w:rPr>
        <w:tab/>
      </w:r>
      <w:r>
        <w:rPr>
          <w:rFonts w:ascii="Arial" w:cs="Arial" w:eastAsia="Arial" w:hAnsi="Arial"/>
          <w:sz w:val="15"/>
          <w:szCs w:val="15"/>
          <w:b w:val="1"/>
          <w:bCs w:val="1"/>
          <w:i w:val="1"/>
          <w:iCs w:val="1"/>
          <w:color w:val="auto"/>
        </w:rPr>
        <w:t>Ownership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&lt;5%.</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&lt;5%.</w:t>
      </w:r>
    </w:p>
    <w:p>
      <w:pPr>
        <w:sectPr>
          <w:pgSz w:w="11900" w:h="16838" w:orient="portrait"/>
          <w:cols w:equalWidth="0" w:num="1">
            <w:col w:w="11420"/>
          </w:cols>
          <w:pgMar w:left="240" w:top="274" w:right="239" w:bottom="1440" w:gutter="0" w:footer="0" w:header="0"/>
        </w:sectPr>
      </w:pPr>
    </w:p>
    <w:bookmarkStart w:id="4" w:name="page5"/>
    <w:bookmarkEnd w:id="4"/>
    <w:p>
      <w:pPr>
        <w:spacing w:after="0"/>
        <w:tabs>
          <w:tab w:leader="none" w:pos="5180" w:val="left"/>
          <w:tab w:leader="none" w:pos="105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053774105</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5 of 5</w:t>
      </w:r>
    </w:p>
    <w:p>
      <w:pPr>
        <w:spacing w:after="0" w:line="158"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680" w:hanging="216"/>
        <w:spacing w:after="0"/>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_________.</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&lt;5%.</w:t>
      </w:r>
    </w:p>
    <w:p>
      <w:pPr>
        <w:spacing w:after="0" w:line="117" w:lineRule="exact"/>
        <w:rPr>
          <w:rFonts w:ascii="Arial" w:cs="Arial" w:eastAsia="Arial" w:hAnsi="Arial"/>
          <w:sz w:val="18"/>
          <w:szCs w:val="18"/>
          <w:color w:val="auto"/>
        </w:rPr>
      </w:pPr>
    </w:p>
    <w:p>
      <w:pPr>
        <w:ind w:left="780" w:hanging="316"/>
        <w:spacing w:after="0"/>
        <w:tabs>
          <w:tab w:leader="none" w:pos="7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_________.</w:t>
      </w:r>
    </w:p>
    <w:p>
      <w:pPr>
        <w:spacing w:after="0" w:line="117" w:lineRule="exact"/>
        <w:rPr>
          <w:rFonts w:ascii="Arial" w:cs="Arial" w:eastAsia="Arial" w:hAnsi="Arial"/>
          <w:sz w:val="18"/>
          <w:szCs w:val="18"/>
          <w:color w:val="auto"/>
        </w:rPr>
      </w:pPr>
    </w:p>
    <w:p>
      <w:pPr>
        <w:ind w:left="760" w:hanging="296"/>
        <w:spacing w:after="0"/>
        <w:tabs>
          <w:tab w:leader="none" w:pos="7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&lt;5%.</w:t>
      </w:r>
    </w:p>
    <w:p>
      <w:pPr>
        <w:spacing w:after="0" w:line="252" w:lineRule="exact"/>
        <w:rPr>
          <w:sz w:val="20"/>
          <w:szCs w:val="20"/>
          <w:color w:val="auto"/>
        </w:rPr>
      </w:pPr>
    </w:p>
    <w:p>
      <w:pPr>
        <w:ind w:left="1040" w:right="160" w:hanging="1025"/>
        <w:spacing w:after="0" w:line="233" w:lineRule="exact"/>
        <w:tabs>
          <w:tab w:leader="none" w:pos="1020" w:val="left"/>
        </w:tabs>
        <w:rPr>
          <w:sz w:val="20"/>
          <w:szCs w:val="20"/>
          <w:color w:val="auto"/>
        </w:rPr>
      </w:pPr>
      <w:r>
        <w:rPr>
          <w:rFonts w:ascii="Arial" w:cs="Arial" w:eastAsia="Arial" w:hAnsi="Arial"/>
          <w:sz w:val="18"/>
          <w:szCs w:val="18"/>
          <w:b w:val="1"/>
          <w:bCs w:val="1"/>
          <w:i w:val="1"/>
          <w:iCs w:val="1"/>
          <w:color w:val="auto"/>
        </w:rPr>
        <w:t>Item 5.</w:t>
      </w:r>
      <w:r>
        <w:rPr>
          <w:sz w:val="20"/>
          <w:szCs w:val="20"/>
          <w:color w:val="auto"/>
        </w:rPr>
        <w:tab/>
      </w:r>
      <w:r>
        <w:rPr>
          <w:rFonts w:ascii="Arial" w:cs="Arial" w:eastAsia="Arial" w:hAnsi="Arial"/>
          <w:sz w:val="18"/>
          <w:szCs w:val="18"/>
          <w:b w:val="1"/>
          <w:bCs w:val="1"/>
          <w:i w:val="1"/>
          <w:iCs w:val="1"/>
          <w:color w:val="auto"/>
        </w:rPr>
        <w:t xml:space="preserve">Ownership of 5 Percent or Less of a Class. </w:t>
      </w:r>
      <w:r>
        <w:rPr>
          <w:rFonts w:ascii="Arial" w:cs="Arial" w:eastAsia="Arial" w:hAnsi="Arial"/>
          <w:sz w:val="18"/>
          <w:szCs w:val="18"/>
          <w:i w:val="1"/>
          <w:iCs w:val="1"/>
          <w:color w:val="auto"/>
        </w:rPr>
        <w:t>If this statement is being filed to report the fact that as of the date hereof the reporting person has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i w:val="1"/>
          <w:iCs w:val="1"/>
          <w:color w:val="auto"/>
        </w:rPr>
        <w:t>.</w:t>
      </w:r>
    </w:p>
    <w:p>
      <w:pPr>
        <w:spacing w:after="0" w:line="74"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Dissolution of a group requires a response to this item.</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i w:val="1"/>
          <w:iCs w:val="1"/>
          <w:color w:val="auto"/>
        </w:rPr>
        <w:t>Item 6.</w:t>
      </w:r>
      <w:r>
        <w:rPr>
          <w:sz w:val="20"/>
          <w:szCs w:val="20"/>
          <w:color w:val="auto"/>
        </w:rPr>
        <w:tab/>
      </w:r>
      <w:r>
        <w:rPr>
          <w:rFonts w:ascii="Arial" w:cs="Arial" w:eastAsia="Arial" w:hAnsi="Arial"/>
          <w:sz w:val="15"/>
          <w:szCs w:val="15"/>
          <w:b w:val="1"/>
          <w:bCs w:val="1"/>
          <w:i w:val="1"/>
          <w:iCs w:val="1"/>
          <w:color w:val="auto"/>
        </w:rPr>
        <w:t>Ownership of More than 5 Percent on Behalf of Another Person.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ind w:left="1040" w:right="400" w:hanging="1025"/>
        <w:spacing w:after="0" w:line="277" w:lineRule="auto"/>
        <w:tabs>
          <w:tab w:leader="none" w:pos="1020" w:val="left"/>
        </w:tabs>
        <w:rPr>
          <w:sz w:val="20"/>
          <w:szCs w:val="20"/>
          <w:color w:val="auto"/>
        </w:rPr>
      </w:pPr>
      <w:r>
        <w:rPr>
          <w:rFonts w:ascii="Arial" w:cs="Arial" w:eastAsia="Arial" w:hAnsi="Arial"/>
          <w:sz w:val="18"/>
          <w:szCs w:val="18"/>
          <w:b w:val="1"/>
          <w:bCs w:val="1"/>
          <w:i w:val="1"/>
          <w:iCs w:val="1"/>
          <w:color w:val="auto"/>
        </w:rPr>
        <w:t>Item 7.</w:t>
      </w:r>
      <w:r>
        <w:rPr>
          <w:sz w:val="20"/>
          <w:szCs w:val="20"/>
          <w:color w:val="auto"/>
        </w:rPr>
        <w:tab/>
      </w:r>
      <w:r>
        <w:rPr>
          <w:rFonts w:ascii="Arial" w:cs="Arial" w:eastAsia="Arial" w:hAnsi="Arial"/>
          <w:sz w:val="18"/>
          <w:szCs w:val="18"/>
          <w:b w:val="1"/>
          <w:bCs w:val="1"/>
          <w:i w:val="1"/>
          <w:iCs w:val="1"/>
          <w:color w:val="auto"/>
        </w:rPr>
        <w:t>Identification and Classification of the Subsidiary Which Acquired the Security Being Reported on by the Parent Holding Company or Control Person.</w:t>
      </w:r>
    </w:p>
    <w:p>
      <w:pPr>
        <w:spacing w:after="0" w:line="6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This statement on Schedule 13G is being filed by UBS Group AG on behalf of itself and its wholly owned subsidiaries UBS AG London Branch, UBS Financial Services Inc. and UBS Securities LLC.</w:t>
      </w:r>
    </w:p>
    <w:p>
      <w:pPr>
        <w:spacing w:after="0" w:line="31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i w:val="1"/>
          <w:iCs w:val="1"/>
          <w:color w:val="auto"/>
        </w:rPr>
        <w:t>Item 8.</w:t>
      </w:r>
      <w:r>
        <w:rPr>
          <w:sz w:val="20"/>
          <w:szCs w:val="20"/>
          <w:color w:val="auto"/>
        </w:rPr>
        <w:tab/>
      </w:r>
      <w:r>
        <w:rPr>
          <w:rFonts w:ascii="Arial" w:cs="Arial" w:eastAsia="Arial" w:hAnsi="Arial"/>
          <w:sz w:val="15"/>
          <w:szCs w:val="15"/>
          <w:b w:val="1"/>
          <w:bCs w:val="1"/>
          <w:i w:val="1"/>
          <w:iCs w:val="1"/>
          <w:color w:val="auto"/>
        </w:rPr>
        <w:t>Identification and Classification of Members of the Group.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i w:val="1"/>
          <w:iCs w:val="1"/>
          <w:color w:val="auto"/>
        </w:rPr>
        <w:t>Item 9.</w:t>
      </w:r>
      <w:r>
        <w:rPr>
          <w:sz w:val="20"/>
          <w:szCs w:val="20"/>
          <w:color w:val="auto"/>
        </w:rPr>
        <w:tab/>
      </w:r>
      <w:r>
        <w:rPr>
          <w:rFonts w:ascii="Arial" w:cs="Arial" w:eastAsia="Arial" w:hAnsi="Arial"/>
          <w:sz w:val="15"/>
          <w:szCs w:val="15"/>
          <w:b w:val="1"/>
          <w:bCs w:val="1"/>
          <w:i w:val="1"/>
          <w:iCs w:val="1"/>
          <w:color w:val="auto"/>
        </w:rPr>
        <w:t>Notice of Dissolution of Group.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i w:val="1"/>
          <w:iCs w:val="1"/>
          <w:color w:val="auto"/>
        </w:rPr>
        <w:t>Item 10.</w:t>
      </w:r>
      <w:r>
        <w:rPr>
          <w:sz w:val="20"/>
          <w:szCs w:val="20"/>
          <w:color w:val="auto"/>
        </w:rPr>
        <w:tab/>
      </w:r>
      <w:r>
        <w:rPr>
          <w:rFonts w:ascii="Arial" w:cs="Arial" w:eastAsia="Arial" w:hAnsi="Arial"/>
          <w:sz w:val="15"/>
          <w:szCs w:val="15"/>
          <w:b w:val="1"/>
          <w:bCs w:val="1"/>
          <w:i w:val="1"/>
          <w:iCs w:val="1"/>
          <w:color w:val="auto"/>
        </w:rPr>
        <w:t>Certifications</w:t>
      </w:r>
    </w:p>
    <w:p>
      <w:pPr>
        <w:spacing w:after="0" w:line="11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February 13, 2018</w:t>
            </w:r>
          </w:p>
        </w:tc>
        <w:tc>
          <w:tcPr>
            <w:tcW w:w="2820" w:type="dxa"/>
            <w:vAlign w:val="bottom"/>
          </w:tcPr>
          <w:p>
            <w:pPr>
              <w:ind w:left="1920"/>
              <w:spacing w:after="0"/>
              <w:rPr>
                <w:sz w:val="20"/>
                <w:szCs w:val="20"/>
                <w:color w:val="auto"/>
              </w:rPr>
            </w:pPr>
            <w:r>
              <w:rPr>
                <w:rFonts w:ascii="Arial" w:cs="Arial" w:eastAsia="Arial" w:hAnsi="Arial"/>
                <w:sz w:val="18"/>
                <w:szCs w:val="18"/>
                <w:color w:val="auto"/>
              </w:rPr>
              <w:t>Signature:</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Sator</w:t>
            </w:r>
          </w:p>
        </w:tc>
      </w:tr>
      <w:tr>
        <w:trPr>
          <w:trHeight w:val="209"/>
        </w:trPr>
        <w:tc>
          <w:tcPr>
            <w:tcW w:w="3700" w:type="dxa"/>
            <w:vAlign w:val="bottom"/>
          </w:tcPr>
          <w:p>
            <w:pPr>
              <w:spacing w:after="0"/>
              <w:rPr>
                <w:sz w:val="18"/>
                <w:szCs w:val="18"/>
                <w:color w:val="auto"/>
              </w:rPr>
            </w:pPr>
          </w:p>
        </w:tc>
        <w:tc>
          <w:tcPr>
            <w:tcW w:w="2820" w:type="dxa"/>
            <w:vAlign w:val="bottom"/>
          </w:tcPr>
          <w:p>
            <w:pPr>
              <w:ind w:left="1920"/>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Jennifer Sator</w:t>
            </w:r>
          </w:p>
        </w:tc>
      </w:tr>
      <w:tr>
        <w:trPr>
          <w:trHeight w:val="230"/>
        </w:trPr>
        <w:tc>
          <w:tcPr>
            <w:tcW w:w="3700" w:type="dxa"/>
            <w:vAlign w:val="bottom"/>
          </w:tcPr>
          <w:p>
            <w:pPr>
              <w:spacing w:after="0"/>
              <w:rPr>
                <w:sz w:val="20"/>
                <w:szCs w:val="20"/>
                <w:color w:val="auto"/>
              </w:rPr>
            </w:pPr>
          </w:p>
        </w:tc>
        <w:tc>
          <w:tcPr>
            <w:tcW w:w="2820" w:type="dxa"/>
            <w:vAlign w:val="bottom"/>
          </w:tcPr>
          <w:p>
            <w:pPr>
              <w:ind w:left="192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Director, UBS Group AG</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February 13, 2018</w:t>
            </w:r>
          </w:p>
        </w:tc>
        <w:tc>
          <w:tcPr>
            <w:tcW w:w="2820" w:type="dxa"/>
            <w:vAlign w:val="bottom"/>
          </w:tcPr>
          <w:p>
            <w:pPr>
              <w:ind w:left="1920"/>
              <w:spacing w:after="0"/>
              <w:rPr>
                <w:sz w:val="20"/>
                <w:szCs w:val="20"/>
                <w:color w:val="auto"/>
              </w:rPr>
            </w:pPr>
            <w:r>
              <w:rPr>
                <w:rFonts w:ascii="Arial" w:cs="Arial" w:eastAsia="Arial" w:hAnsi="Arial"/>
                <w:sz w:val="18"/>
                <w:szCs w:val="18"/>
                <w:color w:val="auto"/>
              </w:rPr>
              <w:t>Signature:</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Stevenson Giles</w:t>
            </w:r>
          </w:p>
        </w:tc>
      </w:tr>
      <w:tr>
        <w:trPr>
          <w:trHeight w:val="209"/>
        </w:trPr>
        <w:tc>
          <w:tcPr>
            <w:tcW w:w="3700" w:type="dxa"/>
            <w:vAlign w:val="bottom"/>
          </w:tcPr>
          <w:p>
            <w:pPr>
              <w:spacing w:after="0"/>
              <w:rPr>
                <w:sz w:val="18"/>
                <w:szCs w:val="18"/>
                <w:color w:val="auto"/>
              </w:rPr>
            </w:pPr>
          </w:p>
        </w:tc>
        <w:tc>
          <w:tcPr>
            <w:tcW w:w="2820" w:type="dxa"/>
            <w:vAlign w:val="bottom"/>
          </w:tcPr>
          <w:p>
            <w:pPr>
              <w:ind w:left="1920"/>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Stevenson Giles</w:t>
            </w:r>
          </w:p>
        </w:tc>
      </w:tr>
      <w:tr>
        <w:trPr>
          <w:trHeight w:val="230"/>
        </w:trPr>
        <w:tc>
          <w:tcPr>
            <w:tcW w:w="3700" w:type="dxa"/>
            <w:vAlign w:val="bottom"/>
          </w:tcPr>
          <w:p>
            <w:pPr>
              <w:spacing w:after="0"/>
              <w:rPr>
                <w:sz w:val="20"/>
                <w:szCs w:val="20"/>
                <w:color w:val="auto"/>
              </w:rPr>
            </w:pPr>
          </w:p>
        </w:tc>
        <w:tc>
          <w:tcPr>
            <w:tcW w:w="2820" w:type="dxa"/>
            <w:vAlign w:val="bottom"/>
          </w:tcPr>
          <w:p>
            <w:pPr>
              <w:ind w:left="192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Authorized Officer, UBS Group AG</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2019-12-18T23:21:54Z</dcterms:created>
  <dcterms:modified xsi:type="dcterms:W3CDTF">2019-12-18T23:21:54Z</dcterms:modified>
</cp:coreProperties>
</file>