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141605</wp:posOffset>
            </wp:positionV>
            <wp:extent cx="1062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96520</wp:posOffset>
            </wp:positionV>
            <wp:extent cx="1062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20, 2026</w:t>
      </w:r>
    </w:p>
    <w:p>
      <w:pPr>
        <w:spacing w:after="0" w:line="3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Avis Budget Group,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141605</wp:posOffset>
            </wp:positionV>
            <wp:extent cx="10629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840" w:type="dxa"/>
        <w:tblCellMar>
          <w:top w:w="0" w:type="dxa"/>
          <w:left w:w="0" w:type="dxa"/>
          <w:bottom w:w="0" w:type="dxa"/>
          <w:right w:w="0" w:type="dxa"/>
        </w:tblCellMar>
      </w:tblPr>
      <w:tr>
        <w:trPr>
          <w:trHeight w:val="220"/>
        </w:trPr>
        <w:tc>
          <w:tcPr>
            <w:tcW w:w="3880" w:type="dxa"/>
            <w:vAlign w:val="bottom"/>
          </w:tcPr>
          <w:p>
            <w:pPr>
              <w:jc w:val="center"/>
              <w:ind w:right="18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40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001-10308</w:t>
            </w:r>
          </w:p>
        </w:tc>
        <w:tc>
          <w:tcPr>
            <w:tcW w:w="3000" w:type="dxa"/>
            <w:vAlign w:val="bottom"/>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rPr>
              <w:t>06-0918165</w:t>
            </w:r>
          </w:p>
        </w:tc>
      </w:tr>
      <w:tr>
        <w:trPr>
          <w:trHeight w:val="216"/>
        </w:trPr>
        <w:tc>
          <w:tcPr>
            <w:tcW w:w="388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40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8"/>
              </w:rPr>
              <w:t>(Commission</w:t>
            </w:r>
          </w:p>
        </w:tc>
        <w:tc>
          <w:tcPr>
            <w:tcW w:w="3000" w:type="dxa"/>
            <w:vAlign w:val="bottom"/>
          </w:tcPr>
          <w:p>
            <w:pPr>
              <w:jc w:val="center"/>
              <w:ind w:left="15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88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40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8"/>
              </w:rPr>
              <w:t>File Number)</w:t>
            </w:r>
          </w:p>
        </w:tc>
        <w:tc>
          <w:tcPr>
            <w:tcW w:w="3000" w:type="dxa"/>
            <w:vAlign w:val="bottom"/>
          </w:tcPr>
          <w:p>
            <w:pPr>
              <w:jc w:val="center"/>
              <w:ind w:left="15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379 Interpace Parkway</w:t>
            </w:r>
          </w:p>
        </w:tc>
        <w:tc>
          <w:tcPr>
            <w:tcW w:w="240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34"/>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Parsippany, NJ</w:t>
            </w:r>
          </w:p>
        </w:tc>
        <w:tc>
          <w:tcPr>
            <w:tcW w:w="2400" w:type="dxa"/>
            <w:vAlign w:val="bottom"/>
          </w:tcPr>
          <w:p>
            <w:pPr>
              <w:spacing w:after="0"/>
              <w:rPr>
                <w:sz w:val="20"/>
                <w:szCs w:val="20"/>
                <w:color w:val="auto"/>
              </w:rPr>
            </w:pPr>
          </w:p>
        </w:tc>
        <w:tc>
          <w:tcPr>
            <w:tcW w:w="3000" w:type="dxa"/>
            <w:vAlign w:val="bottom"/>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07054</w:t>
            </w:r>
          </w:p>
        </w:tc>
      </w:tr>
      <w:tr>
        <w:trPr>
          <w:trHeight w:val="234"/>
        </w:trPr>
        <w:tc>
          <w:tcPr>
            <w:tcW w:w="38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400" w:type="dxa"/>
            <w:vAlign w:val="bottom"/>
          </w:tcPr>
          <w:p>
            <w:pPr>
              <w:spacing w:after="0"/>
              <w:rPr>
                <w:sz w:val="20"/>
                <w:szCs w:val="20"/>
                <w:color w:val="auto"/>
              </w:rPr>
            </w:pPr>
          </w:p>
        </w:tc>
        <w:tc>
          <w:tcPr>
            <w:tcW w:w="30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(973) 496-4700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142875</wp:posOffset>
            </wp:positionV>
            <wp:extent cx="10629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0"/>
        </w:trPr>
        <w:tc>
          <w:tcPr>
            <w:tcW w:w="3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38"/>
        </w:trPr>
        <w:tc>
          <w:tcPr>
            <w:tcW w:w="41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3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Registered</w:t>
            </w:r>
          </w:p>
        </w:tc>
      </w:tr>
      <w:tr>
        <w:trPr>
          <w:trHeight w:val="228"/>
        </w:trPr>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w:t>
            </w:r>
          </w:p>
        </w:tc>
        <w:tc>
          <w:tcPr>
            <w:tcW w:w="460" w:type="dxa"/>
            <w:vAlign w:val="bottom"/>
          </w:tcPr>
          <w:p>
            <w:pPr>
              <w:spacing w:after="0"/>
              <w:rPr>
                <w:sz w:val="19"/>
                <w:szCs w:val="19"/>
                <w:color w:val="auto"/>
              </w:rPr>
            </w:pPr>
          </w:p>
        </w:tc>
        <w:tc>
          <w:tcPr>
            <w:tcW w:w="3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CAR</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608330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May 20, 2026, Avis Budget Group, Inc. (the “Company”) held its 2026 Annual Meeting of Shareholders. The following matters were submitted to a vote of shareholders and the voting results were as follows:</w:t>
      </w:r>
    </w:p>
    <w:p>
      <w:pPr>
        <w:spacing w:after="0" w:line="15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No. 1. Election of Directors. </w:t>
      </w:r>
      <w:r>
        <w:rPr>
          <w:rFonts w:ascii="Times New Roman" w:cs="Times New Roman" w:eastAsia="Times New Roman" w:hAnsi="Times New Roman"/>
          <w:sz w:val="18"/>
          <w:szCs w:val="18"/>
          <w:color w:val="auto"/>
        </w:rPr>
        <w:t>The six nominees named in the Company’s 2026 proxy statement were elected as directors to serve a one-year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expiring in 2027 and until their successors are duly elected and qualified or until their earlier resignation or removal, based upon the following votes: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w:t>
            </w:r>
          </w:p>
        </w:tc>
      </w:tr>
      <w:tr>
        <w:trPr>
          <w:trHeight w:val="238"/>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 Nominee</w:t>
            </w: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40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Non-Votes</w:t>
            </w:r>
          </w:p>
        </w:tc>
      </w:tr>
      <w:tr>
        <w:trPr>
          <w:trHeight w:val="210"/>
        </w:trPr>
        <w:tc>
          <w:tcPr>
            <w:tcW w:w="3000" w:type="dxa"/>
            <w:vAlign w:val="bottom"/>
            <w:tcBorders>
              <w:top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Jagdeep Pahwa</w:t>
            </w:r>
          </w:p>
        </w:tc>
        <w:tc>
          <w:tcPr>
            <w:tcW w:w="100" w:type="dxa"/>
            <w:vAlign w:val="bottom"/>
            <w:tcBorders>
              <w:top w:val="single" w:sz="8" w:color="C6F4F9"/>
            </w:tcBorders>
            <w:shd w:val="clear" w:color="auto" w:fill="C6F4F9"/>
          </w:tcPr>
          <w:p>
            <w:pPr>
              <w:spacing w:after="0"/>
              <w:rPr>
                <w:sz w:val="18"/>
                <w:szCs w:val="18"/>
                <w:color w:val="auto"/>
              </w:rPr>
            </w:pPr>
          </w:p>
        </w:tc>
        <w:tc>
          <w:tcPr>
            <w:tcW w:w="1760" w:type="dxa"/>
            <w:vAlign w:val="bottom"/>
            <w:tcBorders>
              <w:top w:val="single" w:sz="8" w:color="auto"/>
            </w:tcBorders>
            <w:shd w:val="clear" w:color="auto" w:fill="C6F4F9"/>
          </w:tcPr>
          <w:p>
            <w:pPr>
              <w:jc w:val="center"/>
              <w:spacing w:after="0"/>
              <w:rPr>
                <w:sz w:val="20"/>
                <w:szCs w:val="20"/>
                <w:color w:val="auto"/>
              </w:rPr>
            </w:pPr>
            <w:r>
              <w:rPr>
                <w:rFonts w:ascii="Times New Roman" w:cs="Times New Roman" w:eastAsia="Times New Roman" w:hAnsi="Times New Roman"/>
                <w:sz w:val="18"/>
                <w:szCs w:val="18"/>
                <w:color w:val="auto"/>
                <w:w w:val="98"/>
              </w:rPr>
              <w:t>26,842,853</w:t>
            </w:r>
          </w:p>
        </w:tc>
        <w:tc>
          <w:tcPr>
            <w:tcW w:w="100" w:type="dxa"/>
            <w:vAlign w:val="bottom"/>
            <w:tcBorders>
              <w:top w:val="single" w:sz="8" w:color="C6F4F9"/>
            </w:tcBorders>
            <w:shd w:val="clear" w:color="auto" w:fill="C6F4F9"/>
          </w:tcPr>
          <w:p>
            <w:pPr>
              <w:spacing w:after="0"/>
              <w:rPr>
                <w:sz w:val="18"/>
                <w:szCs w:val="18"/>
                <w:color w:val="auto"/>
              </w:rPr>
            </w:pPr>
          </w:p>
        </w:tc>
        <w:tc>
          <w:tcPr>
            <w:tcW w:w="2300" w:type="dxa"/>
            <w:vAlign w:val="bottom"/>
            <w:tcBorders>
              <w:top w:val="single" w:sz="8" w:color="auto"/>
            </w:tcBorders>
            <w:shd w:val="clear" w:color="auto" w:fill="C6F4F9"/>
          </w:tcPr>
          <w:p>
            <w:pPr>
              <w:jc w:val="center"/>
              <w:spacing w:after="0"/>
              <w:rPr>
                <w:sz w:val="20"/>
                <w:szCs w:val="20"/>
                <w:color w:val="auto"/>
              </w:rPr>
            </w:pPr>
            <w:r>
              <w:rPr>
                <w:rFonts w:ascii="Times New Roman" w:cs="Times New Roman" w:eastAsia="Times New Roman" w:hAnsi="Times New Roman"/>
                <w:sz w:val="18"/>
                <w:szCs w:val="18"/>
                <w:color w:val="auto"/>
                <w:w w:val="99"/>
              </w:rPr>
              <w:t>106,455</w:t>
            </w:r>
          </w:p>
        </w:tc>
        <w:tc>
          <w:tcPr>
            <w:tcW w:w="100" w:type="dxa"/>
            <w:vAlign w:val="bottom"/>
            <w:tcBorders>
              <w:top w:val="single" w:sz="8" w:color="C6F4F9"/>
            </w:tcBorders>
            <w:shd w:val="clear" w:color="auto" w:fill="C6F4F9"/>
          </w:tcPr>
          <w:p>
            <w:pPr>
              <w:spacing w:after="0"/>
              <w:rPr>
                <w:sz w:val="18"/>
                <w:szCs w:val="18"/>
                <w:color w:val="auto"/>
              </w:rPr>
            </w:pPr>
          </w:p>
        </w:tc>
        <w:tc>
          <w:tcPr>
            <w:tcW w:w="2000" w:type="dxa"/>
            <w:vAlign w:val="bottom"/>
            <w:tcBorders>
              <w:top w:val="single" w:sz="8" w:color="auto"/>
            </w:tcBorders>
            <w:shd w:val="clear" w:color="auto" w:fill="C6F4F9"/>
          </w:tcPr>
          <w:p>
            <w:pPr>
              <w:jc w:val="center"/>
              <w:spacing w:after="0"/>
              <w:rPr>
                <w:sz w:val="20"/>
                <w:szCs w:val="20"/>
                <w:color w:val="auto"/>
              </w:rPr>
            </w:pPr>
            <w:r>
              <w:rPr>
                <w:rFonts w:ascii="Times New Roman" w:cs="Times New Roman" w:eastAsia="Times New Roman" w:hAnsi="Times New Roman"/>
                <w:sz w:val="18"/>
                <w:szCs w:val="18"/>
                <w:color w:val="auto"/>
                <w:w w:val="98"/>
              </w:rPr>
              <w:t>8,102</w:t>
            </w:r>
          </w:p>
        </w:tc>
        <w:tc>
          <w:tcPr>
            <w:tcW w:w="120" w:type="dxa"/>
            <w:vAlign w:val="bottom"/>
            <w:tcBorders>
              <w:top w:val="single" w:sz="8" w:color="C6F4F9"/>
            </w:tcBorders>
            <w:shd w:val="clear" w:color="auto" w:fill="C6F4F9"/>
          </w:tcPr>
          <w:p>
            <w:pPr>
              <w:spacing w:after="0"/>
              <w:rPr>
                <w:sz w:val="18"/>
                <w:szCs w:val="18"/>
                <w:color w:val="auto"/>
              </w:rPr>
            </w:pPr>
          </w:p>
        </w:tc>
        <w:tc>
          <w:tcPr>
            <w:tcW w:w="1760" w:type="dxa"/>
            <w:vAlign w:val="bottom"/>
            <w:tcBorders>
              <w:top w:val="single" w:sz="8" w:color="auto"/>
            </w:tcBorders>
            <w:shd w:val="clear" w:color="auto" w:fill="C6F4F9"/>
          </w:tcPr>
          <w:p>
            <w:pPr>
              <w:jc w:val="center"/>
              <w:spacing w:after="0"/>
              <w:rPr>
                <w:sz w:val="20"/>
                <w:szCs w:val="20"/>
                <w:color w:val="auto"/>
              </w:rPr>
            </w:pPr>
            <w:r>
              <w:rPr>
                <w:rFonts w:ascii="Times New Roman" w:cs="Times New Roman" w:eastAsia="Times New Roman" w:hAnsi="Times New Roman"/>
                <w:sz w:val="18"/>
                <w:szCs w:val="18"/>
                <w:color w:val="auto"/>
                <w:w w:val="99"/>
              </w:rPr>
              <w:t>1,442,067</w:t>
            </w:r>
          </w:p>
        </w:tc>
      </w:tr>
      <w:tr>
        <w:trPr>
          <w:trHeight w:val="216"/>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Anu Hariharan</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26,905,610</w:t>
            </w:r>
          </w:p>
        </w:tc>
        <w:tc>
          <w:tcPr>
            <w:tcW w:w="10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42,907</w:t>
            </w:r>
          </w:p>
        </w:tc>
        <w:tc>
          <w:tcPr>
            <w:tcW w:w="10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8,893</w:t>
            </w:r>
          </w:p>
        </w:tc>
        <w:tc>
          <w:tcPr>
            <w:tcW w:w="12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1,442,067</w:t>
            </w:r>
          </w:p>
        </w:tc>
      </w:tr>
      <w:tr>
        <w:trPr>
          <w:trHeight w:val="216"/>
        </w:trPr>
        <w:tc>
          <w:tcPr>
            <w:tcW w:w="3100" w:type="dxa"/>
            <w:vAlign w:val="bottom"/>
            <w:gridSpan w:val="2"/>
            <w:shd w:val="clear" w:color="auto" w:fill="C6F4F9"/>
          </w:tcPr>
          <w:p>
            <w:pPr>
              <w:spacing w:after="0"/>
              <w:rPr>
                <w:sz w:val="20"/>
                <w:szCs w:val="20"/>
                <w:color w:val="auto"/>
              </w:rPr>
            </w:pPr>
            <w:r>
              <w:rPr>
                <w:rFonts w:ascii="Times New Roman" w:cs="Times New Roman" w:eastAsia="Times New Roman" w:hAnsi="Times New Roman"/>
                <w:sz w:val="18"/>
                <w:szCs w:val="18"/>
                <w:color w:val="auto"/>
              </w:rPr>
              <w:t>Bernardo Hees</w:t>
            </w:r>
          </w:p>
        </w:tc>
        <w:tc>
          <w:tcPr>
            <w:tcW w:w="1760" w:type="dxa"/>
            <w:vAlign w:val="bottom"/>
            <w:shd w:val="clear" w:color="auto" w:fill="C6F4F9"/>
          </w:tcPr>
          <w:p>
            <w:pPr>
              <w:jc w:val="center"/>
              <w:spacing w:after="0"/>
              <w:rPr>
                <w:sz w:val="20"/>
                <w:szCs w:val="20"/>
                <w:color w:val="auto"/>
              </w:rPr>
            </w:pPr>
            <w:r>
              <w:rPr>
                <w:rFonts w:ascii="Times New Roman" w:cs="Times New Roman" w:eastAsia="Times New Roman" w:hAnsi="Times New Roman"/>
                <w:sz w:val="18"/>
                <w:szCs w:val="18"/>
                <w:color w:val="auto"/>
                <w:w w:val="98"/>
              </w:rPr>
              <w:t>26,837,520</w:t>
            </w:r>
          </w:p>
        </w:tc>
        <w:tc>
          <w:tcPr>
            <w:tcW w:w="100" w:type="dxa"/>
            <w:vAlign w:val="bottom"/>
            <w:shd w:val="clear" w:color="auto" w:fill="C6F4F9"/>
          </w:tcPr>
          <w:p>
            <w:pPr>
              <w:spacing w:after="0"/>
              <w:rPr>
                <w:sz w:val="18"/>
                <w:szCs w:val="18"/>
                <w:color w:val="auto"/>
              </w:rPr>
            </w:pPr>
          </w:p>
        </w:tc>
        <w:tc>
          <w:tcPr>
            <w:tcW w:w="2300" w:type="dxa"/>
            <w:vAlign w:val="bottom"/>
            <w:shd w:val="clear" w:color="auto" w:fill="C6F4F9"/>
          </w:tcPr>
          <w:p>
            <w:pPr>
              <w:jc w:val="center"/>
              <w:spacing w:after="0"/>
              <w:rPr>
                <w:sz w:val="20"/>
                <w:szCs w:val="20"/>
                <w:color w:val="auto"/>
              </w:rPr>
            </w:pPr>
            <w:r>
              <w:rPr>
                <w:rFonts w:ascii="Times New Roman" w:cs="Times New Roman" w:eastAsia="Times New Roman" w:hAnsi="Times New Roman"/>
                <w:sz w:val="18"/>
                <w:szCs w:val="18"/>
                <w:color w:val="auto"/>
                <w:w w:val="99"/>
              </w:rPr>
              <w:t>111,038</w:t>
            </w:r>
          </w:p>
        </w:tc>
        <w:tc>
          <w:tcPr>
            <w:tcW w:w="100" w:type="dxa"/>
            <w:vAlign w:val="bottom"/>
            <w:shd w:val="clear" w:color="auto" w:fill="C6F4F9"/>
          </w:tcPr>
          <w:p>
            <w:pPr>
              <w:spacing w:after="0"/>
              <w:rPr>
                <w:sz w:val="18"/>
                <w:szCs w:val="18"/>
                <w:color w:val="auto"/>
              </w:rPr>
            </w:pPr>
          </w:p>
        </w:tc>
        <w:tc>
          <w:tcPr>
            <w:tcW w:w="2000" w:type="dxa"/>
            <w:vAlign w:val="bottom"/>
            <w:shd w:val="clear" w:color="auto" w:fill="C6F4F9"/>
          </w:tcPr>
          <w:p>
            <w:pPr>
              <w:jc w:val="center"/>
              <w:spacing w:after="0"/>
              <w:rPr>
                <w:sz w:val="20"/>
                <w:szCs w:val="20"/>
                <w:color w:val="auto"/>
              </w:rPr>
            </w:pPr>
            <w:r>
              <w:rPr>
                <w:rFonts w:ascii="Times New Roman" w:cs="Times New Roman" w:eastAsia="Times New Roman" w:hAnsi="Times New Roman"/>
                <w:sz w:val="18"/>
                <w:szCs w:val="18"/>
                <w:color w:val="auto"/>
                <w:w w:val="98"/>
              </w:rPr>
              <w:t>8,852</w:t>
            </w:r>
          </w:p>
        </w:tc>
        <w:tc>
          <w:tcPr>
            <w:tcW w:w="120" w:type="dxa"/>
            <w:vAlign w:val="bottom"/>
            <w:shd w:val="clear" w:color="auto" w:fill="C6F4F9"/>
          </w:tcPr>
          <w:p>
            <w:pPr>
              <w:spacing w:after="0"/>
              <w:rPr>
                <w:sz w:val="18"/>
                <w:szCs w:val="18"/>
                <w:color w:val="auto"/>
              </w:rPr>
            </w:pPr>
          </w:p>
        </w:tc>
        <w:tc>
          <w:tcPr>
            <w:tcW w:w="1760" w:type="dxa"/>
            <w:vAlign w:val="bottom"/>
            <w:shd w:val="clear" w:color="auto" w:fill="C6F4F9"/>
          </w:tcPr>
          <w:p>
            <w:pPr>
              <w:jc w:val="center"/>
              <w:spacing w:after="0"/>
              <w:rPr>
                <w:sz w:val="20"/>
                <w:szCs w:val="20"/>
                <w:color w:val="auto"/>
              </w:rPr>
            </w:pPr>
            <w:r>
              <w:rPr>
                <w:rFonts w:ascii="Times New Roman" w:cs="Times New Roman" w:eastAsia="Times New Roman" w:hAnsi="Times New Roman"/>
                <w:sz w:val="18"/>
                <w:szCs w:val="18"/>
                <w:color w:val="auto"/>
                <w:w w:val="99"/>
              </w:rPr>
              <w:t>1,442,067</w:t>
            </w:r>
          </w:p>
        </w:tc>
      </w:tr>
      <w:tr>
        <w:trPr>
          <w:trHeight w:val="216"/>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Lynn Krominga</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26,629,099</w:t>
            </w:r>
          </w:p>
        </w:tc>
        <w:tc>
          <w:tcPr>
            <w:tcW w:w="10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319,233</w:t>
            </w:r>
          </w:p>
        </w:tc>
        <w:tc>
          <w:tcPr>
            <w:tcW w:w="10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9,078</w:t>
            </w:r>
          </w:p>
        </w:tc>
        <w:tc>
          <w:tcPr>
            <w:tcW w:w="12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1,442,067</w:t>
            </w:r>
          </w:p>
        </w:tc>
      </w:tr>
      <w:tr>
        <w:trPr>
          <w:trHeight w:val="216"/>
        </w:trPr>
        <w:tc>
          <w:tcPr>
            <w:tcW w:w="3100" w:type="dxa"/>
            <w:vAlign w:val="bottom"/>
            <w:gridSpan w:val="2"/>
            <w:shd w:val="clear" w:color="auto" w:fill="C6F4F9"/>
          </w:tcPr>
          <w:p>
            <w:pPr>
              <w:spacing w:after="0"/>
              <w:rPr>
                <w:sz w:val="20"/>
                <w:szCs w:val="20"/>
                <w:color w:val="auto"/>
              </w:rPr>
            </w:pPr>
            <w:r>
              <w:rPr>
                <w:rFonts w:ascii="Times New Roman" w:cs="Times New Roman" w:eastAsia="Times New Roman" w:hAnsi="Times New Roman"/>
                <w:sz w:val="18"/>
                <w:szCs w:val="18"/>
                <w:color w:val="auto"/>
              </w:rPr>
              <w:t>Glenn Lurie</w:t>
            </w:r>
          </w:p>
        </w:tc>
        <w:tc>
          <w:tcPr>
            <w:tcW w:w="1760" w:type="dxa"/>
            <w:vAlign w:val="bottom"/>
            <w:shd w:val="clear" w:color="auto" w:fill="C6F4F9"/>
          </w:tcPr>
          <w:p>
            <w:pPr>
              <w:jc w:val="center"/>
              <w:spacing w:after="0"/>
              <w:rPr>
                <w:sz w:val="20"/>
                <w:szCs w:val="20"/>
                <w:color w:val="auto"/>
              </w:rPr>
            </w:pPr>
            <w:r>
              <w:rPr>
                <w:rFonts w:ascii="Times New Roman" w:cs="Times New Roman" w:eastAsia="Times New Roman" w:hAnsi="Times New Roman"/>
                <w:sz w:val="18"/>
                <w:szCs w:val="18"/>
                <w:color w:val="auto"/>
                <w:w w:val="98"/>
              </w:rPr>
              <w:t>26,915,791</w:t>
            </w:r>
          </w:p>
        </w:tc>
        <w:tc>
          <w:tcPr>
            <w:tcW w:w="100" w:type="dxa"/>
            <w:vAlign w:val="bottom"/>
            <w:shd w:val="clear" w:color="auto" w:fill="C6F4F9"/>
          </w:tcPr>
          <w:p>
            <w:pPr>
              <w:spacing w:after="0"/>
              <w:rPr>
                <w:sz w:val="18"/>
                <w:szCs w:val="18"/>
                <w:color w:val="auto"/>
              </w:rPr>
            </w:pPr>
          </w:p>
        </w:tc>
        <w:tc>
          <w:tcPr>
            <w:tcW w:w="2300" w:type="dxa"/>
            <w:vAlign w:val="bottom"/>
            <w:shd w:val="clear" w:color="auto" w:fill="C6F4F9"/>
          </w:tcPr>
          <w:p>
            <w:pPr>
              <w:jc w:val="center"/>
              <w:spacing w:after="0"/>
              <w:rPr>
                <w:sz w:val="20"/>
                <w:szCs w:val="20"/>
                <w:color w:val="auto"/>
              </w:rPr>
            </w:pPr>
            <w:r>
              <w:rPr>
                <w:rFonts w:ascii="Times New Roman" w:cs="Times New Roman" w:eastAsia="Times New Roman" w:hAnsi="Times New Roman"/>
                <w:sz w:val="18"/>
                <w:szCs w:val="18"/>
                <w:color w:val="auto"/>
              </w:rPr>
              <w:t>32,557</w:t>
            </w:r>
          </w:p>
        </w:tc>
        <w:tc>
          <w:tcPr>
            <w:tcW w:w="100" w:type="dxa"/>
            <w:vAlign w:val="bottom"/>
            <w:shd w:val="clear" w:color="auto" w:fill="C6F4F9"/>
          </w:tcPr>
          <w:p>
            <w:pPr>
              <w:spacing w:after="0"/>
              <w:rPr>
                <w:sz w:val="18"/>
                <w:szCs w:val="18"/>
                <w:color w:val="auto"/>
              </w:rPr>
            </w:pPr>
          </w:p>
        </w:tc>
        <w:tc>
          <w:tcPr>
            <w:tcW w:w="2000" w:type="dxa"/>
            <w:vAlign w:val="bottom"/>
            <w:shd w:val="clear" w:color="auto" w:fill="C6F4F9"/>
          </w:tcPr>
          <w:p>
            <w:pPr>
              <w:jc w:val="center"/>
              <w:spacing w:after="0"/>
              <w:rPr>
                <w:sz w:val="20"/>
                <w:szCs w:val="20"/>
                <w:color w:val="auto"/>
              </w:rPr>
            </w:pPr>
            <w:r>
              <w:rPr>
                <w:rFonts w:ascii="Times New Roman" w:cs="Times New Roman" w:eastAsia="Times New Roman" w:hAnsi="Times New Roman"/>
                <w:sz w:val="18"/>
                <w:szCs w:val="18"/>
                <w:color w:val="auto"/>
                <w:w w:val="98"/>
              </w:rPr>
              <w:t>9,062</w:t>
            </w:r>
          </w:p>
        </w:tc>
        <w:tc>
          <w:tcPr>
            <w:tcW w:w="120" w:type="dxa"/>
            <w:vAlign w:val="bottom"/>
            <w:shd w:val="clear" w:color="auto" w:fill="C6F4F9"/>
          </w:tcPr>
          <w:p>
            <w:pPr>
              <w:spacing w:after="0"/>
              <w:rPr>
                <w:sz w:val="18"/>
                <w:szCs w:val="18"/>
                <w:color w:val="auto"/>
              </w:rPr>
            </w:pPr>
          </w:p>
        </w:tc>
        <w:tc>
          <w:tcPr>
            <w:tcW w:w="1760" w:type="dxa"/>
            <w:vAlign w:val="bottom"/>
            <w:shd w:val="clear" w:color="auto" w:fill="C6F4F9"/>
          </w:tcPr>
          <w:p>
            <w:pPr>
              <w:jc w:val="center"/>
              <w:spacing w:after="0"/>
              <w:rPr>
                <w:sz w:val="20"/>
                <w:szCs w:val="20"/>
                <w:color w:val="auto"/>
              </w:rPr>
            </w:pPr>
            <w:r>
              <w:rPr>
                <w:rFonts w:ascii="Times New Roman" w:cs="Times New Roman" w:eastAsia="Times New Roman" w:hAnsi="Times New Roman"/>
                <w:sz w:val="18"/>
                <w:szCs w:val="18"/>
                <w:color w:val="auto"/>
                <w:w w:val="99"/>
              </w:rPr>
              <w:t>1,442,067</w:t>
            </w:r>
          </w:p>
        </w:tc>
      </w:tr>
      <w:tr>
        <w:trPr>
          <w:trHeight w:val="234"/>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Karthik Sarma</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26,842,520</w:t>
            </w:r>
          </w:p>
        </w:tc>
        <w:tc>
          <w:tcPr>
            <w:tcW w:w="100" w:type="dxa"/>
            <w:vAlign w:val="bottom"/>
          </w:tcPr>
          <w:p>
            <w:pPr>
              <w:spacing w:after="0"/>
              <w:rPr>
                <w:sz w:val="20"/>
                <w:szCs w:val="20"/>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105,831</w:t>
            </w:r>
          </w:p>
        </w:tc>
        <w:tc>
          <w:tcPr>
            <w:tcW w:w="10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9,059</w:t>
            </w:r>
          </w:p>
        </w:tc>
        <w:tc>
          <w:tcPr>
            <w:tcW w:w="12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1,442,067</w:t>
            </w:r>
          </w:p>
        </w:tc>
      </w:tr>
    </w:tbl>
    <w:p>
      <w:pPr>
        <w:spacing w:after="0" w:line="17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No. 2. Ratification of Appointment of Auditors. </w:t>
      </w:r>
      <w:r>
        <w:rPr>
          <w:rFonts w:ascii="Times New Roman" w:cs="Times New Roman" w:eastAsia="Times New Roman" w:hAnsi="Times New Roman"/>
          <w:sz w:val="18"/>
          <w:szCs w:val="18"/>
          <w:color w:val="auto"/>
        </w:rPr>
        <w:t>The proposal to ratify the appointment of Deloitte &amp; Touche LLP to serve as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 registered public accounting firm for fiscal year 2026 was approved by the following votes: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28"/>
        </w:trPr>
        <w:tc>
          <w:tcPr>
            <w:tcW w:w="3620" w:type="dxa"/>
            <w:vAlign w:val="bottom"/>
            <w:tcBorders>
              <w:top w:val="single" w:sz="8" w:color="auto"/>
            </w:tcBorders>
          </w:tcPr>
          <w:p>
            <w:pPr>
              <w:jc w:val="right"/>
              <w:ind w:right="1310"/>
              <w:spacing w:after="0"/>
              <w:rPr>
                <w:sz w:val="20"/>
                <w:szCs w:val="20"/>
                <w:color w:val="auto"/>
              </w:rPr>
            </w:pPr>
            <w:r>
              <w:rPr>
                <w:rFonts w:ascii="Times New Roman" w:cs="Times New Roman" w:eastAsia="Times New Roman" w:hAnsi="Times New Roman"/>
                <w:sz w:val="18"/>
                <w:szCs w:val="18"/>
                <w:color w:val="auto"/>
              </w:rPr>
              <w:t>28,201,021</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right"/>
              <w:ind w:right="1410"/>
              <w:spacing w:after="0"/>
              <w:rPr>
                <w:sz w:val="20"/>
                <w:szCs w:val="20"/>
                <w:color w:val="auto"/>
              </w:rPr>
            </w:pPr>
            <w:r>
              <w:rPr>
                <w:rFonts w:ascii="Times New Roman" w:cs="Times New Roman" w:eastAsia="Times New Roman" w:hAnsi="Times New Roman"/>
                <w:sz w:val="18"/>
                <w:szCs w:val="18"/>
                <w:color w:val="auto"/>
              </w:rPr>
              <w:t>181,866</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right"/>
              <w:ind w:right="1450"/>
              <w:spacing w:after="0"/>
              <w:rPr>
                <w:sz w:val="20"/>
                <w:szCs w:val="20"/>
                <w:color w:val="auto"/>
              </w:rPr>
            </w:pPr>
            <w:r>
              <w:rPr>
                <w:rFonts w:ascii="Times New Roman" w:cs="Times New Roman" w:eastAsia="Times New Roman" w:hAnsi="Times New Roman"/>
                <w:sz w:val="18"/>
                <w:szCs w:val="18"/>
                <w:color w:val="auto"/>
              </w:rPr>
              <w:t>16,590</w:t>
            </w:r>
          </w:p>
        </w:tc>
      </w:tr>
    </w:tbl>
    <w:p>
      <w:pPr>
        <w:spacing w:after="0" w:line="175" w:lineRule="exact"/>
        <w:rPr>
          <w:sz w:val="20"/>
          <w:szCs w:val="20"/>
          <w:color w:val="auto"/>
        </w:rPr>
      </w:pPr>
    </w:p>
    <w:p>
      <w:pPr>
        <w:jc w:val="both"/>
        <w:ind w:right="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Proposal No. 3. Advisory Approval of the Compensation of the Company’s Named Executive Officers. </w:t>
      </w:r>
      <w:r>
        <w:rPr>
          <w:rFonts w:ascii="Times New Roman" w:cs="Times New Roman" w:eastAsia="Times New Roman" w:hAnsi="Times New Roman"/>
          <w:sz w:val="17"/>
          <w:szCs w:val="17"/>
          <w:color w:val="auto"/>
        </w:rPr>
        <w:t>The proposal to approve, on an advisory basis,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compensation of the Company’s named executive officers, as described in the Company’s 2026 proxy statement, was approved by the following votes: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2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8"/>
        </w:trPr>
        <w:tc>
          <w:tcPr>
            <w:tcW w:w="2700" w:type="dxa"/>
            <w:vAlign w:val="bottom"/>
            <w:tcBorders>
              <w:top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26,617,695</w:t>
            </w:r>
          </w:p>
        </w:tc>
        <w:tc>
          <w:tcPr>
            <w:tcW w:w="240" w:type="dxa"/>
            <w:vAlign w:val="bottom"/>
          </w:tcPr>
          <w:p>
            <w:pPr>
              <w:spacing w:after="0"/>
              <w:rPr>
                <w:sz w:val="19"/>
                <w:szCs w:val="19"/>
                <w:color w:val="auto"/>
              </w:rPr>
            </w:pPr>
          </w:p>
        </w:tc>
        <w:tc>
          <w:tcPr>
            <w:tcW w:w="2580" w:type="dxa"/>
            <w:vAlign w:val="bottom"/>
            <w:tcBorders>
              <w:top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323,061</w:t>
            </w:r>
          </w:p>
        </w:tc>
        <w:tc>
          <w:tcPr>
            <w:tcW w:w="240" w:type="dxa"/>
            <w:vAlign w:val="bottom"/>
          </w:tcPr>
          <w:p>
            <w:pPr>
              <w:spacing w:after="0"/>
              <w:rPr>
                <w:sz w:val="19"/>
                <w:szCs w:val="19"/>
                <w:color w:val="auto"/>
              </w:rPr>
            </w:pPr>
          </w:p>
        </w:tc>
        <w:tc>
          <w:tcPr>
            <w:tcW w:w="2580" w:type="dxa"/>
            <w:vAlign w:val="bottom"/>
            <w:tcBorders>
              <w:top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16,654</w:t>
            </w:r>
          </w:p>
        </w:tc>
        <w:tc>
          <w:tcPr>
            <w:tcW w:w="220" w:type="dxa"/>
            <w:vAlign w:val="bottom"/>
          </w:tcPr>
          <w:p>
            <w:pPr>
              <w:spacing w:after="0"/>
              <w:rPr>
                <w:sz w:val="19"/>
                <w:szCs w:val="19"/>
                <w:color w:val="auto"/>
              </w:rPr>
            </w:pPr>
          </w:p>
        </w:tc>
        <w:tc>
          <w:tcPr>
            <w:tcW w:w="2680" w:type="dxa"/>
            <w:vAlign w:val="bottom"/>
            <w:tcBorders>
              <w:top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1,442,067</w:t>
            </w:r>
          </w:p>
        </w:tc>
      </w:tr>
    </w:tbl>
    <w:p>
      <w:pPr>
        <w:spacing w:after="0" w:line="17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Proposal No. 4. Shareholder Proposal Regarding Governance by Majority Voting and Meeting Adjournment. </w:t>
      </w:r>
      <w:r>
        <w:rPr>
          <w:rFonts w:ascii="Times New Roman" w:cs="Times New Roman" w:eastAsia="Times New Roman" w:hAnsi="Times New Roman"/>
          <w:sz w:val="18"/>
          <w:szCs w:val="18"/>
          <w:color w:val="auto"/>
        </w:rPr>
        <w:t>The shareholder proposal to approve,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an advisory basis, a request that the Company’s Board of Directors take each step necessary so that each voting requirement in the Company’s charter and bylaws that calls for a greater than simple majority vote be replaced by the applicable majority vote standard and to adjourn the applicable shareholder meeting, for up to 2 weeks, if the proposal fails to obtain the required 80% shareholder approval vote on the date of such meeting, was not approved, and received the following votes: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94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2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8"/>
        </w:trPr>
        <w:tc>
          <w:tcPr>
            <w:tcW w:w="2700" w:type="dxa"/>
            <w:vAlign w:val="bottom"/>
            <w:tcBorders>
              <w:top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2,792,010</w:t>
            </w:r>
          </w:p>
        </w:tc>
        <w:tc>
          <w:tcPr>
            <w:tcW w:w="240" w:type="dxa"/>
            <w:vAlign w:val="bottom"/>
          </w:tcPr>
          <w:p>
            <w:pPr>
              <w:spacing w:after="0"/>
              <w:rPr>
                <w:sz w:val="19"/>
                <w:szCs w:val="19"/>
                <w:color w:val="auto"/>
              </w:rPr>
            </w:pPr>
          </w:p>
        </w:tc>
        <w:tc>
          <w:tcPr>
            <w:tcW w:w="2580" w:type="dxa"/>
            <w:vAlign w:val="bottom"/>
            <w:tcBorders>
              <w:top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24,142,655</w:t>
            </w:r>
          </w:p>
        </w:tc>
        <w:tc>
          <w:tcPr>
            <w:tcW w:w="240" w:type="dxa"/>
            <w:vAlign w:val="bottom"/>
          </w:tcPr>
          <w:p>
            <w:pPr>
              <w:spacing w:after="0"/>
              <w:rPr>
                <w:sz w:val="19"/>
                <w:szCs w:val="19"/>
                <w:color w:val="auto"/>
              </w:rPr>
            </w:pPr>
          </w:p>
        </w:tc>
        <w:tc>
          <w:tcPr>
            <w:tcW w:w="2580" w:type="dxa"/>
            <w:vAlign w:val="bottom"/>
            <w:tcBorders>
              <w:top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22,745</w:t>
            </w:r>
          </w:p>
        </w:tc>
        <w:tc>
          <w:tcPr>
            <w:tcW w:w="220" w:type="dxa"/>
            <w:vAlign w:val="bottom"/>
          </w:tcPr>
          <w:p>
            <w:pPr>
              <w:spacing w:after="0"/>
              <w:rPr>
                <w:sz w:val="19"/>
                <w:szCs w:val="19"/>
                <w:color w:val="auto"/>
              </w:rPr>
            </w:pPr>
          </w:p>
        </w:tc>
        <w:tc>
          <w:tcPr>
            <w:tcW w:w="2680" w:type="dxa"/>
            <w:vAlign w:val="bottom"/>
            <w:tcBorders>
              <w:top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1,442,067</w:t>
            </w:r>
          </w:p>
        </w:tc>
      </w:tr>
      <w:tr>
        <w:trPr>
          <w:trHeight w:val="1177"/>
        </w:trPr>
        <w:tc>
          <w:tcPr>
            <w:tcW w:w="2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AVIS BUDGET GROUP, INC.</w:t>
      </w:r>
    </w:p>
    <w:p>
      <w:pPr>
        <w:spacing w:after="0" w:line="200" w:lineRule="exact"/>
        <w:rPr>
          <w:sz w:val="20"/>
          <w:szCs w:val="20"/>
          <w:color w:val="auto"/>
        </w:rPr>
      </w:pPr>
    </w:p>
    <w:p>
      <w:pPr>
        <w:spacing w:after="0" w:line="245" w:lineRule="exact"/>
        <w:rPr>
          <w:sz w:val="20"/>
          <w:szCs w:val="20"/>
          <w:color w:val="auto"/>
        </w:rPr>
      </w:pPr>
    </w:p>
    <w:tbl>
      <w:tblPr>
        <w:tblLayout w:type="fixed"/>
        <w:tblInd w:w="620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 M. Sera</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Jean M. Sera</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w w:val="99"/>
              </w:rPr>
              <w:t>Senior Vice President, General Counsel, Chief</w:t>
            </w:r>
          </w:p>
        </w:tc>
      </w:tr>
      <w:tr>
        <w:trPr>
          <w:trHeight w:val="234"/>
        </w:trPr>
        <w:tc>
          <w:tcPr>
            <w:tcW w:w="56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Compliance Officer and Corporate Secretary</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840105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920"/>
      </w:cols>
      <w:pgMar w:left="320" w:top="792"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2026-05-21T15:18:41Z</dcterms:created>
  <dcterms:modified xsi:type="dcterms:W3CDTF">2026-05-21T15:18:41Z</dcterms:modified>
</cp:coreProperties>
</file>