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For the quarterly period ended March 31, 2016</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94,583,375 shares as of April 29, 2016.</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9"/>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0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Months Ended March 31, 2016 and</w:t>
              </w:r>
            </w:hyperlink>
          </w:p>
        </w:tc>
        <w:tc>
          <w:tcPr>
            <w:tcW w:w="48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2015 (Unaudited)</w:t>
              </w:r>
            </w:hyperlink>
          </w:p>
        </w:tc>
        <w:tc>
          <w:tcPr>
            <w:tcW w:w="7680" w:type="dxa"/>
            <w:vAlign w:val="bottom"/>
            <w:tcBorders>
              <w:top w:val="single" w:sz="8" w:color="0000EE"/>
            </w:tcBorders>
            <w:gridSpan w:val="10"/>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March 31, 2016 and December 31, 2015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Three Months Ended March 31, 2016 and 2015</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5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0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8"/>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Controls and Procedures</w:t>
              </w:r>
            </w:hyperlink>
          </w:p>
        </w:tc>
        <w:tc>
          <w:tcPr>
            <w:tcW w:w="2700" w:type="dxa"/>
            <w:vAlign w:val="bottom"/>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7560" w:type="dxa"/>
            <w:vAlign w:val="bottom"/>
            <w:gridSpan w:val="8"/>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Legal Proceedings</w:t>
              </w:r>
            </w:hyperlink>
          </w:p>
        </w:tc>
        <w:tc>
          <w:tcPr>
            <w:tcW w:w="8060" w:type="dxa"/>
            <w:vAlign w:val="bottom"/>
            <w:gridSpan w:val="10"/>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Exhibits</w:t>
              </w:r>
            </w:hyperlink>
          </w:p>
        </w:tc>
        <w:tc>
          <w:tcPr>
            <w:tcW w:w="4220" w:type="dxa"/>
            <w:vAlign w:val="bottom"/>
            <w:gridSpan w:val="8"/>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2015 Annual Report on Form 10-K filed with the Securities and Exchange Commission on February 24, 2016 (the “2015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5" w:lineRule="exact"/>
        <w:rPr>
          <w:sz w:val="20"/>
          <w:szCs w:val="20"/>
          <w:color w:val="auto"/>
        </w:rPr>
      </w:pPr>
    </w:p>
    <w:p>
      <w:pPr>
        <w:jc w:val="both"/>
        <w:ind w:left="9040"/>
        <w:spacing w:after="0"/>
        <w:tabs>
          <w:tab w:leader="none" w:pos="1052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28575</wp:posOffset>
            </wp:positionV>
            <wp:extent cx="1818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ectPr>
          <w:pgSz w:w="11900" w:h="16838" w:orient="portrait"/>
          <w:cols w:equalWidth="0" w:num="1">
            <w:col w:w="11420"/>
          </w:cols>
          <w:pgMar w:left="240" w:top="140" w:right="239" w:bottom="1016" w:gutter="0" w:footer="0" w:header="0"/>
        </w:sectPr>
      </w:pP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rental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revenues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expense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expenses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before income taxes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income taxes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1,319</w:t>
            </w:r>
          </w:p>
        </w:tc>
      </w:tr>
      <w:tr>
        <w:trPr>
          <w:trHeight w:val="277"/>
        </w:trPr>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r>
      <w:tr>
        <w:trPr>
          <w:trHeight w:val="250"/>
        </w:trPr>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r>
      <w:tr>
        <w:trPr>
          <w:trHeight w:val="756"/>
        </w:trPr>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50"/>
        </w:trPr>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r>
    </w:tbl>
    <w:p>
      <w:pPr>
        <w:spacing w:after="0" w:line="269" w:lineRule="exact"/>
        <w:rPr>
          <w:sz w:val="20"/>
          <w:szCs w:val="20"/>
          <w:color w:val="auto"/>
        </w:rPr>
      </w:pPr>
    </w:p>
    <w:p>
      <w:pPr>
        <w:ind w:left="2500" w:hanging="1494"/>
        <w:spacing w:after="0"/>
        <w:tabs>
          <w:tab w:leader="none" w:pos="2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w:t>
      </w:r>
    </w:p>
    <w:p>
      <w:pPr>
        <w:spacing w:after="0" w:line="63" w:lineRule="exact"/>
        <w:rPr>
          <w:sz w:val="20"/>
          <w:szCs w:val="20"/>
          <w:color w:val="auto"/>
        </w:rPr>
      </w:pPr>
    </w:p>
    <w:p>
      <w:pPr>
        <w:ind w:left="2600" w:hanging="1594"/>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60"/>
          </w:cols>
          <w:pgMar w:left="240" w:top="140" w:right="239" w:bottom="1016" w:gutter="0" w:footer="0" w:header="0"/>
          <w:type w:val="continuous"/>
        </w:sectPr>
      </w:pP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5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520" w:type="dxa"/>
            <w:vAlign w:val="bottom"/>
            <w:vMerge w:val="continue"/>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73"/>
        </w:trPr>
        <w:tc>
          <w:tcPr>
            <w:tcW w:w="85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2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8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016"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01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w:t>
            </w:r>
          </w:p>
        </w:tc>
        <w:tc>
          <w:tcPr>
            <w:tcW w:w="2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cost—42 and 39 shares, respectively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2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26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(3,195)</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2,444</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32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32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932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 exclusive of vehicle programs</w:t>
            </w:r>
          </w:p>
        </w:tc>
        <w:tc>
          <w:tcPr>
            <w:tcW w:w="10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(3,458)</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540"/>
        </w:trPr>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In first quarter 2016, the Company completed the purchase price allocation for the acquisition of its Avis and Budget licensees in Norway, Sweden and Denmark, and there were no material adjustments to the preliminary allocation. The fair value of the assets acquired and liabilities assumed in connection with the Company’s second quarter 2015 acquisitions of its Brazilian licensee and Maggiore Group has not yet been finalized; however, there have been no significant changes to the preliminary allocation of the purchase price in first quarter 2016.</w:t>
      </w:r>
    </w:p>
    <w:p>
      <w:pPr>
        <w:spacing w:after="0" w:line="209"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2015 Form 10-K.</w:t>
      </w:r>
    </w:p>
    <w:p>
      <w:pPr>
        <w:spacing w:after="0" w:line="189"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intercompany loan hedges within interest expense related to corporate debt, net. During the three months ended March 31, 2016 and 2015, the Company recorded losses of $3 million and $4 million, respectively, on such items.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38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Accounting Standards Update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The adoption of this accounting pronouncement did not have a material impact on the Company’s Consolidated Financial Statements.</w:t>
      </w:r>
    </w:p>
    <w:p>
      <w:pPr>
        <w:spacing w:after="0" w:line="206"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2015-05, “Customer’s Accounting for Fees Paid in a Cloud Computing Arrangement,” which provides guidance for determining whether a cloud computing arrangement contains a software license that should be accounted for as internal-use software, rather than as a service contract. The adoption of this accounting pronouncement did not have a material impact on the Company’s Consolidated Financial Statements.</w:t>
      </w:r>
    </w:p>
    <w:p>
      <w:pPr>
        <w:spacing w:after="0" w:line="204"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The adoption of this accounting pronouncement did not have an impact on the Company’s Consolidated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March 2016, the Financial Accounting Standards Board (“FASB”) issued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 ASU 2016-09 becomes effective for the Company on January 1, 2017. The Company is currently evaluating the effect of this accounting pronouncement on its Consolidated Financial Statements.</w:t>
      </w:r>
    </w:p>
    <w:p>
      <w:pPr>
        <w:spacing w:after="0" w:line="206"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In February 2016, the FASB issued ASU 2016-02, “Leases,” which requires a lessee to recognize all long-term leases on its balance sheet as a liability for its lease obligation, measured at the present value of lease payments not yet paid, and a corresponding asset representing its right to use the underlying asset over the lease term. ASU 2016-02 becomes effective for the Company on January 1, 2019. Early adoption is permitted. The Company is currently evaluating the effect of this accounting pronouncement on its Consolidated Financial Statements.</w:t>
      </w:r>
    </w:p>
    <w:p>
      <w:pPr>
        <w:spacing w:after="0" w:line="206"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206"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2018. The Company is currently evaluating the effect of this accounting pronouncement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40"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three months ended March 31, 2016, as part of this process, the Company formally communicated the termination of employment to approximately 240 employees, and as of March 31, 2016, the Company had terminated approximately 100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$10 million related to this initiative to be incurred in 2016.</w:t>
      </w:r>
    </w:p>
    <w:p>
      <w:pPr>
        <w:spacing w:after="0" w:line="212"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(the “Acquisition integration”). During the three months ended March 31, 2016, as part of this process, the Company formally communicated the termination of employment to approximately 70 employees, and as of March 31, 2016, the Company had terminated approximately 35 of these employees. The Company expects further restructuring expense of approximately $8 million related to this initiative to be incurred in 2016.</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activity related to our restructuring liabilities:</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Americas</w:t>
            </w:r>
          </w:p>
        </w:tc>
        <w:tc>
          <w:tcPr>
            <w:tcW w:w="20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March 31, 2016</w:t>
            </w: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Personnel</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Facility</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Related</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color w:val="auto"/>
                <w:vertAlign w:val="superscript"/>
              </w:rPr>
              <w:t>(a)</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11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11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11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11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March 31, 2016</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expense related to the write-down of certain vehicle assets.</w:t>
      </w:r>
    </w:p>
    <w:p>
      <w:pPr>
        <w:spacing w:after="0" w:line="200" w:lineRule="exact"/>
        <w:rPr>
          <w:rFonts w:ascii="Arial" w:cs="Arial" w:eastAsia="Arial" w:hAnsi="Arial"/>
          <w:sz w:val="22"/>
          <w:szCs w:val="22"/>
          <w:color w:val="auto"/>
          <w:vertAlign w:val="superscript"/>
        </w:rPr>
      </w:pPr>
    </w:p>
    <w:p>
      <w:pPr>
        <w:spacing w:after="0" w:line="251" w:lineRule="exact"/>
        <w:rPr>
          <w:rFonts w:ascii="Arial" w:cs="Arial" w:eastAsia="Arial" w:hAnsi="Arial"/>
          <w:sz w:val="22"/>
          <w:szCs w:val="22"/>
          <w:color w:val="auto"/>
          <w:vertAlign w:val="superscript"/>
        </w:rPr>
      </w:pPr>
    </w:p>
    <w:p>
      <w:pPr>
        <w:ind w:left="5660"/>
        <w:spacing w:after="0"/>
        <w:rPr>
          <w:rFonts w:ascii="Arial" w:cs="Arial" w:eastAsia="Arial" w:hAnsi="Arial"/>
          <w:sz w:val="22"/>
          <w:szCs w:val="22"/>
          <w:color w:val="auto"/>
          <w:vertAlign w:val="superscript"/>
        </w:rPr>
      </w:pPr>
      <w:r>
        <w:rPr>
          <w:rFonts w:ascii="Arial" w:cs="Arial" w:eastAsia="Arial" w:hAnsi="Arial"/>
          <w:sz w:val="18"/>
          <w:szCs w:val="18"/>
          <w:color w:val="auto"/>
        </w:rPr>
        <w:t>9</w:t>
      </w:r>
    </w:p>
    <w:p>
      <w:pPr>
        <w:sectPr>
          <w:pgSz w:w="11900" w:h="16838" w:orient="portrait"/>
          <w:cols w:equalWidth="0" w:num="1">
            <w:col w:w="11280"/>
          </w:cols>
          <w:pgMar w:left="240" w:top="140"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loss per share (“EPS”) (shares in millions):</w:t>
      </w:r>
    </w:p>
    <w:p>
      <w:pPr>
        <w:spacing w:after="0" w:line="149"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r>
      <w:tr>
        <w:trPr>
          <w:trHeight w:val="244"/>
        </w:trPr>
        <w:tc>
          <w:tcPr>
            <w:tcW w:w="7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Net loss for basic and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57"/>
        </w:trPr>
        <w:tc>
          <w:tcPr>
            <w:tcW w:w="7920" w:type="dxa"/>
            <w:vAlign w:val="bottom"/>
          </w:tcPr>
          <w:p>
            <w:pPr>
              <w:ind w:left="20"/>
              <w:spacing w:after="0"/>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443"/>
        </w:trPr>
        <w:tc>
          <w:tcPr>
            <w:tcW w:w="7920" w:type="dxa"/>
            <w:vAlign w:val="bottom"/>
          </w:tcPr>
          <w:p>
            <w:pPr>
              <w:ind w:left="20"/>
              <w:spacing w:after="0"/>
              <w:rPr>
                <w:sz w:val="20"/>
                <w:szCs w:val="20"/>
                <w:color w:val="auto"/>
              </w:rPr>
            </w:pPr>
            <w:r>
              <w:rPr>
                <w:rFonts w:ascii="Arial" w:cs="Arial" w:eastAsia="Arial" w:hAnsi="Arial"/>
                <w:sz w:val="18"/>
                <w:szCs w:val="18"/>
                <w:i w:val="1"/>
                <w:iCs w:val="1"/>
                <w:color w:val="auto"/>
              </w:rPr>
              <w:t>Loss per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9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6"/>
        </w:trPr>
        <w:tc>
          <w:tcPr>
            <w:tcW w:w="7920" w:type="dxa"/>
            <w:vAlign w:val="bottom"/>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5" w:lineRule="exact"/>
        <w:rPr>
          <w:sz w:val="20"/>
          <w:szCs w:val="20"/>
          <w:color w:val="auto"/>
        </w:rPr>
      </w:pPr>
    </w:p>
    <w:p>
      <w:pPr>
        <w:ind w:left="820" w:hanging="326"/>
        <w:spacing w:after="0" w:line="221" w:lineRule="auto"/>
        <w:tabs>
          <w:tab w:leader="none" w:pos="820" w:val="left"/>
        </w:tabs>
        <w:numPr>
          <w:ilvl w:val="1"/>
          <w:numId w:val="9"/>
        </w:numPr>
        <w:rPr>
          <w:rFonts w:ascii="Arial" w:cs="Arial" w:eastAsia="Arial" w:hAnsi="Arial"/>
          <w:sz w:val="22"/>
          <w:szCs w:val="22"/>
          <w:color w:val="auto"/>
          <w:vertAlign w:val="superscript"/>
        </w:rPr>
      </w:pPr>
      <w:r>
        <w:rPr>
          <w:rFonts w:ascii="Arial" w:cs="Arial" w:eastAsia="Arial" w:hAnsi="Arial"/>
          <w:sz w:val="16"/>
          <w:szCs w:val="16"/>
          <w:color w:val="auto"/>
        </w:rPr>
        <w:t>As the Company incurred a net loss for the three months ended March 31, 2016 and 2015, 0.8 million outstanding options, in each period, and 2.4 million and 2.1 million non-vested stock awards, respectively, have an anti-dilutive effect and therefore are excluded from the computation of diluted weighted average shares outstanding.</w:t>
      </w:r>
    </w:p>
    <w:p>
      <w:pPr>
        <w:spacing w:after="0" w:line="186"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r>
      <w:tr>
        <w:trPr>
          <w:trHeight w:val="246"/>
        </w:trPr>
        <w:tc>
          <w:tcPr>
            <w:tcW w:w="6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31, 2015</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2016</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6"/>
                <w:szCs w:val="16"/>
                <w:b w:val="1"/>
                <w:bCs w:val="1"/>
                <w:color w:val="auto"/>
              </w:rPr>
              <w:t>As of December 31, 2015</w:t>
            </w:r>
          </w:p>
        </w:tc>
        <w:tc>
          <w:tcPr>
            <w:tcW w:w="880" w:type="dxa"/>
            <w:vAlign w:val="bottom"/>
            <w:tcBorders>
              <w:bottom w:val="single" w:sz="8" w:color="auto"/>
            </w:tcBorders>
          </w:tcPr>
          <w:p>
            <w:pPr>
              <w:spacing w:after="0"/>
              <w:rPr>
                <w:sz w:val="19"/>
                <w:szCs w:val="19"/>
                <w:color w:val="auto"/>
              </w:rPr>
            </w:pPr>
          </w:p>
        </w:tc>
      </w:tr>
      <w:tr>
        <w:trPr>
          <w:trHeight w:val="176"/>
        </w:trPr>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r>
      <w:tr>
        <w:trPr>
          <w:trHeight w:val="19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r>
      <w:tr>
        <w:trPr>
          <w:trHeight w:val="251"/>
        </w:trPr>
        <w:tc>
          <w:tcPr>
            <w:tcW w:w="268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7"/>
        </w:trPr>
        <w:tc>
          <w:tcPr>
            <w:tcW w:w="268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Unamortized Intangible Assets</w:t>
      </w:r>
    </w:p>
    <w:p>
      <w:pPr>
        <w:sectPr>
          <w:pgSz w:w="11900" w:h="16838" w:orient="portrait"/>
          <w:cols w:equalWidth="0" w:num="1">
            <w:col w:w="11360"/>
          </w:cols>
          <w:pgMar w:left="240" w:top="140" w:right="299" w:bottom="1440" w:gutter="0" w:footer="0" w:header="0"/>
        </w:sectPr>
      </w:pPr>
    </w:p>
    <w:p>
      <w:pPr>
        <w:spacing w:after="0" w:line="61"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Trademarks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2015 reflects currency translation.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735" w:hanging="735"/>
        <w:spacing w:after="0"/>
        <w:tabs>
          <w:tab w:leader="none" w:pos="7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973</w:t>
      </w:r>
    </w:p>
    <w:p>
      <w:pPr>
        <w:spacing w:after="0" w:line="101" w:lineRule="exact"/>
        <w:rPr>
          <w:rFonts w:ascii="Arial" w:cs="Arial" w:eastAsia="Arial" w:hAnsi="Arial"/>
          <w:sz w:val="17"/>
          <w:szCs w:val="17"/>
          <w:color w:val="auto"/>
        </w:rPr>
      </w:pPr>
    </w:p>
    <w:p>
      <w:pPr>
        <w:ind w:left="735" w:hanging="735"/>
        <w:spacing w:after="0"/>
        <w:tabs>
          <w:tab w:leader="none" w:pos="7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39370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-165735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-148590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6640" w:space="445"/>
            <w:col w:w="4275"/>
          </w:cols>
          <w:pgMar w:left="240" w:top="140" w:right="299" w:bottom="1440" w:gutter="0" w:footer="0" w:header="0"/>
          <w:type w:val="continuous"/>
        </w:sectPr>
      </w:pPr>
    </w:p>
    <w:p>
      <w:pPr>
        <w:ind w:left="500" w:right="20"/>
        <w:spacing w:after="0" w:line="254" w:lineRule="auto"/>
        <w:rPr>
          <w:sz w:val="20"/>
          <w:szCs w:val="20"/>
          <w:color w:val="auto"/>
        </w:rPr>
      </w:pPr>
      <w:r>
        <w:rPr>
          <w:rFonts w:ascii="Arial" w:cs="Arial" w:eastAsia="Arial" w:hAnsi="Arial"/>
          <w:sz w:val="18"/>
          <w:szCs w:val="18"/>
          <w:color w:val="auto"/>
        </w:rPr>
        <w:t>For the three months ended March 31, 2016 and 2015, amortization expense related to amortizable intangible assets was approximately $17 million and $11 million, respectively. Based on the Company’s amortizable intangible assets at March 31, 2016, the Company expects amortization expense of approximately $47 million for the remainder of 2016, $56 million for 2017, $42 million for 2018, $39 million for 2019, $39 million for 2020 and $24 million for 2021, excluding effects of currency exchange rates.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40" w:right="2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11,953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57"/>
        </w:trPr>
        <w:tc>
          <w:tcPr>
            <w:tcW w:w="7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Gain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0"/>
        </w:trPr>
        <w:tc>
          <w:tcPr>
            <w:tcW w:w="7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At March 31, 2016 and 2015, the Company had payables related to vehicle purchases included in liabilities under vehicle programs - other of $467 million and $428 million, respectively, and receivables related to vehicle sales included in assets under vehicle programs - receivables from vehicle manufacturers and other of $331 million and $246 million, respectively.</w:t>
      </w:r>
    </w:p>
    <w:p>
      <w:pPr>
        <w:spacing w:after="0" w:line="180" w:lineRule="exact"/>
        <w:rPr>
          <w:sz w:val="20"/>
          <w:szCs w:val="20"/>
          <w:color w:val="auto"/>
        </w:rPr>
      </w:pPr>
    </w:p>
    <w:p>
      <w:pPr>
        <w:ind w:left="500" w:right="6160" w:hanging="492"/>
        <w:spacing w:after="0" w:line="488"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4⅞% Senior Notes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5"/>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These notes have been called for redemption.</w:t>
      </w:r>
    </w:p>
    <w:p>
      <w:pPr>
        <w:ind w:left="820" w:right="160" w:hanging="326"/>
        <w:spacing w:after="0" w:line="211"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March 31, 2016; the Company has entered into an interest rate swap to hedge its interest rate exposure related to these notes at an aggregate rate of 3.58%.</w:t>
      </w:r>
    </w:p>
    <w:p>
      <w:pPr>
        <w:ind w:left="820" w:hanging="326"/>
        <w:spacing w:after="0" w:line="225"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2016,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Primarily includes leases which are secured by liens on the related assets.</w:t>
      </w:r>
    </w:p>
    <w:p>
      <w:pPr>
        <w:sectPr>
          <w:pgSz w:w="11900" w:h="16838" w:orient="portrait"/>
          <w:cols w:equalWidth="0" w:num="1">
            <w:col w:w="11340"/>
          </w:cols>
          <w:pgMar w:left="240" w:top="140" w:right="31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40"/>
          </w:cols>
          <w:pgMar w:left="240" w:top="140" w:right="3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In March 2016, the Company issued $350 million of 6⅜% Senior Notes due 2024 at par. The Company will use the net proceeds from the offering to redeem $300 million principal amount of its 4⅞% Senior Notes due 2017 and for general corporate purposes.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2016,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918</w:t>
            </w:r>
          </w:p>
        </w:tc>
      </w:tr>
      <w:tr>
        <w:trPr>
          <w:trHeight w:val="221"/>
        </w:trPr>
        <w:tc>
          <w:tcPr>
            <w:tcW w:w="422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20" w:hanging="326"/>
        <w:spacing w:after="0"/>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4.50%.</w:t>
      </w:r>
    </w:p>
    <w:p>
      <w:pPr>
        <w:spacing w:after="0" w:line="174"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At March 31, 2016, the Company had various uncommitted credit facilities available, under which it had drawn approximately $4 million, which bear interest at rates between 0.06% and 3.91%.</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March 31, 2016, the Company is in compliance with the financial covenants governing its indebtedness.</w:t>
      </w:r>
    </w:p>
    <w:p>
      <w:pPr>
        <w:spacing w:after="0" w:line="16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7,665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2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right="60" w:hanging="326"/>
        <w:spacing w:after="0" w:line="210"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March 31, 2016 and December 31, 2015 were $42 million and $41 million, respectively.</w:t>
      </w:r>
    </w:p>
    <w:p>
      <w:pPr>
        <w:spacing w:after="0" w:line="209" w:lineRule="exact"/>
        <w:rPr>
          <w:sz w:val="20"/>
          <w:szCs w:val="20"/>
          <w:color w:val="auto"/>
        </w:rPr>
      </w:pPr>
    </w:p>
    <w:p>
      <w:pPr>
        <w:ind w:left="500" w:right="480"/>
        <w:spacing w:after="0" w:line="262" w:lineRule="auto"/>
        <w:rPr>
          <w:sz w:val="20"/>
          <w:szCs w:val="20"/>
          <w:color w:val="auto"/>
        </w:rPr>
      </w:pPr>
      <w:r>
        <w:rPr>
          <w:rFonts w:ascii="Arial" w:cs="Arial" w:eastAsia="Arial" w:hAnsi="Arial"/>
          <w:sz w:val="18"/>
          <w:szCs w:val="18"/>
          <w:color w:val="auto"/>
        </w:rPr>
        <w:t>In March 2016, the Company’s Avis Budget Rental Car Funding subsidiary issued $450 million in asset-backed notes at a weighted average interest rate of 3.25%. The expected final payment date of these notes is June 2021.</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2016.</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6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c>
          <w:tcPr>
            <w:tcW w:w="0" w:type="dxa"/>
            <w:vAlign w:val="bottom"/>
          </w:tcPr>
          <w:p>
            <w:pPr>
              <w:spacing w:after="0"/>
              <w:rPr>
                <w:sz w:val="1"/>
                <w:szCs w:val="1"/>
                <w:color w:val="auto"/>
              </w:rPr>
            </w:pP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83"/>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64"/>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2"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Vehicle backed debt maturing within one year primarily represents term asset-backed securities.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As of March 31, 2016, available funding under the Company’s vehicle programs, including related party debt due to Avis Budget Rental Car Funding, consisted of:</w:t>
      </w:r>
    </w:p>
    <w:p>
      <w:pPr>
        <w:sectPr>
          <w:pgSz w:w="11900" w:h="16838" w:orient="portrait"/>
          <w:cols w:equalWidth="0" w:num="1">
            <w:col w:w="11380"/>
          </w:cols>
          <w:pgMar w:left="240" w:top="140" w:right="27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21"/>
                <w:szCs w:val="21"/>
                <w:b w:val="1"/>
                <w:bCs w:val="1"/>
                <w:color w:val="auto"/>
                <w:w w:val="94"/>
                <w:vertAlign w:val="superscript"/>
              </w:rPr>
              <w:t>(a)</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2"/>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$9.3 billion of underlying vehicles and related assets.</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$0.9 billion of underlying vehicles and related assets.</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$1.8 billion of underlying vehicles and related assets.</w:t>
      </w:r>
    </w:p>
    <w:p>
      <w:pPr>
        <w:ind w:left="820" w:hanging="326"/>
        <w:spacing w:after="0" w:line="184"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$0.2 billion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06"/>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326"/>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1,600</w:t>
      </w:r>
    </w:p>
    <w:p>
      <w:pPr>
        <w:spacing w:after="0" w:line="63"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301</w:t>
      </w:r>
    </w:p>
    <w:p>
      <w:pPr>
        <w:spacing w:after="0" w:line="75"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1,128</w:t>
      </w:r>
    </w:p>
    <w:p>
      <w:pPr>
        <w:spacing w:after="0" w:line="6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27</w:t>
      </w:r>
    </w:p>
    <w:p>
      <w:pPr>
        <w:spacing w:after="0" w:line="6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926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798" w:lineRule="exact"/>
        <w:rPr>
          <w:sz w:val="20"/>
          <w:szCs w:val="20"/>
          <w:color w:val="auto"/>
        </w:rPr>
      </w:pPr>
    </w:p>
    <w:p>
      <w:pPr>
        <w:sectPr>
          <w:pgSz w:w="11900" w:h="16838" w:orient="portrait"/>
          <w:cols w:equalWidth="0" w:num="2">
            <w:col w:w="9260" w:space="134"/>
            <w:col w:w="1986"/>
          </w:cols>
          <w:pgMar w:left="240" w:top="140" w:right="279" w:bottom="1440" w:gutter="0" w:footer="0" w:header="0"/>
          <w:type w:val="continuous"/>
        </w:sectPr>
      </w:pPr>
    </w:p>
    <w:p>
      <w:pPr>
        <w:spacing w:after="0" w:line="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2016,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40" w:right="2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70" w:lineRule="auto"/>
        <w:rPr>
          <w:sz w:val="20"/>
          <w:szCs w:val="20"/>
          <w:color w:val="auto"/>
        </w:rPr>
      </w:pPr>
      <w:r>
        <w:rPr>
          <w:rFonts w:ascii="Arial" w:cs="Arial" w:eastAsia="Arial" w:hAnsi="Arial"/>
          <w:sz w:val="17"/>
          <w:szCs w:val="17"/>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violated competition law through the distribution by airports of company-specific statistics to car rental companies operating at those airports; and (ii) two other international car rental companies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193"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$ 25 million as well as reimbursements to current and former customers of amounts collected and retained by the Company related to the alleged deceptive marketing practices. The Company believes that it has valid defenses and intends to vigorously defend against the allegations.</w:t>
      </w:r>
    </w:p>
    <w:p>
      <w:pPr>
        <w:spacing w:after="0" w:line="209"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competition matter discussed above, the Company estimates that the potential exposure resulting from adverse outcomes of legal proceedings in which it is reasonably possible that a loss may be incurred could, in the aggregate, be up to approximately $ 30 million in excess of amounts accrued as of March 31, 2016; however, the Company does not believe that the impact should result in a material liability to the Company in relation to its consolidated financial condition or results of operations.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$5.2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Concentrations of credit risk at March 31, 2016 include (i) risks related to the Company’s repurchase and guaranteed depreciation agreements with domestic and foreign car manufacturers, including Ford, General Motors, Chrysler, Peugeot, Volkswagen, Fiat, Kia, Toyota, Mercedes, Renault, Hyundai and BMW, and primarily with respect to receivables for program cars that have been disposed but for which the Company has not yet received payment from the manufacturers and (ii) risks related to Realogy and Wyndham, including receivables of $ 55 million and $33 million, respectively, related to certain contingent, income tax and other corporate liabilities assumed by Realogy and Wyndham in connection with their disposition.</w:t>
      </w:r>
    </w:p>
    <w:p>
      <w:pPr>
        <w:spacing w:after="0" w:line="187" w:lineRule="exact"/>
        <w:rPr>
          <w:sz w:val="20"/>
          <w:szCs w:val="20"/>
          <w:color w:val="auto"/>
        </w:rPr>
      </w:pPr>
    </w:p>
    <w:p>
      <w:pPr>
        <w:ind w:left="500" w:right="9120" w:hanging="492"/>
        <w:spacing w:after="0" w:line="544" w:lineRule="auto"/>
        <w:tabs>
          <w:tab w:leader="none" w:pos="50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1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approximately $1.2 billion of its common stock under a plan originally approved in 2013 and subsequently expanded, most recently in 2016. During the three months ended March 31, 2016, the Company repurchased approximately 3.0 million shares of common stock at a cost of approximately $80 million under the program. During the three months ended March 31, 2015, the Company repurchased approximately 0.5 million shares of common stock at a cost of approximately $31 million under the program. As of March 31, 2016, approximately $360 million of authorization remains available to repurchase common stock under this plan.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47"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9"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$9 and $(24), respectively)</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18"/>
                <w:szCs w:val="18"/>
                <w:color w:val="auto"/>
              </w:rPr>
              <w:t>Net unrealized loss on cash flow hedges (net of tax of $2, in each period)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748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 $0, in each period)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74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8"/>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16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96"/>
              </w:rPr>
              <w:t>Adjustments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Sale 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2016</w:t>
            </w:r>
          </w:p>
        </w:tc>
        <w:tc>
          <w:tcPr>
            <w:tcW w:w="1160" w:type="dxa"/>
            <w:vAlign w:val="bottom"/>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6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3"/>
                <w:szCs w:val="13"/>
                <w:color w:val="auto"/>
              </w:rPr>
              <w:t>Balance, March 31, 2016</w:t>
            </w:r>
          </w:p>
        </w:tc>
        <w:tc>
          <w:tcPr>
            <w:tcW w:w="1160" w:type="dxa"/>
            <w:vAlign w:val="bottom"/>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6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March 31, 2015</w:t>
            </w:r>
          </w:p>
        </w:tc>
        <w:tc>
          <w:tcPr>
            <w:tcW w:w="116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$54 million gain, net of tax, as of March 31, 2016 related to the Company’s hedge of its net investment in Euro-denominated foreign operations (see Note 12 - Financial Instruments).</w:t>
      </w:r>
    </w:p>
    <w:p>
      <w:pPr>
        <w:spacing w:after="0" w:line="5" w:lineRule="exact"/>
        <w:rPr>
          <w:sz w:val="20"/>
          <w:szCs w:val="20"/>
          <w:color w:val="auto"/>
        </w:rPr>
      </w:pPr>
    </w:p>
    <w:p>
      <w:pPr>
        <w:ind w:left="820" w:right="160" w:hanging="326"/>
        <w:spacing w:after="0" w:line="211"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2016 and March 31, 2015, amounts reclassified from accumulated other comprehensive income (loss) into corporate interest expense were $2 million ($1 million, net of tax), in each period.</w:t>
      </w:r>
    </w:p>
    <w:p>
      <w:pPr>
        <w:ind w:left="820" w:right="40" w:hanging="326"/>
        <w:spacing w:after="0" w:line="218"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2016 and March 31, 2015, amounts reclassified from accumulated other comprehensive income (loss) into selling, general and administrative expenses were $1 million ($1 million, net of tax), in each period.</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$8 million and $5 million ($5 million and $3 million, net of tax) during the three months ended March 31, 2016 and 2015, respectively. In jurisdictions with net operating loss carryforwards, exercises and/or vestings of stock-based awards have generated $143 million of total tax deductions at March 31, 2016. Approximately $56 million of tax benefits will be recorded in additional paid-in capital when these tax deductions are realized in these jurisdictions.</w:t>
      </w:r>
    </w:p>
    <w:p>
      <w:pPr>
        <w:spacing w:after="0" w:line="204"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were as follows:</w:t>
      </w:r>
    </w:p>
    <w:p>
      <w:pPr>
        <w:spacing w:after="0" w:line="125"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March 31,</w:t>
            </w:r>
          </w:p>
        </w:tc>
      </w:tr>
      <w:tr>
        <w:trPr>
          <w:trHeight w:val="257"/>
        </w:trPr>
        <w:tc>
          <w:tcPr>
            <w:tcW w:w="6900" w:type="dxa"/>
            <w:vAlign w:val="bottom"/>
          </w:tcPr>
          <w:p>
            <w:pPr>
              <w:spacing w:after="0"/>
              <w:rPr>
                <w:sz w:val="22"/>
                <w:szCs w:val="22"/>
                <w:color w:val="auto"/>
              </w:rPr>
            </w:pPr>
          </w:p>
        </w:tc>
        <w:tc>
          <w:tcPr>
            <w:tcW w:w="12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r>
      <w:tr>
        <w:trPr>
          <w:trHeight w:val="237"/>
        </w:trPr>
        <w:tc>
          <w:tcPr>
            <w:tcW w:w="690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20" w:type="dxa"/>
            <w:vAlign w:val="bottom"/>
          </w:tcPr>
          <w:p>
            <w:pPr>
              <w:jc w:val="center"/>
              <w:ind w:left="339"/>
              <w:spacing w:after="0"/>
              <w:rPr>
                <w:sz w:val="20"/>
                <w:szCs w:val="20"/>
                <w:color w:val="auto"/>
              </w:rPr>
            </w:pPr>
            <w:r>
              <w:rPr>
                <w:rFonts w:ascii="Arial" w:cs="Arial" w:eastAsia="Arial" w:hAnsi="Arial"/>
                <w:sz w:val="16"/>
                <w:szCs w:val="16"/>
                <w:color w:val="auto"/>
                <w:w w:val="99"/>
              </w:rPr>
              <w:t>46%</w:t>
            </w:r>
          </w:p>
        </w:tc>
        <w:tc>
          <w:tcPr>
            <w:tcW w:w="2180" w:type="dxa"/>
            <w:vAlign w:val="bottom"/>
            <w:gridSpan w:val="3"/>
          </w:tcPr>
          <w:p>
            <w:pPr>
              <w:jc w:val="center"/>
              <w:ind w:left="459"/>
              <w:spacing w:after="0"/>
              <w:rPr>
                <w:sz w:val="20"/>
                <w:szCs w:val="20"/>
                <w:color w:val="auto"/>
              </w:rPr>
            </w:pPr>
            <w:r>
              <w:rPr>
                <w:rFonts w:ascii="Arial" w:cs="Arial" w:eastAsia="Arial" w:hAnsi="Arial"/>
                <w:sz w:val="16"/>
                <w:szCs w:val="16"/>
                <w:color w:val="auto"/>
                <w:w w:val="99"/>
              </w:rPr>
              <w:t>37%</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20" w:type="dxa"/>
            <w:vAlign w:val="bottom"/>
          </w:tcPr>
          <w:p>
            <w:pPr>
              <w:jc w:val="center"/>
              <w:ind w:left="359"/>
              <w:spacing w:after="0"/>
              <w:rPr>
                <w:sz w:val="20"/>
                <w:szCs w:val="20"/>
                <w:color w:val="auto"/>
              </w:rPr>
            </w:pPr>
            <w:r>
              <w:rPr>
                <w:rFonts w:ascii="Arial" w:cs="Arial" w:eastAsia="Arial" w:hAnsi="Arial"/>
                <w:sz w:val="16"/>
                <w:szCs w:val="16"/>
                <w:color w:val="auto"/>
              </w:rPr>
              <w:t>0.99%</w:t>
            </w:r>
          </w:p>
        </w:tc>
        <w:tc>
          <w:tcPr>
            <w:tcW w:w="2180" w:type="dxa"/>
            <w:vAlign w:val="bottom"/>
            <w:gridSpan w:val="3"/>
          </w:tcPr>
          <w:p>
            <w:pPr>
              <w:jc w:val="center"/>
              <w:ind w:left="479"/>
              <w:spacing w:after="0"/>
              <w:rPr>
                <w:sz w:val="20"/>
                <w:szCs w:val="20"/>
                <w:color w:val="auto"/>
              </w:rPr>
            </w:pPr>
            <w:r>
              <w:rPr>
                <w:rFonts w:ascii="Arial" w:cs="Arial" w:eastAsia="Arial" w:hAnsi="Arial"/>
                <w:sz w:val="16"/>
                <w:szCs w:val="16"/>
                <w:color w:val="auto"/>
              </w:rPr>
              <w:t>0.74%</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Valuation period</w:t>
            </w:r>
          </w:p>
        </w:tc>
        <w:tc>
          <w:tcPr>
            <w:tcW w:w="1220" w:type="dxa"/>
            <w:vAlign w:val="bottom"/>
          </w:tcPr>
          <w:p>
            <w:pPr>
              <w:ind w:left="560"/>
              <w:spacing w:after="0"/>
              <w:rPr>
                <w:sz w:val="20"/>
                <w:szCs w:val="20"/>
                <w:color w:val="auto"/>
              </w:rPr>
            </w:pPr>
            <w:r>
              <w:rPr>
                <w:rFonts w:ascii="Arial" w:cs="Arial" w:eastAsia="Arial" w:hAnsi="Arial"/>
                <w:sz w:val="16"/>
                <w:szCs w:val="16"/>
                <w:color w:val="auto"/>
              </w:rPr>
              <w:t>3 years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ind w:left="560"/>
              <w:spacing w:after="0"/>
              <w:rPr>
                <w:sz w:val="20"/>
                <w:szCs w:val="20"/>
                <w:color w:val="auto"/>
              </w:rPr>
            </w:pPr>
            <w:r>
              <w:rPr>
                <w:rFonts w:ascii="Arial" w:cs="Arial" w:eastAsia="Arial" w:hAnsi="Arial"/>
                <w:sz w:val="16"/>
                <w:szCs w:val="16"/>
                <w:color w:val="auto"/>
              </w:rPr>
              <w:t>3 years</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Dividend yield</w:t>
            </w:r>
          </w:p>
        </w:tc>
        <w:tc>
          <w:tcPr>
            <w:tcW w:w="1220" w:type="dxa"/>
            <w:vAlign w:val="bottom"/>
          </w:tcPr>
          <w:p>
            <w:pPr>
              <w:jc w:val="center"/>
              <w:ind w:left="359"/>
              <w:spacing w:after="0"/>
              <w:rPr>
                <w:sz w:val="20"/>
                <w:szCs w:val="20"/>
                <w:color w:val="auto"/>
              </w:rPr>
            </w:pPr>
            <w:r>
              <w:rPr>
                <w:rFonts w:ascii="Arial" w:cs="Arial" w:eastAsia="Arial" w:hAnsi="Arial"/>
                <w:sz w:val="16"/>
                <w:szCs w:val="16"/>
                <w:color w:val="auto"/>
              </w:rPr>
              <w:t>0.0%</w:t>
            </w:r>
          </w:p>
        </w:tc>
        <w:tc>
          <w:tcPr>
            <w:tcW w:w="2180" w:type="dxa"/>
            <w:vAlign w:val="bottom"/>
            <w:gridSpan w:val="3"/>
          </w:tcPr>
          <w:p>
            <w:pPr>
              <w:jc w:val="center"/>
              <w:ind w:left="459"/>
              <w:spacing w:after="0"/>
              <w:rPr>
                <w:sz w:val="20"/>
                <w:szCs w:val="20"/>
                <w:color w:val="auto"/>
              </w:rPr>
            </w:pPr>
            <w:r>
              <w:rPr>
                <w:rFonts w:ascii="Arial" w:cs="Arial" w:eastAsia="Arial" w:hAnsi="Arial"/>
                <w:sz w:val="16"/>
                <w:szCs w:val="16"/>
                <w:color w:val="auto"/>
                <w:w w:val="98"/>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2016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195"/>
        </w:trPr>
        <w:tc>
          <w:tcPr>
            <w:tcW w:w="3620" w:type="dxa"/>
            <w:vAlign w:val="bottom"/>
          </w:tcPr>
          <w:p>
            <w:pPr>
              <w:ind w:left="3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3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8"/>
        </w:trPr>
        <w:tc>
          <w:tcPr>
            <w:tcW w:w="362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March 31, 2016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36.48</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00" w:hanging="326"/>
        <w:spacing w:after="0" w:line="220"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three months ended March 31, 2015 was $61.17 and $55.51, respectively.</w:t>
      </w:r>
    </w:p>
    <w:p>
      <w:pPr>
        <w:spacing w:after="0" w:line="1" w:lineRule="exact"/>
        <w:rPr>
          <w:rFonts w:ascii="Arial" w:cs="Arial" w:eastAsia="Arial" w:hAnsi="Arial"/>
          <w:sz w:val="18"/>
          <w:szCs w:val="18"/>
          <w:color w:val="auto"/>
          <w:vertAlign w:val="superscript"/>
        </w:rPr>
      </w:pPr>
    </w:p>
    <w:p>
      <w:pPr>
        <w:ind w:left="820" w:right="20" w:hanging="326"/>
        <w:spacing w:after="0" w:line="211"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three months ended March 31, 2016 and 2015 was $25 million and $23 million, respectively. The total grant date fair value of cash units vested during the three months ended March 31, 2016 and 2015 was $2 million, in each period.</w:t>
      </w:r>
    </w:p>
    <w:p>
      <w:pPr>
        <w:ind w:left="820" w:hanging="326"/>
        <w:spacing w:after="0" w:line="225"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and performance-based and market-based RSUs had aggregate intrinsic values of $28 million and $26 million, respectively. Aggregate unrecognized compensation expense related to time-based RSUs and performance-based and market-based RSUs amounted to $49 million and will be recognized over a weighted average vesting period of 1.7 years. The Company assumes that substantially all outstanding awards will vest over time.</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March 31, 2016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140"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6%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months ended March 31, 2016 and 2015, was not material, nor is the amount of gains or losses the Company expects to reclassify from accumulated other comprehensive income (loss) to earnings over the next 12 months.</w:t>
      </w:r>
    </w:p>
    <w:p>
      <w:pPr>
        <w:spacing w:after="0" w:line="186"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There was no ineffectiveness related to the Company’s cash flow hedges during the three months ended March 31, 2016 and 2015. The Company estimates that $7 million of losses currently recorded in accumulated other comprehensive income (loss) will be recognized in earnings over the next 12 months.</w:t>
      </w:r>
    </w:p>
    <w:p>
      <w:pPr>
        <w:spacing w:after="0" w:line="204" w:lineRule="exact"/>
        <w:rPr>
          <w:rFonts w:ascii="Arial" w:cs="Arial" w:eastAsia="Arial" w:hAnsi="Arial"/>
          <w:sz w:val="18"/>
          <w:szCs w:val="18"/>
          <w:b w:val="1"/>
          <w:bCs w:val="1"/>
          <w:color w:val="auto"/>
        </w:rPr>
      </w:pPr>
    </w:p>
    <w:p>
      <w:pPr>
        <w:ind w:left="50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As of March 31,</w:t>
            </w:r>
          </w:p>
        </w:tc>
      </w:tr>
      <w:tr>
        <w:trPr>
          <w:trHeight w:val="228"/>
        </w:trPr>
        <w:tc>
          <w:tcPr>
            <w:tcW w:w="8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2"/>
        </w:trPr>
        <w:tc>
          <w:tcPr>
            <w:tcW w:w="878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8,674</w:t>
            </w:r>
          </w:p>
        </w:tc>
      </w:tr>
      <w:tr>
        <w:trPr>
          <w:trHeight w:val="195"/>
        </w:trPr>
        <w:tc>
          <w:tcPr>
            <w:tcW w:w="87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43"/>
        </w:trPr>
        <w:tc>
          <w:tcPr>
            <w:tcW w:w="878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473"/>
        </w:trPr>
        <w:tc>
          <w:tcPr>
            <w:tcW w:w="878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Represents $6.9 billion of interest rate caps sold, partially offset by approximately $1.8 billion of interest rate caps purchased. These amounts exclude $5.1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March 31, 2016</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8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8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4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7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57"/>
        </w:trPr>
        <w:tc>
          <w:tcPr>
            <w:tcW w:w="7300" w:type="dxa"/>
            <w:vAlign w:val="bottom"/>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326"/>
        </w:trPr>
        <w:tc>
          <w:tcPr>
            <w:tcW w:w="7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730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730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40"/>
        </w:trPr>
        <w:tc>
          <w:tcPr>
            <w:tcW w:w="7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7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(d)</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300" w:type="dxa"/>
            <w:vAlign w:val="bottom"/>
          </w:tcPr>
          <w:p>
            <w:pPr>
              <w:ind w:left="10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3810</wp:posOffset>
            </wp:positionV>
            <wp:extent cx="19037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211"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2016, included a $9 million gain in interest expense and a $19 million loss in operating expense. For the three months ended March 31, 2015, included a $21 million gain in interest expense and $14 million gain in operating expense.</w:t>
      </w:r>
    </w:p>
    <w:p>
      <w:pPr>
        <w:ind w:left="820" w:hanging="326"/>
        <w:spacing w:after="0" w:line="199"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40"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March 31, 2016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7,623</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7,675</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6,836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3"/>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4540" w:type="dxa"/>
            <w:vAlign w:val="bottom"/>
            <w:gridSpan w:val="2"/>
          </w:tcPr>
          <w:p>
            <w:pPr>
              <w:ind w:left="420"/>
              <w:spacing w:after="0"/>
              <w:rPr>
                <w:sz w:val="20"/>
                <w:szCs w:val="20"/>
                <w:color w:val="auto"/>
              </w:rPr>
            </w:pPr>
            <w:r>
              <w:rPr>
                <w:rFonts w:ascii="Arial" w:cs="Arial" w:eastAsia="Arial" w:hAnsi="Arial"/>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December 31, 2015, there have been no significant changes in segment assets and segment assets under vehicle programs.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140"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months ended March 31, 2016 and 2015, Consolidating Condensed Balance Sheets as of March 31, 2016 and December 31, 2015, and Consolidating Condensed Statements of Cash Flows for the three months ended March 31, 2016 and 2015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7 - Long-term Debt and Borrowing Arrangements for additional description of these guaranteed notes. The Senior Notes are guaranteed by the Parent and certain subsidiaries.</w:t>
      </w:r>
    </w:p>
    <w:p>
      <w:pPr>
        <w:spacing w:after="0" w:line="212"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515"/>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6,816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11,953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12,716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15,959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7,623</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15,959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140"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40"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2,776</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4,694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487"/>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ectPr>
          <w:pgSz w:w="11900" w:h="16838" w:orient="portrait"/>
          <w:cols w:equalWidth="0" w:num="1">
            <w:col w:w="11400"/>
          </w:cols>
          <w:pgMar w:left="240" w:top="140" w:right="25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borrowings (payments)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 exclusive of vehicle programs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borrowings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borrowings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Debt financing fees</w:t>
      </w:r>
    </w:p>
    <w:p>
      <w:pPr>
        <w:spacing w:after="0" w:line="361" w:lineRule="exact"/>
        <w:rPr>
          <w:sz w:val="20"/>
          <w:szCs w:val="20"/>
          <w:color w:val="auto"/>
        </w:rPr>
      </w:pPr>
    </w:p>
    <w:p>
      <w:pPr>
        <w:ind w:left="200" w:right="7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w:t>
      </w:r>
    </w:p>
    <w:p>
      <w:pPr>
        <w:spacing w:after="0" w:line="257" w:lineRule="exact"/>
        <w:rPr>
          <w:sz w:val="20"/>
          <w:szCs w:val="20"/>
          <w:color w:val="auto"/>
        </w:rPr>
      </w:pPr>
    </w:p>
    <w:p>
      <w:pPr>
        <w:ind w:left="200" w:right="40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w:t>
      </w:r>
    </w:p>
    <w:p>
      <w:pPr>
        <w:spacing w:after="0" w:line="275" w:lineRule="exact"/>
        <w:rPr>
          <w:sz w:val="20"/>
          <w:szCs w:val="20"/>
          <w:color w:val="auto"/>
        </w:rPr>
      </w:pPr>
    </w:p>
    <w:p>
      <w:pPr>
        <w:ind w:left="200" w:right="840" w:hanging="161"/>
        <w:spacing w:after="0" w:line="258" w:lineRule="auto"/>
        <w:rPr>
          <w:sz w:val="20"/>
          <w:szCs w:val="20"/>
          <w:color w:val="auto"/>
        </w:rPr>
      </w:pPr>
      <w:r>
        <w:rPr>
          <w:rFonts w:ascii="Arial" w:cs="Arial" w:eastAsia="Arial" w:hAnsi="Arial"/>
          <w:sz w:val="14"/>
          <w:szCs w:val="14"/>
          <w:color w:val="auto"/>
        </w:rPr>
        <w:t>Net increase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period</w:t>
      </w:r>
    </w:p>
    <w:p>
      <w:pPr>
        <w:spacing w:after="0" w:line="96" w:lineRule="exact"/>
        <w:rPr>
          <w:sz w:val="20"/>
          <w:szCs w:val="20"/>
          <w:color w:val="auto"/>
        </w:rPr>
      </w:pPr>
    </w:p>
    <w:p>
      <w:pPr>
        <w:ind w:left="40"/>
        <w:spacing w:after="0"/>
        <w:tabs>
          <w:tab w:leader="none" w:pos="3320" w:val="left"/>
        </w:tabs>
        <w:rPr>
          <w:sz w:val="20"/>
          <w:szCs w:val="20"/>
          <w:color w:val="auto"/>
        </w:rPr>
      </w:pPr>
      <w:r>
        <w:rPr>
          <w:rFonts w:ascii="Arial" w:cs="Arial" w:eastAsia="Arial" w:hAnsi="Arial"/>
          <w:sz w:val="14"/>
          <w:szCs w:val="14"/>
          <w:color w:val="auto"/>
        </w:rPr>
        <w:t>Cash and cash equivalents,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376</w:t>
            </w:r>
          </w:p>
        </w:tc>
      </w:tr>
      <w:tr>
        <w:trPr>
          <w:trHeight w:val="27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jc w:val="right"/>
              <w:ind w:right="108"/>
              <w:spacing w:after="0"/>
              <w:rPr>
                <w:sz w:val="20"/>
                <w:szCs w:val="20"/>
                <w:color w:val="auto"/>
              </w:rPr>
            </w:pPr>
            <w:r>
              <w:rPr>
                <w:rFonts w:ascii="Arial" w:cs="Arial" w:eastAsia="Arial" w:hAnsi="Arial"/>
                <w:sz w:val="14"/>
                <w:szCs w:val="14"/>
                <w:color w:val="auto"/>
                <w:w w:val="96"/>
              </w:rPr>
              <w:t>(33)</w:t>
            </w:r>
          </w:p>
        </w:tc>
        <w:tc>
          <w:tcPr>
            <w:tcW w:w="52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440" w:type="dxa"/>
            <w:vAlign w:val="bottom"/>
          </w:tcPr>
          <w:p>
            <w:pPr>
              <w:jc w:val="right"/>
              <w:ind w:right="108"/>
              <w:spacing w:after="0"/>
              <w:rPr>
                <w:sz w:val="20"/>
                <w:szCs w:val="20"/>
                <w:color w:val="auto"/>
              </w:rPr>
            </w:pPr>
            <w:r>
              <w:rPr>
                <w:rFonts w:ascii="Arial" w:cs="Arial" w:eastAsia="Arial" w:hAnsi="Arial"/>
                <w:sz w:val="14"/>
                <w:szCs w:val="14"/>
                <w:color w:val="auto"/>
                <w:w w:val="96"/>
              </w:rPr>
              <w:t>(33)</w:t>
            </w:r>
          </w:p>
        </w:tc>
        <w:tc>
          <w:tcPr>
            <w:tcW w:w="5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324</w:t>
            </w:r>
          </w:p>
        </w:tc>
      </w:tr>
      <w:tr>
        <w:trPr>
          <w:trHeight w:val="757"/>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3,667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3,667</w:t>
            </w:r>
          </w:p>
        </w:tc>
      </w:tr>
      <w:tr>
        <w:trPr>
          <w:trHeight w:val="27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(3,456)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(3,458)</w:t>
            </w:r>
          </w:p>
        </w:tc>
      </w:tr>
      <w:tr>
        <w:trPr>
          <w:trHeight w:val="276"/>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203</w:t>
            </w:r>
          </w:p>
        </w:tc>
      </w:tr>
      <w:tr>
        <w:trPr>
          <w:trHeight w:val="358"/>
        </w:trPr>
        <w:tc>
          <w:tcPr>
            <w:tcW w:w="440" w:type="dxa"/>
            <w:vAlign w:val="bottom"/>
          </w:tcPr>
          <w:p>
            <w:pPr>
              <w:jc w:val="right"/>
              <w:ind w:right="108"/>
              <w:spacing w:after="0"/>
              <w:rPr>
                <w:sz w:val="20"/>
                <w:szCs w:val="20"/>
                <w:color w:val="auto"/>
              </w:rPr>
            </w:pPr>
            <w:r>
              <w:rPr>
                <w:rFonts w:ascii="Arial" w:cs="Arial" w:eastAsia="Arial" w:hAnsi="Arial"/>
                <w:sz w:val="14"/>
                <w:szCs w:val="14"/>
                <w:color w:val="auto"/>
                <w:w w:val="96"/>
              </w:rPr>
              <w:t>(33)</w:t>
            </w:r>
          </w:p>
        </w:tc>
        <w:tc>
          <w:tcPr>
            <w:tcW w:w="5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w:t>
            </w:r>
          </w:p>
        </w:tc>
      </w:tr>
      <w:tr>
        <w:trPr>
          <w:trHeight w:val="601"/>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595"/>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230</w:t>
            </w:r>
          </w:p>
        </w:tc>
      </w:tr>
      <w:tr>
        <w:trPr>
          <w:trHeight w:val="276"/>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r>
      <w:tr>
        <w:trPr>
          <w:trHeight w:val="237"/>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0"/>
                <w:szCs w:val="20"/>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4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0"/>
                <w:szCs w:val="20"/>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46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854</w:t>
            </w:r>
          </w:p>
        </w:tc>
      </w:tr>
      <w:tr>
        <w:trPr>
          <w:trHeight w:val="20"/>
        </w:trPr>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-25400</wp:posOffset>
            </wp:positionV>
            <wp:extent cx="805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-8255</wp:posOffset>
            </wp:positionV>
            <wp:extent cx="805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-187960</wp:posOffset>
            </wp:positionV>
            <wp:extent cx="805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-753745</wp:posOffset>
            </wp:positionV>
            <wp:extent cx="805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-1148715</wp:posOffset>
            </wp:positionV>
            <wp:extent cx="805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-1388745</wp:posOffset>
            </wp:positionV>
            <wp:extent cx="805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-1560195</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-2400300</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-2640965</wp:posOffset>
            </wp:positionV>
            <wp:extent cx="805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7140"/>
          </w:cols>
          <w:pgMar w:left="240" w:top="140" w:right="259" w:bottom="144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40"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April 2016, the Company amended its European fleet securitization program to extend its maturity to 2019 and increase its capacity to €1.4 billion (approximately $1.6 billion).</w:t>
      </w:r>
    </w:p>
    <w:p>
      <w:pPr>
        <w:spacing w:after="0" w:line="200" w:lineRule="exact"/>
        <w:rPr>
          <w:sz w:val="20"/>
          <w:szCs w:val="20"/>
          <w:color w:val="auto"/>
        </w:rPr>
      </w:pPr>
    </w:p>
    <w:p>
      <w:pPr>
        <w:spacing w:after="0" w:line="374" w:lineRule="exact"/>
        <w:rPr>
          <w:sz w:val="20"/>
          <w:szCs w:val="20"/>
          <w:color w:val="auto"/>
        </w:rPr>
      </w:pPr>
    </w:p>
    <w:p>
      <w:pPr>
        <w:jc w:val="center"/>
        <w:ind w:right="-99"/>
        <w:spacing w:after="0"/>
        <w:tabs>
          <w:tab w:leader="none" w:pos="180" w:val="left"/>
          <w:tab w:leader="none" w:pos="180" w:val="left"/>
          <w:tab w:leader="none" w:pos="180" w:val="left"/>
        </w:tabs>
        <w:rPr>
          <w:sz w:val="20"/>
          <w:szCs w:val="20"/>
          <w:color w:val="auto"/>
        </w:rPr>
      </w:pPr>
      <w:r>
        <w:rPr>
          <w:rFonts w:ascii="Arial" w:cs="Arial" w:eastAsia="Arial" w:hAnsi="Arial"/>
          <w:sz w:val="18"/>
          <w:szCs w:val="18"/>
          <w:color w:val="auto"/>
        </w:rPr>
        <w:t>*</w:t>
        <w:tab/>
        <w:t>*</w:t>
        <w:tab/>
        <w:t>*</w:t>
        <w:tab/>
        <w:t>*</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140"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2015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2015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an average rental fleet of more than 580,000 vehicles. We also license the use of our trademarks to licensees in the areas in which we do not operate directly. We and our licensees operate our brands in approximately 180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Australia and New Zealand, and our car sharing operations in certain of these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5620" w:right="2700" w:hanging="5288"/>
        <w:spacing w:after="0" w:line="543" w:lineRule="auto"/>
        <w:tabs>
          <w:tab w:leader="none" w:pos="6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 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Thus far in 2016, we have continued to operate in an uncertain and uneven economic environment marked by heightened geopolitical risks. Nonetheless, we continue to anticipate that worldwide demand for vehicle rental and car sharing services will increase in 2016,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2016 to enhance our returns on invested capital and profitability.</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2016:</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net revenues totaled $1.9 billion and grew 3% in constant currency.</w:t>
      </w:r>
    </w:p>
    <w:p>
      <w:pPr>
        <w:spacing w:after="0" w:line="225"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Adjusted EBITDA was $44 million, representing a $73 million year-over-year decline, primarily due to lower pricing in first quarter 2016 and a $33 million (28%) negative impact from currency exchange rate movements.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repurchased $80 million of our common stock, reducing our shares outstanding by approximately 3.0 million shares, or 3%.</w:t>
      </w:r>
    </w:p>
    <w:p>
      <w:pPr>
        <w:spacing w:after="0" w:line="225"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issued $350 million of 6⅜% Senior Notes due 2024, the proceeds of which will primarily be used to redeem all $300 million of our outstanding 4⅞% Senior Notes due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We believe Adjusted EBITDA is useful as a supplemental measure in evaluating the aggregate performance of our operating businesses and in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40"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vs. Three Months Ended March 31,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first quarter 2016, our net revenues increased as a result of an 8% increase in total rental days (5% excluding Maggiore Group (“Maggiore”)) and a 6% constant-currency increase in ancillary revenue (5% excluding Maggiore), largely offset by a 5% decrease in pricing in constant currency and approximately $32 million (2%) negative impact from currency exchange rate movements.</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expenses increased as a result of increased volumes, including a 5% increase in our car rental fleet (3% excluding Maggiore), a 3% constant-currency increase in per-unit fleet costs and increased marketing commissions. As a result of these items, our net income decreased by $42 million. Our effective tax rates were a benefit of 41% and 44% for the three months ended March 31, 2016 and 2015, respectively.</w:t>
      </w:r>
    </w:p>
    <w:p>
      <w:pPr>
        <w:spacing w:after="0" w:line="202"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For the three months ended March 31, 2016, the Company reported a loss of $0.53 per diluted share, which includes after-tax restructuring expense of ($0.12) per share and after-tax transaction-related costs of ($0.03) per share. For the three months ended March 31, 2015, the Company reported a loss of $0.09 per diluted share, which includes after-tax transaction-related costs of ($0.20)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2016:</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increased to 55.3% of revenue from 53.2% in first quarter 2015, primarily due to lower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24.6% of revenue from 23.4% in first quarter 2015, primarily due to lower pricing.</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40"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14.3% of revenue from 13.4% in first quarter 2015, primarily due to lower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3.7%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2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58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$15 million in 2016 from $10 million in 2015.</w:t>
      </w:r>
    </w:p>
    <w:p>
      <w:pPr>
        <w:ind w:left="340" w:hanging="332"/>
        <w:spacing w:after="0" w:line="184"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3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w:t>
            </w: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Revenues decreased 1% in first quarter 2016 compared with first quarter 2015, primarily due to a 5% decrease in pricing in constant currency and a $7 million (1%) negative impact from currency exchange rate movements, largely offset by 3% growth in rental volumes.</w:t>
      </w:r>
    </w:p>
    <w:p>
      <w:pPr>
        <w:spacing w:after="0" w:line="19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Adjusted EBITDA decreased 45% in first quarter 2016 compared with first quarter 2015, due to lower pricing, a 6% increase in per-unit fleet costs and a $4 million (3%) negative impact from currency exchange rate movements, partially offset by an increase in rental volumes and higher fleet utilization.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2016:</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increased to 52.9% of revenue, compared to 51.6% in first quarter 2015, primarily due to lower pricing.</w:t>
      </w:r>
    </w:p>
    <w:p>
      <w:pPr>
        <w:spacing w:after="0" w:line="225"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26.6% of revenue from 24.7% in the prior-year period, principally due to lower pricing, partially offset by higher utilization.</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were 12.0% of revenue, an increase from 11.2% in first quarter 2015, primarily due to lower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were 3.8% of revenue compared to 4.1% in first quarter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9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9%</w:t>
            </w:r>
          </w:p>
        </w:tc>
      </w:tr>
      <w:tr>
        <w:trPr>
          <w:trHeight w:val="284"/>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w:t>
            </w:r>
          </w:p>
        </w:tc>
      </w:tr>
    </w:tbl>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increased 9% in first quarter 2016 compared to first quarter 2015, primarily due to a 21% increase in rental volumes (12% excluding Maggiore) and a 12% constant-currency increase in ancillary revenue (8% excluding Maggiore), largely offset by a $25 million (5%) negative impact on revenues from currency exchange rate changes and a 5% decrease in pricing in constant currency (3% excluding Maggiore).</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Adjusted EBITDA decreased $15 million in first quarter 2016 compared to first quarter 2015, due to a $29 million negative impact from currency exchange rate movements and lower pricing, partially offset by increased rental volumes and 5% lower per-unit fleet costs in constant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2016:</w:t>
      </w:r>
    </w:p>
    <w:p>
      <w:pPr>
        <w:spacing w:after="0" w:line="225" w:lineRule="exact"/>
        <w:rPr>
          <w:sz w:val="20"/>
          <w:szCs w:val="20"/>
          <w:color w:val="auto"/>
        </w:rPr>
      </w:pPr>
    </w:p>
    <w:p>
      <w:pPr>
        <w:ind w:left="660" w:right="28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increased to 60.6% of revenue from 57.3% in the prior-year period, primarily due to currency hedge losses and lower pricing, partially offset by an increase in rental volumes.</w:t>
      </w:r>
    </w:p>
    <w:p>
      <w:pPr>
        <w:spacing w:after="0" w:line="196"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were 19.4% of revenue compared to 19.5% in first quarter 2015, as per-unit fleet costs declined.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were 17.3% of revenue compared to 17.4%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were 2.6% of revenue compared to 2.5% in first quarter 2015.</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1,246</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assets exclusive of assets under vehicle programs increased primarily due to a temporary increase in cash from the issuance of 6⅜% Senior Notes due 2024 (see “Liquidity and Capital Resources”) and a seasonal increase in value-added tax receivables, which are recoverable from government agencies. Total liabilities exclusive of liabilities under vehicle programs increased primarily due to a temporary increase in corporate debt (see “Liquidity and Capital Resources” regarding the changes in our corporate financings).</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primarily due to the repurchase of our common stock and our net loss in the quarter, partially offset by currency translation adjustments.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08"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the three months ended March 31, 2016, we issued $350 million of 6⅜% Senior Notes due 2024 at par. The proceeds from these borrowings will be used to redeem $300 million principal amount of our 4⅞% Senior Notes due 2017 during second quarter 2016 and for general corporate purposes. In addition, we repurchased approximately 3.0 million shares of our outstanding common stock during the three months ended March 31, 2016, and increased our borrowings under vehicle programs to fund the seasonal increase in our rental fleet.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three months ended March 31, 2016, we generated $40 million less cash from operating activities compared to the same period in 2015, principally due to our net loss.</w:t>
      </w:r>
    </w:p>
    <w:p>
      <w:pPr>
        <w:spacing w:after="0" w:line="19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increase in cash used in investing activities during the three months ended March 31, 2016 compared with the same period in 2015 is primarily due to an increase in vehicle purchases.</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increase in cash provided by financing activities during the three months ended March 31, 2016 compared with the same period in 2015 is primarily due to a temporary increase in our corporate borrowings in connection with the issuance of the 6⅜% Senior Notes due 2024 (see “Liquidity and Capital Resources”) and an increase in net borrowings under vehicle programs to fund vehicle 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At March 31, 2016, we had approximately $14 billion of indebtedness, including corporate indebtedness of approximately $4 billion and debt under vehicle programs of approximately $10 billion.</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40"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07"/>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4⅞%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6%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6⅜%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2024</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6400" w:type="dxa"/>
            <w:vAlign w:val="bottom"/>
          </w:tcPr>
          <w:p>
            <w:pPr>
              <w:ind w:left="40"/>
              <w:spacing w:after="0"/>
              <w:rPr>
                <w:sz w:val="20"/>
                <w:szCs w:val="20"/>
                <w:color w:val="auto"/>
              </w:rPr>
            </w:pPr>
            <w:r>
              <w:rPr>
                <w:rFonts w:ascii="Arial" w:cs="Arial" w:eastAsia="Arial" w:hAnsi="Arial"/>
                <w:sz w:val="16"/>
                <w:szCs w:val="16"/>
                <w:color w:val="auto"/>
              </w:rPr>
              <w:t>Deferred financing fees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These notes have been called for redemption.</w:t>
      </w:r>
    </w:p>
    <w:p>
      <w:pPr>
        <w:ind w:left="340" w:right="240" w:hanging="332"/>
        <w:spacing w:after="0" w:line="211"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March 31, 2016; the Company has entered into an interest rate swap to hedge its interest rate exposure related to these notes at an aggregate rate of 3.58%.</w:t>
      </w:r>
    </w:p>
    <w:p>
      <w:pPr>
        <w:ind w:left="340" w:right="120" w:hanging="332"/>
        <w:spacing w:after="0" w:line="225"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2016,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includes leases which are secured by liens on the related assets.</w:t>
      </w:r>
    </w:p>
    <w:p>
      <w:pPr>
        <w:spacing w:after="0" w:line="2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7,665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6,837</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 - Capital leases</w:t>
            </w:r>
          </w:p>
        </w:tc>
        <w:tc>
          <w:tcPr>
            <w:tcW w:w="3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(b)</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9,861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hanging="332"/>
        <w:spacing w:after="0" w:line="199"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March 31, 2016 and December 31, 2015 were $42 million and $41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918</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4.50%.</w:t>
      </w:r>
    </w:p>
    <w:p>
      <w:pPr>
        <w:spacing w:after="0" w:line="20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At March 31, 2016, we had various uncommitted credit facilities available, under which we had drawn approximately $4 million, which bear interest at rates between 0.06% and 3.91%.</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4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March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9,265</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7,665</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12,971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9,915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$9.3 billion of underlying vehicles and related assets.</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$0.9 billion of underlying vehicles and related assets.</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$1.8 billion of underlying vehicles and related assets.</w:t>
      </w:r>
    </w:p>
    <w:p>
      <w:pPr>
        <w:ind w:left="340" w:hanging="332"/>
        <w:spacing w:after="0" w:line="19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$0.2 billion of underlying vehicles and related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jc w:val="both"/>
        <w:ind w:right="680"/>
        <w:spacing w:after="0" w:line="262" w:lineRule="auto"/>
        <w:rPr>
          <w:sz w:val="20"/>
          <w:szCs w:val="20"/>
          <w:color w:val="auto"/>
        </w:rPr>
      </w:pPr>
      <w:r>
        <w:rPr>
          <w:rFonts w:ascii="Arial" w:cs="Arial" w:eastAsia="Arial" w:hAnsi="Arial"/>
          <w:sz w:val="18"/>
          <w:szCs w:val="18"/>
          <w:color w:val="auto"/>
        </w:rPr>
        <w:t>As discussed above, as of March 31, 2016, we have cash and cash equivalents of $876 million, available borrowing capacity under our committed credit facilities of approximately $0.9 billion and available capacity under our vehicle programs of approximately $3.1 billion.</w:t>
      </w:r>
    </w:p>
    <w:p>
      <w:pPr>
        <w:spacing w:after="0" w:line="19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Fiat, Kia, Toyota, Mercedes, Renault, Hyundai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March 31, 2016, we were in compliance with the financial covenants governing our indebtedness. For additional information regarding our liquidity risks, see Part I, Item 1A, “Risk Factors” of our 2015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2015 Form 10-K with the exception of our commitment to purchase vehicles, which decreased by approximately $2.0 billion from December 31, 2015, to approximately $5.2 billion at March 31, 2016. Changes to our obligations related to corporate indebtedness and debt under vehicle programs are presented above within the section titled “Liquidity and Capital Resources—Debt and Financing Arrangements” and also within Notes 7 and 8 to our Consolidated Condensed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2015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2016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2016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2016. For additional information regarding our long-term borrowings and financial instruments, see Notes 7, 8 and 12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2016.</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2016, the Company had no material developments to report with respect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legal proceedings. For additional information regarding the Company’s legal proceedings, please refer to the Company’s 2015 Form 10-K.</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March 31,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January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1,355,967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1,355,967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402,479,379</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1,118,010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1,118,010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373,319,925</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March 2016</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498,549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498,549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360,417,050</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2,972,526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2,972,526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360,417,050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260" w:hanging="332"/>
        <w:spacing w:after="0" w:line="234"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March 31, 2016, 371,184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approximately $1.2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240" w:top="140" w:right="5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4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Indenture, dated as of March 29, 2016, among Avis Budget Car Rental, LLC and Avis Budget Finance, Inc., as Issuers,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Guarantors from time to time party thereto and Deutsche Bank Trust Company Americas as Trustee.</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Cooperation Agreement, dated as of January 25, 2016, by and among Avis Budget Group, Inc. and SRS (Incorporated by</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reference to the Company’s Current Report on Form 8-K dated January 25,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Amendment, dated March 28, 2016, to the Employment Agreement between Avis Budget Group, Inc. and Ronald L. Nelson</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dated April 17, 2014 (Incorporated by reference to the Company’s Current Report on Form 8-K dated March 29,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Employment Agreement between Avis Budget Group, Inc. and David B. Wyshner dated March 28, 2016 (Incorporated by</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reference to the Company’s Current Report on Form 8-K dated March 29,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Series 2016-1 Supplement, dated as of March 30, 2016, between Avis Budget Rental Car Funding (AESOP) LLC and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Bank of New York Mellon Trust Company, N.A., as trustee and as Series 2016-1 Agent. (Incorporated by reference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dated April 5,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Eighth Master Amendment and Restatement Deed, by and among CarFin Finance International Limited, Credit Agricole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And Investment Bank, Deutsche Trustee Company Limited, Credit Agricole Corporate And Investment Bank,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Opcos, Servicers, Lessees and Fleetcos listed therein, Avis Budget Car Rental, LLC, Avis Finance Company Limited, Avis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Budget EMEA Limited, the Account Banks listed therein, Deutsche Bank Ag, London Branch, the Senior Noteholders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certain other entities named therein, dated April 15, 2016 (Incorporated by reference to Exhibit 10.1 to the Company’s Current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Report on Form 8-K dated April 21,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Issuer Note Facility Agreement dated March 5, 2013 among CarFin Finance International Limited, Credit Agricole Corporate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And Investment Bank, the Initial Senior Noteholders listed therein, Deutsche Trustee Company Limited, Deutsche Bank AG,</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London Branch and Deutsche Bank Luxembourg S.A. (Incorporated by reference to Exhibit 10.2 to the Company’s Current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Report on Form 8-K dated April 21,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Amended and Restated Framework Agreement dated May 21, 2014 among CarFin Finance International Limited, Credit</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Agricole Corporate And Investment Bank, Deutsche Trustee Company Limited, Avis Budget Car Rental, LLC, Avis Finance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Company Limited, Avis Budget EMEA Limited, Deutsche Bank AG, London Branch, Caceis Bank France, FCT Carfin,</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Eurotitrisation, the Senior Noteholders named therein and certain other entities named therein (Incorporated by reference to</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Exhibit 10.3 to the Company’s Current Report on Form 8-K dated April 21,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Master Definitions Agreement dated March 5, 2013, among CarFin Finance International Limited, Credit Agricole Corporate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And Investment Bank, Deutsche Trustee Company Limited, Credit Agricole Corporate and Investment Bank, Avis Budget Car</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Rental, LLC, Avis Finance Company Limited, Avis Budget EMEA Limited, Deutsche Bank AG, London Branch, the Senior</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Noteholders named therein and certain other entities named therein (Incorporated by reference to Exhibit 10.4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dated April 21,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Fourth Master Amendment and Restatement Deed, by and among CarFin Finance International Limited, Credit Agricole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And Investment Bank, Deutsche Trustee Company Limited, Credit Agricole Corporate And Investment Bank,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Opcos, Servicers, Lessees and Fleetcos listed therein, Avis Budget Car Rental, LLC, Avis Finance Company Limited, Avis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Budget EMEA Limited, the Account Banks listed therein, Deutsche Bank Ag, London Branch, the Senior Noteholders listed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therein, Structured Finance Management (Ireland) Limited, CarFin Finance Holdings Limited, Intertrust (Netherlands) B.V.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Vistra B.V., Credit Agricole Corporate And Investment Bank, FCT CarFin, Caceis Bank France, Caceis Corporate Trust,</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Deutsche Bank Luxembourg S.A. and Fiserv Automotive Solutions, Inc., dated December 15, 2014 (Incorporated by reference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to Exhibit 10.5 to the Company’s Current Report on Form 8-K dated April 21,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1"/>
                <w:szCs w:val="21"/>
                <w:color w:val="auto"/>
              </w:rPr>
            </w:pPr>
          </w:p>
        </w:tc>
        <w:tc>
          <w:tcPr>
            <w:tcW w:w="10240" w:type="dxa"/>
            <w:vAlign w:val="bottom"/>
            <w:gridSpan w:val="3"/>
          </w:tcPr>
          <w:p>
            <w:pPr>
              <w:ind w:left="220"/>
              <w:spacing w:after="0"/>
              <w:rPr>
                <w:sz w:val="20"/>
                <w:szCs w:val="20"/>
                <w:color w:val="auto"/>
              </w:rPr>
            </w:pPr>
            <w:r>
              <w:rPr>
                <w:rFonts w:ascii="Arial" w:cs="Arial" w:eastAsia="Arial" w:hAnsi="Arial"/>
                <w:sz w:val="18"/>
                <w:szCs w:val="18"/>
                <w:color w:val="auto"/>
              </w:rPr>
              <w:t>Seventh Master Amendment and Restatement Deed, by and among CarFin Finance International Limited, Credit Agricole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And Investment Bank, Deutsche Trustee Company Limited, Credit Agricole Corporate And Investment Bank,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Opcos, Servicers, Lessees and Fleetcos listed therein, Avis Budget Car Rental, LLC, Avis Finance Company Limited, Avis</w:t>
            </w:r>
          </w:p>
        </w:tc>
      </w:tr>
    </w:tbl>
    <w:p>
      <w:pPr>
        <w:jc w:val="both"/>
        <w:ind w:left="1300" w:right="400"/>
        <w:spacing w:after="0"/>
        <w:rPr>
          <w:sz w:val="20"/>
          <w:szCs w:val="20"/>
          <w:color w:val="auto"/>
        </w:rPr>
      </w:pPr>
      <w:r>
        <w:rPr>
          <w:rFonts w:ascii="Arial" w:cs="Arial" w:eastAsia="Arial" w:hAnsi="Arial"/>
          <w:sz w:val="18"/>
          <w:szCs w:val="18"/>
          <w:color w:val="auto"/>
        </w:rPr>
        <w:t>Budget EMEA Limited, the Account Banks listed therein, Deutsche Bank Ag, London Branch, the Senior Noteholders and certain other entities named therein, dated January 22, 2016 (Incorporated by reference to Exhibit 10.6 to the Company’s Current Report on Form 8-K dated April 21, 2016).*</w:t>
      </w:r>
    </w:p>
    <w:p>
      <w:pPr>
        <w:spacing w:after="0" w:line="41" w:lineRule="exact"/>
        <w:rPr>
          <w:sz w:val="20"/>
          <w:szCs w:val="20"/>
          <w:color w:val="auto"/>
        </w:rPr>
      </w:pPr>
    </w:p>
    <w:p>
      <w:pPr>
        <w:ind w:left="5620" w:right="4780" w:hanging="5585"/>
        <w:spacing w:after="0" w:line="423" w:lineRule="auto"/>
        <w:tabs>
          <w:tab w:leader="none" w:pos="1297"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Statement re: Computation of Ratio of Earnings to Fixed Charges. 39</w:t>
      </w:r>
    </w:p>
    <w:p>
      <w:pPr>
        <w:sectPr>
          <w:pgSz w:w="11900" w:h="16838" w:orient="portrait"/>
          <w:cols w:equalWidth="0" w:num="1">
            <w:col w:w="11320"/>
          </w:cols>
          <w:pgMar w:left="240" w:top="14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980" w:type="dxa"/>
            <w:vAlign w:val="bottom"/>
          </w:tcPr>
          <w:p>
            <w:pPr>
              <w:spacing w:after="0"/>
              <w:rPr>
                <w:sz w:val="18"/>
                <w:szCs w:val="18"/>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980" w:type="dxa"/>
            <w:vAlign w:val="bottom"/>
          </w:tcPr>
          <w:p>
            <w:pPr>
              <w:spacing w:after="0"/>
              <w:rPr>
                <w:sz w:val="18"/>
                <w:szCs w:val="18"/>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9900" w:type="dxa"/>
            <w:vAlign w:val="bottom"/>
          </w:tcPr>
          <w:p>
            <w:pPr>
              <w:ind w:left="28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40"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40" w:right="39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2"/>
          <w:szCs w:val="22"/>
          <w:color w:val="auto"/>
        </w:rPr>
        <w:t>AVIS BUDGET CAR RENTAL LLC</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AVIS BUDGET FINANCE, INC.,</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Issuers,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GUARANTORS from time to time parties hereto</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AND</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DEUTSCHE BANK TRUST COMPANY AMERICAS,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Trustee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6.375% Senior Notes due 2024</w:t>
      </w: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4"/>
          <w:szCs w:val="14"/>
          <w:color w:val="auto"/>
        </w:rPr>
        <w:t>__________________________________________</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INDENTURE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March 29, 2016</w:t>
      </w:r>
    </w:p>
    <w:p>
      <w:pPr>
        <w:spacing w:after="0" w:line="200" w:lineRule="exact"/>
        <w:rPr>
          <w:sz w:val="20"/>
          <w:szCs w:val="20"/>
          <w:color w:val="auto"/>
        </w:rPr>
      </w:pPr>
    </w:p>
    <w:p>
      <w:pPr>
        <w:spacing w:after="0" w:line="374" w:lineRule="exact"/>
        <w:rPr>
          <w:sz w:val="20"/>
          <w:szCs w:val="20"/>
          <w:color w:val="auto"/>
        </w:rPr>
      </w:pPr>
    </w:p>
    <w:p>
      <w:pPr>
        <w:ind w:left="3000"/>
        <w:spacing w:after="0"/>
        <w:rPr>
          <w:sz w:val="20"/>
          <w:szCs w:val="20"/>
          <w:color w:val="auto"/>
        </w:rPr>
      </w:pPr>
      <w:r>
        <w:rPr>
          <w:rFonts w:ascii="Arial" w:cs="Arial" w:eastAsia="Arial" w:hAnsi="Arial"/>
          <w:sz w:val="14"/>
          <w:szCs w:val="14"/>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496" w:right="1440"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409"/>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1.1</w:t>
            </w:r>
          </w:p>
        </w:tc>
        <w:tc>
          <w:tcPr>
            <w:tcW w:w="7860" w:type="dxa"/>
            <w:vAlign w:val="bottom"/>
          </w:tcPr>
          <w:p>
            <w:pPr>
              <w:ind w:left="40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1.2</w:t>
            </w:r>
          </w:p>
        </w:tc>
        <w:tc>
          <w:tcPr>
            <w:tcW w:w="7860" w:type="dxa"/>
            <w:vAlign w:val="bottom"/>
          </w:tcPr>
          <w:p>
            <w:pPr>
              <w:ind w:left="400"/>
              <w:spacing w:after="0"/>
              <w:rPr>
                <w:sz w:val="20"/>
                <w:szCs w:val="20"/>
                <w:color w:val="auto"/>
              </w:rPr>
            </w:pPr>
            <w:r>
              <w:rPr>
                <w:rFonts w:ascii="Arial" w:cs="Arial" w:eastAsia="Arial" w:hAnsi="Arial"/>
                <w:sz w:val="22"/>
                <w:szCs w:val="22"/>
                <w:color w:val="auto"/>
              </w:rPr>
              <w:t>Other Definitions.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56</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1.3</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57</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1.4</w:t>
            </w:r>
          </w:p>
        </w:tc>
        <w:tc>
          <w:tcPr>
            <w:tcW w:w="7860" w:type="dxa"/>
            <w:vAlign w:val="bottom"/>
          </w:tcPr>
          <w:p>
            <w:pPr>
              <w:ind w:left="400"/>
              <w:spacing w:after="0"/>
              <w:rPr>
                <w:sz w:val="20"/>
                <w:szCs w:val="20"/>
                <w:color w:val="auto"/>
              </w:rPr>
            </w:pPr>
            <w:r>
              <w:rPr>
                <w:rFonts w:ascii="Arial" w:cs="Arial" w:eastAsia="Arial" w:hAnsi="Arial"/>
                <w:sz w:val="22"/>
                <w:szCs w:val="22"/>
                <w:color w:val="auto"/>
              </w:rPr>
              <w:t>Rules of Construction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57</w:t>
            </w:r>
          </w:p>
        </w:tc>
        <w:tc>
          <w:tcPr>
            <w:tcW w:w="0" w:type="dxa"/>
            <w:vAlign w:val="bottom"/>
          </w:tcPr>
          <w:p>
            <w:pPr>
              <w:spacing w:after="0"/>
              <w:rPr>
                <w:sz w:val="1"/>
                <w:szCs w:val="1"/>
                <w:color w:val="auto"/>
              </w:rPr>
            </w:pPr>
          </w:p>
        </w:tc>
      </w:tr>
      <w:tr>
        <w:trPr>
          <w:trHeight w:val="297"/>
        </w:trPr>
        <w:tc>
          <w:tcPr>
            <w:tcW w:w="2920" w:type="dxa"/>
            <w:vAlign w:val="bottom"/>
            <w:vMerge w:val="restart"/>
          </w:tcPr>
          <w:p>
            <w:pPr>
              <w:spacing w:after="0"/>
              <w:rPr>
                <w:sz w:val="20"/>
                <w:szCs w:val="20"/>
                <w:color w:val="auto"/>
              </w:rPr>
            </w:pPr>
            <w:r>
              <w:rPr>
                <w:rFonts w:ascii="Arial" w:cs="Arial" w:eastAsia="Arial" w:hAnsi="Arial"/>
                <w:sz w:val="22"/>
                <w:szCs w:val="22"/>
                <w:color w:val="auto"/>
              </w:rPr>
              <w:t>ARTICLE II THE NOTES</w:t>
            </w:r>
          </w:p>
        </w:tc>
        <w:tc>
          <w:tcPr>
            <w:tcW w:w="78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58</w:t>
            </w:r>
          </w:p>
        </w:tc>
        <w:tc>
          <w:tcPr>
            <w:tcW w:w="0" w:type="dxa"/>
            <w:vAlign w:val="bottom"/>
          </w:tcPr>
          <w:p>
            <w:pPr>
              <w:spacing w:after="0"/>
              <w:rPr>
                <w:sz w:val="1"/>
                <w:szCs w:val="1"/>
                <w:color w:val="auto"/>
              </w:rPr>
            </w:pPr>
          </w:p>
        </w:tc>
      </w:tr>
      <w:tr>
        <w:trPr>
          <w:trHeight w:val="81"/>
        </w:trPr>
        <w:tc>
          <w:tcPr>
            <w:tcW w:w="2920" w:type="dxa"/>
            <w:vAlign w:val="bottom"/>
            <w:vMerge w:val="continue"/>
          </w:tcPr>
          <w:p>
            <w:pPr>
              <w:spacing w:after="0"/>
              <w:rPr>
                <w:sz w:val="7"/>
                <w:szCs w:val="7"/>
                <w:color w:val="auto"/>
              </w:rPr>
            </w:pPr>
          </w:p>
        </w:tc>
        <w:tc>
          <w:tcPr>
            <w:tcW w:w="7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w:t>
            </w:r>
          </w:p>
        </w:tc>
        <w:tc>
          <w:tcPr>
            <w:tcW w:w="7860" w:type="dxa"/>
            <w:vAlign w:val="bottom"/>
          </w:tcPr>
          <w:p>
            <w:pPr>
              <w:ind w:left="400"/>
              <w:spacing w:after="0"/>
              <w:rPr>
                <w:sz w:val="20"/>
                <w:szCs w:val="20"/>
                <w:color w:val="auto"/>
              </w:rPr>
            </w:pPr>
            <w:r>
              <w:rPr>
                <w:rFonts w:ascii="Arial" w:cs="Arial" w:eastAsia="Arial" w:hAnsi="Arial"/>
                <w:sz w:val="22"/>
                <w:szCs w:val="22"/>
                <w:color w:val="auto"/>
              </w:rPr>
              <w:t>Form, Dating and Terms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58</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2.2</w:t>
            </w:r>
          </w:p>
        </w:tc>
        <w:tc>
          <w:tcPr>
            <w:tcW w:w="7860" w:type="dxa"/>
            <w:vAlign w:val="bottom"/>
          </w:tcPr>
          <w:p>
            <w:pPr>
              <w:ind w:left="400"/>
              <w:spacing w:after="0"/>
              <w:rPr>
                <w:sz w:val="20"/>
                <w:szCs w:val="20"/>
                <w:color w:val="auto"/>
              </w:rPr>
            </w:pPr>
            <w:r>
              <w:rPr>
                <w:rFonts w:ascii="Arial" w:cs="Arial" w:eastAsia="Arial" w:hAnsi="Arial"/>
                <w:sz w:val="22"/>
                <w:szCs w:val="22"/>
                <w:color w:val="auto"/>
              </w:rPr>
              <w:t>Execution and Authentication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66</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2.3</w:t>
            </w:r>
          </w:p>
        </w:tc>
        <w:tc>
          <w:tcPr>
            <w:tcW w:w="7860" w:type="dxa"/>
            <w:vAlign w:val="bottom"/>
          </w:tcPr>
          <w:p>
            <w:pPr>
              <w:ind w:left="400"/>
              <w:spacing w:after="0"/>
              <w:rPr>
                <w:sz w:val="20"/>
                <w:szCs w:val="20"/>
                <w:color w:val="auto"/>
              </w:rPr>
            </w:pPr>
            <w:r>
              <w:rPr>
                <w:rFonts w:ascii="Arial" w:cs="Arial" w:eastAsia="Arial" w:hAnsi="Arial"/>
                <w:sz w:val="22"/>
                <w:szCs w:val="22"/>
                <w:color w:val="auto"/>
              </w:rPr>
              <w:t>Registrar and Paying Agent</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68</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2.4</w:t>
            </w:r>
          </w:p>
        </w:tc>
        <w:tc>
          <w:tcPr>
            <w:tcW w:w="7860" w:type="dxa"/>
            <w:vAlign w:val="bottom"/>
          </w:tcPr>
          <w:p>
            <w:pPr>
              <w:ind w:left="400"/>
              <w:spacing w:after="0"/>
              <w:rPr>
                <w:sz w:val="20"/>
                <w:szCs w:val="20"/>
                <w:color w:val="auto"/>
              </w:rPr>
            </w:pPr>
            <w:r>
              <w:rPr>
                <w:rFonts w:ascii="Arial" w:cs="Arial" w:eastAsia="Arial" w:hAnsi="Arial"/>
                <w:sz w:val="22"/>
                <w:szCs w:val="22"/>
                <w:color w:val="auto"/>
              </w:rPr>
              <w:t>Paying Agent To Hold Money in Trust</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68</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2.5</w:t>
            </w:r>
          </w:p>
        </w:tc>
        <w:tc>
          <w:tcPr>
            <w:tcW w:w="7860" w:type="dxa"/>
            <w:vAlign w:val="bottom"/>
          </w:tcPr>
          <w:p>
            <w:pPr>
              <w:ind w:left="400"/>
              <w:spacing w:after="0"/>
              <w:rPr>
                <w:sz w:val="20"/>
                <w:szCs w:val="20"/>
                <w:color w:val="auto"/>
              </w:rPr>
            </w:pPr>
            <w:r>
              <w:rPr>
                <w:rFonts w:ascii="Arial" w:cs="Arial" w:eastAsia="Arial" w:hAnsi="Arial"/>
                <w:sz w:val="22"/>
                <w:szCs w:val="22"/>
                <w:color w:val="auto"/>
              </w:rPr>
              <w:t>Holder Lists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69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2.6</w:t>
            </w:r>
          </w:p>
        </w:tc>
        <w:tc>
          <w:tcPr>
            <w:tcW w:w="7860" w:type="dxa"/>
            <w:vAlign w:val="bottom"/>
          </w:tcPr>
          <w:p>
            <w:pPr>
              <w:ind w:left="400"/>
              <w:spacing w:after="0"/>
              <w:rPr>
                <w:sz w:val="20"/>
                <w:szCs w:val="20"/>
                <w:color w:val="auto"/>
              </w:rPr>
            </w:pPr>
            <w:r>
              <w:rPr>
                <w:rFonts w:ascii="Arial" w:cs="Arial" w:eastAsia="Arial" w:hAnsi="Arial"/>
                <w:sz w:val="22"/>
                <w:szCs w:val="22"/>
                <w:color w:val="auto"/>
              </w:rPr>
              <w:t>Transfer and Exchange</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69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2.7</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73</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2.8</w:t>
            </w:r>
          </w:p>
        </w:tc>
        <w:tc>
          <w:tcPr>
            <w:tcW w:w="7860" w:type="dxa"/>
            <w:vAlign w:val="bottom"/>
          </w:tcPr>
          <w:p>
            <w:pPr>
              <w:ind w:left="400"/>
              <w:spacing w:after="0"/>
              <w:rPr>
                <w:sz w:val="20"/>
                <w:szCs w:val="20"/>
                <w:color w:val="auto"/>
              </w:rPr>
            </w:pPr>
            <w:r>
              <w:rPr>
                <w:rFonts w:ascii="Arial" w:cs="Arial" w:eastAsia="Arial" w:hAnsi="Arial"/>
                <w:sz w:val="22"/>
                <w:szCs w:val="22"/>
                <w:color w:val="auto"/>
              </w:rPr>
              <w:t>Form of Certificate To Be Delivered in Connection with Transfers to IAIs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73</w:t>
            </w:r>
          </w:p>
        </w:tc>
        <w:tc>
          <w:tcPr>
            <w:tcW w:w="0" w:type="dxa"/>
            <w:vAlign w:val="bottom"/>
          </w:tcPr>
          <w:p>
            <w:pPr>
              <w:spacing w:after="0"/>
              <w:rPr>
                <w:sz w:val="1"/>
                <w:szCs w:val="1"/>
                <w:color w:val="auto"/>
              </w:rPr>
            </w:pPr>
          </w:p>
        </w:tc>
      </w:tr>
      <w:tr>
        <w:trPr>
          <w:trHeight w:val="266"/>
        </w:trPr>
        <w:tc>
          <w:tcPr>
            <w:tcW w:w="2920" w:type="dxa"/>
            <w:vAlign w:val="bottom"/>
          </w:tcPr>
          <w:p>
            <w:pPr>
              <w:ind w:left="800"/>
              <w:spacing w:after="0"/>
              <w:rPr>
                <w:sz w:val="20"/>
                <w:szCs w:val="20"/>
                <w:color w:val="auto"/>
              </w:rPr>
            </w:pPr>
            <w:r>
              <w:rPr>
                <w:rFonts w:ascii="Arial" w:cs="Arial" w:eastAsia="Arial" w:hAnsi="Arial"/>
                <w:sz w:val="22"/>
                <w:szCs w:val="22"/>
                <w:color w:val="auto"/>
              </w:rPr>
              <w:t>SECTION 2.9</w:t>
            </w:r>
          </w:p>
        </w:tc>
        <w:tc>
          <w:tcPr>
            <w:tcW w:w="7860" w:type="dxa"/>
            <w:vAlign w:val="bottom"/>
          </w:tcPr>
          <w:p>
            <w:pPr>
              <w:ind w:left="400"/>
              <w:spacing w:after="0"/>
              <w:rPr>
                <w:sz w:val="20"/>
                <w:szCs w:val="20"/>
                <w:color w:val="auto"/>
              </w:rPr>
            </w:pPr>
            <w:r>
              <w:rPr>
                <w:rFonts w:ascii="Arial" w:cs="Arial" w:eastAsia="Arial" w:hAnsi="Arial"/>
                <w:sz w:val="22"/>
                <w:szCs w:val="22"/>
                <w:color w:val="auto"/>
                <w:w w:val="99"/>
              </w:rPr>
              <w:t>Form of Certificate To Be Delivered in Connection with Transfers Pursuant to</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75</w:t>
            </w: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7860" w:type="dxa"/>
            <w:vAlign w:val="bottom"/>
          </w:tcPr>
          <w:p>
            <w:pPr>
              <w:ind w:left="400"/>
              <w:spacing w:after="0"/>
              <w:rPr>
                <w:sz w:val="20"/>
                <w:szCs w:val="20"/>
                <w:color w:val="auto"/>
              </w:rPr>
            </w:pPr>
            <w:r>
              <w:rPr>
                <w:rFonts w:ascii="Arial" w:cs="Arial" w:eastAsia="Arial" w:hAnsi="Arial"/>
                <w:sz w:val="22"/>
                <w:szCs w:val="22"/>
                <w:color w:val="auto"/>
              </w:rPr>
              <w:t>Regulation S</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2.10</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77</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2.11</w:t>
            </w:r>
          </w:p>
        </w:tc>
        <w:tc>
          <w:tcPr>
            <w:tcW w:w="7860" w:type="dxa"/>
            <w:vAlign w:val="bottom"/>
          </w:tcPr>
          <w:p>
            <w:pPr>
              <w:ind w:left="400"/>
              <w:spacing w:after="0"/>
              <w:rPr>
                <w:sz w:val="20"/>
                <w:szCs w:val="20"/>
                <w:color w:val="auto"/>
              </w:rPr>
            </w:pPr>
            <w:r>
              <w:rPr>
                <w:rFonts w:ascii="Arial" w:cs="Arial" w:eastAsia="Arial" w:hAnsi="Arial"/>
                <w:sz w:val="22"/>
                <w:szCs w:val="22"/>
                <w:color w:val="auto"/>
              </w:rPr>
              <w:t>Mutilated, Destroyed, Lost or Stolen Notes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77</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2.12</w:t>
            </w:r>
          </w:p>
        </w:tc>
        <w:tc>
          <w:tcPr>
            <w:tcW w:w="7860" w:type="dxa"/>
            <w:vAlign w:val="bottom"/>
          </w:tcPr>
          <w:p>
            <w:pPr>
              <w:ind w:left="400"/>
              <w:spacing w:after="0"/>
              <w:rPr>
                <w:sz w:val="20"/>
                <w:szCs w:val="20"/>
                <w:color w:val="auto"/>
              </w:rPr>
            </w:pPr>
            <w:r>
              <w:rPr>
                <w:rFonts w:ascii="Arial" w:cs="Arial" w:eastAsia="Arial" w:hAnsi="Arial"/>
                <w:sz w:val="22"/>
                <w:szCs w:val="22"/>
                <w:color w:val="auto"/>
              </w:rPr>
              <w:t>Outstanding Notes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78</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2.13</w:t>
            </w:r>
          </w:p>
        </w:tc>
        <w:tc>
          <w:tcPr>
            <w:tcW w:w="7860" w:type="dxa"/>
            <w:vAlign w:val="bottom"/>
          </w:tcPr>
          <w:p>
            <w:pPr>
              <w:ind w:left="400"/>
              <w:spacing w:after="0"/>
              <w:rPr>
                <w:sz w:val="20"/>
                <w:szCs w:val="20"/>
                <w:color w:val="auto"/>
              </w:rPr>
            </w:pPr>
            <w:r>
              <w:rPr>
                <w:rFonts w:ascii="Arial" w:cs="Arial" w:eastAsia="Arial" w:hAnsi="Arial"/>
                <w:sz w:val="22"/>
                <w:szCs w:val="22"/>
                <w:color w:val="auto"/>
              </w:rPr>
              <w:t>Temporary Notes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78</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2.14</w:t>
            </w:r>
          </w:p>
        </w:tc>
        <w:tc>
          <w:tcPr>
            <w:tcW w:w="7860" w:type="dxa"/>
            <w:vAlign w:val="bottom"/>
          </w:tcPr>
          <w:p>
            <w:pPr>
              <w:ind w:left="400"/>
              <w:spacing w:after="0"/>
              <w:rPr>
                <w:sz w:val="20"/>
                <w:szCs w:val="20"/>
                <w:color w:val="auto"/>
              </w:rPr>
            </w:pPr>
            <w:r>
              <w:rPr>
                <w:rFonts w:ascii="Arial" w:cs="Arial" w:eastAsia="Arial" w:hAnsi="Arial"/>
                <w:sz w:val="22"/>
                <w:szCs w:val="22"/>
                <w:color w:val="auto"/>
              </w:rPr>
              <w:t>Cancellation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2.15</w:t>
            </w:r>
          </w:p>
        </w:tc>
        <w:tc>
          <w:tcPr>
            <w:tcW w:w="7860" w:type="dxa"/>
            <w:vAlign w:val="bottom"/>
          </w:tcPr>
          <w:p>
            <w:pPr>
              <w:ind w:left="400"/>
              <w:spacing w:after="0"/>
              <w:rPr>
                <w:sz w:val="20"/>
                <w:szCs w:val="20"/>
                <w:color w:val="auto"/>
              </w:rPr>
            </w:pPr>
            <w:r>
              <w:rPr>
                <w:rFonts w:ascii="Arial" w:cs="Arial" w:eastAsia="Arial" w:hAnsi="Arial"/>
                <w:sz w:val="22"/>
                <w:szCs w:val="22"/>
                <w:color w:val="auto"/>
              </w:rPr>
              <w:t>Payment of Interest; Defaulted Interest</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79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2.16</w:t>
            </w:r>
          </w:p>
        </w:tc>
        <w:tc>
          <w:tcPr>
            <w:tcW w:w="7860" w:type="dxa"/>
            <w:vAlign w:val="bottom"/>
          </w:tcPr>
          <w:p>
            <w:pPr>
              <w:ind w:left="400"/>
              <w:spacing w:after="0"/>
              <w:rPr>
                <w:sz w:val="20"/>
                <w:szCs w:val="20"/>
                <w:color w:val="auto"/>
              </w:rPr>
            </w:pPr>
            <w:r>
              <w:rPr>
                <w:rFonts w:ascii="Arial" w:cs="Arial" w:eastAsia="Arial" w:hAnsi="Arial"/>
                <w:sz w:val="22"/>
                <w:szCs w:val="22"/>
                <w:color w:val="auto"/>
              </w:rPr>
              <w:t>CUSIP and ISIN Numbers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920" w:type="dxa"/>
            <w:vAlign w:val="bottom"/>
            <w:vMerge w:val="restart"/>
          </w:tcPr>
          <w:p>
            <w:pPr>
              <w:spacing w:after="0"/>
              <w:rPr>
                <w:sz w:val="20"/>
                <w:szCs w:val="20"/>
                <w:color w:val="auto"/>
              </w:rPr>
            </w:pPr>
            <w:r>
              <w:rPr>
                <w:rFonts w:ascii="Arial" w:cs="Arial" w:eastAsia="Arial" w:hAnsi="Arial"/>
                <w:sz w:val="22"/>
                <w:szCs w:val="22"/>
                <w:color w:val="auto"/>
              </w:rPr>
              <w:t>ARTICLE III COVENANTS</w:t>
            </w:r>
          </w:p>
        </w:tc>
        <w:tc>
          <w:tcPr>
            <w:tcW w:w="78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81"/>
        </w:trPr>
        <w:tc>
          <w:tcPr>
            <w:tcW w:w="2920" w:type="dxa"/>
            <w:vAlign w:val="bottom"/>
            <w:vMerge w:val="continue"/>
          </w:tcPr>
          <w:p>
            <w:pPr>
              <w:spacing w:after="0"/>
              <w:rPr>
                <w:sz w:val="7"/>
                <w:szCs w:val="7"/>
                <w:color w:val="auto"/>
              </w:rPr>
            </w:pPr>
          </w:p>
        </w:tc>
        <w:tc>
          <w:tcPr>
            <w:tcW w:w="7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w:t>
            </w:r>
          </w:p>
        </w:tc>
        <w:tc>
          <w:tcPr>
            <w:tcW w:w="7860" w:type="dxa"/>
            <w:vAlign w:val="bottom"/>
          </w:tcPr>
          <w:p>
            <w:pPr>
              <w:ind w:left="400"/>
              <w:spacing w:after="0"/>
              <w:rPr>
                <w:sz w:val="20"/>
                <w:szCs w:val="20"/>
                <w:color w:val="auto"/>
              </w:rPr>
            </w:pPr>
            <w:r>
              <w:rPr>
                <w:rFonts w:ascii="Arial" w:cs="Arial" w:eastAsia="Arial" w:hAnsi="Arial"/>
                <w:sz w:val="22"/>
                <w:szCs w:val="22"/>
                <w:color w:val="auto"/>
              </w:rPr>
              <w:t>Payment of Notes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3.2</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3.3</w:t>
            </w:r>
          </w:p>
        </w:tc>
        <w:tc>
          <w:tcPr>
            <w:tcW w:w="7860" w:type="dxa"/>
            <w:vAlign w:val="bottom"/>
          </w:tcPr>
          <w:p>
            <w:pPr>
              <w:ind w:left="400"/>
              <w:spacing w:after="0"/>
              <w:rPr>
                <w:sz w:val="20"/>
                <w:szCs w:val="20"/>
                <w:color w:val="auto"/>
              </w:rPr>
            </w:pPr>
            <w:r>
              <w:rPr>
                <w:rFonts w:ascii="Arial" w:cs="Arial" w:eastAsia="Arial" w:hAnsi="Arial"/>
                <w:sz w:val="22"/>
                <w:szCs w:val="22"/>
                <w:color w:val="auto"/>
              </w:rPr>
              <w:t>Limitation on Restricted Payments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3.4</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3.5</w:t>
            </w:r>
          </w:p>
        </w:tc>
        <w:tc>
          <w:tcPr>
            <w:tcW w:w="7860" w:type="dxa"/>
            <w:vAlign w:val="bottom"/>
          </w:tcPr>
          <w:p>
            <w:pPr>
              <w:ind w:left="400"/>
              <w:spacing w:after="0"/>
              <w:rPr>
                <w:sz w:val="20"/>
                <w:szCs w:val="20"/>
                <w:color w:val="auto"/>
              </w:rPr>
            </w:pPr>
            <w:r>
              <w:rPr>
                <w:rFonts w:ascii="Arial" w:cs="Arial" w:eastAsia="Arial" w:hAnsi="Arial"/>
                <w:sz w:val="22"/>
                <w:szCs w:val="22"/>
                <w:color w:val="auto"/>
              </w:rPr>
              <w:t>Limitation on Sales of Assets and Subsidiary Stock</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89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3.6</w:t>
            </w:r>
          </w:p>
        </w:tc>
        <w:tc>
          <w:tcPr>
            <w:tcW w:w="7860" w:type="dxa"/>
            <w:vAlign w:val="bottom"/>
          </w:tcPr>
          <w:p>
            <w:pPr>
              <w:ind w:left="400"/>
              <w:spacing w:after="0"/>
              <w:rPr>
                <w:sz w:val="20"/>
                <w:szCs w:val="20"/>
                <w:color w:val="auto"/>
              </w:rPr>
            </w:pPr>
            <w:r>
              <w:rPr>
                <w:rFonts w:ascii="Arial" w:cs="Arial" w:eastAsia="Arial" w:hAnsi="Arial"/>
                <w:sz w:val="22"/>
                <w:szCs w:val="22"/>
                <w:color w:val="auto"/>
              </w:rPr>
              <w:t>Limitation on Liens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94</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3.7</w:t>
            </w:r>
          </w:p>
        </w:tc>
        <w:tc>
          <w:tcPr>
            <w:tcW w:w="7860" w:type="dxa"/>
            <w:vAlign w:val="bottom"/>
          </w:tcPr>
          <w:p>
            <w:pPr>
              <w:ind w:left="400"/>
              <w:spacing w:after="0"/>
              <w:rPr>
                <w:sz w:val="20"/>
                <w:szCs w:val="20"/>
                <w:color w:val="auto"/>
              </w:rPr>
            </w:pPr>
            <w:r>
              <w:rPr>
                <w:rFonts w:ascii="Arial" w:cs="Arial" w:eastAsia="Arial" w:hAnsi="Arial"/>
                <w:sz w:val="22"/>
                <w:szCs w:val="22"/>
                <w:color w:val="auto"/>
              </w:rPr>
              <w:t>Limitation on Guarantees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94</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3.8</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95</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3.9</w:t>
            </w:r>
          </w:p>
        </w:tc>
        <w:tc>
          <w:tcPr>
            <w:tcW w:w="7860" w:type="dxa"/>
            <w:vAlign w:val="bottom"/>
          </w:tcPr>
          <w:p>
            <w:pPr>
              <w:ind w:left="400"/>
              <w:spacing w:after="0"/>
              <w:rPr>
                <w:sz w:val="20"/>
                <w:szCs w:val="20"/>
                <w:color w:val="auto"/>
              </w:rPr>
            </w:pPr>
            <w:r>
              <w:rPr>
                <w:rFonts w:ascii="Arial" w:cs="Arial" w:eastAsia="Arial" w:hAnsi="Arial"/>
                <w:sz w:val="22"/>
                <w:szCs w:val="22"/>
                <w:color w:val="auto"/>
              </w:rPr>
              <w:t>Change of Control</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95</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3.10</w:t>
            </w:r>
          </w:p>
        </w:tc>
        <w:tc>
          <w:tcPr>
            <w:tcW w:w="7860" w:type="dxa"/>
            <w:vAlign w:val="bottom"/>
          </w:tcPr>
          <w:p>
            <w:pPr>
              <w:ind w:left="400"/>
              <w:spacing w:after="0"/>
              <w:rPr>
                <w:sz w:val="20"/>
                <w:szCs w:val="20"/>
                <w:color w:val="auto"/>
              </w:rPr>
            </w:pPr>
            <w:r>
              <w:rPr>
                <w:rFonts w:ascii="Arial" w:cs="Arial" w:eastAsia="Arial" w:hAnsi="Arial"/>
                <w:sz w:val="22"/>
                <w:szCs w:val="22"/>
                <w:color w:val="auto"/>
              </w:rPr>
              <w:t>Reports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99</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3.11</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7"/>
              </w:rPr>
              <w:t>102</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3.12</w:t>
            </w:r>
          </w:p>
        </w:tc>
        <w:tc>
          <w:tcPr>
            <w:tcW w:w="7860" w:type="dxa"/>
            <w:vAlign w:val="bottom"/>
          </w:tcPr>
          <w:p>
            <w:pPr>
              <w:ind w:left="400"/>
              <w:spacing w:after="0"/>
              <w:rPr>
                <w:sz w:val="20"/>
                <w:szCs w:val="20"/>
                <w:color w:val="auto"/>
              </w:rPr>
            </w:pPr>
            <w:r>
              <w:rPr>
                <w:rFonts w:ascii="Arial" w:cs="Arial" w:eastAsia="Arial" w:hAnsi="Arial"/>
                <w:sz w:val="22"/>
                <w:szCs w:val="22"/>
                <w:color w:val="auto"/>
              </w:rPr>
              <w:t>Maintenance of Office or Agency</w:t>
            </w:r>
          </w:p>
        </w:tc>
        <w:tc>
          <w:tcPr>
            <w:tcW w:w="420" w:type="dxa"/>
            <w:vAlign w:val="bottom"/>
          </w:tcPr>
          <w:p>
            <w:pPr>
              <w:jc w:val="center"/>
              <w:spacing w:after="0"/>
              <w:rPr>
                <w:sz w:val="20"/>
                <w:szCs w:val="20"/>
                <w:color w:val="auto"/>
              </w:rPr>
            </w:pPr>
            <w:r>
              <w:rPr>
                <w:rFonts w:ascii="Arial" w:cs="Arial" w:eastAsia="Arial" w:hAnsi="Arial"/>
                <w:sz w:val="22"/>
                <w:szCs w:val="22"/>
                <w:color w:val="auto"/>
                <w:w w:val="87"/>
              </w:rPr>
              <w:t>102</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3.13</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7"/>
              </w:rPr>
              <w:t>102</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3.14</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7"/>
              </w:rPr>
              <w:t>102</w:t>
            </w:r>
          </w:p>
        </w:tc>
        <w:tc>
          <w:tcPr>
            <w:tcW w:w="0" w:type="dxa"/>
            <w:vAlign w:val="bottom"/>
          </w:tcPr>
          <w:p>
            <w:pPr>
              <w:spacing w:after="0"/>
              <w:rPr>
                <w:sz w:val="1"/>
                <w:szCs w:val="1"/>
                <w:color w:val="auto"/>
              </w:rPr>
            </w:pPr>
          </w:p>
        </w:tc>
      </w:tr>
      <w:tr>
        <w:trPr>
          <w:trHeight w:val="297"/>
        </w:trPr>
        <w:tc>
          <w:tcPr>
            <w:tcW w:w="2920" w:type="dxa"/>
            <w:vAlign w:val="bottom"/>
          </w:tcPr>
          <w:p>
            <w:pPr>
              <w:ind w:left="800"/>
              <w:spacing w:after="0"/>
              <w:rPr>
                <w:sz w:val="20"/>
                <w:szCs w:val="20"/>
                <w:color w:val="auto"/>
              </w:rPr>
            </w:pPr>
            <w:r>
              <w:rPr>
                <w:rFonts w:ascii="Arial" w:cs="Arial" w:eastAsia="Arial" w:hAnsi="Arial"/>
                <w:sz w:val="22"/>
                <w:szCs w:val="22"/>
                <w:color w:val="auto"/>
              </w:rPr>
              <w:t>SECTION 3.15</w:t>
            </w:r>
          </w:p>
        </w:tc>
        <w:tc>
          <w:tcPr>
            <w:tcW w:w="7860" w:type="dxa"/>
            <w:vAlign w:val="bottom"/>
          </w:tcPr>
          <w:p>
            <w:pPr>
              <w:ind w:left="400"/>
              <w:spacing w:after="0"/>
              <w:rPr>
                <w:sz w:val="20"/>
                <w:szCs w:val="20"/>
                <w:color w:val="auto"/>
              </w:rPr>
            </w:pPr>
            <w:r>
              <w:rPr>
                <w:rFonts w:ascii="Arial" w:cs="Arial" w:eastAsia="Arial" w:hAnsi="Arial"/>
                <w:sz w:val="22"/>
                <w:szCs w:val="22"/>
                <w:color w:val="auto"/>
              </w:rPr>
              <w:t>[Reserved]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7"/>
              </w:rPr>
              <w:t>102</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280" w:top="990" w:right="4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75"/>
        </w:trPr>
        <w:tc>
          <w:tcPr>
            <w:tcW w:w="2780" w:type="dxa"/>
            <w:vAlign w:val="bottom"/>
          </w:tcPr>
          <w:p>
            <w:pPr>
              <w:ind w:left="800"/>
              <w:spacing w:after="0"/>
              <w:rPr>
                <w:sz w:val="20"/>
                <w:szCs w:val="20"/>
                <w:color w:val="auto"/>
              </w:rPr>
            </w:pPr>
            <w:r>
              <w:rPr>
                <w:rFonts w:ascii="Arial" w:cs="Arial" w:eastAsia="Arial" w:hAnsi="Arial"/>
                <w:sz w:val="22"/>
                <w:szCs w:val="22"/>
                <w:color w:val="auto"/>
              </w:rPr>
              <w:t>SECTION 3.16</w:t>
            </w:r>
          </w:p>
        </w:tc>
        <w:tc>
          <w:tcPr>
            <w:tcW w:w="6700" w:type="dxa"/>
            <w:vAlign w:val="bottom"/>
          </w:tcPr>
          <w:p>
            <w:pPr>
              <w:ind w:left="540"/>
              <w:spacing w:after="0"/>
              <w:rPr>
                <w:sz w:val="20"/>
                <w:szCs w:val="20"/>
                <w:color w:val="auto"/>
              </w:rPr>
            </w:pPr>
            <w:r>
              <w:rPr>
                <w:rFonts w:ascii="Arial" w:cs="Arial" w:eastAsia="Arial" w:hAnsi="Arial"/>
                <w:sz w:val="22"/>
                <w:szCs w:val="22"/>
                <w:color w:val="auto"/>
              </w:rPr>
              <w:t>Compliance Certificate</w:t>
            </w:r>
          </w:p>
        </w:tc>
        <w:tc>
          <w:tcPr>
            <w:tcW w:w="166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3.17</w:t>
            </w:r>
          </w:p>
        </w:tc>
        <w:tc>
          <w:tcPr>
            <w:tcW w:w="67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3.18</w:t>
            </w:r>
          </w:p>
        </w:tc>
        <w:tc>
          <w:tcPr>
            <w:tcW w:w="67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3.19</w:t>
            </w:r>
          </w:p>
        </w:tc>
        <w:tc>
          <w:tcPr>
            <w:tcW w:w="6700" w:type="dxa"/>
            <w:vAlign w:val="bottom"/>
          </w:tcPr>
          <w:p>
            <w:pPr>
              <w:ind w:left="540"/>
              <w:spacing w:after="0"/>
              <w:rPr>
                <w:sz w:val="20"/>
                <w:szCs w:val="20"/>
                <w:color w:val="auto"/>
              </w:rPr>
            </w:pPr>
            <w:r>
              <w:rPr>
                <w:rFonts w:ascii="Arial" w:cs="Arial" w:eastAsia="Arial" w:hAnsi="Arial"/>
                <w:sz w:val="22"/>
                <w:szCs w:val="22"/>
                <w:color w:val="auto"/>
              </w:rPr>
              <w:t>Statement by Officers as to Default</w:t>
            </w:r>
          </w:p>
        </w:tc>
        <w:tc>
          <w:tcPr>
            <w:tcW w:w="1660" w:type="dxa"/>
            <w:vAlign w:val="bottom"/>
          </w:tcPr>
          <w:p>
            <w:pPr>
              <w:jc w:val="right"/>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3.20</w:t>
            </w:r>
          </w:p>
        </w:tc>
        <w:tc>
          <w:tcPr>
            <w:tcW w:w="6700" w:type="dxa"/>
            <w:vAlign w:val="bottom"/>
          </w:tcPr>
          <w:p>
            <w:pPr>
              <w:ind w:left="540"/>
              <w:spacing w:after="0"/>
              <w:rPr>
                <w:sz w:val="20"/>
                <w:szCs w:val="20"/>
                <w:color w:val="auto"/>
              </w:rPr>
            </w:pPr>
            <w:r>
              <w:rPr>
                <w:rFonts w:ascii="Arial" w:cs="Arial" w:eastAsia="Arial" w:hAnsi="Arial"/>
                <w:sz w:val="22"/>
                <w:szCs w:val="22"/>
                <w:color w:val="auto"/>
              </w:rPr>
              <w:t>Designation of Restricted and Unrestricted Subsidiaries</w:t>
            </w:r>
          </w:p>
        </w:tc>
        <w:tc>
          <w:tcPr>
            <w:tcW w:w="1660" w:type="dxa"/>
            <w:vAlign w:val="bottom"/>
          </w:tcPr>
          <w:p>
            <w:pPr>
              <w:jc w:val="right"/>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3.21</w:t>
            </w:r>
          </w:p>
        </w:tc>
        <w:tc>
          <w:tcPr>
            <w:tcW w:w="6700" w:type="dxa"/>
            <w:vAlign w:val="bottom"/>
          </w:tcPr>
          <w:p>
            <w:pPr>
              <w:ind w:left="540"/>
              <w:spacing w:after="0"/>
              <w:rPr>
                <w:sz w:val="20"/>
                <w:szCs w:val="20"/>
                <w:color w:val="auto"/>
              </w:rPr>
            </w:pPr>
            <w:r>
              <w:rPr>
                <w:rFonts w:ascii="Arial" w:cs="Arial" w:eastAsia="Arial" w:hAnsi="Arial"/>
                <w:sz w:val="22"/>
                <w:szCs w:val="22"/>
                <w:color w:val="auto"/>
              </w:rPr>
              <w:t>Suspension of Certain Covenants</w:t>
            </w:r>
          </w:p>
        </w:tc>
        <w:tc>
          <w:tcPr>
            <w:tcW w:w="1660" w:type="dxa"/>
            <w:vAlign w:val="bottom"/>
          </w:tcPr>
          <w:p>
            <w:pPr>
              <w:jc w:val="right"/>
              <w:spacing w:after="0"/>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3.22</w:t>
            </w:r>
          </w:p>
        </w:tc>
        <w:tc>
          <w:tcPr>
            <w:tcW w:w="6700" w:type="dxa"/>
            <w:vAlign w:val="bottom"/>
          </w:tcPr>
          <w:p>
            <w:pPr>
              <w:ind w:left="540"/>
              <w:spacing w:after="0"/>
              <w:rPr>
                <w:sz w:val="20"/>
                <w:szCs w:val="20"/>
                <w:color w:val="auto"/>
              </w:rPr>
            </w:pPr>
            <w:r>
              <w:rPr>
                <w:rFonts w:ascii="Arial" w:cs="Arial" w:eastAsia="Arial" w:hAnsi="Arial"/>
                <w:sz w:val="22"/>
                <w:szCs w:val="22"/>
                <w:color w:val="auto"/>
              </w:rPr>
              <w:t>Termination of Certain Covenants</w:t>
            </w:r>
          </w:p>
        </w:tc>
        <w:tc>
          <w:tcPr>
            <w:tcW w:w="16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97"/>
        </w:trPr>
        <w:tc>
          <w:tcPr>
            <w:tcW w:w="9480" w:type="dxa"/>
            <w:vAlign w:val="bottom"/>
            <w:gridSpan w:val="2"/>
            <w:vMerge w:val="restart"/>
          </w:tcPr>
          <w:p>
            <w:pPr>
              <w:spacing w:after="0"/>
              <w:rPr>
                <w:sz w:val="20"/>
                <w:szCs w:val="20"/>
                <w:color w:val="auto"/>
              </w:rPr>
            </w:pPr>
            <w:r>
              <w:rPr>
                <w:rFonts w:ascii="Arial" w:cs="Arial" w:eastAsia="Arial" w:hAnsi="Arial"/>
                <w:sz w:val="22"/>
                <w:szCs w:val="22"/>
                <w:color w:val="auto"/>
              </w:rPr>
              <w:t>ARTICLE IV SUCCESSOR COMPANY; Successor Person</w:t>
            </w:r>
          </w:p>
        </w:tc>
        <w:tc>
          <w:tcPr>
            <w:tcW w:w="16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81"/>
        </w:trPr>
        <w:tc>
          <w:tcPr>
            <w:tcW w:w="948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4.1</w:t>
            </w:r>
          </w:p>
        </w:tc>
        <w:tc>
          <w:tcPr>
            <w:tcW w:w="6700" w:type="dxa"/>
            <w:vAlign w:val="bottom"/>
          </w:tcPr>
          <w:p>
            <w:pPr>
              <w:ind w:left="540"/>
              <w:spacing w:after="0"/>
              <w:rPr>
                <w:sz w:val="20"/>
                <w:szCs w:val="20"/>
                <w:color w:val="auto"/>
              </w:rPr>
            </w:pPr>
            <w:r>
              <w:rPr>
                <w:rFonts w:ascii="Arial" w:cs="Arial" w:eastAsia="Arial" w:hAnsi="Arial"/>
                <w:sz w:val="22"/>
                <w:szCs w:val="22"/>
                <w:color w:val="auto"/>
              </w:rPr>
              <w:t>Merger and Consolidation</w:t>
            </w:r>
          </w:p>
        </w:tc>
        <w:tc>
          <w:tcPr>
            <w:tcW w:w="16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97"/>
        </w:trPr>
        <w:tc>
          <w:tcPr>
            <w:tcW w:w="9480" w:type="dxa"/>
            <w:vAlign w:val="bottom"/>
            <w:gridSpan w:val="2"/>
            <w:vMerge w:val="restart"/>
          </w:tcPr>
          <w:p>
            <w:pPr>
              <w:spacing w:after="0"/>
              <w:rPr>
                <w:sz w:val="20"/>
                <w:szCs w:val="20"/>
                <w:color w:val="auto"/>
              </w:rPr>
            </w:pPr>
            <w:r>
              <w:rPr>
                <w:rFonts w:ascii="Arial" w:cs="Arial" w:eastAsia="Arial" w:hAnsi="Arial"/>
                <w:sz w:val="22"/>
                <w:szCs w:val="22"/>
                <w:color w:val="auto"/>
              </w:rPr>
              <w:t>ARTICLE V REDEMPTION OF SECURITIES</w:t>
            </w:r>
          </w:p>
        </w:tc>
        <w:tc>
          <w:tcPr>
            <w:tcW w:w="1660" w:type="dxa"/>
            <w:vAlign w:val="bottom"/>
          </w:tcPr>
          <w:p>
            <w:pPr>
              <w:jc w:val="right"/>
              <w:spacing w:after="0"/>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81"/>
        </w:trPr>
        <w:tc>
          <w:tcPr>
            <w:tcW w:w="948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5.1</w:t>
            </w:r>
          </w:p>
        </w:tc>
        <w:tc>
          <w:tcPr>
            <w:tcW w:w="6700" w:type="dxa"/>
            <w:vAlign w:val="bottom"/>
          </w:tcPr>
          <w:p>
            <w:pPr>
              <w:ind w:left="540"/>
              <w:spacing w:after="0"/>
              <w:rPr>
                <w:sz w:val="20"/>
                <w:szCs w:val="20"/>
                <w:color w:val="auto"/>
              </w:rPr>
            </w:pPr>
            <w:r>
              <w:rPr>
                <w:rFonts w:ascii="Arial" w:cs="Arial" w:eastAsia="Arial" w:hAnsi="Arial"/>
                <w:sz w:val="22"/>
                <w:szCs w:val="22"/>
                <w:color w:val="auto"/>
              </w:rPr>
              <w:t>Notices to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5.2</w:t>
            </w:r>
          </w:p>
        </w:tc>
        <w:tc>
          <w:tcPr>
            <w:tcW w:w="6700" w:type="dxa"/>
            <w:vAlign w:val="bottom"/>
          </w:tcPr>
          <w:p>
            <w:pPr>
              <w:ind w:left="540"/>
              <w:spacing w:after="0"/>
              <w:rPr>
                <w:sz w:val="20"/>
                <w:szCs w:val="20"/>
                <w:color w:val="auto"/>
              </w:rPr>
            </w:pPr>
            <w:r>
              <w:rPr>
                <w:rFonts w:ascii="Arial" w:cs="Arial" w:eastAsia="Arial" w:hAnsi="Arial"/>
                <w:sz w:val="22"/>
                <w:szCs w:val="22"/>
                <w:color w:val="auto"/>
              </w:rPr>
              <w:t>Selection of Notes To Be Redeemed or Purchased</w:t>
            </w:r>
          </w:p>
        </w:tc>
        <w:tc>
          <w:tcPr>
            <w:tcW w:w="1660" w:type="dxa"/>
            <w:vAlign w:val="bottom"/>
          </w:tcPr>
          <w:p>
            <w:pPr>
              <w:jc w:val="right"/>
              <w:spacing w:after="0"/>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5.3</w:t>
            </w:r>
          </w:p>
        </w:tc>
        <w:tc>
          <w:tcPr>
            <w:tcW w:w="6700" w:type="dxa"/>
            <w:vAlign w:val="bottom"/>
          </w:tcPr>
          <w:p>
            <w:pPr>
              <w:ind w:left="540"/>
              <w:spacing w:after="0"/>
              <w:rPr>
                <w:sz w:val="20"/>
                <w:szCs w:val="20"/>
                <w:color w:val="auto"/>
              </w:rPr>
            </w:pPr>
            <w:r>
              <w:rPr>
                <w:rFonts w:ascii="Arial" w:cs="Arial" w:eastAsia="Arial" w:hAnsi="Arial"/>
                <w:sz w:val="22"/>
                <w:szCs w:val="22"/>
                <w:color w:val="auto"/>
              </w:rPr>
              <w:t>Notice of Redemption</w:t>
            </w:r>
          </w:p>
        </w:tc>
        <w:tc>
          <w:tcPr>
            <w:tcW w:w="1660" w:type="dxa"/>
            <w:vAlign w:val="bottom"/>
          </w:tcPr>
          <w:p>
            <w:pPr>
              <w:jc w:val="right"/>
              <w:spacing w:after="0"/>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5.4</w:t>
            </w:r>
          </w:p>
        </w:tc>
        <w:tc>
          <w:tcPr>
            <w:tcW w:w="6700" w:type="dxa"/>
            <w:vAlign w:val="bottom"/>
          </w:tcPr>
          <w:p>
            <w:pPr>
              <w:ind w:left="540"/>
              <w:spacing w:after="0"/>
              <w:rPr>
                <w:sz w:val="20"/>
                <w:szCs w:val="20"/>
                <w:color w:val="auto"/>
              </w:rPr>
            </w:pPr>
            <w:r>
              <w:rPr>
                <w:rFonts w:ascii="Arial" w:cs="Arial" w:eastAsia="Arial" w:hAnsi="Arial"/>
                <w:sz w:val="22"/>
                <w:szCs w:val="22"/>
                <w:color w:val="auto"/>
              </w:rPr>
              <w:t>Effect of Notice of Redemption</w:t>
            </w:r>
          </w:p>
        </w:tc>
        <w:tc>
          <w:tcPr>
            <w:tcW w:w="1660" w:type="dxa"/>
            <w:vAlign w:val="bottom"/>
          </w:tcPr>
          <w:p>
            <w:pPr>
              <w:jc w:val="right"/>
              <w:spacing w:after="0"/>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5.5</w:t>
            </w:r>
          </w:p>
        </w:tc>
        <w:tc>
          <w:tcPr>
            <w:tcW w:w="6700" w:type="dxa"/>
            <w:vAlign w:val="bottom"/>
          </w:tcPr>
          <w:p>
            <w:pPr>
              <w:ind w:left="540"/>
              <w:spacing w:after="0"/>
              <w:rPr>
                <w:sz w:val="20"/>
                <w:szCs w:val="20"/>
                <w:color w:val="auto"/>
              </w:rPr>
            </w:pPr>
            <w:r>
              <w:rPr>
                <w:rFonts w:ascii="Arial" w:cs="Arial" w:eastAsia="Arial" w:hAnsi="Arial"/>
                <w:sz w:val="22"/>
                <w:szCs w:val="22"/>
                <w:color w:val="auto"/>
              </w:rPr>
              <w:t>Deposit of Redemption or Purchase Price</w:t>
            </w:r>
          </w:p>
        </w:tc>
        <w:tc>
          <w:tcPr>
            <w:tcW w:w="1660" w:type="dxa"/>
            <w:vAlign w:val="bottom"/>
          </w:tcPr>
          <w:p>
            <w:pPr>
              <w:jc w:val="right"/>
              <w:spacing w:after="0"/>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5.6</w:t>
            </w:r>
          </w:p>
        </w:tc>
        <w:tc>
          <w:tcPr>
            <w:tcW w:w="6700" w:type="dxa"/>
            <w:vAlign w:val="bottom"/>
          </w:tcPr>
          <w:p>
            <w:pPr>
              <w:ind w:left="540"/>
              <w:spacing w:after="0"/>
              <w:rPr>
                <w:sz w:val="20"/>
                <w:szCs w:val="20"/>
                <w:color w:val="auto"/>
              </w:rPr>
            </w:pPr>
            <w:r>
              <w:rPr>
                <w:rFonts w:ascii="Arial" w:cs="Arial" w:eastAsia="Arial" w:hAnsi="Arial"/>
                <w:sz w:val="22"/>
                <w:szCs w:val="22"/>
                <w:color w:val="auto"/>
              </w:rPr>
              <w:t>Notes Redeemed or Purchased in Part</w:t>
            </w:r>
          </w:p>
        </w:tc>
        <w:tc>
          <w:tcPr>
            <w:tcW w:w="1660" w:type="dxa"/>
            <w:vAlign w:val="bottom"/>
          </w:tcPr>
          <w:p>
            <w:pPr>
              <w:jc w:val="right"/>
              <w:spacing w:after="0"/>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5.7</w:t>
            </w:r>
          </w:p>
        </w:tc>
        <w:tc>
          <w:tcPr>
            <w:tcW w:w="6700" w:type="dxa"/>
            <w:vAlign w:val="bottom"/>
          </w:tcPr>
          <w:p>
            <w:pPr>
              <w:ind w:left="540"/>
              <w:spacing w:after="0"/>
              <w:rPr>
                <w:sz w:val="20"/>
                <w:szCs w:val="20"/>
                <w:color w:val="auto"/>
              </w:rPr>
            </w:pPr>
            <w:r>
              <w:rPr>
                <w:rFonts w:ascii="Arial" w:cs="Arial" w:eastAsia="Arial" w:hAnsi="Arial"/>
                <w:sz w:val="22"/>
                <w:szCs w:val="22"/>
                <w:color w:val="auto"/>
              </w:rPr>
              <w:t>Optional Redemption</w:t>
            </w:r>
          </w:p>
        </w:tc>
        <w:tc>
          <w:tcPr>
            <w:tcW w:w="1660" w:type="dxa"/>
            <w:vAlign w:val="bottom"/>
          </w:tcPr>
          <w:p>
            <w:pPr>
              <w:jc w:val="right"/>
              <w:spacing w:after="0"/>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5.8</w:t>
            </w:r>
          </w:p>
        </w:tc>
        <w:tc>
          <w:tcPr>
            <w:tcW w:w="6700" w:type="dxa"/>
            <w:vAlign w:val="bottom"/>
          </w:tcPr>
          <w:p>
            <w:pPr>
              <w:ind w:left="540"/>
              <w:spacing w:after="0"/>
              <w:rPr>
                <w:sz w:val="20"/>
                <w:szCs w:val="20"/>
                <w:color w:val="auto"/>
              </w:rPr>
            </w:pPr>
            <w:r>
              <w:rPr>
                <w:rFonts w:ascii="Arial" w:cs="Arial" w:eastAsia="Arial" w:hAnsi="Arial"/>
                <w:sz w:val="22"/>
                <w:szCs w:val="22"/>
                <w:color w:val="auto"/>
              </w:rPr>
              <w:t>Mandatory Redemption</w:t>
            </w:r>
          </w:p>
        </w:tc>
        <w:tc>
          <w:tcPr>
            <w:tcW w:w="1660" w:type="dxa"/>
            <w:vAlign w:val="bottom"/>
          </w:tcPr>
          <w:p>
            <w:pPr>
              <w:jc w:val="right"/>
              <w:spacing w:after="0"/>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97"/>
        </w:trPr>
        <w:tc>
          <w:tcPr>
            <w:tcW w:w="9480" w:type="dxa"/>
            <w:vAlign w:val="bottom"/>
            <w:gridSpan w:val="2"/>
            <w:vMerge w:val="restart"/>
          </w:tcPr>
          <w:p>
            <w:pPr>
              <w:spacing w:after="0"/>
              <w:rPr>
                <w:sz w:val="20"/>
                <w:szCs w:val="20"/>
                <w:color w:val="auto"/>
              </w:rPr>
            </w:pPr>
            <w:r>
              <w:rPr>
                <w:rFonts w:ascii="Arial" w:cs="Arial" w:eastAsia="Arial" w:hAnsi="Arial"/>
                <w:sz w:val="22"/>
                <w:szCs w:val="22"/>
                <w:color w:val="auto"/>
              </w:rPr>
              <w:t>ARTICLE VI DEFAULTS AND REMEDIES</w:t>
            </w:r>
          </w:p>
        </w:tc>
        <w:tc>
          <w:tcPr>
            <w:tcW w:w="1660" w:type="dxa"/>
            <w:vAlign w:val="bottom"/>
          </w:tcPr>
          <w:p>
            <w:pPr>
              <w:jc w:val="right"/>
              <w:spacing w:after="0"/>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81"/>
        </w:trPr>
        <w:tc>
          <w:tcPr>
            <w:tcW w:w="948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6.1</w:t>
            </w:r>
          </w:p>
        </w:tc>
        <w:tc>
          <w:tcPr>
            <w:tcW w:w="6700" w:type="dxa"/>
            <w:vAlign w:val="bottom"/>
          </w:tcPr>
          <w:p>
            <w:pPr>
              <w:ind w:left="540"/>
              <w:spacing w:after="0"/>
              <w:rPr>
                <w:sz w:val="20"/>
                <w:szCs w:val="20"/>
                <w:color w:val="auto"/>
              </w:rPr>
            </w:pPr>
            <w:r>
              <w:rPr>
                <w:rFonts w:ascii="Arial" w:cs="Arial" w:eastAsia="Arial" w:hAnsi="Arial"/>
                <w:sz w:val="22"/>
                <w:szCs w:val="22"/>
                <w:color w:val="auto"/>
              </w:rPr>
              <w:t>Events of Default</w:t>
            </w:r>
          </w:p>
        </w:tc>
        <w:tc>
          <w:tcPr>
            <w:tcW w:w="1660" w:type="dxa"/>
            <w:vAlign w:val="bottom"/>
          </w:tcPr>
          <w:p>
            <w:pPr>
              <w:jc w:val="right"/>
              <w:spacing w:after="0"/>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6.2</w:t>
            </w:r>
          </w:p>
        </w:tc>
        <w:tc>
          <w:tcPr>
            <w:tcW w:w="6700" w:type="dxa"/>
            <w:vAlign w:val="bottom"/>
          </w:tcPr>
          <w:p>
            <w:pPr>
              <w:ind w:left="540"/>
              <w:spacing w:after="0"/>
              <w:rPr>
                <w:sz w:val="20"/>
                <w:szCs w:val="20"/>
                <w:color w:val="auto"/>
              </w:rPr>
            </w:pPr>
            <w:r>
              <w:rPr>
                <w:rFonts w:ascii="Arial" w:cs="Arial" w:eastAsia="Arial" w:hAnsi="Arial"/>
                <w:sz w:val="22"/>
                <w:szCs w:val="22"/>
                <w:color w:val="auto"/>
              </w:rPr>
              <w:t>Acceleration</w:t>
            </w:r>
          </w:p>
        </w:tc>
        <w:tc>
          <w:tcPr>
            <w:tcW w:w="1660" w:type="dxa"/>
            <w:vAlign w:val="bottom"/>
          </w:tcPr>
          <w:p>
            <w:pPr>
              <w:jc w:val="right"/>
              <w:spacing w:after="0"/>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6.3</w:t>
            </w:r>
          </w:p>
        </w:tc>
        <w:tc>
          <w:tcPr>
            <w:tcW w:w="6700" w:type="dxa"/>
            <w:vAlign w:val="bottom"/>
          </w:tcPr>
          <w:p>
            <w:pPr>
              <w:ind w:left="540"/>
              <w:spacing w:after="0"/>
              <w:rPr>
                <w:sz w:val="20"/>
                <w:szCs w:val="20"/>
                <w:color w:val="auto"/>
              </w:rPr>
            </w:pPr>
            <w:r>
              <w:rPr>
                <w:rFonts w:ascii="Arial" w:cs="Arial" w:eastAsia="Arial" w:hAnsi="Arial"/>
                <w:sz w:val="22"/>
                <w:szCs w:val="22"/>
                <w:color w:val="auto"/>
              </w:rPr>
              <w:t>Other Remedies</w:t>
            </w:r>
          </w:p>
        </w:tc>
        <w:tc>
          <w:tcPr>
            <w:tcW w:w="1660" w:type="dxa"/>
            <w:vAlign w:val="bottom"/>
          </w:tcPr>
          <w:p>
            <w:pPr>
              <w:jc w:val="right"/>
              <w:spacing w:after="0"/>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6.4</w:t>
            </w:r>
          </w:p>
        </w:tc>
        <w:tc>
          <w:tcPr>
            <w:tcW w:w="6700" w:type="dxa"/>
            <w:vAlign w:val="bottom"/>
          </w:tcPr>
          <w:p>
            <w:pPr>
              <w:ind w:left="540"/>
              <w:spacing w:after="0"/>
              <w:rPr>
                <w:sz w:val="20"/>
                <w:szCs w:val="20"/>
                <w:color w:val="auto"/>
              </w:rPr>
            </w:pPr>
            <w:r>
              <w:rPr>
                <w:rFonts w:ascii="Arial" w:cs="Arial" w:eastAsia="Arial" w:hAnsi="Arial"/>
                <w:sz w:val="22"/>
                <w:szCs w:val="22"/>
                <w:color w:val="auto"/>
              </w:rPr>
              <w:t>Waiver of Past Defaults</w:t>
            </w:r>
          </w:p>
        </w:tc>
        <w:tc>
          <w:tcPr>
            <w:tcW w:w="1660" w:type="dxa"/>
            <w:vAlign w:val="bottom"/>
          </w:tcPr>
          <w:p>
            <w:pPr>
              <w:jc w:val="right"/>
              <w:spacing w:after="0"/>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6.5</w:t>
            </w:r>
          </w:p>
        </w:tc>
        <w:tc>
          <w:tcPr>
            <w:tcW w:w="6700" w:type="dxa"/>
            <w:vAlign w:val="bottom"/>
          </w:tcPr>
          <w:p>
            <w:pPr>
              <w:ind w:left="540"/>
              <w:spacing w:after="0"/>
              <w:rPr>
                <w:sz w:val="20"/>
                <w:szCs w:val="20"/>
                <w:color w:val="auto"/>
              </w:rPr>
            </w:pPr>
            <w:r>
              <w:rPr>
                <w:rFonts w:ascii="Arial" w:cs="Arial" w:eastAsia="Arial" w:hAnsi="Arial"/>
                <w:sz w:val="22"/>
                <w:szCs w:val="22"/>
                <w:color w:val="auto"/>
              </w:rPr>
              <w:t>Control by Majority</w:t>
            </w:r>
          </w:p>
        </w:tc>
        <w:tc>
          <w:tcPr>
            <w:tcW w:w="1660" w:type="dxa"/>
            <w:vAlign w:val="bottom"/>
          </w:tcPr>
          <w:p>
            <w:pPr>
              <w:jc w:val="right"/>
              <w:spacing w:after="0"/>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6.6</w:t>
            </w:r>
          </w:p>
        </w:tc>
        <w:tc>
          <w:tcPr>
            <w:tcW w:w="6700" w:type="dxa"/>
            <w:vAlign w:val="bottom"/>
          </w:tcPr>
          <w:p>
            <w:pPr>
              <w:ind w:left="540"/>
              <w:spacing w:after="0"/>
              <w:rPr>
                <w:sz w:val="20"/>
                <w:szCs w:val="20"/>
                <w:color w:val="auto"/>
              </w:rPr>
            </w:pPr>
            <w:r>
              <w:rPr>
                <w:rFonts w:ascii="Arial" w:cs="Arial" w:eastAsia="Arial" w:hAnsi="Arial"/>
                <w:sz w:val="22"/>
                <w:szCs w:val="22"/>
                <w:color w:val="auto"/>
              </w:rPr>
              <w:t>Limitation on Suits</w:t>
            </w:r>
          </w:p>
        </w:tc>
        <w:tc>
          <w:tcPr>
            <w:tcW w:w="166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6.7</w:t>
            </w:r>
          </w:p>
        </w:tc>
        <w:tc>
          <w:tcPr>
            <w:tcW w:w="67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6.8</w:t>
            </w:r>
          </w:p>
        </w:tc>
        <w:tc>
          <w:tcPr>
            <w:tcW w:w="6700" w:type="dxa"/>
            <w:vAlign w:val="bottom"/>
          </w:tcPr>
          <w:p>
            <w:pPr>
              <w:ind w:left="540"/>
              <w:spacing w:after="0"/>
              <w:rPr>
                <w:sz w:val="20"/>
                <w:szCs w:val="20"/>
                <w:color w:val="auto"/>
              </w:rPr>
            </w:pPr>
            <w:r>
              <w:rPr>
                <w:rFonts w:ascii="Arial" w:cs="Arial" w:eastAsia="Arial" w:hAnsi="Arial"/>
                <w:sz w:val="22"/>
                <w:szCs w:val="22"/>
                <w:color w:val="auto"/>
              </w:rPr>
              <w:t>Collection Suit by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6.9</w:t>
            </w:r>
          </w:p>
        </w:tc>
        <w:tc>
          <w:tcPr>
            <w:tcW w:w="6700" w:type="dxa"/>
            <w:vAlign w:val="bottom"/>
          </w:tcPr>
          <w:p>
            <w:pPr>
              <w:ind w:left="540"/>
              <w:spacing w:after="0"/>
              <w:rPr>
                <w:sz w:val="20"/>
                <w:szCs w:val="20"/>
                <w:color w:val="auto"/>
              </w:rPr>
            </w:pPr>
            <w:r>
              <w:rPr>
                <w:rFonts w:ascii="Arial" w:cs="Arial" w:eastAsia="Arial" w:hAnsi="Arial"/>
                <w:sz w:val="22"/>
                <w:szCs w:val="22"/>
                <w:color w:val="auto"/>
              </w:rPr>
              <w:t>Trustee May File Proofs of Claim</w:t>
            </w:r>
          </w:p>
        </w:tc>
        <w:tc>
          <w:tcPr>
            <w:tcW w:w="166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6.10</w:t>
            </w:r>
          </w:p>
        </w:tc>
        <w:tc>
          <w:tcPr>
            <w:tcW w:w="6700" w:type="dxa"/>
            <w:vAlign w:val="bottom"/>
          </w:tcPr>
          <w:p>
            <w:pPr>
              <w:ind w:left="540"/>
              <w:spacing w:after="0"/>
              <w:rPr>
                <w:sz w:val="20"/>
                <w:szCs w:val="20"/>
                <w:color w:val="auto"/>
              </w:rPr>
            </w:pPr>
            <w:r>
              <w:rPr>
                <w:rFonts w:ascii="Arial" w:cs="Arial" w:eastAsia="Arial" w:hAnsi="Arial"/>
                <w:sz w:val="22"/>
                <w:szCs w:val="22"/>
                <w:color w:val="auto"/>
              </w:rPr>
              <w:t>Priorities</w:t>
            </w:r>
          </w:p>
        </w:tc>
        <w:tc>
          <w:tcPr>
            <w:tcW w:w="1660" w:type="dxa"/>
            <w:vAlign w:val="bottom"/>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6.11</w:t>
            </w:r>
          </w:p>
        </w:tc>
        <w:tc>
          <w:tcPr>
            <w:tcW w:w="6700" w:type="dxa"/>
            <w:vAlign w:val="bottom"/>
          </w:tcPr>
          <w:p>
            <w:pPr>
              <w:ind w:left="540"/>
              <w:spacing w:after="0"/>
              <w:rPr>
                <w:sz w:val="20"/>
                <w:szCs w:val="20"/>
                <w:color w:val="auto"/>
              </w:rPr>
            </w:pPr>
            <w:r>
              <w:rPr>
                <w:rFonts w:ascii="Arial" w:cs="Arial" w:eastAsia="Arial" w:hAnsi="Arial"/>
                <w:sz w:val="22"/>
                <w:szCs w:val="22"/>
                <w:color w:val="auto"/>
              </w:rPr>
              <w:t>Undertaking for Costs</w:t>
            </w:r>
          </w:p>
        </w:tc>
        <w:tc>
          <w:tcPr>
            <w:tcW w:w="1660" w:type="dxa"/>
            <w:vAlign w:val="bottom"/>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97"/>
        </w:trPr>
        <w:tc>
          <w:tcPr>
            <w:tcW w:w="2780" w:type="dxa"/>
            <w:vAlign w:val="bottom"/>
            <w:vMerge w:val="restart"/>
          </w:tcPr>
          <w:p>
            <w:pPr>
              <w:spacing w:after="0"/>
              <w:rPr>
                <w:sz w:val="20"/>
                <w:szCs w:val="20"/>
                <w:color w:val="auto"/>
              </w:rPr>
            </w:pPr>
            <w:r>
              <w:rPr>
                <w:rFonts w:ascii="Arial" w:cs="Arial" w:eastAsia="Arial" w:hAnsi="Arial"/>
                <w:sz w:val="22"/>
                <w:szCs w:val="22"/>
                <w:color w:val="auto"/>
              </w:rPr>
              <w:t>ARTICLE VII TRUSTEE</w:t>
            </w:r>
          </w:p>
        </w:tc>
        <w:tc>
          <w:tcPr>
            <w:tcW w:w="67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81"/>
        </w:trPr>
        <w:tc>
          <w:tcPr>
            <w:tcW w:w="2780" w:type="dxa"/>
            <w:vAlign w:val="bottom"/>
            <w:vMerge w:val="continue"/>
          </w:tcPr>
          <w:p>
            <w:pPr>
              <w:spacing w:after="0"/>
              <w:rPr>
                <w:sz w:val="7"/>
                <w:szCs w:val="7"/>
                <w:color w:val="auto"/>
              </w:rPr>
            </w:pPr>
          </w:p>
        </w:tc>
        <w:tc>
          <w:tcPr>
            <w:tcW w:w="6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7.1</w:t>
            </w:r>
          </w:p>
        </w:tc>
        <w:tc>
          <w:tcPr>
            <w:tcW w:w="6700" w:type="dxa"/>
            <w:vAlign w:val="bottom"/>
          </w:tcPr>
          <w:p>
            <w:pPr>
              <w:ind w:left="540"/>
              <w:spacing w:after="0"/>
              <w:rPr>
                <w:sz w:val="20"/>
                <w:szCs w:val="20"/>
                <w:color w:val="auto"/>
              </w:rPr>
            </w:pPr>
            <w:r>
              <w:rPr>
                <w:rFonts w:ascii="Arial" w:cs="Arial" w:eastAsia="Arial" w:hAnsi="Arial"/>
                <w:sz w:val="22"/>
                <w:szCs w:val="22"/>
                <w:color w:val="auto"/>
              </w:rPr>
              <w:t>Duties of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7.2</w:t>
            </w:r>
          </w:p>
        </w:tc>
        <w:tc>
          <w:tcPr>
            <w:tcW w:w="6700" w:type="dxa"/>
            <w:vAlign w:val="bottom"/>
          </w:tcPr>
          <w:p>
            <w:pPr>
              <w:ind w:left="540"/>
              <w:spacing w:after="0"/>
              <w:rPr>
                <w:sz w:val="20"/>
                <w:szCs w:val="20"/>
                <w:color w:val="auto"/>
              </w:rPr>
            </w:pPr>
            <w:r>
              <w:rPr>
                <w:rFonts w:ascii="Arial" w:cs="Arial" w:eastAsia="Arial" w:hAnsi="Arial"/>
                <w:sz w:val="22"/>
                <w:szCs w:val="22"/>
                <w:color w:val="auto"/>
              </w:rPr>
              <w:t>Rights of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120</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7.3</w:t>
            </w:r>
          </w:p>
        </w:tc>
        <w:tc>
          <w:tcPr>
            <w:tcW w:w="6700" w:type="dxa"/>
            <w:vAlign w:val="bottom"/>
          </w:tcPr>
          <w:p>
            <w:pPr>
              <w:ind w:left="540"/>
              <w:spacing w:after="0"/>
              <w:rPr>
                <w:sz w:val="20"/>
                <w:szCs w:val="20"/>
                <w:color w:val="auto"/>
              </w:rPr>
            </w:pPr>
            <w:r>
              <w:rPr>
                <w:rFonts w:ascii="Arial" w:cs="Arial" w:eastAsia="Arial" w:hAnsi="Arial"/>
                <w:sz w:val="22"/>
                <w:szCs w:val="22"/>
                <w:color w:val="auto"/>
              </w:rPr>
              <w:t>Individual Rights of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7.4</w:t>
            </w:r>
          </w:p>
        </w:tc>
        <w:tc>
          <w:tcPr>
            <w:tcW w:w="6700" w:type="dxa"/>
            <w:vAlign w:val="bottom"/>
          </w:tcPr>
          <w:p>
            <w:pPr>
              <w:ind w:left="540"/>
              <w:spacing w:after="0"/>
              <w:rPr>
                <w:sz w:val="20"/>
                <w:szCs w:val="20"/>
                <w:color w:val="auto"/>
              </w:rPr>
            </w:pPr>
            <w:r>
              <w:rPr>
                <w:rFonts w:ascii="Arial" w:cs="Arial" w:eastAsia="Arial" w:hAnsi="Arial"/>
                <w:sz w:val="22"/>
                <w:szCs w:val="22"/>
                <w:color w:val="auto"/>
              </w:rPr>
              <w:t>Trustee’s Disclaimer</w:t>
            </w:r>
          </w:p>
        </w:tc>
        <w:tc>
          <w:tcPr>
            <w:tcW w:w="1660" w:type="dxa"/>
            <w:vAlign w:val="bottom"/>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7.5</w:t>
            </w:r>
          </w:p>
        </w:tc>
        <w:tc>
          <w:tcPr>
            <w:tcW w:w="6700" w:type="dxa"/>
            <w:vAlign w:val="bottom"/>
          </w:tcPr>
          <w:p>
            <w:pPr>
              <w:ind w:left="540"/>
              <w:spacing w:after="0"/>
              <w:rPr>
                <w:sz w:val="20"/>
                <w:szCs w:val="20"/>
                <w:color w:val="auto"/>
              </w:rPr>
            </w:pPr>
            <w:r>
              <w:rPr>
                <w:rFonts w:ascii="Arial" w:cs="Arial" w:eastAsia="Arial" w:hAnsi="Arial"/>
                <w:sz w:val="22"/>
                <w:szCs w:val="22"/>
                <w:color w:val="auto"/>
              </w:rPr>
              <w:t>Notice of Defaults</w:t>
            </w:r>
          </w:p>
        </w:tc>
        <w:tc>
          <w:tcPr>
            <w:tcW w:w="1660" w:type="dxa"/>
            <w:vAlign w:val="bottom"/>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7.6</w:t>
            </w:r>
          </w:p>
        </w:tc>
        <w:tc>
          <w:tcPr>
            <w:tcW w:w="67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7.7</w:t>
            </w:r>
          </w:p>
        </w:tc>
        <w:tc>
          <w:tcPr>
            <w:tcW w:w="6700" w:type="dxa"/>
            <w:vAlign w:val="bottom"/>
          </w:tcPr>
          <w:p>
            <w:pPr>
              <w:ind w:left="540"/>
              <w:spacing w:after="0"/>
              <w:rPr>
                <w:sz w:val="20"/>
                <w:szCs w:val="20"/>
                <w:color w:val="auto"/>
              </w:rPr>
            </w:pPr>
            <w:r>
              <w:rPr>
                <w:rFonts w:ascii="Arial" w:cs="Arial" w:eastAsia="Arial" w:hAnsi="Arial"/>
                <w:sz w:val="22"/>
                <w:szCs w:val="22"/>
                <w:color w:val="auto"/>
              </w:rPr>
              <w:t>Compensation and Indemnity</w:t>
            </w:r>
          </w:p>
        </w:tc>
        <w:tc>
          <w:tcPr>
            <w:tcW w:w="1660" w:type="dxa"/>
            <w:vAlign w:val="bottom"/>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7.8</w:t>
            </w:r>
          </w:p>
        </w:tc>
        <w:tc>
          <w:tcPr>
            <w:tcW w:w="6700" w:type="dxa"/>
            <w:vAlign w:val="bottom"/>
          </w:tcPr>
          <w:p>
            <w:pPr>
              <w:ind w:left="540"/>
              <w:spacing w:after="0"/>
              <w:rPr>
                <w:sz w:val="20"/>
                <w:szCs w:val="20"/>
                <w:color w:val="auto"/>
              </w:rPr>
            </w:pPr>
            <w:r>
              <w:rPr>
                <w:rFonts w:ascii="Arial" w:cs="Arial" w:eastAsia="Arial" w:hAnsi="Arial"/>
                <w:sz w:val="22"/>
                <w:szCs w:val="22"/>
                <w:color w:val="auto"/>
              </w:rPr>
              <w:t>Replacement of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7.9</w:t>
            </w:r>
          </w:p>
        </w:tc>
        <w:tc>
          <w:tcPr>
            <w:tcW w:w="6700" w:type="dxa"/>
            <w:vAlign w:val="bottom"/>
          </w:tcPr>
          <w:p>
            <w:pPr>
              <w:ind w:left="540"/>
              <w:spacing w:after="0"/>
              <w:rPr>
                <w:sz w:val="20"/>
                <w:szCs w:val="20"/>
                <w:color w:val="auto"/>
              </w:rPr>
            </w:pPr>
            <w:r>
              <w:rPr>
                <w:rFonts w:ascii="Arial" w:cs="Arial" w:eastAsia="Arial" w:hAnsi="Arial"/>
                <w:sz w:val="22"/>
                <w:szCs w:val="22"/>
                <w:color w:val="auto"/>
              </w:rPr>
              <w:t>Successor Trustee by Merger</w:t>
            </w:r>
          </w:p>
        </w:tc>
        <w:tc>
          <w:tcPr>
            <w:tcW w:w="166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7.10</w:t>
            </w:r>
          </w:p>
        </w:tc>
        <w:tc>
          <w:tcPr>
            <w:tcW w:w="6700" w:type="dxa"/>
            <w:vAlign w:val="bottom"/>
          </w:tcPr>
          <w:p>
            <w:pPr>
              <w:ind w:left="540"/>
              <w:spacing w:after="0"/>
              <w:rPr>
                <w:sz w:val="20"/>
                <w:szCs w:val="20"/>
                <w:color w:val="auto"/>
              </w:rPr>
            </w:pPr>
            <w:r>
              <w:rPr>
                <w:rFonts w:ascii="Arial" w:cs="Arial" w:eastAsia="Arial" w:hAnsi="Arial"/>
                <w:sz w:val="22"/>
                <w:szCs w:val="22"/>
                <w:color w:val="auto"/>
              </w:rPr>
              <w:t>Eligibility; Disqualification</w:t>
            </w:r>
          </w:p>
        </w:tc>
        <w:tc>
          <w:tcPr>
            <w:tcW w:w="166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2780" w:type="dxa"/>
            <w:vAlign w:val="bottom"/>
          </w:tcPr>
          <w:p>
            <w:pPr>
              <w:ind w:left="800"/>
              <w:spacing w:after="0"/>
              <w:rPr>
                <w:sz w:val="20"/>
                <w:szCs w:val="20"/>
                <w:color w:val="auto"/>
              </w:rPr>
            </w:pPr>
            <w:r>
              <w:rPr>
                <w:rFonts w:ascii="Arial" w:cs="Arial" w:eastAsia="Arial" w:hAnsi="Arial"/>
                <w:sz w:val="22"/>
                <w:szCs w:val="22"/>
                <w:color w:val="auto"/>
              </w:rPr>
              <w:t>SECTION 7.11</w:t>
            </w:r>
          </w:p>
        </w:tc>
        <w:tc>
          <w:tcPr>
            <w:tcW w:w="67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40"/>
          </w:cols>
          <w:pgMar w:left="280" w:top="996" w:right="4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75"/>
        </w:trPr>
        <w:tc>
          <w:tcPr>
            <w:tcW w:w="3220" w:type="dxa"/>
            <w:vAlign w:val="bottom"/>
          </w:tcPr>
          <w:p>
            <w:pPr>
              <w:ind w:left="800"/>
              <w:spacing w:after="0"/>
              <w:rPr>
                <w:sz w:val="20"/>
                <w:szCs w:val="20"/>
                <w:color w:val="auto"/>
              </w:rPr>
            </w:pPr>
            <w:r>
              <w:rPr>
                <w:rFonts w:ascii="Arial" w:cs="Arial" w:eastAsia="Arial" w:hAnsi="Arial"/>
                <w:sz w:val="22"/>
                <w:szCs w:val="22"/>
                <w:color w:val="auto"/>
              </w:rPr>
              <w:t>SECTION 7.12</w:t>
            </w:r>
          </w:p>
        </w:tc>
        <w:tc>
          <w:tcPr>
            <w:tcW w:w="7300" w:type="dxa"/>
            <w:vAlign w:val="bottom"/>
          </w:tcPr>
          <w:p>
            <w:pPr>
              <w:ind w:left="100"/>
              <w:spacing w:after="0"/>
              <w:rPr>
                <w:sz w:val="20"/>
                <w:szCs w:val="20"/>
                <w:color w:val="auto"/>
              </w:rPr>
            </w:pPr>
            <w:r>
              <w:rPr>
                <w:rFonts w:ascii="Arial" w:cs="Arial" w:eastAsia="Arial" w:hAnsi="Arial"/>
                <w:sz w:val="22"/>
                <w:szCs w:val="22"/>
                <w:color w:val="auto"/>
              </w:rPr>
              <w:t>Trustee’s Application for Instruction from the Company</w:t>
            </w:r>
          </w:p>
        </w:tc>
        <w:tc>
          <w:tcPr>
            <w:tcW w:w="62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10520" w:type="dxa"/>
            <w:vAlign w:val="bottom"/>
            <w:gridSpan w:val="2"/>
            <w:vMerge w:val="restart"/>
          </w:tcPr>
          <w:p>
            <w:pPr>
              <w:spacing w:after="0"/>
              <w:rPr>
                <w:sz w:val="20"/>
                <w:szCs w:val="20"/>
                <w:color w:val="auto"/>
              </w:rPr>
            </w:pPr>
            <w:r>
              <w:rPr>
                <w:rFonts w:ascii="Arial" w:cs="Arial" w:eastAsia="Arial" w:hAnsi="Arial"/>
                <w:sz w:val="22"/>
                <w:szCs w:val="22"/>
                <w:color w:val="auto"/>
              </w:rPr>
              <w:t>ARTICLE VIII LEGAL DEFEASANCE AND COVENANT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81"/>
        </w:trPr>
        <w:tc>
          <w:tcPr>
            <w:tcW w:w="105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8.1</w:t>
            </w:r>
          </w:p>
        </w:tc>
        <w:tc>
          <w:tcPr>
            <w:tcW w:w="7300" w:type="dxa"/>
            <w:vAlign w:val="bottom"/>
          </w:tcPr>
          <w:p>
            <w:pPr>
              <w:ind w:left="100"/>
              <w:spacing w:after="0"/>
              <w:rPr>
                <w:sz w:val="20"/>
                <w:szCs w:val="20"/>
                <w:color w:val="auto"/>
              </w:rPr>
            </w:pPr>
            <w:r>
              <w:rPr>
                <w:rFonts w:ascii="Arial" w:cs="Arial" w:eastAsia="Arial" w:hAnsi="Arial"/>
                <w:sz w:val="22"/>
                <w:szCs w:val="22"/>
                <w:color w:val="auto"/>
                <w:w w:val="99"/>
              </w:rPr>
              <w:t>Option To Effect Legal Defeasance or Covenant Defeasance;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8.2</w:t>
            </w:r>
          </w:p>
        </w:tc>
        <w:tc>
          <w:tcPr>
            <w:tcW w:w="7300" w:type="dxa"/>
            <w:vAlign w:val="bottom"/>
          </w:tcPr>
          <w:p>
            <w:pPr>
              <w:ind w:left="100"/>
              <w:spacing w:after="0"/>
              <w:rPr>
                <w:sz w:val="20"/>
                <w:szCs w:val="20"/>
                <w:color w:val="auto"/>
              </w:rPr>
            </w:pPr>
            <w:r>
              <w:rPr>
                <w:rFonts w:ascii="Arial" w:cs="Arial" w:eastAsia="Arial" w:hAnsi="Arial"/>
                <w:sz w:val="22"/>
                <w:szCs w:val="22"/>
                <w:color w:val="auto"/>
              </w:rPr>
              <w:t>Legal Defeasance and Discharge</w:t>
            </w:r>
          </w:p>
        </w:tc>
        <w:tc>
          <w:tcPr>
            <w:tcW w:w="6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8.3</w:t>
            </w:r>
          </w:p>
        </w:tc>
        <w:tc>
          <w:tcPr>
            <w:tcW w:w="7300" w:type="dxa"/>
            <w:vAlign w:val="bottom"/>
          </w:tcPr>
          <w:p>
            <w:pPr>
              <w:ind w:left="100"/>
              <w:spacing w:after="0"/>
              <w:rPr>
                <w:sz w:val="20"/>
                <w:szCs w:val="20"/>
                <w:color w:val="auto"/>
              </w:rPr>
            </w:pPr>
            <w:r>
              <w:rPr>
                <w:rFonts w:ascii="Arial" w:cs="Arial" w:eastAsia="Arial" w:hAnsi="Arial"/>
                <w:sz w:val="22"/>
                <w:szCs w:val="22"/>
                <w:color w:val="auto"/>
              </w:rPr>
              <w:t>Covenant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8.4</w:t>
            </w:r>
          </w:p>
        </w:tc>
        <w:tc>
          <w:tcPr>
            <w:tcW w:w="7300" w:type="dxa"/>
            <w:vAlign w:val="bottom"/>
          </w:tcPr>
          <w:p>
            <w:pPr>
              <w:ind w:left="100"/>
              <w:spacing w:after="0"/>
              <w:rPr>
                <w:sz w:val="20"/>
                <w:szCs w:val="20"/>
                <w:color w:val="auto"/>
              </w:rPr>
            </w:pPr>
            <w:r>
              <w:rPr>
                <w:rFonts w:ascii="Arial" w:cs="Arial" w:eastAsia="Arial" w:hAnsi="Arial"/>
                <w:sz w:val="22"/>
                <w:szCs w:val="22"/>
                <w:color w:val="auto"/>
              </w:rPr>
              <w:t>Conditions to Legal or Covenant Defeasance</w:t>
            </w:r>
          </w:p>
        </w:tc>
        <w:tc>
          <w:tcPr>
            <w:tcW w:w="620" w:type="dxa"/>
            <w:vAlign w:val="bottom"/>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66"/>
        </w:trPr>
        <w:tc>
          <w:tcPr>
            <w:tcW w:w="3220" w:type="dxa"/>
            <w:vAlign w:val="bottom"/>
          </w:tcPr>
          <w:p>
            <w:pPr>
              <w:ind w:left="800"/>
              <w:spacing w:after="0"/>
              <w:rPr>
                <w:sz w:val="20"/>
                <w:szCs w:val="20"/>
                <w:color w:val="auto"/>
              </w:rPr>
            </w:pPr>
            <w:r>
              <w:rPr>
                <w:rFonts w:ascii="Arial" w:cs="Arial" w:eastAsia="Arial" w:hAnsi="Arial"/>
                <w:sz w:val="22"/>
                <w:szCs w:val="22"/>
                <w:color w:val="auto"/>
              </w:rPr>
              <w:t>SECTION 8.5</w:t>
            </w:r>
          </w:p>
        </w:tc>
        <w:tc>
          <w:tcPr>
            <w:tcW w:w="7300" w:type="dxa"/>
            <w:vAlign w:val="bottom"/>
          </w:tcPr>
          <w:p>
            <w:pPr>
              <w:ind w:left="100"/>
              <w:spacing w:after="0"/>
              <w:rPr>
                <w:sz w:val="20"/>
                <w:szCs w:val="20"/>
                <w:color w:val="auto"/>
              </w:rPr>
            </w:pPr>
            <w:r>
              <w:rPr>
                <w:rFonts w:ascii="Arial" w:cs="Arial" w:eastAsia="Arial" w:hAnsi="Arial"/>
                <w:sz w:val="22"/>
                <w:szCs w:val="22"/>
                <w:color w:val="auto"/>
                <w:w w:val="93"/>
              </w:rPr>
              <w:t>Deposited Money and U.S. Government Obligations To Be Held in Trust; Other</w:t>
            </w:r>
          </w:p>
        </w:tc>
        <w:tc>
          <w:tcPr>
            <w:tcW w:w="6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75"/>
        </w:trPr>
        <w:tc>
          <w:tcPr>
            <w:tcW w:w="3220" w:type="dxa"/>
            <w:vAlign w:val="bottom"/>
          </w:tcPr>
          <w:p>
            <w:pPr>
              <w:spacing w:after="0"/>
              <w:rPr>
                <w:sz w:val="23"/>
                <w:szCs w:val="23"/>
                <w:color w:val="auto"/>
              </w:rPr>
            </w:pPr>
          </w:p>
        </w:tc>
        <w:tc>
          <w:tcPr>
            <w:tcW w:w="7300" w:type="dxa"/>
            <w:vAlign w:val="bottom"/>
          </w:tcPr>
          <w:p>
            <w:pPr>
              <w:ind w:left="100"/>
              <w:spacing w:after="0"/>
              <w:rPr>
                <w:sz w:val="20"/>
                <w:szCs w:val="20"/>
                <w:color w:val="auto"/>
              </w:rPr>
            </w:pPr>
            <w:r>
              <w:rPr>
                <w:rFonts w:ascii="Arial" w:cs="Arial" w:eastAsia="Arial" w:hAnsi="Arial"/>
                <w:sz w:val="22"/>
                <w:szCs w:val="22"/>
                <w:color w:val="auto"/>
              </w:rPr>
              <w:t>Miscellaneous Provisions</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8.6</w:t>
            </w:r>
          </w:p>
        </w:tc>
        <w:tc>
          <w:tcPr>
            <w:tcW w:w="7300" w:type="dxa"/>
            <w:vAlign w:val="bottom"/>
          </w:tcPr>
          <w:p>
            <w:pPr>
              <w:ind w:left="100"/>
              <w:spacing w:after="0"/>
              <w:rPr>
                <w:sz w:val="20"/>
                <w:szCs w:val="20"/>
                <w:color w:val="auto"/>
              </w:rPr>
            </w:pPr>
            <w:r>
              <w:rPr>
                <w:rFonts w:ascii="Arial" w:cs="Arial" w:eastAsia="Arial" w:hAnsi="Arial"/>
                <w:sz w:val="22"/>
                <w:szCs w:val="22"/>
                <w:color w:val="auto"/>
              </w:rPr>
              <w:t>Repayment to the Company</w:t>
            </w:r>
          </w:p>
        </w:tc>
        <w:tc>
          <w:tcPr>
            <w:tcW w:w="6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8.7</w:t>
            </w:r>
          </w:p>
        </w:tc>
        <w:tc>
          <w:tcPr>
            <w:tcW w:w="7300" w:type="dxa"/>
            <w:vAlign w:val="bottom"/>
          </w:tcPr>
          <w:p>
            <w:pPr>
              <w:ind w:left="100"/>
              <w:spacing w:after="0"/>
              <w:rPr>
                <w:sz w:val="20"/>
                <w:szCs w:val="20"/>
                <w:color w:val="auto"/>
              </w:rPr>
            </w:pPr>
            <w:r>
              <w:rPr>
                <w:rFonts w:ascii="Arial" w:cs="Arial" w:eastAsia="Arial" w:hAnsi="Arial"/>
                <w:sz w:val="22"/>
                <w:szCs w:val="22"/>
                <w:color w:val="auto"/>
              </w:rPr>
              <w:t>Reinstatement</w:t>
            </w:r>
          </w:p>
        </w:tc>
        <w:tc>
          <w:tcPr>
            <w:tcW w:w="6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3220" w:type="dxa"/>
            <w:vAlign w:val="bottom"/>
            <w:vMerge w:val="restart"/>
          </w:tcPr>
          <w:p>
            <w:pPr>
              <w:spacing w:after="0"/>
              <w:rPr>
                <w:sz w:val="20"/>
                <w:szCs w:val="20"/>
                <w:color w:val="auto"/>
              </w:rPr>
            </w:pPr>
            <w:r>
              <w:rPr>
                <w:rFonts w:ascii="Arial" w:cs="Arial" w:eastAsia="Arial" w:hAnsi="Arial"/>
                <w:sz w:val="22"/>
                <w:szCs w:val="22"/>
                <w:color w:val="auto"/>
              </w:rPr>
              <w:t>ARTICLE IX AMENDMENTS</w:t>
            </w:r>
          </w:p>
        </w:tc>
        <w:tc>
          <w:tcPr>
            <w:tcW w:w="7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7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9.1</w:t>
            </w:r>
          </w:p>
        </w:tc>
        <w:tc>
          <w:tcPr>
            <w:tcW w:w="7300" w:type="dxa"/>
            <w:vAlign w:val="bottom"/>
          </w:tcPr>
          <w:p>
            <w:pPr>
              <w:ind w:left="100"/>
              <w:spacing w:after="0"/>
              <w:rPr>
                <w:sz w:val="20"/>
                <w:szCs w:val="20"/>
                <w:color w:val="auto"/>
              </w:rPr>
            </w:pPr>
            <w:r>
              <w:rPr>
                <w:rFonts w:ascii="Arial" w:cs="Arial" w:eastAsia="Arial" w:hAnsi="Arial"/>
                <w:sz w:val="22"/>
                <w:szCs w:val="22"/>
                <w:color w:val="auto"/>
              </w:rPr>
              <w:t>Without Consent of Holders</w:t>
            </w:r>
          </w:p>
        </w:tc>
        <w:tc>
          <w:tcPr>
            <w:tcW w:w="6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9.2</w:t>
            </w:r>
          </w:p>
        </w:tc>
        <w:tc>
          <w:tcPr>
            <w:tcW w:w="7300" w:type="dxa"/>
            <w:vAlign w:val="bottom"/>
          </w:tcPr>
          <w:p>
            <w:pPr>
              <w:ind w:left="100"/>
              <w:spacing w:after="0"/>
              <w:rPr>
                <w:sz w:val="20"/>
                <w:szCs w:val="20"/>
                <w:color w:val="auto"/>
              </w:rPr>
            </w:pPr>
            <w:r>
              <w:rPr>
                <w:rFonts w:ascii="Arial" w:cs="Arial" w:eastAsia="Arial" w:hAnsi="Arial"/>
                <w:sz w:val="22"/>
                <w:szCs w:val="22"/>
                <w:color w:val="auto"/>
              </w:rPr>
              <w:t>With Consent of Holders</w:t>
            </w:r>
          </w:p>
        </w:tc>
        <w:tc>
          <w:tcPr>
            <w:tcW w:w="620" w:type="dxa"/>
            <w:vAlign w:val="bottom"/>
          </w:tcPr>
          <w:p>
            <w:pPr>
              <w:jc w:val="right"/>
              <w:spacing w:after="0"/>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9.3</w:t>
            </w:r>
          </w:p>
        </w:tc>
        <w:tc>
          <w:tcPr>
            <w:tcW w:w="7300" w:type="dxa"/>
            <w:vAlign w:val="bottom"/>
          </w:tcPr>
          <w:p>
            <w:pPr>
              <w:ind w:left="100"/>
              <w:spacing w:after="0"/>
              <w:rPr>
                <w:sz w:val="20"/>
                <w:szCs w:val="20"/>
                <w:color w:val="auto"/>
              </w:rPr>
            </w:pPr>
            <w:r>
              <w:rPr>
                <w:rFonts w:ascii="Arial" w:cs="Arial" w:eastAsia="Arial" w:hAnsi="Arial"/>
                <w:sz w:val="22"/>
                <w:szCs w:val="22"/>
                <w:color w:val="auto"/>
              </w:rPr>
              <w:t>[Reserved]</w:t>
            </w:r>
          </w:p>
        </w:tc>
        <w:tc>
          <w:tcPr>
            <w:tcW w:w="620" w:type="dxa"/>
            <w:vAlign w:val="bottom"/>
          </w:tcPr>
          <w:p>
            <w:pPr>
              <w:jc w:val="right"/>
              <w:spacing w:after="0"/>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9.4</w:t>
            </w:r>
          </w:p>
        </w:tc>
        <w:tc>
          <w:tcPr>
            <w:tcW w:w="7300" w:type="dxa"/>
            <w:vAlign w:val="bottom"/>
          </w:tcPr>
          <w:p>
            <w:pPr>
              <w:ind w:left="100"/>
              <w:spacing w:after="0"/>
              <w:rPr>
                <w:sz w:val="20"/>
                <w:szCs w:val="20"/>
                <w:color w:val="auto"/>
              </w:rPr>
            </w:pPr>
            <w:r>
              <w:rPr>
                <w:rFonts w:ascii="Arial" w:cs="Arial" w:eastAsia="Arial" w:hAnsi="Arial"/>
                <w:sz w:val="22"/>
                <w:szCs w:val="22"/>
                <w:color w:val="auto"/>
              </w:rPr>
              <w:t>Revocation and Effect of Consents and Waivers</w:t>
            </w:r>
          </w:p>
        </w:tc>
        <w:tc>
          <w:tcPr>
            <w:tcW w:w="620" w:type="dxa"/>
            <w:vAlign w:val="bottom"/>
          </w:tcPr>
          <w:p>
            <w:pPr>
              <w:jc w:val="right"/>
              <w:spacing w:after="0"/>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9.5</w:t>
            </w:r>
          </w:p>
        </w:tc>
        <w:tc>
          <w:tcPr>
            <w:tcW w:w="7300" w:type="dxa"/>
            <w:vAlign w:val="bottom"/>
          </w:tcPr>
          <w:p>
            <w:pPr>
              <w:ind w:left="100"/>
              <w:spacing w:after="0"/>
              <w:rPr>
                <w:sz w:val="20"/>
                <w:szCs w:val="20"/>
                <w:color w:val="auto"/>
              </w:rPr>
            </w:pPr>
            <w:r>
              <w:rPr>
                <w:rFonts w:ascii="Arial" w:cs="Arial" w:eastAsia="Arial" w:hAnsi="Arial"/>
                <w:sz w:val="22"/>
                <w:szCs w:val="22"/>
                <w:color w:val="auto"/>
              </w:rPr>
              <w:t>Notation on or Exchange of Notes</w:t>
            </w:r>
          </w:p>
        </w:tc>
        <w:tc>
          <w:tcPr>
            <w:tcW w:w="6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9.6</w:t>
            </w:r>
          </w:p>
        </w:tc>
        <w:tc>
          <w:tcPr>
            <w:tcW w:w="7300" w:type="dxa"/>
            <w:vAlign w:val="bottom"/>
          </w:tcPr>
          <w:p>
            <w:pPr>
              <w:ind w:left="100"/>
              <w:spacing w:after="0"/>
              <w:rPr>
                <w:sz w:val="20"/>
                <w:szCs w:val="20"/>
                <w:color w:val="auto"/>
              </w:rPr>
            </w:pPr>
            <w:r>
              <w:rPr>
                <w:rFonts w:ascii="Arial" w:cs="Arial" w:eastAsia="Arial" w:hAnsi="Arial"/>
                <w:sz w:val="22"/>
                <w:szCs w:val="22"/>
                <w:color w:val="auto"/>
              </w:rPr>
              <w:t>Trustee Signs Amendments</w:t>
            </w:r>
          </w:p>
        </w:tc>
        <w:tc>
          <w:tcPr>
            <w:tcW w:w="6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97"/>
        </w:trPr>
        <w:tc>
          <w:tcPr>
            <w:tcW w:w="3220" w:type="dxa"/>
            <w:vAlign w:val="bottom"/>
            <w:vMerge w:val="restart"/>
          </w:tcPr>
          <w:p>
            <w:pPr>
              <w:spacing w:after="0"/>
              <w:rPr>
                <w:sz w:val="20"/>
                <w:szCs w:val="20"/>
                <w:color w:val="auto"/>
              </w:rPr>
            </w:pPr>
            <w:r>
              <w:rPr>
                <w:rFonts w:ascii="Arial" w:cs="Arial" w:eastAsia="Arial" w:hAnsi="Arial"/>
                <w:sz w:val="22"/>
                <w:szCs w:val="22"/>
                <w:color w:val="auto"/>
              </w:rPr>
              <w:t>ARTICLE X GUARANTEE</w:t>
            </w:r>
          </w:p>
        </w:tc>
        <w:tc>
          <w:tcPr>
            <w:tcW w:w="7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7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10.1</w:t>
            </w:r>
          </w:p>
        </w:tc>
        <w:tc>
          <w:tcPr>
            <w:tcW w:w="7300" w:type="dxa"/>
            <w:vAlign w:val="bottom"/>
          </w:tcPr>
          <w:p>
            <w:pPr>
              <w:ind w:left="100"/>
              <w:spacing w:after="0"/>
              <w:rPr>
                <w:sz w:val="20"/>
                <w:szCs w:val="20"/>
                <w:color w:val="auto"/>
              </w:rPr>
            </w:pPr>
            <w:r>
              <w:rPr>
                <w:rFonts w:ascii="Arial" w:cs="Arial" w:eastAsia="Arial" w:hAnsi="Arial"/>
                <w:sz w:val="22"/>
                <w:szCs w:val="22"/>
                <w:color w:val="auto"/>
              </w:rPr>
              <w:t>Guarantee</w:t>
            </w:r>
          </w:p>
        </w:tc>
        <w:tc>
          <w:tcPr>
            <w:tcW w:w="6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10.2</w:t>
            </w:r>
          </w:p>
        </w:tc>
        <w:tc>
          <w:tcPr>
            <w:tcW w:w="7300" w:type="dxa"/>
            <w:vAlign w:val="bottom"/>
          </w:tcPr>
          <w:p>
            <w:pPr>
              <w:ind w:left="100"/>
              <w:spacing w:after="0"/>
              <w:rPr>
                <w:sz w:val="20"/>
                <w:szCs w:val="20"/>
                <w:color w:val="auto"/>
              </w:rPr>
            </w:pPr>
            <w:r>
              <w:rPr>
                <w:rFonts w:ascii="Arial" w:cs="Arial" w:eastAsia="Arial" w:hAnsi="Arial"/>
                <w:sz w:val="22"/>
                <w:szCs w:val="22"/>
                <w:color w:val="auto"/>
              </w:rPr>
              <w:t>Limitation on Liability; Termination, Release and Discharge</w:t>
            </w:r>
          </w:p>
        </w:tc>
        <w:tc>
          <w:tcPr>
            <w:tcW w:w="620" w:type="dxa"/>
            <w:vAlign w:val="bottom"/>
          </w:tcPr>
          <w:p>
            <w:pPr>
              <w:jc w:val="right"/>
              <w:spacing w:after="0"/>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10.3</w:t>
            </w:r>
          </w:p>
        </w:tc>
        <w:tc>
          <w:tcPr>
            <w:tcW w:w="7300" w:type="dxa"/>
            <w:vAlign w:val="bottom"/>
          </w:tcPr>
          <w:p>
            <w:pPr>
              <w:ind w:left="100"/>
              <w:spacing w:after="0"/>
              <w:rPr>
                <w:sz w:val="20"/>
                <w:szCs w:val="20"/>
                <w:color w:val="auto"/>
              </w:rPr>
            </w:pPr>
            <w:r>
              <w:rPr>
                <w:rFonts w:ascii="Arial" w:cs="Arial" w:eastAsia="Arial" w:hAnsi="Arial"/>
                <w:sz w:val="22"/>
                <w:szCs w:val="22"/>
                <w:color w:val="auto"/>
              </w:rPr>
              <w:t>Right of Contribution</w:t>
            </w:r>
          </w:p>
        </w:tc>
        <w:tc>
          <w:tcPr>
            <w:tcW w:w="620" w:type="dxa"/>
            <w:vAlign w:val="bottom"/>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10.4</w:t>
            </w:r>
          </w:p>
        </w:tc>
        <w:tc>
          <w:tcPr>
            <w:tcW w:w="7300" w:type="dxa"/>
            <w:vAlign w:val="bottom"/>
          </w:tcPr>
          <w:p>
            <w:pPr>
              <w:ind w:left="100"/>
              <w:spacing w:after="0"/>
              <w:rPr>
                <w:sz w:val="20"/>
                <w:szCs w:val="20"/>
                <w:color w:val="auto"/>
              </w:rPr>
            </w:pPr>
            <w:r>
              <w:rPr>
                <w:rFonts w:ascii="Arial" w:cs="Arial" w:eastAsia="Arial" w:hAnsi="Arial"/>
                <w:sz w:val="22"/>
                <w:szCs w:val="22"/>
                <w:color w:val="auto"/>
              </w:rPr>
              <w:t>No Subrogation</w:t>
            </w:r>
          </w:p>
        </w:tc>
        <w:tc>
          <w:tcPr>
            <w:tcW w:w="620" w:type="dxa"/>
            <w:vAlign w:val="bottom"/>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297"/>
        </w:trPr>
        <w:tc>
          <w:tcPr>
            <w:tcW w:w="10520" w:type="dxa"/>
            <w:vAlign w:val="bottom"/>
            <w:gridSpan w:val="2"/>
            <w:vMerge w:val="restart"/>
          </w:tcPr>
          <w:p>
            <w:pPr>
              <w:spacing w:after="0"/>
              <w:rPr>
                <w:sz w:val="20"/>
                <w:szCs w:val="20"/>
                <w:color w:val="auto"/>
              </w:rPr>
            </w:pPr>
            <w:r>
              <w:rPr>
                <w:rFonts w:ascii="Arial" w:cs="Arial" w:eastAsia="Arial" w:hAnsi="Arial"/>
                <w:sz w:val="22"/>
                <w:szCs w:val="22"/>
                <w:color w:val="auto"/>
              </w:rPr>
              <w:t>ARTICLE XI SATISFACTION AND DISCHARGE</w:t>
            </w:r>
          </w:p>
        </w:tc>
        <w:tc>
          <w:tcPr>
            <w:tcW w:w="620" w:type="dxa"/>
            <w:vAlign w:val="bottom"/>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81"/>
        </w:trPr>
        <w:tc>
          <w:tcPr>
            <w:tcW w:w="105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11.1</w:t>
            </w:r>
          </w:p>
        </w:tc>
        <w:tc>
          <w:tcPr>
            <w:tcW w:w="7300" w:type="dxa"/>
            <w:vAlign w:val="bottom"/>
          </w:tcPr>
          <w:p>
            <w:pPr>
              <w:ind w:left="100"/>
              <w:spacing w:after="0"/>
              <w:rPr>
                <w:sz w:val="20"/>
                <w:szCs w:val="20"/>
                <w:color w:val="auto"/>
              </w:rPr>
            </w:pPr>
            <w:r>
              <w:rPr>
                <w:rFonts w:ascii="Arial" w:cs="Arial" w:eastAsia="Arial" w:hAnsi="Arial"/>
                <w:sz w:val="22"/>
                <w:szCs w:val="22"/>
                <w:color w:val="auto"/>
              </w:rPr>
              <w:t>Satisfaction and Discharge</w:t>
            </w:r>
          </w:p>
        </w:tc>
        <w:tc>
          <w:tcPr>
            <w:tcW w:w="620" w:type="dxa"/>
            <w:vAlign w:val="bottom"/>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11.2</w:t>
            </w:r>
          </w:p>
        </w:tc>
        <w:tc>
          <w:tcPr>
            <w:tcW w:w="7300" w:type="dxa"/>
            <w:vAlign w:val="bottom"/>
          </w:tcPr>
          <w:p>
            <w:pPr>
              <w:ind w:left="100"/>
              <w:spacing w:after="0"/>
              <w:rPr>
                <w:sz w:val="20"/>
                <w:szCs w:val="20"/>
                <w:color w:val="auto"/>
              </w:rPr>
            </w:pPr>
            <w:r>
              <w:rPr>
                <w:rFonts w:ascii="Arial" w:cs="Arial" w:eastAsia="Arial" w:hAnsi="Arial"/>
                <w:sz w:val="22"/>
                <w:szCs w:val="22"/>
                <w:color w:val="auto"/>
              </w:rPr>
              <w:t>Application of Trust Money</w:t>
            </w:r>
          </w:p>
        </w:tc>
        <w:tc>
          <w:tcPr>
            <w:tcW w:w="620" w:type="dxa"/>
            <w:vAlign w:val="bottom"/>
          </w:tcPr>
          <w:p>
            <w:pPr>
              <w:jc w:val="right"/>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297"/>
        </w:trPr>
        <w:tc>
          <w:tcPr>
            <w:tcW w:w="3220" w:type="dxa"/>
            <w:vAlign w:val="bottom"/>
            <w:vMerge w:val="restart"/>
          </w:tcPr>
          <w:p>
            <w:pPr>
              <w:spacing w:after="0"/>
              <w:rPr>
                <w:sz w:val="20"/>
                <w:szCs w:val="20"/>
                <w:color w:val="auto"/>
              </w:rPr>
            </w:pPr>
            <w:r>
              <w:rPr>
                <w:rFonts w:ascii="Arial" w:cs="Arial" w:eastAsia="Arial" w:hAnsi="Arial"/>
                <w:sz w:val="22"/>
                <w:szCs w:val="22"/>
                <w:color w:val="auto"/>
              </w:rPr>
              <w:t>ARTICLE XII MISCELLANEOUS</w:t>
            </w:r>
          </w:p>
        </w:tc>
        <w:tc>
          <w:tcPr>
            <w:tcW w:w="7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7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w:t>
            </w:r>
          </w:p>
        </w:tc>
        <w:tc>
          <w:tcPr>
            <w:tcW w:w="7300" w:type="dxa"/>
            <w:vAlign w:val="bottom"/>
          </w:tcPr>
          <w:p>
            <w:pPr>
              <w:ind w:left="100"/>
              <w:spacing w:after="0"/>
              <w:rPr>
                <w:sz w:val="20"/>
                <w:szCs w:val="20"/>
                <w:color w:val="auto"/>
              </w:rPr>
            </w:pPr>
            <w:r>
              <w:rPr>
                <w:rFonts w:ascii="Arial" w:cs="Arial" w:eastAsia="Arial" w:hAnsi="Arial"/>
                <w:sz w:val="22"/>
                <w:szCs w:val="22"/>
                <w:color w:val="auto"/>
              </w:rPr>
              <w:t>[Reserved]</w:t>
            </w:r>
          </w:p>
        </w:tc>
        <w:tc>
          <w:tcPr>
            <w:tcW w:w="620" w:type="dxa"/>
            <w:vAlign w:val="bottom"/>
          </w:tcPr>
          <w:p>
            <w:pPr>
              <w:jc w:val="right"/>
              <w:spacing w:after="0"/>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12.2</w:t>
            </w:r>
          </w:p>
        </w:tc>
        <w:tc>
          <w:tcPr>
            <w:tcW w:w="7300" w:type="dxa"/>
            <w:vAlign w:val="bottom"/>
          </w:tcPr>
          <w:p>
            <w:pPr>
              <w:ind w:left="100"/>
              <w:spacing w:after="0"/>
              <w:rPr>
                <w:sz w:val="20"/>
                <w:szCs w:val="20"/>
                <w:color w:val="auto"/>
              </w:rPr>
            </w:pPr>
            <w:r>
              <w:rPr>
                <w:rFonts w:ascii="Arial" w:cs="Arial" w:eastAsia="Arial" w:hAnsi="Arial"/>
                <w:sz w:val="22"/>
                <w:szCs w:val="22"/>
                <w:color w:val="auto"/>
              </w:rPr>
              <w:t>Notices</w:t>
            </w:r>
          </w:p>
        </w:tc>
        <w:tc>
          <w:tcPr>
            <w:tcW w:w="620" w:type="dxa"/>
            <w:vAlign w:val="bottom"/>
          </w:tcPr>
          <w:p>
            <w:pPr>
              <w:jc w:val="right"/>
              <w:spacing w:after="0"/>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12.3</w:t>
            </w:r>
          </w:p>
        </w:tc>
        <w:tc>
          <w:tcPr>
            <w:tcW w:w="7300" w:type="dxa"/>
            <w:vAlign w:val="bottom"/>
          </w:tcPr>
          <w:p>
            <w:pPr>
              <w:ind w:left="100"/>
              <w:spacing w:after="0"/>
              <w:rPr>
                <w:sz w:val="20"/>
                <w:szCs w:val="20"/>
                <w:color w:val="auto"/>
              </w:rPr>
            </w:pPr>
            <w:r>
              <w:rPr>
                <w:rFonts w:ascii="Arial" w:cs="Arial" w:eastAsia="Arial" w:hAnsi="Arial"/>
                <w:sz w:val="22"/>
                <w:szCs w:val="22"/>
                <w:color w:val="auto"/>
              </w:rPr>
              <w:t>[Reserved]</w:t>
            </w:r>
          </w:p>
        </w:tc>
        <w:tc>
          <w:tcPr>
            <w:tcW w:w="620" w:type="dxa"/>
            <w:vAlign w:val="bottom"/>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12.4</w:t>
            </w:r>
          </w:p>
        </w:tc>
        <w:tc>
          <w:tcPr>
            <w:tcW w:w="7300" w:type="dxa"/>
            <w:vAlign w:val="bottom"/>
          </w:tcPr>
          <w:p>
            <w:pPr>
              <w:ind w:left="100"/>
              <w:spacing w:after="0"/>
              <w:rPr>
                <w:sz w:val="20"/>
                <w:szCs w:val="20"/>
                <w:color w:val="auto"/>
              </w:rPr>
            </w:pPr>
            <w:r>
              <w:rPr>
                <w:rFonts w:ascii="Arial" w:cs="Arial" w:eastAsia="Arial" w:hAnsi="Arial"/>
                <w:sz w:val="22"/>
                <w:szCs w:val="22"/>
                <w:color w:val="auto"/>
              </w:rPr>
              <w:t>Certificate and Opinion as to Conditions Precedent</w:t>
            </w:r>
          </w:p>
        </w:tc>
        <w:tc>
          <w:tcPr>
            <w:tcW w:w="620" w:type="dxa"/>
            <w:vAlign w:val="bottom"/>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12.5</w:t>
            </w:r>
          </w:p>
        </w:tc>
        <w:tc>
          <w:tcPr>
            <w:tcW w:w="7300" w:type="dxa"/>
            <w:vAlign w:val="bottom"/>
          </w:tcPr>
          <w:p>
            <w:pPr>
              <w:ind w:left="100"/>
              <w:spacing w:after="0"/>
              <w:rPr>
                <w:sz w:val="20"/>
                <w:szCs w:val="20"/>
                <w:color w:val="auto"/>
              </w:rPr>
            </w:pPr>
            <w:r>
              <w:rPr>
                <w:rFonts w:ascii="Arial" w:cs="Arial" w:eastAsia="Arial" w:hAnsi="Arial"/>
                <w:sz w:val="22"/>
                <w:szCs w:val="22"/>
                <w:color w:val="auto"/>
              </w:rPr>
              <w:t>Statements Required in Certificate or Opinion</w:t>
            </w:r>
          </w:p>
        </w:tc>
        <w:tc>
          <w:tcPr>
            <w:tcW w:w="620" w:type="dxa"/>
            <w:vAlign w:val="bottom"/>
          </w:tcPr>
          <w:p>
            <w:pPr>
              <w:jc w:val="right"/>
              <w:spacing w:after="0"/>
              <w:rPr>
                <w:sz w:val="20"/>
                <w:szCs w:val="20"/>
                <w:color w:val="auto"/>
              </w:rPr>
            </w:pPr>
            <w:r>
              <w:rPr>
                <w:rFonts w:ascii="Arial" w:cs="Arial" w:eastAsia="Arial" w:hAnsi="Arial"/>
                <w:sz w:val="22"/>
                <w:szCs w:val="22"/>
                <w:color w:val="auto"/>
              </w:rPr>
              <w:t>142</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12.6</w:t>
            </w:r>
          </w:p>
        </w:tc>
        <w:tc>
          <w:tcPr>
            <w:tcW w:w="7300" w:type="dxa"/>
            <w:vAlign w:val="bottom"/>
          </w:tcPr>
          <w:p>
            <w:pPr>
              <w:ind w:left="100"/>
              <w:spacing w:after="0"/>
              <w:rPr>
                <w:sz w:val="20"/>
                <w:szCs w:val="20"/>
                <w:color w:val="auto"/>
              </w:rPr>
            </w:pPr>
            <w:r>
              <w:rPr>
                <w:rFonts w:ascii="Arial" w:cs="Arial" w:eastAsia="Arial" w:hAnsi="Arial"/>
                <w:sz w:val="22"/>
                <w:szCs w:val="22"/>
                <w:color w:val="auto"/>
              </w:rPr>
              <w:t>When Notes Disregarded</w:t>
            </w:r>
          </w:p>
        </w:tc>
        <w:tc>
          <w:tcPr>
            <w:tcW w:w="620" w:type="dxa"/>
            <w:vAlign w:val="bottom"/>
          </w:tcPr>
          <w:p>
            <w:pPr>
              <w:jc w:val="right"/>
              <w:spacing w:after="0"/>
              <w:rPr>
                <w:sz w:val="20"/>
                <w:szCs w:val="20"/>
                <w:color w:val="auto"/>
              </w:rPr>
            </w:pPr>
            <w:r>
              <w:rPr>
                <w:rFonts w:ascii="Arial" w:cs="Arial" w:eastAsia="Arial" w:hAnsi="Arial"/>
                <w:sz w:val="22"/>
                <w:szCs w:val="22"/>
                <w:color w:val="auto"/>
              </w:rPr>
              <w:t>142</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12.7</w:t>
            </w:r>
          </w:p>
        </w:tc>
        <w:tc>
          <w:tcPr>
            <w:tcW w:w="7300" w:type="dxa"/>
            <w:vAlign w:val="bottom"/>
          </w:tcPr>
          <w:p>
            <w:pPr>
              <w:ind w:left="100"/>
              <w:spacing w:after="0"/>
              <w:rPr>
                <w:sz w:val="20"/>
                <w:szCs w:val="20"/>
                <w:color w:val="auto"/>
              </w:rPr>
            </w:pPr>
            <w:r>
              <w:rPr>
                <w:rFonts w:ascii="Arial" w:cs="Arial" w:eastAsia="Arial" w:hAnsi="Arial"/>
                <w:sz w:val="22"/>
                <w:szCs w:val="22"/>
                <w:color w:val="auto"/>
              </w:rPr>
              <w:t>Rules by Trustee, Paying Agent and Registrar</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12.8</w:t>
            </w:r>
          </w:p>
        </w:tc>
        <w:tc>
          <w:tcPr>
            <w:tcW w:w="7300" w:type="dxa"/>
            <w:vAlign w:val="bottom"/>
          </w:tcPr>
          <w:p>
            <w:pPr>
              <w:ind w:left="100"/>
              <w:spacing w:after="0"/>
              <w:rPr>
                <w:sz w:val="20"/>
                <w:szCs w:val="20"/>
                <w:color w:val="auto"/>
              </w:rPr>
            </w:pPr>
            <w:r>
              <w:rPr>
                <w:rFonts w:ascii="Arial" w:cs="Arial" w:eastAsia="Arial" w:hAnsi="Arial"/>
                <w:sz w:val="22"/>
                <w:szCs w:val="22"/>
                <w:color w:val="auto"/>
              </w:rPr>
              <w:t>Legal Holidays</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12.9</w:t>
            </w:r>
          </w:p>
        </w:tc>
        <w:tc>
          <w:tcPr>
            <w:tcW w:w="730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12.10</w:t>
            </w:r>
          </w:p>
        </w:tc>
        <w:tc>
          <w:tcPr>
            <w:tcW w:w="7300" w:type="dxa"/>
            <w:vAlign w:val="bottom"/>
          </w:tcPr>
          <w:p>
            <w:pPr>
              <w:ind w:left="100"/>
              <w:spacing w:after="0"/>
              <w:rPr>
                <w:sz w:val="20"/>
                <w:szCs w:val="20"/>
                <w:color w:val="auto"/>
              </w:rPr>
            </w:pPr>
            <w:r>
              <w:rPr>
                <w:rFonts w:ascii="Arial" w:cs="Arial" w:eastAsia="Arial" w:hAnsi="Arial"/>
                <w:sz w:val="22"/>
                <w:szCs w:val="22"/>
                <w:color w:val="auto"/>
              </w:rPr>
              <w:t>Jurisdiction</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12.11</w:t>
            </w:r>
          </w:p>
        </w:tc>
        <w:tc>
          <w:tcPr>
            <w:tcW w:w="7300" w:type="dxa"/>
            <w:vAlign w:val="bottom"/>
          </w:tcPr>
          <w:p>
            <w:pPr>
              <w:ind w:left="100"/>
              <w:spacing w:after="0"/>
              <w:rPr>
                <w:sz w:val="20"/>
                <w:szCs w:val="20"/>
                <w:color w:val="auto"/>
              </w:rPr>
            </w:pPr>
            <w:r>
              <w:rPr>
                <w:rFonts w:ascii="Arial" w:cs="Arial" w:eastAsia="Arial" w:hAnsi="Arial"/>
                <w:sz w:val="22"/>
                <w:szCs w:val="22"/>
                <w:color w:val="auto"/>
              </w:rPr>
              <w:t>Waivers of Jury Trial</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12.12</w:t>
            </w:r>
          </w:p>
        </w:tc>
        <w:tc>
          <w:tcPr>
            <w:tcW w:w="7300" w:type="dxa"/>
            <w:vAlign w:val="bottom"/>
          </w:tcPr>
          <w:p>
            <w:pPr>
              <w:ind w:left="100"/>
              <w:spacing w:after="0"/>
              <w:rPr>
                <w:sz w:val="20"/>
                <w:szCs w:val="20"/>
                <w:color w:val="auto"/>
              </w:rPr>
            </w:pPr>
            <w:r>
              <w:rPr>
                <w:rFonts w:ascii="Arial" w:cs="Arial" w:eastAsia="Arial" w:hAnsi="Arial"/>
                <w:sz w:val="22"/>
                <w:szCs w:val="22"/>
                <w:color w:val="auto"/>
              </w:rPr>
              <w:t>USA PATRIOT Act Section 326 Customer Identification Program</w:t>
            </w:r>
          </w:p>
        </w:tc>
        <w:tc>
          <w:tcPr>
            <w:tcW w:w="620" w:type="dxa"/>
            <w:vAlign w:val="bottom"/>
          </w:tcPr>
          <w:p>
            <w:pPr>
              <w:jc w:val="right"/>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12.13</w:t>
            </w:r>
          </w:p>
        </w:tc>
        <w:tc>
          <w:tcPr>
            <w:tcW w:w="7300" w:type="dxa"/>
            <w:vAlign w:val="bottom"/>
          </w:tcPr>
          <w:p>
            <w:pPr>
              <w:ind w:left="100"/>
              <w:spacing w:after="0"/>
              <w:rPr>
                <w:sz w:val="20"/>
                <w:szCs w:val="20"/>
                <w:color w:val="auto"/>
              </w:rPr>
            </w:pPr>
            <w:r>
              <w:rPr>
                <w:rFonts w:ascii="Arial" w:cs="Arial" w:eastAsia="Arial" w:hAnsi="Arial"/>
                <w:sz w:val="22"/>
                <w:szCs w:val="22"/>
                <w:color w:val="auto"/>
              </w:rPr>
              <w:t>No Recourse Against Others</w:t>
            </w:r>
          </w:p>
        </w:tc>
        <w:tc>
          <w:tcPr>
            <w:tcW w:w="620" w:type="dxa"/>
            <w:vAlign w:val="bottom"/>
          </w:tcPr>
          <w:p>
            <w:pPr>
              <w:jc w:val="right"/>
              <w:spacing w:after="0"/>
              <w:rPr>
                <w:sz w:val="20"/>
                <w:szCs w:val="20"/>
                <w:color w:val="auto"/>
              </w:rPr>
            </w:pPr>
            <w:r>
              <w:rPr>
                <w:rFonts w:ascii="Arial" w:cs="Arial" w:eastAsia="Arial" w:hAnsi="Arial"/>
                <w:sz w:val="22"/>
                <w:szCs w:val="22"/>
                <w:color w:val="auto"/>
              </w:rPr>
              <w:t>144</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12.14</w:t>
            </w:r>
          </w:p>
        </w:tc>
        <w:tc>
          <w:tcPr>
            <w:tcW w:w="7300" w:type="dxa"/>
            <w:vAlign w:val="bottom"/>
          </w:tcPr>
          <w:p>
            <w:pPr>
              <w:ind w:left="100"/>
              <w:spacing w:after="0"/>
              <w:rPr>
                <w:sz w:val="20"/>
                <w:szCs w:val="20"/>
                <w:color w:val="auto"/>
              </w:rPr>
            </w:pPr>
            <w:r>
              <w:rPr>
                <w:rFonts w:ascii="Arial" w:cs="Arial" w:eastAsia="Arial" w:hAnsi="Arial"/>
                <w:sz w:val="22"/>
                <w:szCs w:val="22"/>
                <w:color w:val="auto"/>
              </w:rPr>
              <w:t>Successors</w:t>
            </w:r>
          </w:p>
        </w:tc>
        <w:tc>
          <w:tcPr>
            <w:tcW w:w="620" w:type="dxa"/>
            <w:vAlign w:val="bottom"/>
          </w:tcPr>
          <w:p>
            <w:pPr>
              <w:jc w:val="right"/>
              <w:spacing w:after="0"/>
              <w:rPr>
                <w:sz w:val="20"/>
                <w:szCs w:val="20"/>
                <w:color w:val="auto"/>
              </w:rPr>
            </w:pPr>
            <w:r>
              <w:rPr>
                <w:rFonts w:ascii="Arial" w:cs="Arial" w:eastAsia="Arial" w:hAnsi="Arial"/>
                <w:sz w:val="22"/>
                <w:szCs w:val="22"/>
                <w:color w:val="auto"/>
              </w:rPr>
              <w:t>144</w:t>
            </w:r>
          </w:p>
        </w:tc>
        <w:tc>
          <w:tcPr>
            <w:tcW w:w="0" w:type="dxa"/>
            <w:vAlign w:val="bottom"/>
          </w:tcPr>
          <w:p>
            <w:pPr>
              <w:spacing w:after="0"/>
              <w:rPr>
                <w:sz w:val="1"/>
                <w:szCs w:val="1"/>
                <w:color w:val="auto"/>
              </w:rPr>
            </w:pPr>
          </w:p>
        </w:tc>
      </w:tr>
      <w:tr>
        <w:trPr>
          <w:trHeight w:val="297"/>
        </w:trPr>
        <w:tc>
          <w:tcPr>
            <w:tcW w:w="3220" w:type="dxa"/>
            <w:vAlign w:val="bottom"/>
          </w:tcPr>
          <w:p>
            <w:pPr>
              <w:ind w:left="800"/>
              <w:spacing w:after="0"/>
              <w:rPr>
                <w:sz w:val="20"/>
                <w:szCs w:val="20"/>
                <w:color w:val="auto"/>
              </w:rPr>
            </w:pPr>
            <w:r>
              <w:rPr>
                <w:rFonts w:ascii="Arial" w:cs="Arial" w:eastAsia="Arial" w:hAnsi="Arial"/>
                <w:sz w:val="22"/>
                <w:szCs w:val="22"/>
                <w:color w:val="auto"/>
              </w:rPr>
              <w:t>SECTION 12.15</w:t>
            </w:r>
          </w:p>
        </w:tc>
        <w:tc>
          <w:tcPr>
            <w:tcW w:w="7300" w:type="dxa"/>
            <w:vAlign w:val="bottom"/>
          </w:tcPr>
          <w:p>
            <w:pPr>
              <w:ind w:left="100"/>
              <w:spacing w:after="0"/>
              <w:rPr>
                <w:sz w:val="20"/>
                <w:szCs w:val="20"/>
                <w:color w:val="auto"/>
              </w:rPr>
            </w:pPr>
            <w:r>
              <w:rPr>
                <w:rFonts w:ascii="Arial" w:cs="Arial" w:eastAsia="Arial" w:hAnsi="Arial"/>
                <w:sz w:val="22"/>
                <w:szCs w:val="22"/>
                <w:color w:val="auto"/>
              </w:rPr>
              <w:t>Multiple Originals</w:t>
            </w:r>
          </w:p>
        </w:tc>
        <w:tc>
          <w:tcPr>
            <w:tcW w:w="620" w:type="dxa"/>
            <w:vAlign w:val="bottom"/>
          </w:tcPr>
          <w:p>
            <w:pPr>
              <w:jc w:val="right"/>
              <w:spacing w:after="0"/>
              <w:rPr>
                <w:sz w:val="20"/>
                <w:szCs w:val="20"/>
                <w:color w:val="auto"/>
              </w:rPr>
            </w:pPr>
            <w:r>
              <w:rPr>
                <w:rFonts w:ascii="Arial" w:cs="Arial" w:eastAsia="Arial" w:hAnsi="Arial"/>
                <w:sz w:val="22"/>
                <w:szCs w:val="22"/>
                <w:color w:val="auto"/>
              </w:rPr>
              <w:t>144</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40"/>
          </w:cols>
          <w:pgMar w:left="280" w:top="996" w:right="479" w:bottom="1440" w:gutter="0" w:footer="0" w:header="0"/>
        </w:sectPr>
      </w:pPr>
    </w:p>
    <w:bookmarkStart w:id="46" w:name="page47"/>
    <w:bookmarkEnd w:id="46"/>
    <w:tbl>
      <w:tblPr>
        <w:tblLayout w:type="fixed"/>
        <w:tblInd w:w="840" w:type="dxa"/>
        <w:tblCellMar>
          <w:top w:w="0" w:type="dxa"/>
          <w:left w:w="0" w:type="dxa"/>
          <w:bottom w:w="0" w:type="dxa"/>
          <w:right w:w="0" w:type="dxa"/>
        </w:tblCellMar>
      </w:tblP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SECTION 12.16</w:t>
            </w:r>
          </w:p>
        </w:tc>
        <w:tc>
          <w:tcPr>
            <w:tcW w:w="5520" w:type="dxa"/>
            <w:vAlign w:val="bottom"/>
          </w:tcPr>
          <w:p>
            <w:pPr>
              <w:ind w:left="540"/>
              <w:spacing w:after="0"/>
              <w:rPr>
                <w:sz w:val="20"/>
                <w:szCs w:val="20"/>
                <w:color w:val="auto"/>
              </w:rPr>
            </w:pPr>
            <w:r>
              <w:rPr>
                <w:rFonts w:ascii="Arial" w:cs="Arial" w:eastAsia="Arial" w:hAnsi="Arial"/>
                <w:sz w:val="22"/>
                <w:szCs w:val="22"/>
                <w:color w:val="auto"/>
              </w:rPr>
              <w:t>[Reserved]</w:t>
            </w:r>
          </w:p>
        </w:tc>
        <w:tc>
          <w:tcPr>
            <w:tcW w:w="284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97"/>
        </w:trPr>
        <w:tc>
          <w:tcPr>
            <w:tcW w:w="1980" w:type="dxa"/>
            <w:vAlign w:val="bottom"/>
          </w:tcPr>
          <w:p>
            <w:pPr>
              <w:spacing w:after="0"/>
              <w:rPr>
                <w:sz w:val="20"/>
                <w:szCs w:val="20"/>
                <w:color w:val="auto"/>
              </w:rPr>
            </w:pPr>
            <w:r>
              <w:rPr>
                <w:rFonts w:ascii="Arial" w:cs="Arial" w:eastAsia="Arial" w:hAnsi="Arial"/>
                <w:sz w:val="22"/>
                <w:szCs w:val="22"/>
                <w:color w:val="auto"/>
              </w:rPr>
              <w:t>SECTION 12.17</w:t>
            </w:r>
          </w:p>
        </w:tc>
        <w:tc>
          <w:tcPr>
            <w:tcW w:w="5520" w:type="dxa"/>
            <w:vAlign w:val="bottom"/>
          </w:tcPr>
          <w:p>
            <w:pPr>
              <w:ind w:left="540"/>
              <w:spacing w:after="0"/>
              <w:rPr>
                <w:sz w:val="20"/>
                <w:szCs w:val="20"/>
                <w:color w:val="auto"/>
              </w:rPr>
            </w:pPr>
            <w:r>
              <w:rPr>
                <w:rFonts w:ascii="Arial" w:cs="Arial" w:eastAsia="Arial" w:hAnsi="Arial"/>
                <w:sz w:val="22"/>
                <w:szCs w:val="22"/>
                <w:color w:val="auto"/>
              </w:rPr>
              <w:t>Table of Contents; Headings</w:t>
            </w:r>
          </w:p>
        </w:tc>
        <w:tc>
          <w:tcPr>
            <w:tcW w:w="284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97"/>
        </w:trPr>
        <w:tc>
          <w:tcPr>
            <w:tcW w:w="1980" w:type="dxa"/>
            <w:vAlign w:val="bottom"/>
          </w:tcPr>
          <w:p>
            <w:pPr>
              <w:spacing w:after="0"/>
              <w:rPr>
                <w:sz w:val="20"/>
                <w:szCs w:val="20"/>
                <w:color w:val="auto"/>
              </w:rPr>
            </w:pPr>
            <w:r>
              <w:rPr>
                <w:rFonts w:ascii="Arial" w:cs="Arial" w:eastAsia="Arial" w:hAnsi="Arial"/>
                <w:sz w:val="22"/>
                <w:szCs w:val="22"/>
                <w:color w:val="auto"/>
              </w:rPr>
              <w:t>SECTION 12.18</w:t>
            </w:r>
          </w:p>
        </w:tc>
        <w:tc>
          <w:tcPr>
            <w:tcW w:w="5520" w:type="dxa"/>
            <w:vAlign w:val="bottom"/>
          </w:tcPr>
          <w:p>
            <w:pPr>
              <w:ind w:left="540"/>
              <w:spacing w:after="0"/>
              <w:rPr>
                <w:sz w:val="20"/>
                <w:szCs w:val="20"/>
                <w:color w:val="auto"/>
              </w:rPr>
            </w:pPr>
            <w:r>
              <w:rPr>
                <w:rFonts w:ascii="Arial" w:cs="Arial" w:eastAsia="Arial" w:hAnsi="Arial"/>
                <w:sz w:val="22"/>
                <w:szCs w:val="22"/>
                <w:color w:val="auto"/>
              </w:rPr>
              <w:t>Force Majeure</w:t>
            </w:r>
          </w:p>
        </w:tc>
        <w:tc>
          <w:tcPr>
            <w:tcW w:w="284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97"/>
        </w:trPr>
        <w:tc>
          <w:tcPr>
            <w:tcW w:w="1980" w:type="dxa"/>
            <w:vAlign w:val="bottom"/>
          </w:tcPr>
          <w:p>
            <w:pPr>
              <w:spacing w:after="0"/>
              <w:rPr>
                <w:sz w:val="20"/>
                <w:szCs w:val="20"/>
                <w:color w:val="auto"/>
              </w:rPr>
            </w:pPr>
            <w:r>
              <w:rPr>
                <w:rFonts w:ascii="Arial" w:cs="Arial" w:eastAsia="Arial" w:hAnsi="Arial"/>
                <w:sz w:val="22"/>
                <w:szCs w:val="22"/>
                <w:color w:val="auto"/>
              </w:rPr>
              <w:t>SECTION 12.19</w:t>
            </w:r>
          </w:p>
        </w:tc>
        <w:tc>
          <w:tcPr>
            <w:tcW w:w="5520" w:type="dxa"/>
            <w:vAlign w:val="bottom"/>
          </w:tcPr>
          <w:p>
            <w:pPr>
              <w:ind w:left="540"/>
              <w:spacing w:after="0"/>
              <w:rPr>
                <w:sz w:val="20"/>
                <w:szCs w:val="20"/>
                <w:color w:val="auto"/>
              </w:rPr>
            </w:pPr>
            <w:r>
              <w:rPr>
                <w:rFonts w:ascii="Arial" w:cs="Arial" w:eastAsia="Arial" w:hAnsi="Arial"/>
                <w:sz w:val="22"/>
                <w:szCs w:val="22"/>
                <w:color w:val="auto"/>
              </w:rPr>
              <w:t>Severability</w:t>
            </w:r>
          </w:p>
        </w:tc>
        <w:tc>
          <w:tcPr>
            <w:tcW w:w="2840" w:type="dxa"/>
            <w:vAlign w:val="bottom"/>
          </w:tcPr>
          <w:p>
            <w:pPr>
              <w:jc w:val="right"/>
              <w:spacing w:after="0"/>
              <w:rPr>
                <w:sz w:val="20"/>
                <w:szCs w:val="20"/>
                <w:color w:val="auto"/>
              </w:rPr>
            </w:pPr>
            <w:r>
              <w:rPr>
                <w:rFonts w:ascii="Arial" w:cs="Arial" w:eastAsia="Arial" w:hAnsi="Arial"/>
                <w:sz w:val="22"/>
                <w:szCs w:val="22"/>
                <w:color w:val="auto"/>
              </w:rPr>
              <w:t>145</w:t>
            </w:r>
          </w:p>
        </w:tc>
      </w:tr>
    </w:tbl>
    <w:p>
      <w:pPr>
        <w:spacing w:after="0" w:line="266"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Global Restricted Note</w:t>
      </w:r>
    </w:p>
    <w:p>
      <w:pPr>
        <w:spacing w:after="0" w:line="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Supplemental Indenture</w:t>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180"/>
          </w:cols>
          <w:pgMar w:left="240" w:top="996" w:right="479" w:bottom="1440" w:gutter="0" w:footer="0" w:header="0"/>
        </w:sectPr>
      </w:pPr>
    </w:p>
    <w:bookmarkStart w:id="47" w:name="page48"/>
    <w:bookmarkEnd w:id="47"/>
    <w:p>
      <w:pPr>
        <w:ind w:left="660"/>
        <w:spacing w:after="0"/>
        <w:rPr>
          <w:sz w:val="20"/>
          <w:szCs w:val="20"/>
          <w:color w:val="auto"/>
        </w:rPr>
      </w:pPr>
      <w:r>
        <w:rPr>
          <w:rFonts w:ascii="Arial" w:cs="Arial" w:eastAsia="Arial" w:hAnsi="Arial"/>
          <w:sz w:val="21"/>
          <w:szCs w:val="21"/>
          <w:color w:val="auto"/>
        </w:rPr>
        <w:t>INDENTURE dated as of March 29, 2016 (as amended supplemented or otherwise modified from time to time, this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among AVIS BUDGET CAR RENTAL, LLC, a limited liability company organized under the laws of the state of</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 (the “</w:t>
      </w:r>
      <w:r>
        <w:rPr>
          <w:rFonts w:ascii="Arial" w:cs="Arial" w:eastAsia="Arial" w:hAnsi="Arial"/>
          <w:sz w:val="19"/>
          <w:szCs w:val="19"/>
          <w:u w:val="single" w:color="auto"/>
          <w:color w:val="auto"/>
        </w:rPr>
        <w:t>Company</w:t>
      </w:r>
      <w:r>
        <w:rPr>
          <w:rFonts w:ascii="Arial" w:cs="Arial" w:eastAsia="Arial" w:hAnsi="Arial"/>
          <w:sz w:val="19"/>
          <w:szCs w:val="19"/>
          <w:color w:val="auto"/>
        </w:rPr>
        <w:t>”), and AVIS BUDGET FINANCE, INC., a corporation organized under the laws of the State of 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Co-Issuer</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Issuers</w:t>
      </w:r>
      <w:r>
        <w:rPr>
          <w:rFonts w:ascii="Arial" w:cs="Arial" w:eastAsia="Arial" w:hAnsi="Arial"/>
          <w:sz w:val="19"/>
          <w:szCs w:val="19"/>
          <w:color w:val="auto"/>
        </w:rPr>
        <w:t>”), the guarantors party hereto (the “</w:t>
      </w:r>
      <w:r>
        <w:rPr>
          <w:rFonts w:ascii="Arial" w:cs="Arial" w:eastAsia="Arial" w:hAnsi="Arial"/>
          <w:sz w:val="19"/>
          <w:szCs w:val="19"/>
          <w:u w:val="single" w:color="auto"/>
          <w:color w:val="auto"/>
        </w:rPr>
        <w:t>Guarantors</w:t>
      </w:r>
      <w:r>
        <w:rPr>
          <w:rFonts w:ascii="Arial" w:cs="Arial" w:eastAsia="Arial" w:hAnsi="Arial"/>
          <w:sz w:val="19"/>
          <w:szCs w:val="19"/>
          <w:color w:val="auto"/>
        </w:rPr>
        <w:t>”) and DEUTSCHE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BANK TRUST COMPANY AMERICAS, a New York banking corporation,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p>
    <w:p>
      <w:pPr>
        <w:spacing w:after="0" w:line="233"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21"/>
          <w:szCs w:val="21"/>
          <w:color w:val="auto"/>
        </w:rPr>
        <w:t>WHEREAS, the Issuers have duly authorized the execution and delivery of this Indenture to provide for the issuance of (i) the 6.375% Senior Notes due 2024 issued on the date hereof (the “</w:t>
      </w:r>
      <w:r>
        <w:rPr>
          <w:rFonts w:ascii="Arial" w:cs="Arial" w:eastAsia="Arial" w:hAnsi="Arial"/>
          <w:sz w:val="21"/>
          <w:szCs w:val="21"/>
          <w:u w:val="single" w:color="auto"/>
          <w:color w:val="auto"/>
        </w:rPr>
        <w:t>Initial Notes</w:t>
      </w:r>
      <w:r>
        <w:rPr>
          <w:rFonts w:ascii="Arial" w:cs="Arial" w:eastAsia="Arial" w:hAnsi="Arial"/>
          <w:sz w:val="21"/>
          <w:szCs w:val="21"/>
          <w:color w:val="auto"/>
        </w:rPr>
        <w:t>”) and (ii) any additional Notes (“</w:t>
      </w:r>
      <w:r>
        <w:rPr>
          <w:rFonts w:ascii="Arial" w:cs="Arial" w:eastAsia="Arial" w:hAnsi="Arial"/>
          <w:sz w:val="21"/>
          <w:szCs w:val="21"/>
          <w:u w:val="single" w:color="auto"/>
          <w:color w:val="auto"/>
        </w:rPr>
        <w:t>Additional Notes</w:t>
      </w:r>
      <w:r>
        <w:rPr>
          <w:rFonts w:ascii="Arial" w:cs="Arial" w:eastAsia="Arial" w:hAnsi="Arial"/>
          <w:sz w:val="21"/>
          <w:szCs w:val="21"/>
          <w:color w:val="auto"/>
        </w:rPr>
        <w:t>” and, together with the Initial Notes, the “</w:t>
      </w:r>
      <w:r>
        <w:rPr>
          <w:rFonts w:ascii="Arial" w:cs="Arial" w:eastAsia="Arial" w:hAnsi="Arial"/>
          <w:sz w:val="21"/>
          <w:szCs w:val="21"/>
          <w:u w:val="single" w:color="auto"/>
          <w:color w:val="auto"/>
        </w:rPr>
        <w:t>Notes</w:t>
      </w:r>
      <w:r>
        <w:rPr>
          <w:rFonts w:ascii="Arial" w:cs="Arial" w:eastAsia="Arial" w:hAnsi="Arial"/>
          <w:sz w:val="21"/>
          <w:szCs w:val="21"/>
          <w:color w:val="auto"/>
        </w:rPr>
        <w:t>”) that may be issued after the Issue Date.</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Issuers and each of the Guarantors have duly authorized the execution and delivery of this Indenture;</w:t>
      </w:r>
    </w:p>
    <w:p>
      <w:pPr>
        <w:spacing w:after="0" w:line="200" w:lineRule="exact"/>
        <w:rPr>
          <w:sz w:val="20"/>
          <w:szCs w:val="20"/>
          <w:color w:val="auto"/>
        </w:rPr>
      </w:pPr>
    </w:p>
    <w:p>
      <w:pPr>
        <w:spacing w:after="0" w:line="311"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WHEREAS, all things necessary (i) to make the Notes, when executed and duly issued by the Issuers and authenticated and delivered hereunder, the valid obligations of the Issuers, (ii) to make the Guarantees, when this Indenture is executed by each Guarantor, the valid obligation of each Guarantor and (iii) to make this Indenture a valid agreement of the Issuers and each of the Guarantors have been done; and</w:t>
      </w:r>
    </w:p>
    <w:p>
      <w:pPr>
        <w:spacing w:after="0" w:line="200" w:lineRule="exact"/>
        <w:rPr>
          <w:sz w:val="20"/>
          <w:szCs w:val="20"/>
          <w:color w:val="auto"/>
        </w:rPr>
      </w:pPr>
    </w:p>
    <w:p>
      <w:pPr>
        <w:spacing w:after="0" w:line="206"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NOW, THEREFORE, in consideration of the premises and the purchase of the Notes by the Holders thereof, it is mutually covenanted and agreed, for the equal and proportionate benefit of all Holders, as follows: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00" w:lineRule="exact"/>
        <w:rPr>
          <w:sz w:val="20"/>
          <w:szCs w:val="20"/>
          <w:color w:val="auto"/>
        </w:rPr>
      </w:pPr>
    </w:p>
    <w:p>
      <w:pPr>
        <w:spacing w:after="0" w:line="276" w:lineRule="exact"/>
        <w:rPr>
          <w:sz w:val="20"/>
          <w:szCs w:val="20"/>
          <w:color w:val="auto"/>
        </w:rPr>
      </w:pPr>
    </w:p>
    <w:p>
      <w:pPr>
        <w:ind w:left="2900"/>
        <w:spacing w:after="0"/>
        <w:rPr>
          <w:sz w:val="20"/>
          <w:szCs w:val="20"/>
          <w:color w:val="auto"/>
        </w:rPr>
      </w:pPr>
      <w:r>
        <w:rPr>
          <w:rFonts w:ascii="Arial" w:cs="Arial" w:eastAsia="Arial" w:hAnsi="Arial"/>
          <w:sz w:val="22"/>
          <w:szCs w:val="22"/>
          <w:b w:val="1"/>
          <w:bCs w:val="1"/>
          <w:u w:val="single" w:color="auto"/>
          <w:color w:val="auto"/>
        </w:rPr>
        <w:t>DEFINITIONS AND INCORPORATION BY REFERENCE</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8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means Indebtedness (1) of a Person or any of its Subsidiaries existing at the time such Person becomes a Restricted Subsidiary, or (2) assumed in connection with the acquisition of assets from such Person, in each case whether or not Incurred by such Person in connection with such Person becoming a Restricted Subsidiary of the Company or such acquisition or (3) of a Person at the time such Person merges with or into or consolidates or otherwise combines with the Company or any Restricted Subsidiary. Acquired Indebtedness shall be deemed to have been Incurred, with respect to clause (1) of the preceding sentence, on the date such Person becomes a Restricted Subsidiary and, with respect to clause (2) of the preceding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77" w:right="239" w:bottom="1440" w:gutter="0" w:footer="0" w:header="0"/>
        </w:sectPr>
      </w:pPr>
    </w:p>
    <w:bookmarkStart w:id="48" w:name="page49"/>
    <w:bookmarkEnd w:id="48"/>
    <w:p>
      <w:pPr>
        <w:ind w:right="20"/>
        <w:spacing w:after="0" w:line="302" w:lineRule="auto"/>
        <w:rPr>
          <w:sz w:val="20"/>
          <w:szCs w:val="20"/>
          <w:color w:val="auto"/>
        </w:rPr>
      </w:pPr>
      <w:r>
        <w:rPr>
          <w:rFonts w:ascii="Arial" w:cs="Arial" w:eastAsia="Arial" w:hAnsi="Arial"/>
          <w:sz w:val="22"/>
          <w:szCs w:val="22"/>
          <w:color w:val="auto"/>
        </w:rPr>
        <w:t>sentence, on the date of consummation of such acquisition of assets and, with respect to clause (3) of the preceding sentence, on the date of the relevant merger, consolidation or other combination.</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property or assets (other than Capital Stock) used or to be used by the Company, a Restricted Subsidiary or</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right="320" w:firstLine="645"/>
        <w:spacing w:after="0" w:line="402" w:lineRule="auto"/>
        <w:tabs>
          <w:tab w:leader="none" w:pos="1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Capital Stock of a Person that is engaged in a Similar Business and becomes a Restricted Subsidiary as a result of the acquisition of such Capital Stock by the Company or a Restricted Subsidiary of the Company; or</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Capital Stock constituting a minority interest in any Person that at such time is a Restricted Subsidiary of the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0" w:lineRule="exact"/>
        <w:rPr>
          <w:sz w:val="20"/>
          <w:szCs w:val="20"/>
          <w:color w:val="auto"/>
        </w:rPr>
      </w:pPr>
    </w:p>
    <w:p>
      <w:pPr>
        <w:spacing w:after="0" w:line="205"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each of Euro, British Pounds Sterling, Australian Dollars, Brazilian Real, Canadian dollars, Chinese Yuan, Danish Kroner, Egyptian Pound, Hong Kong Dollars, Indian Rupee, Indonesian Rupiah, Japanese Yen, Korean Won, Mexican Pesos, New Zealand Dollars, Russian Ruble, Singapore Dollars, Swedish Kroner, Swiss Francs and each other currency (other than United States dollars) that is a lawful currency (other than United States dollars) that is readily available and freely transferable and convertible into United States dollars.</w:t>
      </w:r>
    </w:p>
    <w:p>
      <w:pPr>
        <w:spacing w:after="0" w:line="393"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Premium</w:t>
      </w:r>
      <w:r>
        <w:rPr>
          <w:rFonts w:ascii="Arial" w:cs="Arial" w:eastAsia="Arial" w:hAnsi="Arial"/>
          <w:sz w:val="22"/>
          <w:szCs w:val="22"/>
          <w:color w:val="auto"/>
        </w:rPr>
        <w:t>” means the greater of (A) 1.0% of the principal amount of such Note and (B) on any redemption date, the excess (to the extent positive) of:</w:t>
      </w:r>
    </w:p>
    <w:p>
      <w:pPr>
        <w:spacing w:after="0" w:line="390" w:lineRule="exact"/>
        <w:rPr>
          <w:sz w:val="20"/>
          <w:szCs w:val="20"/>
          <w:color w:val="auto"/>
        </w:rPr>
      </w:pPr>
    </w:p>
    <w:p>
      <w:pPr>
        <w:ind w:right="80" w:firstLine="656"/>
        <w:spacing w:after="0" w:line="357" w:lineRule="auto"/>
        <w:tabs>
          <w:tab w:leader="none" w:pos="15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present value at such redemption date of (i) the redemption price of such Note at April 1, 2019 (such redemption price (expressed in percentage of principal amount) being set forth in the table under </w:t>
      </w:r>
      <w:r>
        <w:rPr>
          <w:rFonts w:ascii="Arial" w:cs="Arial" w:eastAsia="Arial" w:hAnsi="Arial"/>
          <w:sz w:val="19"/>
          <w:szCs w:val="19"/>
          <w:u w:val="single" w:color="auto"/>
          <w:color w:val="auto"/>
        </w:rPr>
        <w:t>Section 5.7(d)</w:t>
      </w:r>
      <w:r>
        <w:rPr>
          <w:rFonts w:ascii="Arial" w:cs="Arial" w:eastAsia="Arial" w:hAnsi="Arial"/>
          <w:sz w:val="19"/>
          <w:szCs w:val="19"/>
          <w:color w:val="auto"/>
        </w:rPr>
        <w:t xml:space="preserve"> (excluding accrued but unpaid interest)), plus (ii) all required interest payments due on such Note to and including such date set forth in clause (i)</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77" w:right="239" w:bottom="1440" w:gutter="0" w:footer="0" w:header="0"/>
        </w:sectPr>
      </w:pPr>
    </w:p>
    <w:bookmarkStart w:id="49" w:name="page50"/>
    <w:bookmarkEnd w:id="49"/>
    <w:p>
      <w:pPr>
        <w:ind w:right="60"/>
        <w:spacing w:after="0" w:line="302" w:lineRule="auto"/>
        <w:rPr>
          <w:sz w:val="20"/>
          <w:szCs w:val="20"/>
          <w:color w:val="auto"/>
        </w:rPr>
      </w:pPr>
      <w:r>
        <w:rPr>
          <w:rFonts w:ascii="Arial" w:cs="Arial" w:eastAsia="Arial" w:hAnsi="Arial"/>
          <w:sz w:val="22"/>
          <w:szCs w:val="22"/>
          <w:color w:val="auto"/>
        </w:rPr>
        <w:t>(excluding accrued but unpaid interest), computed upon the redemption date using a discount rate equal to the Applicable Treasury Rate at such redemption date plus 50 basis points; over</w:t>
      </w:r>
    </w:p>
    <w:p>
      <w:pPr>
        <w:spacing w:after="0" w:line="39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then outstanding principal amount of such Note;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in each case, as calculated by the Company or on behalf of the Company by such Person as the Company shall designate.</w:t>
      </w:r>
    </w:p>
    <w:p>
      <w:pPr>
        <w:spacing w:after="0" w:line="200" w:lineRule="exact"/>
        <w:rPr>
          <w:sz w:val="20"/>
          <w:szCs w:val="20"/>
          <w:color w:val="auto"/>
        </w:rPr>
      </w:pPr>
    </w:p>
    <w:p>
      <w:pPr>
        <w:spacing w:after="0" w:line="270"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Treasury Rate</w:t>
      </w:r>
      <w:r>
        <w:rPr>
          <w:rFonts w:ascii="Arial" w:cs="Arial" w:eastAsia="Arial" w:hAnsi="Arial"/>
          <w:sz w:val="19"/>
          <w:szCs w:val="19"/>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(but not more than five Business Days) prior to the redemption date (or, if such statistical release is not so published or available, any publicly available source of similar market data selected by the Company in good faith)) most nearly equal to the period from the redemption date to April 1, 2019;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period from the redemption date to April 1, 2019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3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Disposition</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jc w:val="both"/>
        <w:ind w:right="60" w:firstLine="656"/>
        <w:spacing w:after="0" w:line="357" w:lineRule="auto"/>
        <w:tabs>
          <w:tab w:leader="none" w:pos="1104"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sale, conveyance, transfer or other disposition, whether in a single transaction or a series of related transactions, of property or assets (including by way of a Sale and Leaseback Transaction) of the Company or any of its Restricted Subsidiaries (in each case other than Capital Stock of the Company) (each referred to in this definition as a “</w:t>
      </w:r>
      <w:r>
        <w:rPr>
          <w:rFonts w:ascii="Arial" w:cs="Arial" w:eastAsia="Arial" w:hAnsi="Arial"/>
          <w:sz w:val="19"/>
          <w:szCs w:val="19"/>
          <w:u w:val="single" w:color="auto"/>
          <w:color w:val="auto"/>
        </w:rPr>
        <w:t>disposition</w:t>
      </w:r>
      <w:r>
        <w:rPr>
          <w:rFonts w:ascii="Arial" w:cs="Arial" w:eastAsia="Arial" w:hAnsi="Arial"/>
          <w:sz w:val="19"/>
          <w:szCs w:val="19"/>
          <w:color w:val="auto"/>
        </w:rPr>
        <w:t>”); or</w:t>
      </w:r>
    </w:p>
    <w:p>
      <w:pPr>
        <w:spacing w:after="0" w:line="348" w:lineRule="exact"/>
        <w:rPr>
          <w:rFonts w:ascii="Arial" w:cs="Arial" w:eastAsia="Arial" w:hAnsi="Arial"/>
          <w:sz w:val="19"/>
          <w:szCs w:val="19"/>
          <w:color w:val="auto"/>
        </w:rPr>
      </w:pPr>
    </w:p>
    <w:p>
      <w:pPr>
        <w:ind w:left="1080" w:hanging="424"/>
        <w:spacing w:after="0"/>
        <w:tabs>
          <w:tab w:leader="none" w:pos="10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issuance or sale of Capital Stock of any Restricted Subsidiary (other than Preferred Stock or Disqualified Stock of</w:t>
      </w:r>
    </w:p>
    <w:p>
      <w:pPr>
        <w:spacing w:after="0" w:line="92" w:lineRule="exact"/>
        <w:rPr>
          <w:rFonts w:ascii="Arial" w:cs="Arial" w:eastAsia="Arial" w:hAnsi="Arial"/>
          <w:sz w:val="19"/>
          <w:szCs w:val="19"/>
          <w:color w:val="auto"/>
        </w:rPr>
      </w:pPr>
    </w:p>
    <w:p>
      <w:pPr>
        <w:ind w:right="460"/>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or directors’ qualifying shares and shares issued to foreign nationals as required under applicable law), whether in a single transaction or a series of related transactions;</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in each case, other than:</w:t>
      </w:r>
    </w:p>
    <w:p>
      <w:pPr>
        <w:spacing w:after="0" w:line="200" w:lineRule="exact"/>
        <w:rPr>
          <w:sz w:val="20"/>
          <w:szCs w:val="20"/>
          <w:color w:val="auto"/>
        </w:rPr>
      </w:pPr>
    </w:p>
    <w:p>
      <w:pPr>
        <w:spacing w:after="0" w:line="236" w:lineRule="exact"/>
        <w:rPr>
          <w:sz w:val="20"/>
          <w:szCs w:val="20"/>
          <w:color w:val="auto"/>
        </w:rPr>
      </w:pPr>
    </w:p>
    <w:p>
      <w:pPr>
        <w:ind w:left="660" w:right="400" w:firstLine="645"/>
        <w:spacing w:after="0" w:line="315" w:lineRule="auto"/>
        <w:tabs>
          <w:tab w:leader="none" w:pos="17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disposition by a Restricted Subsidiary to the Company or by the Company or a Restricted Subsidiary to a Restricted Subsidiary;</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disposition of cash, Cash Equivalents or Investment Grade Securities;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1077" w:right="279" w:bottom="1440" w:gutter="0" w:footer="0" w:header="0"/>
        </w:sectPr>
      </w:pPr>
    </w:p>
    <w:bookmarkStart w:id="50" w:name="page51"/>
    <w:bookmarkEnd w:id="50"/>
    <w:p>
      <w:pPr>
        <w:ind w:left="1080" w:hanging="435"/>
        <w:spacing w:after="0"/>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disposition of inventory or other assets in the ordinary course of business or consistent with past practice</w:t>
      </w:r>
    </w:p>
    <w:p>
      <w:pPr>
        <w:spacing w:after="0" w:line="92" w:lineRule="exact"/>
        <w:rPr>
          <w:rFonts w:ascii="Arial" w:cs="Arial" w:eastAsia="Arial" w:hAnsi="Arial"/>
          <w:sz w:val="19"/>
          <w:szCs w:val="19"/>
          <w:color w:val="auto"/>
        </w:rPr>
      </w:pPr>
    </w:p>
    <w:p>
      <w:pPr>
        <w:ind w:right="260"/>
        <w:spacing w:after="0" w:line="302" w:lineRule="auto"/>
        <w:rPr>
          <w:rFonts w:ascii="Arial" w:cs="Arial" w:eastAsia="Arial" w:hAnsi="Arial"/>
          <w:sz w:val="19"/>
          <w:szCs w:val="19"/>
          <w:color w:val="auto"/>
        </w:rPr>
      </w:pPr>
      <w:r>
        <w:rPr>
          <w:rFonts w:ascii="Arial" w:cs="Arial" w:eastAsia="Arial" w:hAnsi="Arial"/>
          <w:sz w:val="22"/>
          <w:szCs w:val="22"/>
          <w:color w:val="auto"/>
        </w:rPr>
        <w:t>(including allowing any registrations or any applications for registrations of any intellectual property rights to lapse or go abandoned in the ordinary course of business or consistent with past practice);</w:t>
      </w:r>
    </w:p>
    <w:p>
      <w:pPr>
        <w:spacing w:after="0" w:line="389" w:lineRule="exact"/>
        <w:rPr>
          <w:rFonts w:ascii="Arial" w:cs="Arial" w:eastAsia="Arial" w:hAnsi="Arial"/>
          <w:sz w:val="19"/>
          <w:szCs w:val="19"/>
          <w:color w:val="auto"/>
        </w:rPr>
      </w:pPr>
    </w:p>
    <w:p>
      <w:pPr>
        <w:ind w:right="120" w:firstLine="645"/>
        <w:spacing w:after="0" w:line="402"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disposition of obsolete, surplus or worn out property, equipment or other assets or property, equipment or other assets that are no longer used or useful in the conduct of the business of the Company and its Restricted Subsidiaries;</w:t>
      </w:r>
    </w:p>
    <w:p>
      <w:pPr>
        <w:spacing w:after="0" w:line="307" w:lineRule="exact"/>
        <w:rPr>
          <w:rFonts w:ascii="Arial" w:cs="Arial" w:eastAsia="Arial" w:hAnsi="Arial"/>
          <w:sz w:val="19"/>
          <w:szCs w:val="19"/>
          <w:color w:val="auto"/>
        </w:rPr>
      </w:pPr>
    </w:p>
    <w:p>
      <w:pPr>
        <w:ind w:left="1080" w:hanging="435"/>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transactions permitted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transaction that constitutes a Change of Control;</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160" w:firstLine="645"/>
        <w:spacing w:after="0" w:line="402"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issuance of Capital Stock by a Restricted Subsidiary to the Company or to another Restricted Subsidiary or as part of or pursuant to an equity incentive or compensation plan approved by the Board of Directors;</w:t>
      </w:r>
    </w:p>
    <w:p>
      <w:pPr>
        <w:spacing w:after="0" w:line="307" w:lineRule="exact"/>
        <w:rPr>
          <w:rFonts w:ascii="Arial" w:cs="Arial" w:eastAsia="Arial" w:hAnsi="Arial"/>
          <w:sz w:val="19"/>
          <w:szCs w:val="19"/>
          <w:color w:val="auto"/>
        </w:rPr>
      </w:pPr>
    </w:p>
    <w:p>
      <w:pPr>
        <w:ind w:right="360" w:firstLine="645"/>
        <w:spacing w:after="0" w:line="341"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dispositions of Capital Stock, properties or assets in a single transaction or series of related transactions with a fair market value (as determined in good faith by the Company) of less than $75.0 million;</w:t>
      </w:r>
    </w:p>
    <w:p>
      <w:pPr>
        <w:spacing w:after="0" w:line="353" w:lineRule="exact"/>
        <w:rPr>
          <w:rFonts w:ascii="Arial" w:cs="Arial" w:eastAsia="Arial" w:hAnsi="Arial"/>
          <w:sz w:val="21"/>
          <w:szCs w:val="21"/>
          <w:color w:val="auto"/>
        </w:rPr>
      </w:pPr>
    </w:p>
    <w:p>
      <w:pPr>
        <w:ind w:left="1080" w:hanging="435"/>
        <w:spacing w:after="0"/>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Restricted Payment that is permitted to be made, and is made, under the covenant described above under</w:t>
      </w:r>
    </w:p>
    <w:p>
      <w:pPr>
        <w:spacing w:after="0" w:line="92" w:lineRule="exact"/>
        <w:rPr>
          <w:rFonts w:ascii="Arial" w:cs="Arial" w:eastAsia="Arial" w:hAnsi="Arial"/>
          <w:sz w:val="19"/>
          <w:szCs w:val="19"/>
          <w:color w:val="auto"/>
        </w:rPr>
      </w:pPr>
    </w:p>
    <w:p>
      <w:pPr>
        <w:ind w:right="160"/>
        <w:spacing w:after="0" w:line="387" w:lineRule="auto"/>
        <w:rPr>
          <w:rFonts w:ascii="Arial" w:cs="Arial" w:eastAsia="Arial" w:hAnsi="Arial"/>
          <w:sz w:val="19"/>
          <w:szCs w:val="19"/>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the making of any Permitted Payment or Permitted Investment or, solely for purposes of </w:t>
      </w:r>
      <w:r>
        <w:rPr>
          <w:rFonts w:ascii="Arial" w:cs="Arial" w:eastAsia="Arial" w:hAnsi="Arial"/>
          <w:sz w:val="19"/>
          <w:szCs w:val="19"/>
          <w:u w:val="single" w:color="auto"/>
          <w:color w:val="auto"/>
        </w:rPr>
        <w:t>Section 3.5(a)(3)</w:t>
      </w:r>
      <w:r>
        <w:rPr>
          <w:rFonts w:ascii="Arial" w:cs="Arial" w:eastAsia="Arial" w:hAnsi="Arial"/>
          <w:sz w:val="19"/>
          <w:szCs w:val="19"/>
          <w:color w:val="auto"/>
        </w:rPr>
        <w:t>, asset sales, the proceeds of which are used to make such Restricted Payments or Permitted Investments;</w:t>
      </w:r>
    </w:p>
    <w:p>
      <w:pPr>
        <w:spacing w:after="0" w:line="321" w:lineRule="exact"/>
        <w:rPr>
          <w:rFonts w:ascii="Arial" w:cs="Arial" w:eastAsia="Arial" w:hAnsi="Arial"/>
          <w:sz w:val="19"/>
          <w:szCs w:val="19"/>
          <w:color w:val="auto"/>
        </w:rPr>
      </w:pPr>
    </w:p>
    <w:p>
      <w:pPr>
        <w:ind w:left="1080" w:hanging="435"/>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dispositions in connection with Permitted Liens;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20" w:firstLine="645"/>
        <w:spacing w:after="0" w:line="341" w:lineRule="auto"/>
        <w:tabs>
          <w:tab w:leader="none" w:pos="1188" w:val="left"/>
        </w:tabs>
        <w:numPr>
          <w:ilvl w:val="0"/>
          <w:numId w:val="60"/>
        </w:numPr>
        <w:rPr>
          <w:rFonts w:ascii="Arial" w:cs="Arial" w:eastAsia="Arial" w:hAnsi="Arial"/>
          <w:sz w:val="21"/>
          <w:szCs w:val="21"/>
          <w:color w:val="auto"/>
        </w:rPr>
      </w:pPr>
      <w:r>
        <w:rPr>
          <w:rFonts w:ascii="Arial" w:cs="Arial" w:eastAsia="Arial" w:hAnsi="Arial"/>
          <w:sz w:val="21"/>
          <w:szCs w:val="21"/>
          <w:color w:val="auto"/>
        </w:rPr>
        <w:t>dispositions of Investments or receivables in connection with the compromise, settlement or collection thereof in the ordinary course of business or consistent with past practice or in bankruptcy or similar proceedings;</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licensing or sub-licensing of intellectual property, or the licensing or sub-licensing of other general</w:t>
      </w:r>
    </w:p>
    <w:p>
      <w:pPr>
        <w:spacing w:after="0" w:line="69" w:lineRule="exact"/>
        <w:rPr>
          <w:rFonts w:ascii="Arial" w:cs="Arial" w:eastAsia="Arial" w:hAnsi="Arial"/>
          <w:sz w:val="21"/>
          <w:szCs w:val="21"/>
          <w:color w:val="auto"/>
        </w:rPr>
      </w:pPr>
    </w:p>
    <w:p>
      <w:pPr>
        <w:ind w:right="160"/>
        <w:spacing w:after="0" w:line="302" w:lineRule="auto"/>
        <w:rPr>
          <w:rFonts w:ascii="Arial" w:cs="Arial" w:eastAsia="Arial" w:hAnsi="Arial"/>
          <w:sz w:val="21"/>
          <w:szCs w:val="21"/>
          <w:color w:val="auto"/>
        </w:rPr>
      </w:pPr>
      <w:r>
        <w:rPr>
          <w:rFonts w:ascii="Arial" w:cs="Arial" w:eastAsia="Arial" w:hAnsi="Arial"/>
          <w:sz w:val="22"/>
          <w:szCs w:val="22"/>
          <w:color w:val="auto"/>
        </w:rPr>
        <w:t>intangibles and licenses, sub-licenses, leases or subleases of other property in the ordinary course of business or consistent with past practice;</w:t>
      </w:r>
    </w:p>
    <w:p>
      <w:pPr>
        <w:spacing w:after="0" w:line="389" w:lineRule="exact"/>
        <w:rPr>
          <w:rFonts w:ascii="Arial" w:cs="Arial" w:eastAsia="Arial" w:hAnsi="Arial"/>
          <w:sz w:val="21"/>
          <w:szCs w:val="21"/>
          <w:color w:val="auto"/>
        </w:rPr>
      </w:pPr>
    </w:p>
    <w:p>
      <w:pPr>
        <w:ind w:firstLine="645"/>
        <w:spacing w:after="0" w:line="315" w:lineRule="auto"/>
        <w:tabs>
          <w:tab w:leader="none" w:pos="1188" w:val="left"/>
        </w:tabs>
        <w:numPr>
          <w:ilvl w:val="0"/>
          <w:numId w:val="60"/>
        </w:numPr>
        <w:rPr>
          <w:rFonts w:ascii="Arial" w:cs="Arial" w:eastAsia="Arial" w:hAnsi="Arial"/>
          <w:sz w:val="22"/>
          <w:szCs w:val="22"/>
          <w:color w:val="auto"/>
        </w:rPr>
      </w:pPr>
      <w:r>
        <w:rPr>
          <w:rFonts w:ascii="Arial" w:cs="Arial" w:eastAsia="Arial" w:hAnsi="Arial"/>
          <w:sz w:val="22"/>
          <w:szCs w:val="22"/>
          <w:color w:val="auto"/>
        </w:rPr>
        <w:t>foreclosure, condemnation or any similar action with respect to any property or other assets or the existence of termination rights under any lease, license concession or other agreement;</w:t>
      </w:r>
    </w:p>
    <w:p>
      <w:pPr>
        <w:spacing w:after="0" w:line="375" w:lineRule="exact"/>
        <w:rPr>
          <w:rFonts w:ascii="Arial" w:cs="Arial" w:eastAsia="Arial" w:hAnsi="Arial"/>
          <w:sz w:val="22"/>
          <w:szCs w:val="22"/>
          <w:color w:val="auto"/>
        </w:rPr>
      </w:pPr>
    </w:p>
    <w:p>
      <w:pPr>
        <w:ind w:right="700" w:firstLine="645"/>
        <w:spacing w:after="0" w:line="315" w:lineRule="auto"/>
        <w:tabs>
          <w:tab w:leader="none" w:pos="118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sale or discount (with or without recourse, and on customary or commercially reasonable terms) of accounts receivable or notes receivable arising in the</w:t>
      </w: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900" w:top="1077" w:right="259" w:bottom="1440" w:gutter="0" w:footer="0" w:header="0"/>
        </w:sectPr>
      </w:pPr>
    </w:p>
    <w:bookmarkStart w:id="51" w:name="page52"/>
    <w:bookmarkEnd w:id="51"/>
    <w:p>
      <w:pPr>
        <w:ind w:right="100"/>
        <w:spacing w:after="0" w:line="302" w:lineRule="auto"/>
        <w:rPr>
          <w:sz w:val="20"/>
          <w:szCs w:val="20"/>
          <w:color w:val="auto"/>
        </w:rPr>
      </w:pPr>
      <w:r>
        <w:rPr>
          <w:rFonts w:ascii="Arial" w:cs="Arial" w:eastAsia="Arial" w:hAnsi="Arial"/>
          <w:sz w:val="22"/>
          <w:szCs w:val="22"/>
          <w:color w:val="auto"/>
        </w:rPr>
        <w:t>ordinary course of business or consistent with past practice, or the conversion or exchange of accounts receivable for notes receivable;</w:t>
      </w:r>
    </w:p>
    <w:p>
      <w:pPr>
        <w:spacing w:after="0" w:line="390" w:lineRule="exact"/>
        <w:rPr>
          <w:sz w:val="20"/>
          <w:szCs w:val="20"/>
          <w:color w:val="auto"/>
        </w:rPr>
      </w:pPr>
    </w:p>
    <w:p>
      <w:pPr>
        <w:ind w:left="1180" w:hanging="535"/>
        <w:spacing w:after="0"/>
        <w:tabs>
          <w:tab w:leader="none" w:pos="1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disposition of Capital Stock, Indebtedness or other securities of an Unrestricted Subsidiary;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disposition of Capital Stock of a Restricted Subsidiary pursuant to an agreement or other obligation with</w:t>
      </w:r>
    </w:p>
    <w:p>
      <w:pPr>
        <w:spacing w:after="0" w:line="92" w:lineRule="exact"/>
        <w:rPr>
          <w:rFonts w:ascii="Arial" w:cs="Arial" w:eastAsia="Arial" w:hAnsi="Arial"/>
          <w:sz w:val="19"/>
          <w:szCs w:val="19"/>
          <w:color w:val="auto"/>
        </w:rPr>
      </w:pPr>
    </w:p>
    <w:p>
      <w:pPr>
        <w:jc w:val="both"/>
        <w:ind w:right="40"/>
        <w:spacing w:after="0" w:line="292" w:lineRule="auto"/>
        <w:rPr>
          <w:rFonts w:ascii="Arial" w:cs="Arial" w:eastAsia="Arial" w:hAnsi="Arial"/>
          <w:sz w:val="19"/>
          <w:szCs w:val="19"/>
          <w:color w:val="auto"/>
        </w:rPr>
      </w:pPr>
      <w:r>
        <w:rPr>
          <w:rFonts w:ascii="Arial" w:cs="Arial" w:eastAsia="Arial" w:hAnsi="Arial"/>
          <w:sz w:val="22"/>
          <w:szCs w:val="22"/>
          <w:color w:val="auto"/>
        </w:rPr>
        <w:t>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 dispositions of property to the extent that such property is exchanged for credit against the purchase price</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of similar replacement property that is promptly purchased, (ii) dispositions of property to the extent that the proceeds of such disposition are promptly applied to the purchase price of such replacement property (which replacement property is actually promptly purchased), (iii) to the extent intended to qualify under Section 1031 of the Code (or any successor section), any exchange of like property (excluding any boot thereon) for use in a Similar Business, and (iv) any exchange of equipment to be leased, rented or otherwise used in a Similar Business;</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disposition of receivables, or participations therein, in connection with any Special Purpose Financing, or</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the disposition of an account receivable in connection with the collection or compromise thereof in the ordinary course of business;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constructed, acquired, replaced, repaired or improved</w:t>
      </w:r>
    </w:p>
    <w:p>
      <w:pPr>
        <w:spacing w:after="0" w:line="92" w:lineRule="exact"/>
        <w:rPr>
          <w:rFonts w:ascii="Arial" w:cs="Arial" w:eastAsia="Arial" w:hAnsi="Arial"/>
          <w:sz w:val="19"/>
          <w:szCs w:val="19"/>
          <w:color w:val="auto"/>
        </w:rPr>
      </w:pPr>
    </w:p>
    <w:p>
      <w:pPr>
        <w:ind w:right="500"/>
        <w:spacing w:after="0" w:line="387" w:lineRule="auto"/>
        <w:rPr>
          <w:rFonts w:ascii="Arial" w:cs="Arial" w:eastAsia="Arial" w:hAnsi="Arial"/>
          <w:sz w:val="19"/>
          <w:szCs w:val="19"/>
          <w:color w:val="auto"/>
        </w:rPr>
      </w:pPr>
      <w:r>
        <w:rPr>
          <w:rFonts w:ascii="Arial" w:cs="Arial" w:eastAsia="Arial" w:hAnsi="Arial"/>
          <w:sz w:val="19"/>
          <w:szCs w:val="19"/>
          <w:color w:val="auto"/>
        </w:rPr>
        <w:t>(including any reconstruction, refurbishment, renovation and/or development of real property) by the Company or any Restricted Subsidiary after the Issue Date, including Sale and Leaseback Transactions and asset securitizations;</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dispositions of Investments in joint ventures or similar entities to the extent required by, or made pursuant to</w:t>
      </w:r>
    </w:p>
    <w:p>
      <w:pPr>
        <w:spacing w:after="0" w:line="92" w:lineRule="exact"/>
        <w:rPr>
          <w:rFonts w:ascii="Arial" w:cs="Arial" w:eastAsia="Arial" w:hAnsi="Arial"/>
          <w:sz w:val="19"/>
          <w:szCs w:val="19"/>
          <w:color w:val="auto"/>
        </w:rPr>
      </w:pPr>
    </w:p>
    <w:p>
      <w:pPr>
        <w:ind w:right="540"/>
        <w:spacing w:after="0" w:line="302" w:lineRule="auto"/>
        <w:rPr>
          <w:rFonts w:ascii="Arial" w:cs="Arial" w:eastAsia="Arial" w:hAnsi="Arial"/>
          <w:sz w:val="19"/>
          <w:szCs w:val="19"/>
          <w:color w:val="auto"/>
        </w:rPr>
      </w:pPr>
      <w:r>
        <w:rPr>
          <w:rFonts w:ascii="Arial" w:cs="Arial" w:eastAsia="Arial" w:hAnsi="Arial"/>
          <w:sz w:val="22"/>
          <w:szCs w:val="22"/>
          <w:color w:val="auto"/>
        </w:rPr>
        <w:t>customary buy/sell arrangements between, the parties to such joint venture set forth in joint venture arrangements and similar binding arrangements;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disposition of not more than 5% of the outstanding Capital Stock of a Foreign Subsidiary;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500" w:firstLine="645"/>
        <w:spacing w:after="0" w:line="315" w:lineRule="auto"/>
        <w:tabs>
          <w:tab w:leader="none" w:pos="118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surrender or waiver of contract rights or the settlement, release, waiver or surrender of contract, tort, litigation or other claims of any kind;</w:t>
      </w: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20"/>
          </w:cols>
          <w:pgMar w:left="900" w:top="1077" w:right="279" w:bottom="1440" w:gutter="0" w:footer="0" w:header="0"/>
        </w:sectPr>
      </w:pPr>
    </w:p>
    <w:bookmarkStart w:id="52" w:name="page53"/>
    <w:bookmarkEnd w:id="52"/>
    <w:p>
      <w:pPr>
        <w:ind w:left="1840" w:hanging="535"/>
        <w:spacing w:after="0"/>
        <w:tabs>
          <w:tab w:leader="none" w:pos="18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unwinding of any Hedging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0" w:firstLine="645"/>
        <w:spacing w:after="0" w:line="315" w:lineRule="auto"/>
        <w:tabs>
          <w:tab w:leader="none" w:pos="18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swap of assets in exchange for services or other assets in the ordinary course of business of comparable or greater value or usefulness to the business as determined in good faith by the Company;</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“fee in lieu” or other disposition of assets to any governmental authority or agency that continue in use by</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the Company or any Restricted Subsidiary, so long as the Company or any Restricted Subsidiary may obtain title to such assets upon reasonable notice by paying a nominal fee;</w:t>
      </w:r>
    </w:p>
    <w:p>
      <w:pPr>
        <w:spacing w:after="0" w:line="389" w:lineRule="exact"/>
        <w:rPr>
          <w:rFonts w:ascii="Arial" w:cs="Arial" w:eastAsia="Arial" w:hAnsi="Arial"/>
          <w:sz w:val="19"/>
          <w:szCs w:val="19"/>
          <w:color w:val="auto"/>
        </w:rPr>
      </w:pPr>
    </w:p>
    <w:p>
      <w:pPr>
        <w:ind w:left="1840" w:hanging="535"/>
        <w:spacing w:after="0"/>
        <w:tabs>
          <w:tab w:leader="none" w:pos="18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Financing Disposition;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Dispositions for Cash Equivalents of accounts receivable in connection with any receivables financing.</w:t>
      </w:r>
    </w:p>
    <w:p>
      <w:pPr>
        <w:spacing w:after="0" w:line="200" w:lineRule="exact"/>
        <w:rPr>
          <w:sz w:val="20"/>
          <w:szCs w:val="20"/>
          <w:color w:val="auto"/>
        </w:rPr>
      </w:pPr>
    </w:p>
    <w:p>
      <w:pPr>
        <w:spacing w:after="0" w:line="301"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w:t>
      </w:r>
      <w:r>
        <w:rPr>
          <w:rFonts w:ascii="Arial" w:cs="Arial" w:eastAsia="Arial" w:hAnsi="Arial"/>
          <w:sz w:val="22"/>
          <w:szCs w:val="22"/>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400" w:lineRule="exact"/>
        <w:rPr>
          <w:sz w:val="20"/>
          <w:szCs w:val="20"/>
          <w:color w:val="auto"/>
        </w:rPr>
      </w:pPr>
    </w:p>
    <w:p>
      <w:pPr>
        <w:jc w:val="both"/>
        <w:ind w:right="56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Average Book Value</w:t>
      </w:r>
      <w:r>
        <w:rPr>
          <w:rFonts w:ascii="Arial" w:cs="Arial" w:eastAsia="Arial" w:hAnsi="Arial"/>
          <w:sz w:val="21"/>
          <w:szCs w:val="21"/>
          <w:color w:val="auto"/>
        </w:rPr>
        <w:t>” means, for any period, the amount equal to (x) the sum of the respective book values of Rental Vehicles of the Company and its Restricted Subsidiaries as of the end of each of the most recent thirteen fiscal months of the Company that have ended at or prior to the end of such period, divided by (y) 13.</w:t>
      </w:r>
    </w:p>
    <w:p>
      <w:pPr>
        <w:spacing w:after="0" w:line="385"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Interest Rate</w:t>
      </w:r>
      <w:r>
        <w:rPr>
          <w:rFonts w:ascii="Arial" w:cs="Arial" w:eastAsia="Arial" w:hAnsi="Arial"/>
          <w:sz w:val="19"/>
          <w:szCs w:val="19"/>
          <w:color w:val="auto"/>
        </w:rPr>
        <w:t>” means, for any period, the amount equal to (x) the total interest expense of the Company and its Restricted Subsidiaries for such period (excluding any interest expense on any Indebtedness of any Special Purpose Subsidiary that is a Restricted Subsidiary directly or indirectly Incurred to finance or refinance the acquisition of, or secured by, Rental Vehicles and/or related rights and/or assets), divided by (y) the Average Principal Amount of Indebtedness of the Company and its Restricted Subsidiaries for such period (excluding any Indebtedness of any Special Purpose Subsidiary that is a Restricted Subsidiary directly or indirectly Incurred to finance or refinance the acquisition of, or secured by, Rental Vehicles and/or related rights and/or assets).</w:t>
      </w:r>
    </w:p>
    <w:p>
      <w:pPr>
        <w:spacing w:after="0" w:line="369"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Principal Amount</w:t>
      </w:r>
      <w:r>
        <w:rPr>
          <w:rFonts w:ascii="Arial" w:cs="Arial" w:eastAsia="Arial" w:hAnsi="Arial"/>
          <w:sz w:val="22"/>
          <w:szCs w:val="22"/>
          <w:color w:val="auto"/>
        </w:rPr>
        <w:t>” means, for any period, the amount equal to (x) the sum of the respective aggregate outstanding principal amounts of the applicable Indebtedness as of the end of each of the most recent thirteen fiscal months of the Company that have ended at or prior to the end of such period, divided by (y) 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77"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Law</w:t>
      </w:r>
      <w:r>
        <w:rPr>
          <w:rFonts w:ascii="Arial" w:cs="Arial" w:eastAsia="Arial" w:hAnsi="Arial"/>
          <w:sz w:val="21"/>
          <w:szCs w:val="21"/>
          <w:color w:val="auto"/>
        </w:rPr>
        <w:t>” means Title 11 of the United States Code or similar federal or state law for the relief of debtors.</w:t>
      </w:r>
    </w:p>
    <w:p>
      <w:pPr>
        <w:spacing w:after="0" w:line="200" w:lineRule="exact"/>
        <w:rPr>
          <w:sz w:val="20"/>
          <w:szCs w:val="20"/>
          <w:color w:val="auto"/>
        </w:rPr>
      </w:pPr>
    </w:p>
    <w:p>
      <w:pPr>
        <w:spacing w:after="0" w:line="288"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371"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each day that is not a Saturday, Sunday or other day on which banking institutions in New York, New York, United States or the jurisdiction of the place of payment are authorized or required by law to close.</w:t>
      </w:r>
    </w:p>
    <w:p>
      <w:pPr>
        <w:spacing w:after="0" w:line="322" w:lineRule="exact"/>
        <w:rPr>
          <w:sz w:val="20"/>
          <w:szCs w:val="20"/>
          <w:color w:val="auto"/>
        </w:rPr>
      </w:pPr>
    </w:p>
    <w:p>
      <w:pPr>
        <w:ind w:right="26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Securitization Entity</w:t>
      </w:r>
      <w:r>
        <w:rPr>
          <w:rFonts w:ascii="Arial" w:cs="Arial" w:eastAsia="Arial" w:hAnsi="Arial"/>
          <w:sz w:val="21"/>
          <w:szCs w:val="21"/>
          <w:color w:val="auto"/>
        </w:rPr>
        <w:t>” means WTH Funding Limited Partnership, an Ontario limited partnership, any other special purpose entity formed for the purpose of engaging in vehicle financing in Canada including, without limitation, any other partnership formed from time to time and each of the special purpose entities that may be partners in WTH Funding Limited Partnership or in any other such partnerships, and any successor of the foregoing.</w:t>
      </w:r>
    </w:p>
    <w:p>
      <w:pPr>
        <w:spacing w:after="0" w:line="389"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into such equity.</w:t>
      </w:r>
    </w:p>
    <w:p>
      <w:pPr>
        <w:spacing w:after="0" w:line="400"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an obligation that is required to be classified and accounted for as a capitalized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United States dollars, Canadian dollars, Euro or any national currency of any member state of the European</w:t>
      </w:r>
    </w:p>
    <w:p>
      <w:pPr>
        <w:spacing w:after="0" w:line="92" w:lineRule="exact"/>
        <w:rPr>
          <w:rFonts w:ascii="Arial" w:cs="Arial" w:eastAsia="Arial" w:hAnsi="Arial"/>
          <w:sz w:val="19"/>
          <w:szCs w:val="19"/>
          <w:color w:val="auto"/>
        </w:rPr>
      </w:pPr>
    </w:p>
    <w:p>
      <w:pPr>
        <w:ind w:left="660" w:right="460"/>
        <w:spacing w:after="0" w:line="302" w:lineRule="auto"/>
        <w:rPr>
          <w:rFonts w:ascii="Arial" w:cs="Arial" w:eastAsia="Arial" w:hAnsi="Arial"/>
          <w:sz w:val="19"/>
          <w:szCs w:val="19"/>
          <w:color w:val="auto"/>
        </w:rPr>
      </w:pPr>
      <w:r>
        <w:rPr>
          <w:rFonts w:ascii="Arial" w:cs="Arial" w:eastAsia="Arial" w:hAnsi="Arial"/>
          <w:sz w:val="22"/>
          <w:szCs w:val="22"/>
          <w:color w:val="auto"/>
        </w:rPr>
        <w:t>Union; or (b) any other foreign currency held by the Company and the Restricted Subsidiaries in the ordinary course of business;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77" w:right="239" w:bottom="1440" w:gutter="0" w:footer="0" w:header="0"/>
        </w:sectPr>
      </w:pPr>
    </w:p>
    <w:bookmarkStart w:id="54" w:name="page55"/>
    <w:bookmarkEnd w:id="54"/>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States or Canadian governments, a</w:t>
      </w:r>
    </w:p>
    <w:p>
      <w:pPr>
        <w:spacing w:after="0" w:line="92" w:lineRule="exact"/>
        <w:rPr>
          <w:rFonts w:ascii="Arial" w:cs="Arial" w:eastAsia="Arial" w:hAnsi="Arial"/>
          <w:sz w:val="19"/>
          <w:szCs w:val="19"/>
          <w:color w:val="auto"/>
        </w:rPr>
      </w:pPr>
    </w:p>
    <w:p>
      <w:pPr>
        <w:ind w:right="40"/>
        <w:spacing w:after="0" w:line="292" w:lineRule="auto"/>
        <w:rPr>
          <w:rFonts w:ascii="Arial" w:cs="Arial" w:eastAsia="Arial" w:hAnsi="Arial"/>
          <w:sz w:val="19"/>
          <w:szCs w:val="19"/>
          <w:color w:val="auto"/>
        </w:rPr>
      </w:pPr>
      <w:r>
        <w:rPr>
          <w:rFonts w:ascii="Arial" w:cs="Arial" w:eastAsia="Arial" w:hAnsi="Arial"/>
          <w:sz w:val="22"/>
          <w:szCs w:val="22"/>
          <w:color w:val="auto"/>
        </w:rPr>
        <w:t>member state of the European Union or, in each case, or any agency or instrumentality of the foregoing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full faith and credit obligation of such country or such member state is pledged in support thereof), having maturities of not more than two years from the date of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certificates of deposit, time deposits, eurodollar time deposits, overnight bank deposits or bankers’ acceptances</w:t>
      </w:r>
    </w:p>
    <w:p>
      <w:pPr>
        <w:spacing w:after="0" w:line="92" w:lineRule="exact"/>
        <w:rPr>
          <w:rFonts w:ascii="Arial" w:cs="Arial" w:eastAsia="Arial" w:hAnsi="Arial"/>
          <w:sz w:val="19"/>
          <w:szCs w:val="19"/>
          <w:color w:val="auto"/>
        </w:rPr>
      </w:pPr>
    </w:p>
    <w:p>
      <w:pPr>
        <w:ind w:right="200"/>
        <w:spacing w:after="0" w:line="285" w:lineRule="auto"/>
        <w:rPr>
          <w:rFonts w:ascii="Arial" w:cs="Arial" w:eastAsia="Arial" w:hAnsi="Arial"/>
          <w:sz w:val="19"/>
          <w:szCs w:val="19"/>
          <w:color w:val="auto"/>
        </w:rPr>
      </w:pPr>
      <w:r>
        <w:rPr>
          <w:rFonts w:ascii="Arial" w:cs="Arial" w:eastAsia="Arial" w:hAnsi="Arial"/>
          <w:sz w:val="22"/>
          <w:szCs w:val="22"/>
          <w:color w:val="auto"/>
        </w:rPr>
        <w:t>having maturities of not more than one year from the date of acquisition thereof issued by (a) any lender under the Credit Agreement, or (b) any lender or by any bank or trust company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$250.0 million;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40" w:firstLine="645"/>
        <w:spacing w:after="0" w:line="315" w:lineRule="auto"/>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(2), (3) and (7) entered into with any bank meeting the qualifications specified in clause (3) above;</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commercial paper rated at least (A) “A-1” or higher by S&amp;P or “P-1” or higher by Moody’s (or, if at the time,</w:t>
      </w:r>
    </w:p>
    <w:p>
      <w:pPr>
        <w:spacing w:after="0" w:line="92" w:lineRule="exact"/>
        <w:rPr>
          <w:rFonts w:ascii="Arial" w:cs="Arial" w:eastAsia="Arial" w:hAnsi="Arial"/>
          <w:sz w:val="19"/>
          <w:szCs w:val="19"/>
          <w:color w:val="auto"/>
        </w:rPr>
      </w:pPr>
    </w:p>
    <w:p>
      <w:pPr>
        <w:spacing w:after="0" w:line="301" w:lineRule="auto"/>
        <w:rPr>
          <w:rFonts w:ascii="Arial" w:cs="Arial" w:eastAsia="Arial" w:hAnsi="Arial"/>
          <w:sz w:val="19"/>
          <w:szCs w:val="19"/>
          <w:color w:val="auto"/>
        </w:rPr>
      </w:pPr>
      <w:r>
        <w:rPr>
          <w:rFonts w:ascii="Arial" w:cs="Arial" w:eastAsia="Arial" w:hAnsi="Arial"/>
          <w:sz w:val="21"/>
          <w:szCs w:val="21"/>
          <w:color w:val="auto"/>
        </w:rPr>
        <w:t>neither is issuing comparable 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the issuer of which has an equivalent rating in respect of its long-term debt;</w:t>
      </w:r>
    </w:p>
    <w:p>
      <w:pPr>
        <w:spacing w:after="0" w:line="397" w:lineRule="exact"/>
        <w:rPr>
          <w:rFonts w:ascii="Arial" w:cs="Arial" w:eastAsia="Arial" w:hAnsi="Arial"/>
          <w:sz w:val="19"/>
          <w:szCs w:val="19"/>
          <w:color w:val="auto"/>
        </w:rPr>
      </w:pPr>
    </w:p>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marketable short-term money market and similar securities having a rating of at least “P-2” or “A-2” from</w:t>
      </w:r>
    </w:p>
    <w:p>
      <w:pPr>
        <w:spacing w:after="0" w:line="92" w:lineRule="exact"/>
        <w:rPr>
          <w:rFonts w:ascii="Arial" w:cs="Arial" w:eastAsia="Arial" w:hAnsi="Arial"/>
          <w:sz w:val="19"/>
          <w:szCs w:val="19"/>
          <w:color w:val="auto"/>
        </w:rPr>
      </w:pPr>
    </w:p>
    <w:p>
      <w:pPr>
        <w:ind w:right="100"/>
        <w:spacing w:after="0" w:line="292" w:lineRule="auto"/>
        <w:rPr>
          <w:rFonts w:ascii="Arial" w:cs="Arial" w:eastAsia="Arial" w:hAnsi="Arial"/>
          <w:sz w:val="19"/>
          <w:szCs w:val="19"/>
          <w:color w:val="auto"/>
        </w:rPr>
      </w:pPr>
      <w:r>
        <w:rPr>
          <w:rFonts w:ascii="Arial" w:cs="Arial" w:eastAsia="Arial" w:hAnsi="Arial"/>
          <w:sz w:val="22"/>
          <w:szCs w:val="22"/>
          <w:color w:val="auto"/>
        </w:rPr>
        <w:t>either S&amp;P or Moody’s, respectively (or, if at the time, neither is issuing comparable ratings, then a comparable rating of another Nationally Recognized Statistical Rating Organization selected by the Company) and in each case maturing within 24 months after the date of creation or acquisition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state, commonwealth or territory of the United States of</w:t>
      </w:r>
    </w:p>
    <w:p>
      <w:pPr>
        <w:spacing w:after="0" w:line="92" w:lineRule="exact"/>
        <w:rPr>
          <w:rFonts w:ascii="Arial" w:cs="Arial" w:eastAsia="Arial" w:hAnsi="Arial"/>
          <w:sz w:val="19"/>
          <w:szCs w:val="19"/>
          <w:color w:val="auto"/>
        </w:rPr>
      </w:pPr>
    </w:p>
    <w:p>
      <w:pPr>
        <w:ind w:right="60"/>
        <w:spacing w:after="0" w:line="302" w:lineRule="auto"/>
        <w:rPr>
          <w:rFonts w:ascii="Arial" w:cs="Arial" w:eastAsia="Arial" w:hAnsi="Arial"/>
          <w:sz w:val="19"/>
          <w:szCs w:val="19"/>
          <w:color w:val="auto"/>
        </w:rPr>
      </w:pPr>
      <w:r>
        <w:rPr>
          <w:rFonts w:ascii="Arial" w:cs="Arial" w:eastAsia="Arial" w:hAnsi="Arial"/>
          <w:sz w:val="22"/>
          <w:szCs w:val="22"/>
          <w:color w:val="auto"/>
        </w:rPr>
        <w:t>America or any political subdivision, taxing authority or public instrumentality thereof, in each case, having one of the two highest ratings</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00"/>
          </w:cols>
          <w:pgMar w:left="900" w:top="1077" w:right="299" w:bottom="1440" w:gutter="0" w:footer="0" w:header="0"/>
        </w:sectPr>
      </w:pPr>
    </w:p>
    <w:bookmarkStart w:id="55" w:name="page56"/>
    <w:bookmarkEnd w:id="55"/>
    <w:p>
      <w:pPr>
        <w:jc w:val="both"/>
        <w:spacing w:after="0" w:line="292" w:lineRule="auto"/>
        <w:rPr>
          <w:sz w:val="20"/>
          <w:szCs w:val="20"/>
          <w:color w:val="auto"/>
        </w:rPr>
      </w:pPr>
      <w:r>
        <w:rPr>
          <w:rFonts w:ascii="Arial" w:cs="Arial" w:eastAsia="Arial" w:hAnsi="Arial"/>
          <w:sz w:val="22"/>
          <w:szCs w:val="22"/>
          <w:color w:val="auto"/>
        </w:rPr>
        <w:t>categories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400" w:lineRule="exact"/>
        <w:rPr>
          <w:sz w:val="20"/>
          <w:szCs w:val="20"/>
          <w:color w:val="auto"/>
        </w:rPr>
      </w:pPr>
    </w:p>
    <w:p>
      <w:pPr>
        <w:ind w:left="1080" w:hanging="435"/>
        <w:spacing w:after="0"/>
        <w:tabs>
          <w:tab w:leader="none" w:pos="10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foreign government or any political subdivision, taxing</w:t>
      </w:r>
    </w:p>
    <w:p>
      <w:pPr>
        <w:spacing w:after="0" w:line="92"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2"/>
          <w:szCs w:val="22"/>
          <w:color w:val="auto"/>
        </w:rPr>
        <w:t>authority or public instrumentality thereof, in each case, having one of the two highest ratings categories obtainable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rated within the three highest ratings categories by S&amp;P or Moody’s (or, if at the time, neither is issuing comparable ratings, then a comparable rating of another Nationally Recognized Statistical Rating Organization selected by the Company);</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with respect to any Foreign Subsidiary: (i) obligations of the national government of the country in which</w:t>
      </w:r>
    </w:p>
    <w:p>
      <w:pPr>
        <w:spacing w:after="0" w:line="92" w:lineRule="exact"/>
        <w:rPr>
          <w:rFonts w:ascii="Arial" w:cs="Arial" w:eastAsia="Arial" w:hAnsi="Arial"/>
          <w:sz w:val="19"/>
          <w:szCs w:val="19"/>
          <w:color w:val="auto"/>
        </w:rPr>
      </w:pPr>
    </w:p>
    <w:p>
      <w:pPr>
        <w:ind w:right="40"/>
        <w:spacing w:after="0" w:line="334" w:lineRule="auto"/>
        <w:rPr>
          <w:rFonts w:ascii="Arial" w:cs="Arial" w:eastAsia="Arial" w:hAnsi="Arial"/>
          <w:sz w:val="19"/>
          <w:szCs w:val="19"/>
          <w:color w:val="auto"/>
        </w:rPr>
      </w:pPr>
      <w:r>
        <w:rPr>
          <w:rFonts w:ascii="Arial" w:cs="Arial" w:eastAsia="Arial" w:hAnsi="Arial"/>
          <w:sz w:val="19"/>
          <w:szCs w:val="19"/>
          <w:color w:val="auto"/>
        </w:rPr>
        <w:t>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w:t>
      </w:r>
    </w:p>
    <w:p>
      <w:pPr>
        <w:spacing w:after="0" w:line="369" w:lineRule="exact"/>
        <w:rPr>
          <w:rFonts w:ascii="Arial" w:cs="Arial" w:eastAsia="Arial" w:hAnsi="Arial"/>
          <w:sz w:val="19"/>
          <w:szCs w:val="19"/>
          <w:color w:val="auto"/>
        </w:rPr>
      </w:pPr>
    </w:p>
    <w:p>
      <w:pPr>
        <w:ind w:left="1180" w:hanging="535"/>
        <w:spacing w:after="0"/>
        <w:tabs>
          <w:tab w:leader="none" w:pos="11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(i) “A” or higher from S&amp;P or “A-2” or</w:t>
      </w:r>
    </w:p>
    <w:p>
      <w:pPr>
        <w:spacing w:after="0" w:line="92" w:lineRule="exact"/>
        <w:rPr>
          <w:rFonts w:ascii="Arial" w:cs="Arial" w:eastAsia="Arial" w:hAnsi="Arial"/>
          <w:sz w:val="19"/>
          <w:szCs w:val="19"/>
          <w:color w:val="auto"/>
        </w:rPr>
      </w:pPr>
    </w:p>
    <w:p>
      <w:pPr>
        <w:ind w:right="100"/>
        <w:spacing w:after="0" w:line="288" w:lineRule="auto"/>
        <w:rPr>
          <w:rFonts w:ascii="Arial" w:cs="Arial" w:eastAsia="Arial" w:hAnsi="Arial"/>
          <w:sz w:val="19"/>
          <w:szCs w:val="19"/>
          <w:color w:val="auto"/>
        </w:rPr>
      </w:pPr>
      <w:r>
        <w:rPr>
          <w:rFonts w:ascii="Arial" w:cs="Arial" w:eastAsia="Arial" w:hAnsi="Arial"/>
          <w:sz w:val="22"/>
          <w:szCs w:val="22"/>
          <w:color w:val="auto"/>
        </w:rPr>
        <w:t>higher from Moody’s (or, if at the time, neither is issuing comparable ratings, then a comparable rating of another Nationally Recognized Statistical Rating Organization selected by the Company) with maturities of 24 months or less from the date of acquisition, or (ii) “A-” or higher from S&amp;P or “A-3” or higher from Moody’s (or, if at the time, neither is issuing comparable ratings, then a comparable</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0"/>
          </w:cols>
          <w:pgMar w:left="900" w:top="1077" w:right="259" w:bottom="1440" w:gutter="0" w:footer="0" w:header="0"/>
        </w:sectPr>
      </w:pPr>
    </w:p>
    <w:bookmarkStart w:id="56" w:name="page57"/>
    <w:bookmarkEnd w:id="56"/>
    <w:p>
      <w:pPr>
        <w:ind w:left="660" w:right="380"/>
        <w:spacing w:after="0" w:line="302" w:lineRule="auto"/>
        <w:rPr>
          <w:sz w:val="20"/>
          <w:szCs w:val="20"/>
          <w:color w:val="auto"/>
        </w:rPr>
      </w:pPr>
      <w:r>
        <w:rPr>
          <w:rFonts w:ascii="Arial" w:cs="Arial" w:eastAsia="Arial" w:hAnsi="Arial"/>
          <w:sz w:val="22"/>
          <w:szCs w:val="22"/>
          <w:color w:val="auto"/>
        </w:rPr>
        <w:t>rating of another Nationally Recognized Statistical Rating Organization selected by the Company) with maturities of 12 months or less from the date of acquisition;</w:t>
      </w:r>
    </w:p>
    <w:p>
      <w:pPr>
        <w:spacing w:after="0" w:line="390" w:lineRule="exact"/>
        <w:rPr>
          <w:sz w:val="20"/>
          <w:szCs w:val="20"/>
          <w:color w:val="auto"/>
        </w:rPr>
      </w:pPr>
    </w:p>
    <w:p>
      <w:pPr>
        <w:ind w:left="660" w:right="40" w:firstLine="645"/>
        <w:spacing w:after="0" w:line="402" w:lineRule="auto"/>
        <w:tabs>
          <w:tab w:leader="none" w:pos="1848" w:val="left"/>
        </w:tabs>
        <w:numPr>
          <w:ilvl w:val="0"/>
          <w:numId w:val="66"/>
        </w:numPr>
        <w:rPr>
          <w:rFonts w:ascii="Arial" w:cs="Arial" w:eastAsia="Arial" w:hAnsi="Arial"/>
          <w:sz w:val="19"/>
          <w:szCs w:val="19"/>
          <w:color w:val="auto"/>
        </w:rPr>
      </w:pPr>
      <w:r>
        <w:rPr>
          <w:rFonts w:ascii="Arial" w:cs="Arial" w:eastAsia="Arial" w:hAnsi="Arial"/>
          <w:sz w:val="19"/>
          <w:szCs w:val="19"/>
          <w:color w:val="auto"/>
        </w:rPr>
        <w:t>bills of exchange issued in the United States, Canada, a member state of the European Union or Japan eligible for rediscount at the relevant central bank and accepted by a bank (or any dematerialized equivalent);</w:t>
      </w:r>
    </w:p>
    <w:p>
      <w:pPr>
        <w:spacing w:after="0" w:line="307" w:lineRule="exact"/>
        <w:rPr>
          <w:rFonts w:ascii="Arial" w:cs="Arial" w:eastAsia="Arial" w:hAnsi="Arial"/>
          <w:sz w:val="19"/>
          <w:szCs w:val="19"/>
          <w:color w:val="auto"/>
        </w:rPr>
      </w:pPr>
    </w:p>
    <w:p>
      <w:pPr>
        <w:ind w:left="660" w:right="100" w:firstLine="645"/>
        <w:spacing w:after="0" w:line="315" w:lineRule="auto"/>
        <w:tabs>
          <w:tab w:leader="none" w:pos="1848" w:val="left"/>
        </w:tabs>
        <w:numPr>
          <w:ilvl w:val="0"/>
          <w:numId w:val="66"/>
        </w:numPr>
        <w:rPr>
          <w:rFonts w:ascii="Arial" w:cs="Arial" w:eastAsia="Arial" w:hAnsi="Arial"/>
          <w:sz w:val="22"/>
          <w:szCs w:val="22"/>
          <w:color w:val="auto"/>
        </w:rPr>
      </w:pPr>
      <w:r>
        <w:rPr>
          <w:rFonts w:ascii="Arial" w:cs="Arial" w:eastAsia="Arial" w:hAnsi="Arial"/>
          <w:sz w:val="22"/>
          <w:szCs w:val="22"/>
          <w:color w:val="auto"/>
        </w:rPr>
        <w:t>Cash Equivalents or instruments similar to those referred to in clauses (1) through (12) above denominated in Dollars or any Alternative Currency;</w:t>
      </w:r>
    </w:p>
    <w:p>
      <w:pPr>
        <w:spacing w:after="0" w:line="375" w:lineRule="exact"/>
        <w:rPr>
          <w:rFonts w:ascii="Arial" w:cs="Arial" w:eastAsia="Arial" w:hAnsi="Arial"/>
          <w:sz w:val="22"/>
          <w:szCs w:val="22"/>
          <w:color w:val="auto"/>
        </w:rPr>
      </w:pPr>
    </w:p>
    <w:p>
      <w:pPr>
        <w:ind w:left="660" w:firstLine="645"/>
        <w:spacing w:after="0" w:line="402" w:lineRule="auto"/>
        <w:tabs>
          <w:tab w:leader="none" w:pos="1848"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interests in any investment company, money market, enhanced high yield fund or other investment fund which invests 90% or more of its assets in instruments of the types specified in clauses (1) through (13) above; and</w:t>
      </w:r>
    </w:p>
    <w:p>
      <w:pPr>
        <w:spacing w:after="0" w:line="307" w:lineRule="exact"/>
        <w:rPr>
          <w:rFonts w:ascii="Arial" w:cs="Arial" w:eastAsia="Arial" w:hAnsi="Arial"/>
          <w:sz w:val="19"/>
          <w:szCs w:val="19"/>
          <w:color w:val="auto"/>
        </w:rPr>
      </w:pPr>
    </w:p>
    <w:p>
      <w:pPr>
        <w:ind w:left="660" w:right="140" w:firstLine="645"/>
        <w:spacing w:after="0" w:line="315" w:lineRule="auto"/>
        <w:tabs>
          <w:tab w:leader="none" w:pos="1848"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purposes of clause (2) of the definition of “Asset Disposition,” any marketable securities portfolio owned by the Company and its Subsidiaries on the Issue Date.</w:t>
      </w:r>
    </w:p>
    <w:p>
      <w:pPr>
        <w:spacing w:after="0" w:line="376" w:lineRule="exact"/>
        <w:rPr>
          <w:sz w:val="20"/>
          <w:szCs w:val="20"/>
          <w:color w:val="auto"/>
        </w:rPr>
      </w:pPr>
    </w:p>
    <w:p>
      <w:pPr>
        <w:ind w:left="660" w:right="60" w:firstLine="648"/>
        <w:spacing w:after="0" w:line="331" w:lineRule="auto"/>
        <w:rPr>
          <w:sz w:val="20"/>
          <w:szCs w:val="20"/>
          <w:color w:val="auto"/>
        </w:rPr>
      </w:pPr>
      <w:r>
        <w:rPr>
          <w:rFonts w:ascii="Arial" w:cs="Arial" w:eastAsia="Arial" w:hAnsi="Arial"/>
          <w:sz w:val="19"/>
          <w:szCs w:val="19"/>
          <w:color w:val="auto"/>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in this definition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definition. Notwithstanding the foregoing, Cash Equivalents shall include amounts denominated in currencies other than those set forth in clause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(15) in this definition) will be deemed to be Cash Equivalents for all purposed under this Indenture regardless of the treatment of such items under GAAP.</w:t>
      </w:r>
    </w:p>
    <w:p>
      <w:pPr>
        <w:spacing w:after="0" w:line="382" w:lineRule="exact"/>
        <w:rPr>
          <w:sz w:val="20"/>
          <w:szCs w:val="20"/>
          <w:color w:val="auto"/>
        </w:rPr>
      </w:pPr>
    </w:p>
    <w:p>
      <w:pPr>
        <w:ind w:right="10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Services</w:t>
      </w:r>
      <w:r>
        <w:rPr>
          <w:rFonts w:ascii="Arial" w:cs="Arial" w:eastAsia="Arial" w:hAnsi="Arial"/>
          <w:sz w:val="21"/>
          <w:szCs w:val="21"/>
          <w:color w:val="auto"/>
        </w:rPr>
        <w:t>” means any of the following to the extent not constituting a line of credit (other than an overnight draft facility that is not in default): automated clearing house transfers of funds, treasury, depository, credit or debit card, purchasing card, and/or cash management services, including controlled disbursement services, overdraft facilities, foreign exchange facilities, deposit and other accounts and merchant services.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1077" w:right="259" w:bottom="1440" w:gutter="0" w:footer="0" w:header="0"/>
        </w:sectPr>
      </w:pPr>
    </w:p>
    <w:bookmarkStart w:id="57" w:name="page58"/>
    <w:bookmarkEnd w:id="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Company becomes aware of (by way of a report or any other filing pursuant to Section 13(d) of the</w:t>
      </w:r>
    </w:p>
    <w:p>
      <w:pPr>
        <w:spacing w:after="0" w:line="69" w:lineRule="exact"/>
        <w:rPr>
          <w:rFonts w:ascii="Arial" w:cs="Arial" w:eastAsia="Arial" w:hAnsi="Arial"/>
          <w:sz w:val="21"/>
          <w:szCs w:val="21"/>
          <w:color w:val="auto"/>
        </w:rPr>
      </w:pPr>
    </w:p>
    <w:p>
      <w:pPr>
        <w:ind w:left="660"/>
        <w:spacing w:after="0" w:line="300" w:lineRule="auto"/>
        <w:rPr>
          <w:rFonts w:ascii="Arial" w:cs="Arial" w:eastAsia="Arial" w:hAnsi="Arial"/>
          <w:sz w:val="21"/>
          <w:szCs w:val="21"/>
          <w:color w:val="auto"/>
        </w:rPr>
      </w:pPr>
      <w:r>
        <w:rPr>
          <w:rFonts w:ascii="Arial" w:cs="Arial" w:eastAsia="Arial" w:hAnsi="Arial"/>
          <w:sz w:val="21"/>
          <w:szCs w:val="21"/>
          <w:color w:val="auto"/>
        </w:rPr>
        <w:t>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 other than in connection with any transaction or series of transactions in which the Company shall become the Wholly Owned Subsidiary of a Parent Entity of which no person or group, as noted above, holds more than 50% of the total voting power (other than a Permitted Holder); or</w:t>
      </w:r>
    </w:p>
    <w:p>
      <w:pPr>
        <w:spacing w:after="0" w:line="399" w:lineRule="exact"/>
        <w:rPr>
          <w:rFonts w:ascii="Arial" w:cs="Arial" w:eastAsia="Arial" w:hAnsi="Arial"/>
          <w:sz w:val="21"/>
          <w:szCs w:val="21"/>
          <w:color w:val="auto"/>
        </w:rPr>
      </w:pPr>
    </w:p>
    <w:p>
      <w:pPr>
        <w:ind w:left="1740" w:hanging="435"/>
        <w:spacing w:after="0"/>
        <w:tabs>
          <w:tab w:leader="none" w:pos="17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sale, lease, transfer, conveyance or other disposition (other than by way of merger, consolidation or other</w:t>
      </w:r>
    </w:p>
    <w:p>
      <w:pPr>
        <w:spacing w:after="0" w:line="92" w:lineRule="exact"/>
        <w:rPr>
          <w:rFonts w:ascii="Arial" w:cs="Arial" w:eastAsia="Arial" w:hAnsi="Arial"/>
          <w:sz w:val="19"/>
          <w:szCs w:val="19"/>
          <w:color w:val="auto"/>
        </w:rPr>
      </w:pPr>
    </w:p>
    <w:p>
      <w:pPr>
        <w:jc w:val="both"/>
        <w:ind w:left="660" w:right="360"/>
        <w:spacing w:after="0" w:line="292" w:lineRule="auto"/>
        <w:rPr>
          <w:rFonts w:ascii="Arial" w:cs="Arial" w:eastAsia="Arial" w:hAnsi="Arial"/>
          <w:sz w:val="19"/>
          <w:szCs w:val="19"/>
          <w:color w:val="auto"/>
        </w:rPr>
      </w:pPr>
      <w:r>
        <w:rPr>
          <w:rFonts w:ascii="Arial" w:cs="Arial" w:eastAsia="Arial" w:hAnsi="Arial"/>
          <w:sz w:val="22"/>
          <w:szCs w:val="22"/>
          <w:color w:val="auto"/>
        </w:rPr>
        <w:t>business combination transaction), in one or a series of related transactions, of all or substantially all of the assets of the Company and its Restricted Subsidiaries taken as a whole to a Person, other than a Restricted Subsidiary or one or more Permitted Holders.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Repurchase Event</w:t>
      </w:r>
      <w:r>
        <w:rPr>
          <w:rFonts w:ascii="Arial" w:cs="Arial" w:eastAsia="Arial" w:hAnsi="Arial"/>
          <w:sz w:val="21"/>
          <w:szCs w:val="21"/>
          <w:color w:val="auto"/>
        </w:rPr>
        <w:t>” means the occurrence of both a Change of Control and a Ratings Event.</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ascribed thereto in the recitals to this Indenture.</w:t>
      </w:r>
    </w:p>
    <w:p>
      <w:pPr>
        <w:spacing w:after="0" w:line="200" w:lineRule="exact"/>
        <w:rPr>
          <w:sz w:val="20"/>
          <w:szCs w:val="20"/>
          <w:color w:val="auto"/>
        </w:rPr>
      </w:pPr>
    </w:p>
    <w:p>
      <w:pPr>
        <w:spacing w:after="0" w:line="276"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200" w:lineRule="exact"/>
        <w:rPr>
          <w:sz w:val="20"/>
          <w:szCs w:val="20"/>
          <w:color w:val="auto"/>
        </w:rPr>
      </w:pPr>
    </w:p>
    <w:p>
      <w:pPr>
        <w:spacing w:after="0" w:line="212"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period, the Consolidated Net Income of such Person for such period:</w:t>
      </w:r>
    </w:p>
    <w:p>
      <w:pPr>
        <w:spacing w:after="0" w:line="39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increased (without duplication) by: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077" w:right="259" w:bottom="1440" w:gutter="0" w:footer="0" w:header="0"/>
        </w:sectPr>
      </w:pPr>
    </w:p>
    <w:bookmarkStart w:id="58" w:name="page59"/>
    <w:bookmarkEnd w:id="58"/>
    <w:p>
      <w:pPr>
        <w:ind w:left="1180" w:hanging="427"/>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provision for taxes based on income or profits or capital, including, without limitation, federal, state,</w:t>
      </w:r>
    </w:p>
    <w:p>
      <w:pPr>
        <w:spacing w:after="0" w:line="92" w:lineRule="exact"/>
        <w:rPr>
          <w:rFonts w:ascii="Arial" w:cs="Arial" w:eastAsia="Arial" w:hAnsi="Arial"/>
          <w:sz w:val="19"/>
          <w:szCs w:val="19"/>
          <w:color w:val="auto"/>
        </w:rPr>
      </w:pPr>
    </w:p>
    <w:p>
      <w:pPr>
        <w:ind w:left="100" w:right="160"/>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provincial, local, foreign, unitary, excise, property, franchise and similar taxes and foreign withholding and similar taxes of such Person paid or accrued during such period, including any penalties and interest relating to any tax examinations, deducted (and not added back) in computing Consolidated Net Income; </w:t>
      </w:r>
      <w:r>
        <w:rPr>
          <w:rFonts w:ascii="Arial" w:cs="Arial" w:eastAsia="Arial" w:hAnsi="Arial"/>
          <w:sz w:val="19"/>
          <w:szCs w:val="19"/>
          <w:i w:val="1"/>
          <w:iCs w:val="1"/>
          <w:color w:val="auto"/>
        </w:rPr>
        <w:t>plus</w:t>
      </w:r>
    </w:p>
    <w:p>
      <w:pPr>
        <w:spacing w:after="0" w:line="348" w:lineRule="exact"/>
        <w:rPr>
          <w:rFonts w:ascii="Arial" w:cs="Arial" w:eastAsia="Arial" w:hAnsi="Arial"/>
          <w:sz w:val="19"/>
          <w:szCs w:val="19"/>
          <w:color w:val="auto"/>
        </w:rPr>
      </w:pPr>
    </w:p>
    <w:p>
      <w:pPr>
        <w:ind w:left="1180" w:hanging="427"/>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Fixed Charges and any Special Purpose Financing Fees of such Person for such period (including (x)</w:t>
      </w:r>
    </w:p>
    <w:p>
      <w:pPr>
        <w:spacing w:after="0" w:line="92" w:lineRule="exact"/>
        <w:rPr>
          <w:rFonts w:ascii="Arial" w:cs="Arial" w:eastAsia="Arial" w:hAnsi="Arial"/>
          <w:sz w:val="19"/>
          <w:szCs w:val="19"/>
          <w:color w:val="auto"/>
        </w:rPr>
      </w:pPr>
    </w:p>
    <w:p>
      <w:pPr>
        <w:ind w:left="100" w:right="10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net losses on any Hedging Obligations or other derivative instruments entered into for the purpose of hedging interest rate, currency or commodities risk, (y) bank fees and (z) costs of surety bonds in connection with financing activities, plus amounts excluded from the definition of “Consolidated Interest Expense” pursuant to clauses (s) through (z) in clause (1) thereof), in each case to the extent the same were deducted (and not added back) in calculating such Consolidated Net Income;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180" w:hanging="427"/>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Consolidated Depreciation and Amortization Expense of such Person (excluding Consolidated Vehicle</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Depreciation) for such period to the extent the same were deducted (and not added back) in computing Consolidated Net Income;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1180" w:hanging="427"/>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expenses or charges (other than depreciation or amortization expense) related to any actual,</w:t>
      </w:r>
    </w:p>
    <w:p>
      <w:pPr>
        <w:spacing w:after="0" w:line="92" w:lineRule="exact"/>
        <w:rPr>
          <w:rFonts w:ascii="Arial" w:cs="Arial" w:eastAsia="Arial" w:hAnsi="Arial"/>
          <w:sz w:val="19"/>
          <w:szCs w:val="19"/>
          <w:color w:val="auto"/>
        </w:rPr>
      </w:pPr>
    </w:p>
    <w:p>
      <w:pPr>
        <w:ind w:left="100" w:right="2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proposed or contemplated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Credit Agreement, any other Credit Facilities and any Special Purpose Financing Fees, and (ii) any amendment, waiver or other modification of the Notes, the Credit Agreement, receivables facilities, any other Credit Facilities, any Special Purpose Financing Fees, any other Indebtedness permitted to be Incurred under this Indenture or any Equity Offering, in each case, whether or not consummated, to the extent the same were deducted (and not added back) in computing Consolidated Net Income; </w:t>
      </w:r>
      <w:r>
        <w:rPr>
          <w:rFonts w:ascii="Arial" w:cs="Arial" w:eastAsia="Arial" w:hAnsi="Arial"/>
          <w:sz w:val="21"/>
          <w:szCs w:val="21"/>
          <w:i w:val="1"/>
          <w:iCs w:val="1"/>
          <w:color w:val="auto"/>
        </w:rPr>
        <w:t>plus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180" w:hanging="427"/>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 the amount of any restructuring charge or reserve, integration cost or other business optimization</w:t>
      </w:r>
    </w:p>
    <w:p>
      <w:pPr>
        <w:spacing w:after="0" w:line="92" w:lineRule="exact"/>
        <w:rPr>
          <w:rFonts w:ascii="Arial" w:cs="Arial" w:eastAsia="Arial" w:hAnsi="Arial"/>
          <w:sz w:val="19"/>
          <w:szCs w:val="19"/>
          <w:color w:val="auto"/>
        </w:rPr>
      </w:pPr>
    </w:p>
    <w:p>
      <w:pPr>
        <w:ind w:left="100" w:right="20"/>
        <w:spacing w:after="0" w:line="292" w:lineRule="auto"/>
        <w:rPr>
          <w:rFonts w:ascii="Arial" w:cs="Arial" w:eastAsia="Arial" w:hAnsi="Arial"/>
          <w:sz w:val="19"/>
          <w:szCs w:val="19"/>
          <w:color w:val="auto"/>
        </w:rPr>
      </w:pPr>
      <w:r>
        <w:rPr>
          <w:rFonts w:ascii="Arial" w:cs="Arial" w:eastAsia="Arial" w:hAnsi="Arial"/>
          <w:sz w:val="22"/>
          <w:szCs w:val="22"/>
          <w:color w:val="auto"/>
        </w:rPr>
        <w:t>expense or cost (including charges directly related to the implementation of cost-savings initiatives) that is deducted (and not added back) in such period in computing Consolidated Net Income, including any one-time costs incurred in connection with acquisitions or divestitures after the</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60"/>
          </w:cols>
          <w:pgMar w:left="1440" w:top="1077" w:right="299" w:bottom="1440" w:gutter="0" w:footer="0" w:header="0"/>
        </w:sectPr>
      </w:pPr>
    </w:p>
    <w:bookmarkStart w:id="59" w:name="page60"/>
    <w:bookmarkEnd w:id="59"/>
    <w:p>
      <w:pPr>
        <w:ind w:left="100" w:right="160"/>
        <w:spacing w:after="0" w:line="288" w:lineRule="auto"/>
        <w:rPr>
          <w:sz w:val="20"/>
          <w:szCs w:val="20"/>
          <w:color w:val="auto"/>
        </w:rPr>
      </w:pPr>
      <w:r>
        <w:rPr>
          <w:rFonts w:ascii="Arial" w:cs="Arial" w:eastAsia="Arial" w:hAnsi="Arial"/>
          <w:sz w:val="22"/>
          <w:szCs w:val="22"/>
          <w:color w:val="auto"/>
        </w:rPr>
        <w:t xml:space="preserve">Issue Date, including, without limitation, those related to any severance, retention, signing bonuses, relocation, recruiting and other employee related costs, future lease commitments, and costs related to the opening and closure and/or consolidation of facilities and to exiting lines of business; and (ii) fees, costs and expenses associated with acquisition related litigation and settlements thereof;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6" w:lineRule="exact"/>
        <w:rPr>
          <w:sz w:val="20"/>
          <w:szCs w:val="20"/>
          <w:color w:val="auto"/>
        </w:rPr>
      </w:pPr>
    </w:p>
    <w:p>
      <w:pPr>
        <w:ind w:left="1140" w:hanging="387"/>
        <w:spacing w:after="0"/>
        <w:tabs>
          <w:tab w:leader="none" w:pos="11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other non-cash charges, write-downs, expenses, losses or items reducing Consolidated Net Income</w:t>
      </w:r>
    </w:p>
    <w:p>
      <w:pPr>
        <w:spacing w:after="0" w:line="92" w:lineRule="exact"/>
        <w:rPr>
          <w:rFonts w:ascii="Arial" w:cs="Arial" w:eastAsia="Arial" w:hAnsi="Arial"/>
          <w:sz w:val="19"/>
          <w:szCs w:val="19"/>
          <w:color w:val="auto"/>
        </w:rPr>
      </w:pPr>
    </w:p>
    <w:p>
      <w:pPr>
        <w:ind w:left="10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for such period including any impairment charges or the impact of purchase accounting (excluding any such non-cash charge, write-down or item to the extent it represents an accrual or reserve for a cash expenditure for a future period) or other items classified by the Company as special items less other non-cash items of income increasing Consolidated Net Income (excluding any such non-cash item of income to the extent it represents a receipt of cash in any future period);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00" w:right="340" w:firstLine="653"/>
        <w:spacing w:after="0" w:line="315" w:lineRule="auto"/>
        <w:tabs>
          <w:tab w:leader="none" w:pos="1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amount of any minority interest expense consisting of Subsidiary income attributable to minority equity interests of third parties in any non-wholly owned Subsidiary;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ind w:left="1400" w:hanging="647"/>
        <w:spacing w:after="0"/>
        <w:tabs>
          <w:tab w:leader="none" w:pos="1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amount of “run-rate” cost savings, operating expense reductions, other operating improvements</w:t>
      </w:r>
    </w:p>
    <w:p>
      <w:pPr>
        <w:spacing w:after="0" w:line="92" w:lineRule="exact"/>
        <w:rPr>
          <w:rFonts w:ascii="Arial" w:cs="Arial" w:eastAsia="Arial" w:hAnsi="Arial"/>
          <w:sz w:val="19"/>
          <w:szCs w:val="19"/>
          <w:color w:val="auto"/>
        </w:rPr>
      </w:pPr>
    </w:p>
    <w:p>
      <w:pPr>
        <w:ind w:left="100" w:right="8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and initiatives and synergies projected by the Company in good faith to result from actions either taken or initiated prior to or during such period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prior to or during such period from such 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cost savings added back shall not exceed 20% of the Consolidated EBITDA in such period;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cost savings are reasonably identifiable, reasonably attributable to the actions specified and reasonably anticipated to result from such actions; </w:t>
      </w:r>
      <w:r>
        <w:rPr>
          <w:rFonts w:ascii="Arial" w:cs="Arial" w:eastAsia="Arial" w:hAnsi="Arial"/>
          <w:sz w:val="21"/>
          <w:szCs w:val="21"/>
          <w:i w:val="1"/>
          <w:iCs w:val="1"/>
          <w:color w:val="auto"/>
        </w:rPr>
        <w:t>plus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140" w:hanging="387"/>
        <w:spacing w:after="0"/>
        <w:tabs>
          <w:tab w:leader="none" w:pos="11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costs or expense incurred by any Parent Entity, the Company or a Restricted Subsidiary pursuant to</w:t>
      </w:r>
    </w:p>
    <w:p>
      <w:pPr>
        <w:spacing w:after="0" w:line="92" w:lineRule="exact"/>
        <w:rPr>
          <w:rFonts w:ascii="Arial" w:cs="Arial" w:eastAsia="Arial" w:hAnsi="Arial"/>
          <w:sz w:val="19"/>
          <w:szCs w:val="19"/>
          <w:color w:val="auto"/>
        </w:rPr>
      </w:pPr>
    </w:p>
    <w:p>
      <w:pPr>
        <w:ind w:left="100" w:right="200"/>
        <w:spacing w:after="0" w:line="346" w:lineRule="auto"/>
        <w:rPr>
          <w:rFonts w:ascii="Arial" w:cs="Arial" w:eastAsia="Arial" w:hAnsi="Arial"/>
          <w:sz w:val="19"/>
          <w:szCs w:val="19"/>
          <w:color w:val="auto"/>
        </w:rPr>
      </w:pPr>
      <w:r>
        <w:rPr>
          <w:rFonts w:ascii="Arial" w:cs="Arial" w:eastAsia="Arial" w:hAnsi="Arial"/>
          <w:sz w:val="19"/>
          <w:szCs w:val="19"/>
          <w:color w:val="auto"/>
        </w:rPr>
        <w:t>any management equity plan or stock option plan or any other management or employee benefit plan or agreement or any stock subscription or shareholder agreement, to the extent that such cost or expenses are funded with cash proceeds contributed to the capital of any Parent Entity or the Company or net cash proceeds of an issuance of Capital Stock (other than Disqualified Stock) of any Parent Entity or the Company solely to the extent</w:t>
      </w:r>
    </w:p>
    <w:p>
      <w:pPr>
        <w:spacing w:after="0" w:line="3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20"/>
          </w:cols>
          <w:pgMar w:left="1440" w:top="1077"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22"/>
          <w:szCs w:val="22"/>
          <w:color w:val="auto"/>
        </w:rPr>
        <w:t xml:space="preserve">that such net cash proceeds are excluded from the calculation set forth in </w:t>
      </w:r>
      <w:r>
        <w:rPr>
          <w:rFonts w:ascii="Arial" w:cs="Arial" w:eastAsia="Arial" w:hAnsi="Arial"/>
          <w:sz w:val="22"/>
          <w:szCs w:val="22"/>
          <w:u w:val="single" w:color="auto"/>
          <w:color w:val="auto"/>
        </w:rPr>
        <w:t>Section 3.3(a)(iii)</w:t>
      </w:r>
      <w:r>
        <w:rPr>
          <w:rFonts w:ascii="Arial" w:cs="Arial" w:eastAsia="Arial" w:hAnsi="Arial"/>
          <w:sz w:val="22"/>
          <w:szCs w:val="22"/>
          <w:color w:val="auto"/>
        </w:rPr>
        <w:t xml:space="preserve"> hereof;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76" w:lineRule="exact"/>
        <w:rPr>
          <w:sz w:val="20"/>
          <w:szCs w:val="20"/>
          <w:color w:val="auto"/>
        </w:rPr>
      </w:pPr>
    </w:p>
    <w:p>
      <w:pPr>
        <w:ind w:left="1680" w:hanging="387"/>
        <w:spacing w:after="0"/>
        <w:tabs>
          <w:tab w:leader="none" w:pos="16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rent expense as determined in accordance with GAAP not actually paid in cash during such period (net</w:t>
      </w:r>
    </w:p>
    <w:p>
      <w:pPr>
        <w:spacing w:after="0" w:line="92" w:lineRule="exact"/>
        <w:rPr>
          <w:rFonts w:ascii="Arial" w:cs="Arial" w:eastAsia="Arial" w:hAnsi="Arial"/>
          <w:sz w:val="19"/>
          <w:szCs w:val="19"/>
          <w:color w:val="auto"/>
        </w:rPr>
      </w:pPr>
    </w:p>
    <w:p>
      <w:pPr>
        <w:ind w:left="640" w:right="58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rent expense paid in cash during such period over and above rent expense as determined in accordance with GAAP);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1720" w:hanging="427"/>
        <w:spacing w:after="0"/>
        <w:tabs>
          <w:tab w:leader="none" w:pos="17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cash receipts (or any netting arrangements resulting in reduced cash expenditures) not representing</w:t>
      </w:r>
    </w:p>
    <w:p>
      <w:pPr>
        <w:spacing w:after="0" w:line="92" w:lineRule="exact"/>
        <w:rPr>
          <w:rFonts w:ascii="Arial" w:cs="Arial" w:eastAsia="Arial" w:hAnsi="Arial"/>
          <w:sz w:val="19"/>
          <w:szCs w:val="19"/>
          <w:color w:val="auto"/>
        </w:rPr>
      </w:pPr>
    </w:p>
    <w:p>
      <w:pPr>
        <w:ind w:left="640" w:right="3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Consolidated EBITDA or 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40" w:firstLine="653"/>
        <w:spacing w:after="0" w:line="315" w:lineRule="auto"/>
        <w:tabs>
          <w:tab w:leader="none" w:pos="1672"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net loss included in the Consolidated Net Income attributable to non-controlling interests pursuant to the application of Accounting Standards Codification Topic 810-10-45 (“</w:t>
      </w:r>
      <w:r>
        <w:rPr>
          <w:rFonts w:ascii="Arial" w:cs="Arial" w:eastAsia="Arial" w:hAnsi="Arial"/>
          <w:sz w:val="22"/>
          <w:szCs w:val="22"/>
          <w:i w:val="1"/>
          <w:iCs w:val="1"/>
          <w:color w:val="auto"/>
        </w:rPr>
        <w:t>Topic 810</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ind w:left="640" w:firstLine="653"/>
        <w:spacing w:after="0" w:line="341" w:lineRule="auto"/>
        <w:tabs>
          <w:tab w:leader="none" w:pos="1780"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realized foreign exchange losses resulting from the impact of foreign currency changes on the valuation of assets or liabilities on the balance sheet of the Company and its Restricted Subsidiaries; </w:t>
      </w:r>
      <w:r>
        <w:rPr>
          <w:rFonts w:ascii="Arial" w:cs="Arial" w:eastAsia="Arial" w:hAnsi="Arial"/>
          <w:sz w:val="21"/>
          <w:szCs w:val="21"/>
          <w:i w:val="1"/>
          <w:iCs w:val="1"/>
          <w:color w:val="auto"/>
        </w:rPr>
        <w:t>plus</w:t>
      </w:r>
    </w:p>
    <w:p>
      <w:pPr>
        <w:spacing w:after="0" w:line="353" w:lineRule="exact"/>
        <w:rPr>
          <w:rFonts w:ascii="Arial" w:cs="Arial" w:eastAsia="Arial" w:hAnsi="Arial"/>
          <w:sz w:val="21"/>
          <w:szCs w:val="21"/>
          <w:color w:val="auto"/>
        </w:rPr>
      </w:pPr>
    </w:p>
    <w:p>
      <w:pPr>
        <w:ind w:left="640" w:right="240" w:firstLine="653"/>
        <w:spacing w:after="0" w:line="402" w:lineRule="auto"/>
        <w:tabs>
          <w:tab w:leader="none" w:pos="17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net realized losses from Hedging Obligations or embedded derivatives that require similar accounting treatment and the application of Accounting Standard Codification Topic 815 and related pronouncements; </w:t>
      </w:r>
      <w:r>
        <w:rPr>
          <w:rFonts w:ascii="Arial" w:cs="Arial" w:eastAsia="Arial" w:hAnsi="Arial"/>
          <w:sz w:val="19"/>
          <w:szCs w:val="19"/>
          <w:i w:val="1"/>
          <w:iCs w:val="1"/>
          <w:color w:val="auto"/>
        </w:rPr>
        <w:t>plus</w:t>
      </w:r>
    </w:p>
    <w:p>
      <w:pPr>
        <w:spacing w:after="0" w:line="307" w:lineRule="exact"/>
        <w:rPr>
          <w:rFonts w:ascii="Arial" w:cs="Arial" w:eastAsia="Arial" w:hAnsi="Arial"/>
          <w:sz w:val="19"/>
          <w:szCs w:val="19"/>
          <w:color w:val="auto"/>
        </w:rPr>
      </w:pPr>
    </w:p>
    <w:p>
      <w:pPr>
        <w:ind w:left="1720" w:hanging="427"/>
        <w:spacing w:after="0"/>
        <w:tabs>
          <w:tab w:leader="none" w:pos="17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cost related to the implementation of operational and reporting systems and technology initiatives; </w:t>
      </w:r>
      <w:r>
        <w:rPr>
          <w:rFonts w:ascii="Arial" w:cs="Arial" w:eastAsia="Arial" w:hAnsi="Arial"/>
          <w:sz w:val="19"/>
          <w:szCs w:val="19"/>
          <w:i w:val="1"/>
          <w:iCs w:val="1"/>
          <w:color w:val="auto"/>
        </w:rPr>
        <w:t>plus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40" w:right="320" w:firstLine="653"/>
        <w:spacing w:after="0" w:line="315" w:lineRule="auto"/>
        <w:tabs>
          <w:tab w:leader="none" w:pos="17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xml:space="preserve">the amount of loss on sale of Vehicles or receivables and related assets to a Special Purpose Entity in connection with a Special Purpose Financing;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jc w:val="both"/>
        <w:ind w:left="640" w:right="680" w:firstLine="653"/>
        <w:spacing w:after="0" w:line="402" w:lineRule="auto"/>
        <w:tabs>
          <w:tab w:leader="none" w:pos="17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19"/>
          <w:szCs w:val="19"/>
          <w:i w:val="1"/>
          <w:iCs w:val="1"/>
          <w:color w:val="auto"/>
        </w:rPr>
        <w:t>FAS 160</w:t>
      </w:r>
      <w:r>
        <w:rPr>
          <w:rFonts w:ascii="Arial" w:cs="Arial" w:eastAsia="Arial" w:hAnsi="Arial"/>
          <w:sz w:val="19"/>
          <w:szCs w:val="19"/>
          <w:color w:val="auto"/>
        </w:rPr>
        <w:t>”).</w:t>
      </w:r>
    </w:p>
    <w:p>
      <w:pPr>
        <w:spacing w:after="0" w:line="307" w:lineRule="exact"/>
        <w:rPr>
          <w:rFonts w:ascii="Arial" w:cs="Arial" w:eastAsia="Arial" w:hAnsi="Arial"/>
          <w:sz w:val="19"/>
          <w:szCs w:val="19"/>
          <w:color w:val="auto"/>
        </w:rPr>
      </w:pPr>
    </w:p>
    <w:p>
      <w:pPr>
        <w:ind w:left="1140" w:hanging="495"/>
        <w:spacing w:after="0"/>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decreased (without duplication) by: (a) non-cash gains increasing Consolidated Net Income of such Person for</w:t>
      </w:r>
    </w:p>
    <w:p>
      <w:pPr>
        <w:spacing w:after="0" w:line="92" w:lineRule="exact"/>
        <w:rPr>
          <w:rFonts w:ascii="Arial" w:cs="Arial" w:eastAsia="Arial" w:hAnsi="Arial"/>
          <w:sz w:val="19"/>
          <w:szCs w:val="19"/>
          <w:color w:val="auto"/>
        </w:rPr>
      </w:pPr>
    </w:p>
    <w:p>
      <w:pPr>
        <w:ind w:right="300"/>
        <w:spacing w:after="0" w:line="328" w:lineRule="auto"/>
        <w:rPr>
          <w:rFonts w:ascii="Arial" w:cs="Arial" w:eastAsia="Arial" w:hAnsi="Arial"/>
          <w:sz w:val="19"/>
          <w:szCs w:val="19"/>
          <w:color w:val="auto"/>
        </w:rPr>
      </w:pPr>
      <w:r>
        <w:rPr>
          <w:rFonts w:ascii="Arial" w:cs="Arial" w:eastAsia="Arial" w:hAnsi="Arial"/>
          <w:sz w:val="21"/>
          <w:szCs w:val="21"/>
          <w:color w:val="auto"/>
        </w:rPr>
        <w:t>such period, excluding any non-cash gains to the extent they represent the reversal of an accrual or reserve for a potential cash item that reduced Consolidated EBITDA in any prior period and any non-cash gains with</w:t>
      </w:r>
    </w:p>
    <w:p>
      <w:pPr>
        <w:spacing w:after="0" w:line="39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0"/>
          </w:cols>
          <w:pgMar w:left="900" w:top="1077" w:right="239" w:bottom="1440" w:gutter="0" w:footer="0" w:header="0"/>
        </w:sectPr>
      </w:pPr>
    </w:p>
    <w:bookmarkStart w:id="61" w:name="page62"/>
    <w:bookmarkEnd w:id="61"/>
    <w:p>
      <w:pPr>
        <w:ind w:left="4" w:right="100"/>
        <w:spacing w:after="0" w:line="338" w:lineRule="auto"/>
        <w:rPr>
          <w:sz w:val="20"/>
          <w:szCs w:val="20"/>
          <w:color w:val="auto"/>
        </w:rPr>
      </w:pPr>
      <w:r>
        <w:rPr>
          <w:rFonts w:ascii="Arial" w:cs="Arial" w:eastAsia="Arial" w:hAnsi="Arial"/>
          <w:sz w:val="19"/>
          <w:szCs w:val="19"/>
          <w:color w:val="auto"/>
        </w:rPr>
        <w:t xml:space="preserve">respect to cash actually received in a prior period so long as such cash did not increase Consolidated EBITDA in such prior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realized foreign exchange income or gains resulting from the impact of foreign currency changes on the valuation of assets or liabilities on the balance sheet of the Company and its Restricted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any net realized income or gains from Hedging Obligations or embedded derivatives that require similar accounting treatment and the application of Accounting Standards Codification Topic 815 and related pronouncements;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any net income included in Consolidated Net Income attributable to non-controlling interests pursuant to the application of Topic 810; and</w:t>
      </w:r>
    </w:p>
    <w:p>
      <w:pPr>
        <w:spacing w:after="0" w:line="369" w:lineRule="exact"/>
        <w:rPr>
          <w:sz w:val="20"/>
          <w:szCs w:val="20"/>
          <w:color w:val="auto"/>
        </w:rPr>
      </w:pPr>
    </w:p>
    <w:p>
      <w:pPr>
        <w:ind w:left="4" w:firstLine="645"/>
        <w:spacing w:after="0" w:line="315" w:lineRule="auto"/>
        <w:tabs>
          <w:tab w:leader="none" w:pos="1084"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increased or decreased (without duplication) by, as applicable, any adjustments resulting from the application of Accounting Standards Codification Topic 460 or any comparable regulation.</w:t>
      </w:r>
    </w:p>
    <w:p>
      <w:pPr>
        <w:spacing w:after="0" w:line="376"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respect to any Person for any period, without duplication, the sum of:</w:t>
      </w:r>
    </w:p>
    <w:p>
      <w:pPr>
        <w:spacing w:after="0" w:line="200" w:lineRule="exact"/>
        <w:rPr>
          <w:sz w:val="20"/>
          <w:szCs w:val="20"/>
          <w:color w:val="auto"/>
        </w:rPr>
      </w:pPr>
    </w:p>
    <w:p>
      <w:pPr>
        <w:spacing w:after="0" w:line="288" w:lineRule="exact"/>
        <w:rPr>
          <w:sz w:val="20"/>
          <w:szCs w:val="20"/>
          <w:color w:val="auto"/>
        </w:rPr>
      </w:pPr>
    </w:p>
    <w:p>
      <w:pPr>
        <w:ind w:left="1084" w:hanging="435"/>
        <w:spacing w:after="0"/>
        <w:tabs>
          <w:tab w:leader="none" w:pos="1084" w:val="left"/>
        </w:tabs>
        <w:numPr>
          <w:ilvl w:val="1"/>
          <w:numId w:val="73"/>
        </w:numPr>
        <w:rPr>
          <w:rFonts w:ascii="Arial" w:cs="Arial" w:eastAsia="Arial" w:hAnsi="Arial"/>
          <w:sz w:val="19"/>
          <w:szCs w:val="19"/>
          <w:color w:val="auto"/>
        </w:rPr>
      </w:pPr>
      <w:r>
        <w:rPr>
          <w:rFonts w:ascii="Arial" w:cs="Arial" w:eastAsia="Arial" w:hAnsi="Arial"/>
          <w:sz w:val="19"/>
          <w:szCs w:val="19"/>
          <w:color w:val="auto"/>
        </w:rPr>
        <w:t>consolidated interest expense of such Person and its Restricted Subsidiaries for such period, to the extent such</w:t>
      </w:r>
    </w:p>
    <w:p>
      <w:pPr>
        <w:spacing w:after="0" w:line="92" w:lineRule="exact"/>
        <w:rPr>
          <w:rFonts w:ascii="Arial" w:cs="Arial" w:eastAsia="Arial" w:hAnsi="Arial"/>
          <w:sz w:val="19"/>
          <w:szCs w:val="19"/>
          <w:color w:val="auto"/>
        </w:rPr>
      </w:pPr>
    </w:p>
    <w:p>
      <w:pPr>
        <w:ind w:left="4" w:right="20"/>
        <w:spacing w:after="0" w:line="326" w:lineRule="auto"/>
        <w:rPr>
          <w:rFonts w:ascii="Arial" w:cs="Arial" w:eastAsia="Arial" w:hAnsi="Arial"/>
          <w:sz w:val="19"/>
          <w:szCs w:val="19"/>
          <w:color w:val="auto"/>
        </w:rPr>
      </w:pPr>
      <w:r>
        <w:rPr>
          <w:rFonts w:ascii="Arial" w:cs="Arial" w:eastAsia="Arial" w:hAnsi="Arial"/>
          <w:sz w:val="19"/>
          <w:szCs w:val="19"/>
          <w:color w:val="auto"/>
        </w:rPr>
        <w:t>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pursuant to interest rate Hedging Obligations with respect to Indebtedness, and excluding (s) penalties and interest relating to taxes, (t) any additional cash interest owing pursuant to any registration rights agreement,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and</w:t>
      </w:r>
    </w:p>
    <w:p>
      <w:pPr>
        <w:spacing w:after="0" w:line="4" w:lineRule="exact"/>
        <w:rPr>
          <w:rFonts w:ascii="Arial" w:cs="Arial" w:eastAsia="Arial" w:hAnsi="Arial"/>
          <w:sz w:val="19"/>
          <w:szCs w:val="19"/>
          <w:color w:val="auto"/>
        </w:rPr>
      </w:pPr>
    </w:p>
    <w:p>
      <w:pPr>
        <w:ind w:left="304" w:hanging="304"/>
        <w:spacing w:after="0"/>
        <w:tabs>
          <w:tab w:leader="none" w:pos="304"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Consolidated Vehicle Interest Expense); </w:t>
      </w:r>
      <w:r>
        <w:rPr>
          <w:rFonts w:ascii="Arial" w:cs="Arial" w:eastAsia="Arial" w:hAnsi="Arial"/>
          <w:sz w:val="22"/>
          <w:szCs w:val="22"/>
          <w:i w:val="1"/>
          <w:iCs w:val="1"/>
          <w:color w:val="auto"/>
        </w:rPr>
        <w:t>less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4" w:right="100" w:firstLine="645"/>
        <w:spacing w:after="0" w:line="315" w:lineRule="auto"/>
        <w:tabs>
          <w:tab w:leader="none" w:pos="1084"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interest income for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definition of “Consolidated Vehicle Interest Expense,” “Consolidated Interest Expense”</w:t>
      </w:r>
    </w:p>
    <w:p>
      <w:pPr>
        <w:spacing w:after="0" w:line="200" w:lineRule="exact"/>
        <w:rPr>
          <w:sz w:val="20"/>
          <w:szCs w:val="20"/>
          <w:color w:val="auto"/>
        </w:rPr>
      </w:pPr>
    </w:p>
    <w:p>
      <w:pPr>
        <w:spacing w:after="0" w:line="20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4"/>
          </w:cols>
          <w:pgMar w:left="896" w:top="1077" w:right="239" w:bottom="1440" w:gutter="0" w:footer="0" w:header="0"/>
        </w:sectPr>
      </w:pPr>
    </w:p>
    <w:bookmarkStart w:id="62" w:name="page63"/>
    <w:bookmarkEnd w:id="62"/>
    <w:p>
      <w:pPr>
        <w:ind w:left="660" w:right="100"/>
        <w:spacing w:after="0" w:line="302" w:lineRule="auto"/>
        <w:rPr>
          <w:sz w:val="20"/>
          <w:szCs w:val="20"/>
          <w:color w:val="auto"/>
        </w:rPr>
      </w:pPr>
      <w:r>
        <w:rPr>
          <w:rFonts w:ascii="Arial" w:cs="Arial" w:eastAsia="Arial" w:hAnsi="Arial"/>
          <w:sz w:val="22"/>
          <w:szCs w:val="22"/>
          <w:color w:val="auto"/>
        </w:rPr>
        <w:t>shall include the interest expense in respect of Indebtedness that is secured by Liens incurred pursuant to clause (32) of the definition of “Permitted Liens.”</w:t>
      </w:r>
    </w:p>
    <w:p>
      <w:pPr>
        <w:spacing w:after="0" w:line="390" w:lineRule="exact"/>
        <w:rPr>
          <w:sz w:val="20"/>
          <w:szCs w:val="20"/>
          <w:color w:val="auto"/>
        </w:rPr>
      </w:pPr>
    </w:p>
    <w:p>
      <w:pPr>
        <w:ind w:right="260" w:firstLine="648"/>
        <w:spacing w:after="0" w:line="292" w:lineRule="auto"/>
        <w:rPr>
          <w:sz w:val="20"/>
          <w:szCs w:val="20"/>
          <w:color w:val="auto"/>
        </w:rPr>
      </w:pPr>
      <w:r>
        <w:rPr>
          <w:rFonts w:ascii="Arial" w:cs="Arial" w:eastAsia="Arial" w:hAnsi="Arial"/>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400" w:lineRule="exact"/>
        <w:rPr>
          <w:sz w:val="20"/>
          <w:szCs w:val="20"/>
          <w:color w:val="auto"/>
        </w:rPr>
      </w:pPr>
    </w:p>
    <w:p>
      <w:pPr>
        <w:ind w:right="1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net income (loss) of such Person and its Restricted Subsidiaries for such period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400" w:lineRule="exact"/>
        <w:rPr>
          <w:sz w:val="20"/>
          <w:szCs w:val="20"/>
          <w:color w:val="auto"/>
        </w:rPr>
      </w:pPr>
    </w:p>
    <w:p>
      <w:pPr>
        <w:ind w:left="1740" w:hanging="435"/>
        <w:spacing w:after="0"/>
        <w:tabs>
          <w:tab w:leader="none" w:pos="17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the Company’s</w:t>
      </w:r>
    </w:p>
    <w:p>
      <w:pPr>
        <w:spacing w:after="0" w:line="92" w:lineRule="exact"/>
        <w:rPr>
          <w:rFonts w:ascii="Arial" w:cs="Arial" w:eastAsia="Arial" w:hAnsi="Arial"/>
          <w:sz w:val="19"/>
          <w:szCs w:val="19"/>
          <w:color w:val="auto"/>
        </w:rPr>
      </w:pPr>
    </w:p>
    <w:p>
      <w:pPr>
        <w:ind w:left="660" w:right="200"/>
        <w:spacing w:after="0" w:line="341" w:lineRule="auto"/>
        <w:rPr>
          <w:rFonts w:ascii="Arial" w:cs="Arial" w:eastAsia="Arial" w:hAnsi="Arial"/>
          <w:sz w:val="19"/>
          <w:szCs w:val="19"/>
          <w:color w:val="auto"/>
        </w:rPr>
      </w:pPr>
      <w:r>
        <w:rPr>
          <w:rFonts w:ascii="Arial" w:cs="Arial" w:eastAsia="Arial" w:hAnsi="Arial"/>
          <w:sz w:val="19"/>
          <w:szCs w:val="19"/>
          <w:color w:val="auto"/>
        </w:rPr>
        <w:t>equity in the net income of any such Person for such period will be included in such Consolidated Net Income up to the aggregate amount of cash or Cash Equivalents actually distributed or that (as reasonably determined by an Officer of the Company) could have been distributed by such Person during such period to the Company or a Restricted Subsidiary as a dividend or other distribution or return on investment (subject, in the case of a dividend or other distribution or return on investment to a Restricted Subsidiary, to the limitations contained in clause (2) below);</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for Restricted Payments under </w:t>
      </w:r>
      <w:r>
        <w:rPr>
          <w:rFonts w:ascii="Arial" w:cs="Arial" w:eastAsia="Arial" w:hAnsi="Arial"/>
          <w:sz w:val="19"/>
          <w:szCs w:val="19"/>
          <w:u w:val="single" w:color="auto"/>
          <w:color w:val="auto"/>
        </w:rPr>
        <w:t>Section 3.3(a)(iii)(B)</w:t>
      </w:r>
    </w:p>
    <w:p>
      <w:pPr>
        <w:spacing w:after="0" w:line="92" w:lineRule="exact"/>
        <w:rPr>
          <w:rFonts w:ascii="Arial" w:cs="Arial" w:eastAsia="Arial" w:hAnsi="Arial"/>
          <w:sz w:val="19"/>
          <w:szCs w:val="19"/>
          <w:color w:val="auto"/>
        </w:rPr>
      </w:pPr>
    </w:p>
    <w:p>
      <w:pPr>
        <w:ind w:left="660"/>
        <w:spacing w:after="0" w:line="331" w:lineRule="auto"/>
        <w:rPr>
          <w:rFonts w:ascii="Arial" w:cs="Arial" w:eastAsia="Arial" w:hAnsi="Arial"/>
          <w:sz w:val="19"/>
          <w:szCs w:val="19"/>
          <w:color w:val="auto"/>
        </w:rPr>
      </w:pPr>
      <w:r>
        <w:rPr>
          <w:rFonts w:ascii="Arial" w:cs="Arial" w:eastAsia="Arial" w:hAnsi="Arial"/>
          <w:sz w:val="19"/>
          <w:szCs w:val="19"/>
          <w:color w:val="auto"/>
        </w:rPr>
        <w:t>hereof, any net income (loss) of any Restricted Subsidiary (other than the Subsidiary Guarantors) if such Subsidiary is subject to restrictions, directly or indirectly, on the payment of dividends or the making of distributions by such Restricted Subsidiary, directly or indirectly, to the Company or a Subsidiary Guarantor by operation of the terms of such Restricted Subsidiary’s articles, charter or any agreement, instrument, judgment, decree, order, statute or governmental rule or regulation applicable to such Restricted Subsidiary or its shareholders (other than (a) restrictions that have been waived or otherwise released, (b) restrictions pursuant to the Credit Agreement, the Notes, or this Indenture, (c) restrictions in effect on the Issue Date with respect to a Restricted Subsidiary and other restrictions with respect to such Restricted Subsidiary that taken as a whole are not materially less favorable to holders of Notes than such restrictions in effect on the Issue Date, and (d) any encumbrance or restriction arising pursuant to an agreement or instrument relating to any Indebtedness Incurred subsequent to the Issue Date and the encumbrances and restrictions contained in any such agreement or instrument taken as a whole are not materially less favorable to the Holders than the encumbrances and restrictions contained in the Credit Agreement, together with the security documents associated therewith as in effect on the Issue Date), except that the Company’s equity in the net income of any such Restricted Subsidiary for</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40" w:top="1077" w:right="299" w:bottom="1440" w:gutter="0" w:footer="0" w:header="0"/>
        </w:sectPr>
      </w:pPr>
    </w:p>
    <w:bookmarkStart w:id="63" w:name="page64"/>
    <w:bookmarkEnd w:id="63"/>
    <w:p>
      <w:pPr>
        <w:ind w:right="40"/>
        <w:spacing w:after="0" w:line="288" w:lineRule="auto"/>
        <w:rPr>
          <w:sz w:val="20"/>
          <w:szCs w:val="20"/>
          <w:color w:val="auto"/>
        </w:rPr>
      </w:pPr>
      <w:r>
        <w:rPr>
          <w:rFonts w:ascii="Arial" w:cs="Arial" w:eastAsia="Arial" w:hAnsi="Arial"/>
          <w:sz w:val="22"/>
          <w:szCs w:val="22"/>
          <w:color w:val="auto"/>
        </w:rPr>
        <w:t>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200" w:lineRule="exact"/>
        <w:rPr>
          <w:sz w:val="20"/>
          <w:szCs w:val="20"/>
          <w:color w:val="auto"/>
        </w:rPr>
      </w:pPr>
    </w:p>
    <w:p>
      <w:pPr>
        <w:spacing w:after="0" w:line="206" w:lineRule="exact"/>
        <w:rPr>
          <w:sz w:val="20"/>
          <w:szCs w:val="20"/>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net gain (or loss) realized upon the sale or other disposition of any asset (including pursuant to any Sale</w:t>
      </w:r>
    </w:p>
    <w:p>
      <w:pPr>
        <w:spacing w:after="0" w:line="92" w:lineRule="exact"/>
        <w:rPr>
          <w:rFonts w:ascii="Arial" w:cs="Arial" w:eastAsia="Arial" w:hAnsi="Arial"/>
          <w:sz w:val="19"/>
          <w:szCs w:val="19"/>
          <w:color w:val="auto"/>
        </w:rPr>
      </w:pPr>
    </w:p>
    <w:p>
      <w:pPr>
        <w:ind w:right="460"/>
        <w:spacing w:after="0" w:line="292" w:lineRule="auto"/>
        <w:rPr>
          <w:rFonts w:ascii="Arial" w:cs="Arial" w:eastAsia="Arial" w:hAnsi="Arial"/>
          <w:sz w:val="19"/>
          <w:szCs w:val="19"/>
          <w:color w:val="auto"/>
        </w:rPr>
      </w:pPr>
      <w:r>
        <w:rPr>
          <w:rFonts w:ascii="Arial" w:cs="Arial" w:eastAsia="Arial" w:hAnsi="Arial"/>
          <w:sz w:val="22"/>
          <w:szCs w:val="22"/>
          <w:color w:val="auto"/>
        </w:rPr>
        <w:t>and Leaseback Transaction) or disposed operations of the Company or any Restricted Subsidiaries which is not sold or otherwise disposed of in the ordinary course of business (as determined in good faith by an Officer or the Board of Directors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extraordinary, exceptional, unusual or nonrecurring gain, loss, charge or expense (including relating to the</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Transaction Expenses, any multi-year strategic initiatives, any fees and expenses and charges associated with the Separation Transactions and any acquisition, merger or consolidation after the Issue Date), or any charges, expenses or reserves in respect of any restructuring, redundancy or severance expense;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(i) non-cash compensation charge or expense arising from any grant of stock, stock options or other equity</w:t>
      </w:r>
    </w:p>
    <w:p>
      <w:pPr>
        <w:spacing w:after="0" w:line="92" w:lineRule="exact"/>
        <w:rPr>
          <w:rFonts w:ascii="Arial" w:cs="Arial" w:eastAsia="Arial" w:hAnsi="Arial"/>
          <w:sz w:val="19"/>
          <w:szCs w:val="19"/>
          <w:color w:val="auto"/>
        </w:rPr>
      </w:pPr>
    </w:p>
    <w:p>
      <w:pPr>
        <w:ind w:right="440"/>
        <w:spacing w:after="0" w:line="302" w:lineRule="auto"/>
        <w:rPr>
          <w:rFonts w:ascii="Arial" w:cs="Arial" w:eastAsia="Arial" w:hAnsi="Arial"/>
          <w:sz w:val="19"/>
          <w:szCs w:val="19"/>
          <w:color w:val="auto"/>
        </w:rPr>
      </w:pPr>
      <w:r>
        <w:rPr>
          <w:rFonts w:ascii="Arial" w:cs="Arial" w:eastAsia="Arial" w:hAnsi="Arial"/>
          <w:sz w:val="22"/>
          <w:szCs w:val="22"/>
          <w:color w:val="auto"/>
        </w:rPr>
        <w:t>based awards and any non-cash deemed finance charges in respect of any pension liabilities or other provisions and (ii) income (loss) attributable to deferred compensation plans or trusts;</w:t>
      </w:r>
    </w:p>
    <w:p>
      <w:pPr>
        <w:spacing w:after="0" w:line="389" w:lineRule="exact"/>
        <w:rPr>
          <w:rFonts w:ascii="Arial" w:cs="Arial" w:eastAsia="Arial" w:hAnsi="Arial"/>
          <w:sz w:val="19"/>
          <w:szCs w:val="19"/>
          <w:color w:val="auto"/>
        </w:rPr>
      </w:pPr>
    </w:p>
    <w:p>
      <w:pPr>
        <w:ind w:right="260" w:firstLine="645"/>
        <w:spacing w:after="0" w:line="402" w:lineRule="auto"/>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deferred financing costs written off and premiums paid or other expenses incurred in connection with any early extinguishment of Indebtedness and any net gain (loss) from any write-off or forgiveness of Indebtedness;</w:t>
      </w:r>
    </w:p>
    <w:p>
      <w:pPr>
        <w:spacing w:after="0" w:line="307"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unrealized gains or losses in respect of any Hedging Obligations or any ineffectiveness recognized in</w:t>
      </w:r>
    </w:p>
    <w:p>
      <w:pPr>
        <w:spacing w:after="0" w:line="92" w:lineRule="exact"/>
        <w:rPr>
          <w:rFonts w:ascii="Arial" w:cs="Arial" w:eastAsia="Arial" w:hAnsi="Arial"/>
          <w:sz w:val="19"/>
          <w:szCs w:val="19"/>
          <w:color w:val="auto"/>
        </w:rPr>
      </w:pPr>
    </w:p>
    <w:p>
      <w:pPr>
        <w:ind w:right="140"/>
        <w:spacing w:after="0" w:line="302" w:lineRule="auto"/>
        <w:rPr>
          <w:rFonts w:ascii="Arial" w:cs="Arial" w:eastAsia="Arial" w:hAnsi="Arial"/>
          <w:sz w:val="19"/>
          <w:szCs w:val="19"/>
          <w:color w:val="auto"/>
        </w:rPr>
      </w:pPr>
      <w:r>
        <w:rPr>
          <w:rFonts w:ascii="Arial" w:cs="Arial" w:eastAsia="Arial" w:hAnsi="Arial"/>
          <w:sz w:val="22"/>
          <w:szCs w:val="22"/>
          <w:color w:val="auto"/>
        </w:rPr>
        <w:t>earnings related to qualifying hedge transactions or the fair value of changes therein recognized in earnings for derivatives that do not qualify as hedge transactions, in each case, in respect of any Hedging Obligations;</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of any</w:t>
      </w:r>
    </w:p>
    <w:p>
      <w:pPr>
        <w:spacing w:after="0" w:line="92" w:lineRule="exact"/>
        <w:rPr>
          <w:rFonts w:ascii="Arial" w:cs="Arial" w:eastAsia="Arial" w:hAnsi="Arial"/>
          <w:sz w:val="19"/>
          <w:szCs w:val="19"/>
          <w:color w:val="auto"/>
        </w:rPr>
      </w:pPr>
    </w:p>
    <w:p>
      <w:pPr>
        <w:ind w:right="240"/>
        <w:spacing w:after="0" w:line="328" w:lineRule="auto"/>
        <w:rPr>
          <w:rFonts w:ascii="Arial" w:cs="Arial" w:eastAsia="Arial" w:hAnsi="Arial"/>
          <w:sz w:val="19"/>
          <w:szCs w:val="19"/>
          <w:color w:val="auto"/>
        </w:rPr>
      </w:pPr>
      <w:r>
        <w:rPr>
          <w:rFonts w:ascii="Arial" w:cs="Arial" w:eastAsia="Arial" w:hAnsi="Arial"/>
          <w:sz w:val="21"/>
          <w:szCs w:val="21"/>
          <w:color w:val="auto"/>
        </w:rPr>
        <w:t>Person denominated in a currency other than the functional currency of such Person and any unrealized foreign exchange gains or losses relating to translation of assets and liabilities denominated in foreign currencies;</w:t>
      </w:r>
    </w:p>
    <w:p>
      <w:pPr>
        <w:spacing w:after="0" w:line="39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20"/>
          </w:cols>
          <w:pgMar w:left="900" w:top="1077" w:right="279" w:bottom="1440" w:gutter="0" w:footer="0" w:header="0"/>
        </w:sectPr>
      </w:pPr>
    </w:p>
    <w:bookmarkStart w:id="64" w:name="page65"/>
    <w:bookmarkEnd w:id="64"/>
    <w:p>
      <w:pPr>
        <w:ind w:left="660" w:right="260" w:firstLine="645"/>
        <w:spacing w:after="0" w:line="402" w:lineRule="auto"/>
        <w:tabs>
          <w:tab w:leader="none" w:pos="184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or other obligations of the Company or any Restricted Subsidiary owing to the Company or any Restricted Subsidiary;</w:t>
      </w:r>
    </w:p>
    <w:p>
      <w:pPr>
        <w:spacing w:after="0" w:line="307" w:lineRule="exact"/>
        <w:rPr>
          <w:rFonts w:ascii="Arial" w:cs="Arial" w:eastAsia="Arial" w:hAnsi="Arial"/>
          <w:sz w:val="19"/>
          <w:szCs w:val="19"/>
          <w:color w:val="auto"/>
        </w:rPr>
      </w:pPr>
    </w:p>
    <w:p>
      <w:pPr>
        <w:ind w:left="1840" w:hanging="535"/>
        <w:spacing w:after="0"/>
        <w:tabs>
          <w:tab w:leader="none" w:pos="1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purchase accounting effects including adjustments to inventory, property and equipment, software and</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40" w:hanging="535"/>
        <w:spacing w:after="0"/>
        <w:tabs>
          <w:tab w:leader="none" w:pos="1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goodwill or other intangible asset impairment charge or write-off;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60" w:firstLine="645"/>
        <w:spacing w:after="0" w:line="315" w:lineRule="auto"/>
        <w:tabs>
          <w:tab w:leader="none" w:pos="18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extinguishment or cancellation of Indebtedness or any Hedging Obligations or other derivative instruments;</w:t>
      </w:r>
    </w:p>
    <w:p>
      <w:pPr>
        <w:spacing w:after="0" w:line="375" w:lineRule="exact"/>
        <w:rPr>
          <w:rFonts w:ascii="Arial" w:cs="Arial" w:eastAsia="Arial" w:hAnsi="Arial"/>
          <w:sz w:val="22"/>
          <w:szCs w:val="22"/>
          <w:color w:val="auto"/>
        </w:rPr>
      </w:pPr>
    </w:p>
    <w:p>
      <w:pPr>
        <w:ind w:left="660" w:firstLine="645"/>
        <w:spacing w:after="0" w:line="341" w:lineRule="auto"/>
        <w:tabs>
          <w:tab w:leader="none" w:pos="1848" w:val="left"/>
        </w:tabs>
        <w:numPr>
          <w:ilvl w:val="0"/>
          <w:numId w:val="77"/>
        </w:numPr>
        <w:rPr>
          <w:rFonts w:ascii="Arial" w:cs="Arial" w:eastAsia="Arial" w:hAnsi="Arial"/>
          <w:sz w:val="21"/>
          <w:szCs w:val="21"/>
          <w:color w:val="auto"/>
        </w:rPr>
      </w:pPr>
      <w:r>
        <w:rPr>
          <w:rFonts w:ascii="Arial" w:cs="Arial" w:eastAsia="Arial" w:hAnsi="Arial"/>
          <w:sz w:val="21"/>
          <w:szCs w:val="21"/>
          <w:color w:val="auto"/>
        </w:rPr>
        <w:t>accruals and reserves that are established or adjusted within twelve (12) months after the Issue Date that are so required to be established or adjusted as a result of the Transactions in accordance with GAAP;</w:t>
      </w:r>
    </w:p>
    <w:p>
      <w:pPr>
        <w:spacing w:after="0" w:line="353" w:lineRule="exact"/>
        <w:rPr>
          <w:rFonts w:ascii="Arial" w:cs="Arial" w:eastAsia="Arial" w:hAnsi="Arial"/>
          <w:sz w:val="21"/>
          <w:szCs w:val="21"/>
          <w:color w:val="auto"/>
        </w:rPr>
      </w:pPr>
    </w:p>
    <w:p>
      <w:pPr>
        <w:ind w:left="1840" w:hanging="535"/>
        <w:spacing w:after="0"/>
        <w:tabs>
          <w:tab w:leader="none" w:pos="1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net unrealized gains and losses resulting from Hedging Obligations or embedded derivatives that require</w:t>
      </w:r>
    </w:p>
    <w:p>
      <w:pPr>
        <w:spacing w:after="0" w:line="92" w:lineRule="exact"/>
        <w:rPr>
          <w:rFonts w:ascii="Arial" w:cs="Arial" w:eastAsia="Arial" w:hAnsi="Arial"/>
          <w:sz w:val="19"/>
          <w:szCs w:val="19"/>
          <w:color w:val="auto"/>
        </w:rPr>
      </w:pPr>
    </w:p>
    <w:p>
      <w:pPr>
        <w:ind w:left="660" w:right="1320"/>
        <w:spacing w:after="0" w:line="302" w:lineRule="auto"/>
        <w:rPr>
          <w:rFonts w:ascii="Arial" w:cs="Arial" w:eastAsia="Arial" w:hAnsi="Arial"/>
          <w:sz w:val="19"/>
          <w:szCs w:val="19"/>
          <w:color w:val="auto"/>
        </w:rPr>
      </w:pPr>
      <w:r>
        <w:rPr>
          <w:rFonts w:ascii="Arial" w:cs="Arial" w:eastAsia="Arial" w:hAnsi="Arial"/>
          <w:sz w:val="22"/>
          <w:szCs w:val="22"/>
          <w:color w:val="auto"/>
        </w:rPr>
        <w:t>similar accounting treatment and the application of Accounting Standards Codification Topic 815 and related pronouncements; and</w:t>
      </w:r>
    </w:p>
    <w:p>
      <w:pPr>
        <w:spacing w:after="0" w:line="389" w:lineRule="exact"/>
        <w:rPr>
          <w:rFonts w:ascii="Arial" w:cs="Arial" w:eastAsia="Arial" w:hAnsi="Arial"/>
          <w:sz w:val="19"/>
          <w:szCs w:val="19"/>
          <w:color w:val="auto"/>
        </w:rPr>
      </w:pPr>
    </w:p>
    <w:p>
      <w:pPr>
        <w:ind w:left="660" w:right="620" w:firstLine="645"/>
        <w:spacing w:after="0" w:line="315" w:lineRule="auto"/>
        <w:tabs>
          <w:tab w:leader="none" w:pos="18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deferred tax expense associated with tax deductions or net operating losses arising as a result of the Transactions, or the release of any valuation allowances related to such item.</w:t>
      </w:r>
    </w:p>
    <w:p>
      <w:pPr>
        <w:spacing w:after="0" w:line="376"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color w:val="auto"/>
        </w:rPr>
        <w:t>In addition, to the extent not already included in the Consolidated Net Income of such Person and its Restricted Subsidiaries, notwithstanding anything to the contrary in the foregoing, Consolidated Net Income shall include (i) any expenses and charges that are reimbursed by indemnification or other reimbursement provisions in connection with any investment or any sale, conveyance, transfer or other disposition of assets permitted hereunder and (ii) to the extent covered by insurance and actually reimbursed, or, so long as the Company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expenses with respect to liability or casualty events or business interruption.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077" w:right="239" w:bottom="1440" w:gutter="0" w:footer="0" w:header="0"/>
        </w:sectPr>
      </w:pPr>
    </w:p>
    <w:bookmarkStart w:id="65" w:name="page66"/>
    <w:bookmarkEnd w:id="65"/>
    <w:p>
      <w:pPr>
        <w:ind w:right="16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Indebtedness</w:t>
      </w:r>
      <w:r>
        <w:rPr>
          <w:rFonts w:ascii="Arial" w:cs="Arial" w:eastAsia="Arial" w:hAnsi="Arial"/>
          <w:sz w:val="21"/>
          <w:szCs w:val="21"/>
          <w:color w:val="auto"/>
        </w:rPr>
        <w:t>” means, as of any date of determination, (a) the aggregate principal amount of Indebtedness for borrowed money (other than Permitted Vehicle Indebtedness or Indebtedness with respect to Cash Management Services) of the Company and its Restricted Subsidiaries outstanding on such date minus (b) the aggregate amount of cash and Cash Equivalents included in the consolidated balance sheet of the Company and its Restricted Subsidiaries as of the end of the most recent fiscal period for which internal financial statements of the Company are available with such pro forma adjustments as are consistent with the pro forma adjustments set forth in the definition of “Fixed Charge Coverage Ratio” and as determined in good faith by the Company.</w:t>
      </w:r>
    </w:p>
    <w:p>
      <w:pPr>
        <w:spacing w:after="0" w:line="399"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means, as of any date of determination, the ratio of (x) Consolidated Total Indebtedness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200" w:lineRule="exact"/>
        <w:rPr>
          <w:sz w:val="20"/>
          <w:szCs w:val="20"/>
          <w:color w:val="auto"/>
        </w:rPr>
      </w:pPr>
    </w:p>
    <w:p>
      <w:pPr>
        <w:spacing w:after="0" w:line="205" w:lineRule="exact"/>
        <w:rPr>
          <w:sz w:val="20"/>
          <w:szCs w:val="20"/>
          <w:color w:val="auto"/>
        </w:rPr>
      </w:pPr>
    </w:p>
    <w:p>
      <w:pPr>
        <w:ind w:right="3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Secured Leverage Ratio</w:t>
      </w:r>
      <w:r>
        <w:rPr>
          <w:rFonts w:ascii="Arial" w:cs="Arial" w:eastAsia="Arial" w:hAnsi="Arial"/>
          <w:sz w:val="19"/>
          <w:szCs w:val="19"/>
          <w:color w:val="auto"/>
        </w:rPr>
        <w:t>” means, as of any date of determination, the ratio of (x) Consolidated Total Indebtedness secured by a Lien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Vehicle Depreciation</w:t>
      </w:r>
      <w:r>
        <w:rPr>
          <w:rFonts w:ascii="Arial" w:cs="Arial" w:eastAsia="Arial" w:hAnsi="Arial"/>
          <w:sz w:val="22"/>
          <w:szCs w:val="22"/>
          <w:color w:val="auto"/>
        </w:rPr>
        <w:t>” means, for any period, depreciation on all Rental Vehicles (after adjustments thereto), to the extent deducted in calculating Consolidated Net Income for such period.</w:t>
      </w:r>
    </w:p>
    <w:p>
      <w:pPr>
        <w:spacing w:after="0" w:line="390"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Vehicle Interest Expense</w:t>
      </w:r>
      <w:r>
        <w:rPr>
          <w:rFonts w:ascii="Arial" w:cs="Arial" w:eastAsia="Arial" w:hAnsi="Arial"/>
          <w:sz w:val="19"/>
          <w:szCs w:val="19"/>
          <w:color w:val="auto"/>
        </w:rPr>
        <w:t>” means, for any period, the sum of (a) the aggregate interest expense for such period on any Indebtedness (including costs associated with letters of credit related to such Indebtedness) of any Special Purpose Subsidiary that is a Restricted Subsidiary directly or indirectly Incurred to finance or refinance the acquisition of, or secured by, Rental Vehicles and/or related rights and/or assets plus (b) either (x) the aggregate interest expense for such period on other Indebtedness of the Company and its Restricted Subsidiaries that is attributable to the financing or refinancing of Rental Vehicles and/or any related rights and/or assets, as determined in good faith by the Company (which determination shall be conclusive) or, at the Company’s option, (y) an amount of the total interest expense of the Company and its Restricted Subsidiaries for such period equal to (i) the Average Interest Rate for such period multiplied by (ii) the amount equal to (1) 90% of the Average Book Value for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1077" w:right="259" w:bottom="1440" w:gutter="0" w:footer="0" w:header="0"/>
        </w:sectPr>
      </w:pPr>
    </w:p>
    <w:bookmarkStart w:id="66" w:name="page67"/>
    <w:bookmarkEnd w:id="66"/>
    <w:p>
      <w:pPr>
        <w:ind w:right="300"/>
        <w:spacing w:after="0" w:line="357" w:lineRule="auto"/>
        <w:rPr>
          <w:sz w:val="20"/>
          <w:szCs w:val="20"/>
          <w:color w:val="auto"/>
        </w:rPr>
      </w:pPr>
      <w:r>
        <w:rPr>
          <w:rFonts w:ascii="Arial" w:cs="Arial" w:eastAsia="Arial" w:hAnsi="Arial"/>
          <w:sz w:val="19"/>
          <w:szCs w:val="19"/>
          <w:color w:val="auto"/>
        </w:rPr>
        <w:t>such period of Rental Vehicles of the Company and its Restricted Subsidiaries minus (2) the Average Principal Amount for such period of any Indebtedness of any Special Purpose Subsidiary that is a Restricted Subsidiary directly or indirectly Incurred to finance or refinance the acquisition of, or secured by, Rental Vehicles and/or related rights and/or assets.</w:t>
      </w:r>
    </w:p>
    <w:p>
      <w:pPr>
        <w:spacing w:after="0" w:line="349" w:lineRule="exact"/>
        <w:rPr>
          <w:sz w:val="20"/>
          <w:szCs w:val="20"/>
          <w:color w:val="auto"/>
        </w:rPr>
      </w:pPr>
    </w:p>
    <w:p>
      <w:pPr>
        <w:jc w:val="both"/>
        <w:ind w:right="3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including any obligation of such Person, whether or not contingent:</w:t>
      </w:r>
    </w:p>
    <w:p>
      <w:pPr>
        <w:spacing w:after="0" w:line="349" w:lineRule="exact"/>
        <w:rPr>
          <w:sz w:val="20"/>
          <w:szCs w:val="20"/>
          <w:color w:val="auto"/>
        </w:rPr>
      </w:pPr>
    </w:p>
    <w:p>
      <w:pPr>
        <w:ind w:left="1740" w:hanging="435"/>
        <w:spacing w:after="0"/>
        <w:tabs>
          <w:tab w:leader="none" w:pos="17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to purchase any such primary obligation or any property constituting direct or indirect security therefor;</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right="80" w:firstLine="653"/>
        <w:spacing w:after="0" w:line="315" w:lineRule="auto"/>
        <w:tabs>
          <w:tab w:leader="none" w:pos="23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maintain the working capital or equity capital of the primary obligor or otherwise to maintain the net worth or solvency of the primary obligor; or</w:t>
      </w:r>
    </w:p>
    <w:p>
      <w:pPr>
        <w:spacing w:after="0" w:line="375" w:lineRule="exact"/>
        <w:rPr>
          <w:rFonts w:ascii="Arial" w:cs="Arial" w:eastAsia="Arial" w:hAnsi="Arial"/>
          <w:sz w:val="22"/>
          <w:szCs w:val="22"/>
          <w:color w:val="auto"/>
        </w:rPr>
      </w:pPr>
    </w:p>
    <w:p>
      <w:pPr>
        <w:ind w:left="660" w:right="40" w:firstLine="645"/>
        <w:spacing w:after="0" w:line="402" w:lineRule="auto"/>
        <w:tabs>
          <w:tab w:leader="none" w:pos="1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308" w:lineRule="exact"/>
        <w:rPr>
          <w:sz w:val="20"/>
          <w:szCs w:val="20"/>
          <w:color w:val="auto"/>
        </w:rPr>
      </w:pPr>
    </w:p>
    <w:p>
      <w:pPr>
        <w:ind w:firstLine="648"/>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w:t>
      </w:r>
      <w:r>
        <w:rPr>
          <w:rFonts w:ascii="Arial" w:cs="Arial" w:eastAsia="Arial" w:hAnsi="Arial"/>
          <w:sz w:val="21"/>
          <w:szCs w:val="21"/>
          <w:color w:val="auto"/>
        </w:rPr>
        <w:t>” means the means the third amended and restated senior secured credit facilities, dated as of October 3, 2014, entered into by the Company, as borrower, and certain of its subsidiaries, as subsidiary borrowers, with JPMorgan Chase Bank, N.A., as administrative agent, Deutsche Bank Securities, Inc., as syndication agent, and the lenders party thereto from time to time, and in each case any Loan Documents (as defined therein), together with the related documents thereto (including the revolving loans thereunder, any letters of credit and reimbursement obligations related thereto, any guarantees and security documents), as amended, extended, supplemented, waived, renewed, restated, refunded, replaced, refinanced, restructured,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changing the maturity of any Indebtedness Incurred thereunder or contemplated thereby, or adding or removing any Person as a borrower, issuer or guarantor thereunder, in whole or in part), the borrowings and commitments then outstanding or</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1077" w:right="279" w:bottom="1440" w:gutter="0" w:footer="0" w:header="0"/>
        </w:sectPr>
      </w:pPr>
    </w:p>
    <w:bookmarkStart w:id="67" w:name="page68"/>
    <w:bookmarkEnd w:id="67"/>
    <w:p>
      <w:pPr>
        <w:ind w:right="200"/>
        <w:spacing w:after="0" w:line="302" w:lineRule="auto"/>
        <w:rPr>
          <w:sz w:val="20"/>
          <w:szCs w:val="20"/>
          <w:color w:val="auto"/>
        </w:rPr>
      </w:pPr>
      <w:r>
        <w:rPr>
          <w:rFonts w:ascii="Arial" w:cs="Arial" w:eastAsia="Arial" w:hAnsi="Arial"/>
          <w:sz w:val="22"/>
          <w:szCs w:val="22"/>
          <w:color w:val="auto"/>
        </w:rPr>
        <w:t>permitted to be outstanding under such Credit Agreement or one or more successors to the Credit Agreement or one or more new credit agreements.</w:t>
      </w:r>
    </w:p>
    <w:p>
      <w:pPr>
        <w:spacing w:after="0" w:line="390" w:lineRule="exact"/>
        <w:rPr>
          <w:sz w:val="20"/>
          <w:szCs w:val="20"/>
          <w:color w:val="auto"/>
        </w:rPr>
      </w:pPr>
    </w:p>
    <w:p>
      <w:pPr>
        <w:ind w:right="40" w:firstLine="648"/>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with respect to the Company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or fleet financing (including through the sale of receivables or fleet assets to such institutions or to special purpose entities formed to borrow from such institutions against such receivables or fleet assets or the creation of any Liens in respect of such receivables or fleet assets in favor of such institutions), letters of credit or other Indebtedness,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and in each case as amended, restated, modified, supplemented,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Facility or one or more other credit or other agreements, indentures, financing agreements or otherwise).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Facility Documents</w:t>
      </w:r>
      <w:r>
        <w:rPr>
          <w:rFonts w:ascii="Arial" w:cs="Arial" w:eastAsia="Arial" w:hAnsi="Arial"/>
          <w:sz w:val="21"/>
          <w:szCs w:val="21"/>
          <w:color w:val="auto"/>
        </w:rPr>
        <w:t>” means the collective reference to any Credit Facility, any notes issued pursuant thereto and the guarantees thereof, and the collateral documents relating thereto, as amended, supplemented, restated, renewed, refunded, replaced, restructured, repaid, refinanced or otherwise modified, in whole or in part, from time to time.</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Custodian</w:t>
      </w:r>
      <w:r>
        <w:rPr>
          <w:rFonts w:ascii="Arial" w:cs="Arial" w:eastAsia="Arial" w:hAnsi="Arial"/>
          <w:sz w:val="19"/>
          <w:szCs w:val="19"/>
          <w:color w:val="auto"/>
        </w:rPr>
        <w:t>” means any receiver, trustee, assignee, liquidator, custodian or similar official under any Bankruptcy Law.</w:t>
      </w: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means any event that is, or with the passage of time or the giving of notice or both would be,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1077" w:right="279" w:bottom="1440" w:gutter="0" w:footer="0" w:header="0"/>
        </w:sectPr>
      </w:pPr>
    </w:p>
    <w:bookmarkStart w:id="68" w:name="page69"/>
    <w:bookmarkEnd w:id="6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Notes</w:t>
      </w:r>
      <w:r>
        <w:rPr>
          <w:rFonts w:ascii="Arial" w:cs="Arial" w:eastAsia="Arial" w:hAnsi="Arial"/>
          <w:sz w:val="22"/>
          <w:szCs w:val="22"/>
          <w:color w:val="auto"/>
        </w:rPr>
        <w:t>” means certificated Notes.</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xml:space="preserve">”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399"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Designated Preferred Stock</w:t>
      </w:r>
      <w:r>
        <w:rPr>
          <w:rFonts w:ascii="Arial" w:cs="Arial" w:eastAsia="Arial" w:hAnsi="Arial"/>
          <w:sz w:val="19"/>
          <w:szCs w:val="19"/>
          <w:color w:val="auto"/>
        </w:rPr>
        <w:t>” means, with respect to the Company, Preferred Stock (other than Disqualified Stock) (a)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 Preferred Stock” pursuant to an Officer’s Certificate of the Company at or prior to the issuance thereof, the Net Cash Proceeds of which are excluded from the calculation set forth in </w:t>
      </w:r>
      <w:r>
        <w:rPr>
          <w:rFonts w:ascii="Arial" w:cs="Arial" w:eastAsia="Arial" w:hAnsi="Arial"/>
          <w:sz w:val="19"/>
          <w:szCs w:val="19"/>
          <w:u w:val="single" w:color="auto"/>
          <w:color w:val="auto"/>
        </w:rPr>
        <w:t>Section 3.3(a)(iii)(C)</w:t>
      </w:r>
      <w:r>
        <w:rPr>
          <w:rFonts w:ascii="Arial" w:cs="Arial" w:eastAsia="Arial" w:hAnsi="Arial"/>
          <w:sz w:val="19"/>
          <w:szCs w:val="19"/>
          <w:color w:val="auto"/>
        </w:rPr>
        <w:t>.</w:t>
      </w:r>
    </w:p>
    <w:p>
      <w:pPr>
        <w:spacing w:after="0" w:line="366"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Parent</w:t>
      </w:r>
      <w:r>
        <w:rPr>
          <w:rFonts w:ascii="Arial" w:cs="Arial" w:eastAsia="Arial" w:hAnsi="Arial"/>
          <w:sz w:val="22"/>
          <w:szCs w:val="22"/>
          <w:color w:val="auto"/>
        </w:rPr>
        <w:t>” means Avis Budget Holdings, LLC, a limited liability company organized under the laws of the State of Delaware.</w:t>
      </w:r>
    </w:p>
    <w:p>
      <w:pPr>
        <w:spacing w:after="0" w:line="390" w:lineRule="exact"/>
        <w:rPr>
          <w:sz w:val="20"/>
          <w:szCs w:val="20"/>
          <w:color w:val="auto"/>
        </w:rPr>
      </w:pPr>
    </w:p>
    <w:p>
      <w:pPr>
        <w:ind w:right="4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of such Person which by its terms (or by the terms of any security into which it is convertible or for which it is exchangeable) or upon the happening of any event:</w:t>
      </w:r>
    </w:p>
    <w:p>
      <w:pPr>
        <w:spacing w:after="0" w:line="322" w:lineRule="exact"/>
        <w:rPr>
          <w:sz w:val="20"/>
          <w:szCs w:val="20"/>
          <w:color w:val="auto"/>
        </w:rPr>
      </w:pPr>
    </w:p>
    <w:p>
      <w:pPr>
        <w:ind w:left="660" w:right="540" w:firstLine="645"/>
        <w:spacing w:after="0" w:line="315" w:lineRule="auto"/>
        <w:tabs>
          <w:tab w:leader="none" w:pos="1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matures or is mandatorily redeemable for cash or in exchange for Indebtedness pursuant to a sinking fund obligation or otherwise; or</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is or may become (in accordance with its terms) upon the occurrence of certain events or otherwise redeemable</w:t>
      </w:r>
    </w:p>
    <w:p>
      <w:pPr>
        <w:spacing w:after="0" w:line="92" w:lineRule="exact"/>
        <w:rPr>
          <w:rFonts w:ascii="Arial" w:cs="Arial" w:eastAsia="Arial" w:hAnsi="Arial"/>
          <w:sz w:val="19"/>
          <w:szCs w:val="19"/>
          <w:color w:val="auto"/>
        </w:rPr>
      </w:pPr>
    </w:p>
    <w:p>
      <w:pPr>
        <w:ind w:left="660" w:right="440"/>
        <w:spacing w:after="0" w:line="302" w:lineRule="auto"/>
        <w:rPr>
          <w:rFonts w:ascii="Arial" w:cs="Arial" w:eastAsia="Arial" w:hAnsi="Arial"/>
          <w:sz w:val="19"/>
          <w:szCs w:val="19"/>
          <w:color w:val="auto"/>
        </w:rPr>
      </w:pPr>
      <w:r>
        <w:rPr>
          <w:rFonts w:ascii="Arial" w:cs="Arial" w:eastAsia="Arial" w:hAnsi="Arial"/>
          <w:sz w:val="22"/>
          <w:szCs w:val="22"/>
          <w:color w:val="auto"/>
        </w:rPr>
        <w:t>or repurchasable for cash or in exchange for Indebtedness at the option of the holder of the Capital Stock in whole or in part,</w:t>
      </w:r>
    </w:p>
    <w:p>
      <w:pPr>
        <w:spacing w:after="0" w:line="390" w:lineRule="exact"/>
        <w:rPr>
          <w:sz w:val="20"/>
          <w:szCs w:val="20"/>
          <w:color w:val="auto"/>
        </w:rPr>
      </w:pPr>
    </w:p>
    <w:p>
      <w:pPr>
        <w:spacing w:after="0" w:line="326" w:lineRule="auto"/>
        <w:rPr>
          <w:sz w:val="20"/>
          <w:szCs w:val="20"/>
          <w:color w:val="auto"/>
        </w:rPr>
      </w:pPr>
      <w:r>
        <w:rPr>
          <w:rFonts w:ascii="Arial" w:cs="Arial" w:eastAsia="Arial" w:hAnsi="Arial"/>
          <w:sz w:val="19"/>
          <w:szCs w:val="19"/>
          <w:color w:val="auto"/>
        </w:rPr>
        <w:t xml:space="preserve">in each case on or prior to the earlier of (a) the Stated Maturity of the Notes or (b) the date on which there are no Notes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only the portion of Capital Stock which so matures or is mandatorily redeemable, is so convertible or exchangeable or is so redeemable at the option of the holder thereof prior to such date will be deemed to be Disqualified Stock and</w:t>
      </w:r>
    </w:p>
    <w:p>
      <w:pPr>
        <w:spacing w:after="0" w:line="1" w:lineRule="exact"/>
        <w:rPr>
          <w:sz w:val="20"/>
          <w:szCs w:val="20"/>
          <w:color w:val="auto"/>
        </w:rPr>
      </w:pPr>
    </w:p>
    <w:p>
      <w:pPr>
        <w:ind w:right="100" w:firstLine="8"/>
        <w:spacing w:after="0" w:line="292" w:lineRule="auto"/>
        <w:tabs>
          <w:tab w:leader="none" w:pos="318"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Capital Stock that would constitute Disqualified Stock solely because the holders thereof have the right to require the Company to repurchase such Capital Stock upon the occurrence of a change of control or asset sale (howsoever defined or referred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077" w:right="239" w:bottom="1440" w:gutter="0" w:footer="0" w:header="0"/>
        </w:sectPr>
      </w:pPr>
    </w:p>
    <w:bookmarkStart w:id="69" w:name="page70"/>
    <w:bookmarkEnd w:id="69"/>
    <w:p>
      <w:pPr>
        <w:ind w:right="120"/>
        <w:spacing w:after="0" w:line="287" w:lineRule="auto"/>
        <w:rPr>
          <w:sz w:val="20"/>
          <w:szCs w:val="20"/>
          <w:color w:val="auto"/>
        </w:rPr>
      </w:pPr>
      <w:r>
        <w:rPr>
          <w:rFonts w:ascii="Arial" w:cs="Arial" w:eastAsia="Arial" w:hAnsi="Arial"/>
          <w:sz w:val="22"/>
          <w:szCs w:val="22"/>
          <w:color w:val="auto"/>
        </w:rPr>
        <w:t xml:space="preserve">shall not constitute Disqualified Stock if any such redemption or repurchase obligation is subject to compliance by the relevant Person with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money of the United States of America.</w:t>
      </w:r>
    </w:p>
    <w:p>
      <w:pPr>
        <w:spacing w:after="0" w:line="200" w:lineRule="exact"/>
        <w:rPr>
          <w:sz w:val="20"/>
          <w:szCs w:val="20"/>
          <w:color w:val="auto"/>
        </w:rPr>
      </w:pPr>
    </w:p>
    <w:p>
      <w:pPr>
        <w:spacing w:after="0" w:line="276" w:lineRule="exact"/>
        <w:rPr>
          <w:sz w:val="20"/>
          <w:szCs w:val="20"/>
          <w:color w:val="auto"/>
        </w:rPr>
      </w:pPr>
    </w:p>
    <w:p>
      <w:pPr>
        <w:ind w:right="2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with respect to any Person, any Restricted Subsidiary of such Person other than a Foreign Subsidiary.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or any successor securities clearing agency.</w:t>
      </w:r>
    </w:p>
    <w:p>
      <w:pPr>
        <w:spacing w:after="0" w:line="200" w:lineRule="exact"/>
        <w:rPr>
          <w:sz w:val="20"/>
          <w:szCs w:val="20"/>
          <w:color w:val="auto"/>
        </w:rPr>
      </w:pPr>
    </w:p>
    <w:p>
      <w:pPr>
        <w:spacing w:after="0" w:line="276"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Offering</w:t>
      </w:r>
      <w:r>
        <w:rPr>
          <w:rFonts w:ascii="Arial" w:cs="Arial" w:eastAsia="Arial" w:hAnsi="Arial"/>
          <w:sz w:val="22"/>
          <w:szCs w:val="22"/>
          <w:color w:val="auto"/>
        </w:rPr>
        <w:t>” means (x) a sale of Capital Stock of the Company (other than Disqualified Stock) other than offerings registered on Form S-8 (or any successor form) under the Securities Act or any similar offering in other jurisdictions, or (y) the sale of Capital Stock or other securities, the proceeds of which are contributed to the equity (other than through the issuance of Disqualified Stock or Designated Preferred Stock or through an Excluded Contribution) of the Company or any of its Restricted Subsidiaries.</w:t>
      </w:r>
    </w:p>
    <w:p>
      <w:pPr>
        <w:spacing w:after="0" w:line="200" w:lineRule="exact"/>
        <w:rPr>
          <w:sz w:val="20"/>
          <w:szCs w:val="20"/>
          <w:color w:val="auto"/>
        </w:rPr>
      </w:pPr>
    </w:p>
    <w:p>
      <w:pPr>
        <w:spacing w:after="0" w:line="205"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and the rules and regulations of the SEC promulgated thereunder, as amended.</w:t>
      </w:r>
    </w:p>
    <w:p>
      <w:pPr>
        <w:spacing w:after="0" w:line="390" w:lineRule="exact"/>
        <w:rPr>
          <w:sz w:val="20"/>
          <w:szCs w:val="20"/>
          <w:color w:val="auto"/>
        </w:rPr>
      </w:pPr>
    </w:p>
    <w:p>
      <w:pPr>
        <w:ind w:right="2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w:t>
      </w:r>
      <w:r>
        <w:rPr>
          <w:rFonts w:ascii="Arial" w:cs="Arial" w:eastAsia="Arial" w:hAnsi="Arial"/>
          <w:sz w:val="19"/>
          <w:szCs w:val="19"/>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to the extent designated as an Excluded Contribution pursuant to an Officer’s Certificate of the Company.</w:t>
      </w:r>
    </w:p>
    <w:p>
      <w:pPr>
        <w:spacing w:after="0" w:line="369" w:lineRule="exact"/>
        <w:rPr>
          <w:sz w:val="20"/>
          <w:szCs w:val="20"/>
          <w:color w:val="auto"/>
        </w:rPr>
      </w:pPr>
    </w:p>
    <w:p>
      <w:pPr>
        <w:jc w:val="both"/>
        <w:ind w:right="4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400"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Disposition</w:t>
      </w:r>
      <w:r>
        <w:rPr>
          <w:rFonts w:ascii="Arial" w:cs="Arial" w:eastAsia="Arial" w:hAnsi="Arial"/>
          <w:sz w:val="22"/>
          <w:szCs w:val="22"/>
          <w:color w:val="auto"/>
        </w:rPr>
        <w:t>” means any sale, transfer, conveyance or other disposition of, or creation or incurrence of any Lien on, property or assets by the Company or any Subsidiary thereof to or in favor of any Special Purpose Entity, or by any Special Purpose Subsidiary, in</w:t>
      </w:r>
    </w:p>
    <w:p>
      <w:pPr>
        <w:sectPr>
          <w:pgSz w:w="11900" w:h="16838" w:orient="portrait"/>
          <w:cols w:equalWidth="0" w:num="1">
            <w:col w:w="11380"/>
          </w:cols>
          <w:pgMar w:left="240" w:top="1077"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380"/>
          </w:cols>
          <w:pgMar w:left="240" w:top="1077" w:right="279" w:bottom="1440" w:gutter="0" w:footer="0" w:header="0"/>
          <w:type w:val="continuous"/>
        </w:sectPr>
      </w:pPr>
    </w:p>
    <w:bookmarkStart w:id="70" w:name="page71"/>
    <w:bookmarkEnd w:id="70"/>
    <w:p>
      <w:pPr>
        <w:ind w:right="120"/>
        <w:spacing w:after="0" w:line="292" w:lineRule="auto"/>
        <w:rPr>
          <w:sz w:val="20"/>
          <w:szCs w:val="20"/>
          <w:color w:val="auto"/>
        </w:rPr>
      </w:pPr>
      <w:r>
        <w:rPr>
          <w:rFonts w:ascii="Arial" w:cs="Arial" w:eastAsia="Arial" w:hAnsi="Arial"/>
          <w:sz w:val="22"/>
          <w:szCs w:val="22"/>
          <w:color w:val="auto"/>
        </w:rPr>
        <w:t>each case in connection with a financing by a Special Purpose Entity or in connection with the Incurrence by a Special Purpose Entity of Indebtedness or obligations to make payments to the obligor on Indebtedness, which may be secured by a Lien in respect of such property or assets.</w:t>
      </w:r>
    </w:p>
    <w:p>
      <w:pPr>
        <w:spacing w:after="0" w:line="400"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means, with respect to any Person on any determination date, the ratio of Consolidated EBITDA of such Person for the most recent four consecutive fiscal quarters ending immediately prior to such determination date for which internal consolidated financial statements are available to the Fixed Charges of such Person for four consecutive fiscal quarters.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pro forma calculation shall not give effect to any Indebtedness Incurred on such determination date.</w:t>
      </w:r>
    </w:p>
    <w:p>
      <w:pPr>
        <w:spacing w:after="0" w:line="382" w:lineRule="exact"/>
        <w:rPr>
          <w:sz w:val="20"/>
          <w:szCs w:val="20"/>
          <w:color w:val="auto"/>
        </w:rPr>
      </w:pPr>
    </w:p>
    <w:p>
      <w:pPr>
        <w:ind w:right="20" w:firstLine="648"/>
        <w:spacing w:after="0" w:line="298" w:lineRule="auto"/>
        <w:rPr>
          <w:sz w:val="20"/>
          <w:szCs w:val="20"/>
          <w:color w:val="auto"/>
        </w:rPr>
      </w:pPr>
      <w:r>
        <w:rPr>
          <w:rFonts w:ascii="Arial" w:cs="Arial" w:eastAsia="Arial" w:hAnsi="Arial"/>
          <w:sz w:val="21"/>
          <w:szCs w:val="21"/>
          <w:color w:val="auto"/>
        </w:rPr>
        <w:t>For purposes of making the computation referred to above, any Investments, acquisitions, dispositions, mergers, consolidations and disposed operations that have been made by the 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077" w:right="239" w:bottom="1440" w:gutter="0" w:footer="0" w:header="0"/>
        </w:sectPr>
      </w:pPr>
    </w:p>
    <w:bookmarkStart w:id="71" w:name="page72"/>
    <w:bookmarkEnd w:id="71"/>
    <w:p>
      <w:pPr>
        <w:ind w:firstLine="648"/>
        <w:spacing w:after="0" w:line="330" w:lineRule="auto"/>
        <w:rPr>
          <w:sz w:val="20"/>
          <w:szCs w:val="20"/>
          <w:color w:val="auto"/>
        </w:rPr>
      </w:pPr>
      <w:r>
        <w:rPr>
          <w:rFonts w:ascii="Arial" w:cs="Arial" w:eastAsia="Arial" w:hAnsi="Arial"/>
          <w:sz w:val="19"/>
          <w:szCs w:val="19"/>
          <w:color w:val="auto"/>
        </w:rPr>
        <w:t xml:space="preserve">Notwithstanding anything in this definition to the contrary, when calculating the Consolidated Total Secured Leverage Ratio, the Consolidated Total Leverage Ratio or the Fixed Charge Coverage Ratio, as applicable, in each case in connection with a Limited Condition Acquisition, the date of determination of such ratio and of any default or event of default blocker shall, at the option of the Company, be the date the definitive agreements for such Limited Condition Acquisition are entered into and such ratios shall be calculated on a pro forma basis after giving effect to such Limited Condition Acquisition and the other transactions to be entered into in connection therewith (including any incurrence of Indebtedness and the use of proceeds thereof) as if they occurred at the beginning of the four-quarter reference period, and, for the avoidance of doubt, (x) if any such ratios are exceeded as a result of fluctuations in such ratio (including due to fluctuations in Consolidated EBITDA of the Company or the target company) at or prior to the consummation of the relevant Limited Condition Acquisition, such ratios will not be deemed to have been exceeded as a result of such fluctuations solely for purposes of determining whether the Limited Condition Acquisition is permitted hereunder and (y) such ratios shall not be tested at the time of consummation of such Limited Condition Acquisition or related transactions;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 Company elects to have such determinations occur at the time of entry into such definitive agreement, any such transaction shall be deemed to have occurred on the date the definitive agreements are entered and outstanding thereafter for purposes of subsequently calculating any ratios under this Indenture after the date of such agreement and before the consummation of such Limited Condition Acquisition and to the extent baskets were utilized in satisfying any covenants, such baskets shall be deemed utilized, but any calculation of Total Assets or Consolidated Net Income for purposes of other incurrences of Indebtedness or Liens or making of Restricted Payments (not related to such Limited Condition Acquisition) shall not reflect such Limited Condition Acquisition until it is closed.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648"/>
        <w:spacing w:after="0" w:line="333" w:lineRule="auto"/>
        <w:rPr>
          <w:sz w:val="20"/>
          <w:szCs w:val="20"/>
          <w:color w:val="auto"/>
        </w:rPr>
      </w:pPr>
      <w:r>
        <w:rPr>
          <w:rFonts w:ascii="Arial" w:cs="Arial" w:eastAsia="Arial" w:hAnsi="Arial"/>
          <w:sz w:val="19"/>
          <w:szCs w:val="19"/>
          <w:color w:val="auto"/>
        </w:rPr>
        <w:t xml:space="preserve">For purposes of this definition, whenever pro forma effect is to be given to a transaction, the pro forma calculations shall be made in good faith by a responsible financial or chief accounting officer of the Company (including cost savings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reasonably attributable to the action specified and reasonably anticipated to result from such actions.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applicable period except as set forth in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077" w:right="239" w:bottom="1440" w:gutter="0" w:footer="0" w:header="0"/>
        </w:sectPr>
      </w:pPr>
    </w:p>
    <w:bookmarkStart w:id="72" w:name="page73"/>
    <w:bookmarkEnd w:id="72"/>
    <w:p>
      <w:pPr>
        <w:jc w:val="both"/>
        <w:ind w:right="60"/>
        <w:spacing w:after="0" w:line="357" w:lineRule="auto"/>
        <w:rPr>
          <w:sz w:val="20"/>
          <w:szCs w:val="20"/>
          <w:color w:val="auto"/>
        </w:rPr>
      </w:pPr>
      <w:r>
        <w:rPr>
          <w:rFonts w:ascii="Arial" w:cs="Arial" w:eastAsia="Arial" w:hAnsi="Arial"/>
          <w:sz w:val="19"/>
          <w:szCs w:val="19"/>
          <w:color w:val="auto"/>
        </w:rPr>
        <w:t>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with respect to any Person for any period, the sum of:</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Consolidated Interest Expense of such Person for such period;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00" w:firstLine="645"/>
        <w:spacing w:after="0" w:line="315" w:lineRule="auto"/>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any Restricted Subsidiary of such Person during such period; and</w:t>
      </w:r>
    </w:p>
    <w:p>
      <w:pPr>
        <w:spacing w:after="0" w:line="375" w:lineRule="exact"/>
        <w:rPr>
          <w:rFonts w:ascii="Arial" w:cs="Arial" w:eastAsia="Arial" w:hAnsi="Arial"/>
          <w:sz w:val="22"/>
          <w:szCs w:val="22"/>
          <w:color w:val="auto"/>
        </w:rPr>
      </w:pPr>
    </w:p>
    <w:p>
      <w:pPr>
        <w:ind w:left="660" w:right="400" w:firstLine="645"/>
        <w:spacing w:after="0" w:line="315" w:lineRule="auto"/>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during this period.</w:t>
      </w:r>
    </w:p>
    <w:p>
      <w:pPr>
        <w:spacing w:after="0" w:line="376" w:lineRule="exact"/>
        <w:rPr>
          <w:sz w:val="20"/>
          <w:szCs w:val="20"/>
          <w:color w:val="auto"/>
        </w:rPr>
      </w:pPr>
    </w:p>
    <w:p>
      <w:pPr>
        <w:ind w:right="38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with respect to any Person, any Subsidiary of such Person that is not organized or existing under the laws of the United States, any state thereof or the District of Columbia, and any Subsidiary of such Subsidiary.</w:t>
      </w:r>
    </w:p>
    <w:p>
      <w:pPr>
        <w:spacing w:after="0" w:line="322" w:lineRule="exact"/>
        <w:rPr>
          <w:sz w:val="20"/>
          <w:szCs w:val="20"/>
          <w:color w:val="auto"/>
        </w:rPr>
      </w:pPr>
    </w:p>
    <w:p>
      <w:pPr>
        <w:ind w:right="20" w:firstLine="648"/>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as in effect on the Issue Date. At any time after the Issue Date, the Company may elect to establish that GAAP shall mean the GAAP as in effect on or prior to the date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this Indenture), including as to the ability of the Company to make an election pursuant to the previous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election, once made,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calculation or determination in this Indenture that require the application of GAAP for periods that include fiscal quarters ended prior to the Company’s election to apply IFRS shall remain as previously calculated or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again</w:t>
      </w:r>
      <w:r>
        <w:rPr>
          <w:rFonts w:ascii="Arial" w:cs="Arial" w:eastAsia="Arial" w:hAnsi="Arial"/>
          <w:sz w:val="19"/>
          <w:szCs w:val="19"/>
          <w:color w:val="auto"/>
        </w:rPr>
        <w:t xml:space="preserve">, that the Company may only make such election if it also elects to report any subsequent financial reports required to be made by the Company, including pursuant to Section 13 or Section 15(d) of the Exchange Act and </w:t>
      </w:r>
      <w:r>
        <w:rPr>
          <w:rFonts w:ascii="Arial" w:cs="Arial" w:eastAsia="Arial" w:hAnsi="Arial"/>
          <w:sz w:val="19"/>
          <w:szCs w:val="19"/>
          <w:u w:val="single" w:color="auto"/>
          <w:color w:val="auto"/>
        </w:rPr>
        <w:t>Section</w:t>
      </w:r>
    </w:p>
    <w:p>
      <w:pPr>
        <w:spacing w:after="0" w:line="4" w:lineRule="exact"/>
        <w:rPr>
          <w:sz w:val="20"/>
          <w:szCs w:val="20"/>
          <w:color w:val="auto"/>
        </w:rPr>
      </w:pPr>
    </w:p>
    <w:p>
      <w:pPr>
        <w:spacing w:after="0" w:line="302" w:lineRule="auto"/>
        <w:rPr>
          <w:sz w:val="20"/>
          <w:szCs w:val="20"/>
          <w:color w:val="auto"/>
        </w:rPr>
      </w:pPr>
      <w:r>
        <w:rPr>
          <w:rFonts w:ascii="Arial" w:cs="Arial" w:eastAsia="Arial" w:hAnsi="Arial"/>
          <w:sz w:val="22"/>
          <w:szCs w:val="22"/>
          <w:u w:val="single" w:color="auto"/>
          <w:color w:val="auto"/>
        </w:rPr>
        <w:t>3.10</w:t>
      </w:r>
      <w:r>
        <w:rPr>
          <w:rFonts w:ascii="Arial" w:cs="Arial" w:eastAsia="Arial" w:hAnsi="Arial"/>
          <w:sz w:val="22"/>
          <w:szCs w:val="22"/>
          <w:color w:val="auto"/>
        </w:rPr>
        <w:t xml:space="preserve"> herein in IFRS. The Company shall give notice of any such election made in accordance with this definition to the Trustee and the Holders.</w:t>
      </w:r>
    </w:p>
    <w:p>
      <w:pPr>
        <w:spacing w:after="0" w:line="390" w:lineRule="exact"/>
        <w:rPr>
          <w:sz w:val="20"/>
          <w:szCs w:val="20"/>
          <w:color w:val="auto"/>
        </w:rPr>
      </w:pPr>
    </w:p>
    <w:p>
      <w:pPr>
        <w:ind w:right="5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sovereign or government, any state, province, territory or other political subdivision thereof, any agency, authority, instrumentality,</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80"/>
          </w:cols>
          <w:pgMar w:left="240" w:top="1077" w:right="279" w:bottom="1440" w:gutter="0" w:footer="0" w:header="0"/>
        </w:sectPr>
      </w:pPr>
    </w:p>
    <w:bookmarkStart w:id="73" w:name="page74"/>
    <w:bookmarkEnd w:id="73"/>
    <w:p>
      <w:pPr>
        <w:ind w:right="580"/>
        <w:spacing w:after="0" w:line="387" w:lineRule="auto"/>
        <w:rPr>
          <w:sz w:val="20"/>
          <w:szCs w:val="20"/>
          <w:color w:val="auto"/>
        </w:rPr>
      </w:pPr>
      <w:r>
        <w:rPr>
          <w:rFonts w:ascii="Arial" w:cs="Arial" w:eastAsia="Arial" w:hAnsi="Arial"/>
          <w:sz w:val="19"/>
          <w:szCs w:val="19"/>
          <w:color w:val="auto"/>
        </w:rPr>
        <w:t>regulatory body, court, administrative tribunal, central bank, stock exchange or other entity or authority exercising executive, legislative, judicial, taxing, regulatory, self-regulatory or administrative powers or functions of or pertaining to government.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means, any obligation, contingent or otherwise, of any Person directly or indirectly guaranteeing any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Indebtedness of any other Person, including any such obligation, direct or indirect, contingent or otherwise, of such Person:</w:t>
      </w:r>
    </w:p>
    <w:p>
      <w:pPr>
        <w:spacing w:after="0" w:line="200" w:lineRule="exact"/>
        <w:rPr>
          <w:sz w:val="20"/>
          <w:szCs w:val="20"/>
          <w:color w:val="auto"/>
        </w:rPr>
      </w:pPr>
    </w:p>
    <w:p>
      <w:pPr>
        <w:spacing w:after="0" w:line="311" w:lineRule="exact"/>
        <w:rPr>
          <w:sz w:val="20"/>
          <w:szCs w:val="20"/>
          <w:color w:val="auto"/>
        </w:rPr>
      </w:pPr>
    </w:p>
    <w:p>
      <w:pPr>
        <w:ind w:left="1740" w:hanging="435"/>
        <w:spacing w:after="0"/>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w:t>
      </w:r>
    </w:p>
    <w:p>
      <w:pPr>
        <w:spacing w:after="0" w:line="92" w:lineRule="exact"/>
        <w:rPr>
          <w:rFonts w:ascii="Arial" w:cs="Arial" w:eastAsia="Arial" w:hAnsi="Arial"/>
          <w:sz w:val="19"/>
          <w:szCs w:val="19"/>
          <w:color w:val="auto"/>
        </w:rPr>
      </w:pPr>
    </w:p>
    <w:p>
      <w:pPr>
        <w:ind w:left="660" w:right="320"/>
        <w:spacing w:after="0" w:line="387" w:lineRule="auto"/>
        <w:rPr>
          <w:rFonts w:ascii="Arial" w:cs="Arial" w:eastAsia="Arial" w:hAnsi="Arial"/>
          <w:sz w:val="19"/>
          <w:szCs w:val="19"/>
          <w:color w:val="auto"/>
        </w:rPr>
      </w:pPr>
      <w:r>
        <w:rPr>
          <w:rFonts w:ascii="Arial" w:cs="Arial" w:eastAsia="Arial" w:hAnsi="Arial"/>
          <w:sz w:val="19"/>
          <w:szCs w:val="19"/>
          <w:color w:val="auto"/>
        </w:rPr>
        <w:t>Person (whether arising by virtue of partnership arrangements, or by agreements to keep-well, to purchase assets, goods, securities or services, to take-or-pay or to maintain financial statement conditions or otherwise); or</w:t>
      </w:r>
    </w:p>
    <w:p>
      <w:pPr>
        <w:spacing w:after="0" w:line="321" w:lineRule="exact"/>
        <w:rPr>
          <w:rFonts w:ascii="Arial" w:cs="Arial" w:eastAsia="Arial" w:hAnsi="Arial"/>
          <w:sz w:val="19"/>
          <w:szCs w:val="19"/>
          <w:color w:val="auto"/>
        </w:rPr>
      </w:pPr>
    </w:p>
    <w:p>
      <w:pPr>
        <w:ind w:left="660" w:right="420" w:firstLine="645"/>
        <w:spacing w:after="0" w:line="402" w:lineRule="auto"/>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entered into primarily for purposes of assuring in any other manner the obligee of such Indebtedness of the payment thereof or to protect such obligee against loss in respect thereof (in whole or in part),</w:t>
      </w:r>
    </w:p>
    <w:p>
      <w:pPr>
        <w:spacing w:after="0" w:line="308" w:lineRule="exact"/>
        <w:rPr>
          <w:sz w:val="20"/>
          <w:szCs w:val="20"/>
          <w:color w:val="auto"/>
        </w:rPr>
      </w:pPr>
    </w:p>
    <w:p>
      <w:pPr>
        <w:ind w:right="480"/>
        <w:spacing w:after="0" w:line="3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will not include endorsements for collection or deposit in the ordinary course of business or consistent with past practice. The term “Guarantee” used as a verb has a corresponding meaning.</w:t>
      </w:r>
    </w:p>
    <w:p>
      <w:pPr>
        <w:spacing w:after="0" w:line="281" w:lineRule="exact"/>
        <w:rPr>
          <w:sz w:val="20"/>
          <w:szCs w:val="20"/>
          <w:color w:val="auto"/>
        </w:rPr>
      </w:pPr>
    </w:p>
    <w:p>
      <w:pPr>
        <w:ind w:right="1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the Indirect Parent, the Direct Parent and each Restricted Subsidiary that Guarantees the Notes, in each case until such Note Guarantee is released in accordance with the terms of this Indenture.</w:t>
      </w:r>
    </w:p>
    <w:p>
      <w:pPr>
        <w:spacing w:after="0" w:line="390"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361"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each Person in whose name the Notes are registered on the Registrar’s books, which shall initially be the respective nominee of DTC.</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200" w:lineRule="exact"/>
        <w:rPr>
          <w:sz w:val="20"/>
          <w:szCs w:val="20"/>
          <w:color w:val="auto"/>
        </w:rPr>
      </w:pPr>
    </w:p>
    <w:p>
      <w:pPr>
        <w:spacing w:after="0" w:line="311"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the international financial reporting standards as issued by the International Accounting Standards Board as in effect from time to time.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1077" w:right="259" w:bottom="1440" w:gutter="0" w:footer="0" w:header="0"/>
        </w:sectPr>
      </w:pPr>
    </w:p>
    <w:bookmarkStart w:id="74" w:name="page75"/>
    <w:bookmarkEnd w:id="74"/>
    <w:p>
      <w:pPr>
        <w:ind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each Restricted Subsidiary of the Company that (i) has not guaranteed any other Indebtedness of the Company and (ii) has Total Assets together with all other Immaterial Subsidiaries (other than Foreign Subsidiaries and Unrestricted Subsidiaries) (as determined in accordance with GAAP) and Consolidated EBITDA together with all Immaterial Subsidiaries (other than Foreign Subsidiaries and Unrestricted Subsidiaries) (as determined in accordance with the definition of Consolidated EBITDA herein) of less than 5.0% of the Company’s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372" w:lineRule="exact"/>
        <w:rPr>
          <w:sz w:val="20"/>
          <w:szCs w:val="20"/>
          <w:color w:val="auto"/>
        </w:rPr>
      </w:pPr>
    </w:p>
    <w:p>
      <w:pPr>
        <w:ind w:right="1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xml:space="preserve">” means issue, create, assume, enter into any Guarantee of, incur, extend or otherwise become liable 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with respect to any Person on any date of determination (without duplication):</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principal of indebtedness of such Person for borrowed money;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principal of obligations of such Person evidenced by bonds, debentures, notes or other similar instruments;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740" w:hanging="435"/>
        <w:spacing w:after="0"/>
        <w:tabs>
          <w:tab w:leader="none" w:pos="17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reimbursement obligations of such Person in respect of letters of credit, bankers’ acceptances or other</w:t>
      </w:r>
    </w:p>
    <w:p>
      <w:pPr>
        <w:spacing w:after="0" w:line="92" w:lineRule="exact"/>
        <w:rPr>
          <w:rFonts w:ascii="Arial" w:cs="Arial" w:eastAsia="Arial" w:hAnsi="Arial"/>
          <w:sz w:val="19"/>
          <w:szCs w:val="19"/>
          <w:color w:val="auto"/>
        </w:rPr>
      </w:pPr>
    </w:p>
    <w:p>
      <w:pPr>
        <w:ind w:left="660" w:right="120"/>
        <w:spacing w:after="0" w:line="288" w:lineRule="auto"/>
        <w:rPr>
          <w:rFonts w:ascii="Arial" w:cs="Arial" w:eastAsia="Arial" w:hAnsi="Arial"/>
          <w:sz w:val="19"/>
          <w:szCs w:val="19"/>
          <w:color w:val="auto"/>
        </w:rPr>
      </w:pPr>
      <w:r>
        <w:rPr>
          <w:rFonts w:ascii="Arial" w:cs="Arial" w:eastAsia="Arial" w:hAnsi="Arial"/>
          <w:sz w:val="22"/>
          <w:szCs w:val="22"/>
          <w:color w:val="auto"/>
        </w:rPr>
        <w:t>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660" w:right="500" w:firstLine="645"/>
        <w:spacing w:after="0" w:line="315" w:lineRule="auto"/>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principal component of all obligations of such Person to pay the deferred and unpaid purchase price of property (except trade payables), which purchase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077"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9"/>
          <w:szCs w:val="19"/>
          <w:color w:val="auto"/>
        </w:rPr>
        <w:t>price is due more than one year after the date of placing such property in service or taking final delivery and title thereto;</w:t>
      </w:r>
    </w:p>
    <w:p>
      <w:pPr>
        <w:spacing w:after="0" w:line="200" w:lineRule="exact"/>
        <w:rPr>
          <w:sz w:val="20"/>
          <w:szCs w:val="20"/>
          <w:color w:val="auto"/>
        </w:rPr>
      </w:pPr>
    </w:p>
    <w:p>
      <w:pPr>
        <w:spacing w:after="0" w:line="311" w:lineRule="exact"/>
        <w:rPr>
          <w:sz w:val="20"/>
          <w:szCs w:val="20"/>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Capitalized Lease Obligations of such Person;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principal component of all obligations, or liquidation preference, of such Person with respect to any</w:t>
      </w:r>
    </w:p>
    <w:p>
      <w:pPr>
        <w:spacing w:after="0" w:line="69" w:lineRule="exact"/>
        <w:rPr>
          <w:rFonts w:ascii="Arial" w:cs="Arial" w:eastAsia="Arial" w:hAnsi="Arial"/>
          <w:sz w:val="21"/>
          <w:szCs w:val="21"/>
          <w:color w:val="auto"/>
        </w:rPr>
      </w:pPr>
    </w:p>
    <w:p>
      <w:pPr>
        <w:ind w:left="660" w:right="520"/>
        <w:spacing w:after="0" w:line="302" w:lineRule="auto"/>
        <w:rPr>
          <w:rFonts w:ascii="Arial" w:cs="Arial" w:eastAsia="Arial" w:hAnsi="Arial"/>
          <w:sz w:val="21"/>
          <w:szCs w:val="21"/>
          <w:color w:val="auto"/>
        </w:rPr>
      </w:pPr>
      <w:r>
        <w:rPr>
          <w:rFonts w:ascii="Arial" w:cs="Arial" w:eastAsia="Arial" w:hAnsi="Arial"/>
          <w:sz w:val="22"/>
          <w:szCs w:val="22"/>
          <w:color w:val="auto"/>
        </w:rPr>
        <w:t>Disqualified Stock or, with respect to any Restricted Subsidiary, any Preferred Stock (but excluding, in each case, any accrued dividends);</w:t>
      </w:r>
    </w:p>
    <w:p>
      <w:pPr>
        <w:spacing w:after="0" w:line="389" w:lineRule="exact"/>
        <w:rPr>
          <w:rFonts w:ascii="Arial" w:cs="Arial" w:eastAsia="Arial" w:hAnsi="Arial"/>
          <w:sz w:val="21"/>
          <w:szCs w:val="21"/>
          <w:color w:val="auto"/>
        </w:rPr>
      </w:pPr>
    </w:p>
    <w:p>
      <w:pPr>
        <w:ind w:left="1740" w:hanging="435"/>
        <w:spacing w:after="0"/>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principal component of all Indebtedness of other Persons secured by a Lien on any asset of such Person,</w:t>
      </w:r>
    </w:p>
    <w:p>
      <w:pPr>
        <w:spacing w:after="0" w:line="92" w:lineRule="exact"/>
        <w:rPr>
          <w:rFonts w:ascii="Arial" w:cs="Arial" w:eastAsia="Arial" w:hAnsi="Arial"/>
          <w:sz w:val="19"/>
          <w:szCs w:val="19"/>
          <w:color w:val="auto"/>
        </w:rPr>
      </w:pPr>
    </w:p>
    <w:p>
      <w:pPr>
        <w:ind w:left="6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right="900" w:firstLine="645"/>
        <w:spacing w:after="0" w:line="315" w:lineRule="auto"/>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Guarantees by such Person of the principal component of Indebtedness of other Persons to the extent Guaranteed by such Person; and</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net obligations of such Person under Hedging</w:t>
      </w:r>
    </w:p>
    <w:p>
      <w:pPr>
        <w:spacing w:after="0" w:line="57" w:lineRule="exact"/>
        <w:rPr>
          <w:rFonts w:ascii="Arial" w:cs="Arial" w:eastAsia="Arial" w:hAnsi="Arial"/>
          <w:sz w:val="22"/>
          <w:szCs w:val="22"/>
          <w:color w:val="auto"/>
        </w:rPr>
      </w:pPr>
    </w:p>
    <w:p>
      <w:pPr>
        <w:ind w:left="660" w:right="280"/>
        <w:spacing w:after="0" w:line="292" w:lineRule="auto"/>
        <w:rPr>
          <w:rFonts w:ascii="Arial" w:cs="Arial" w:eastAsia="Arial" w:hAnsi="Arial"/>
          <w:sz w:val="22"/>
          <w:szCs w:val="22"/>
          <w:color w:val="auto"/>
        </w:rPr>
      </w:pPr>
      <w:r>
        <w:rPr>
          <w:rFonts w:ascii="Arial" w:cs="Arial" w:eastAsia="Arial" w:hAnsi="Arial"/>
          <w:sz w:val="22"/>
          <w:szCs w:val="22"/>
          <w:color w:val="auto"/>
        </w:rPr>
        <w:t>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400" w:lineRule="exact"/>
        <w:rPr>
          <w:sz w:val="20"/>
          <w:szCs w:val="20"/>
          <w:color w:val="auto"/>
        </w:rPr>
      </w:pPr>
    </w:p>
    <w:p>
      <w:pPr>
        <w:ind w:firstLine="648"/>
        <w:spacing w:after="0" w:line="306" w:lineRule="auto"/>
        <w:rPr>
          <w:sz w:val="20"/>
          <w:szCs w:val="20"/>
          <w:color w:val="auto"/>
        </w:rPr>
      </w:pPr>
      <w:r>
        <w:rPr>
          <w:rFonts w:ascii="Arial" w:cs="Arial" w:eastAsia="Arial" w:hAnsi="Arial"/>
          <w:sz w:val="21"/>
          <w:szCs w:val="21"/>
          <w:color w:val="auto"/>
        </w:rPr>
        <w:t xml:space="preserve">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Indebtedness of any Parent Entity appearing upon the balance sheet of the Company solely by reason of push-down accounting under GAAP shall be excluded.</w:t>
      </w:r>
    </w:p>
    <w:p>
      <w:pPr>
        <w:spacing w:after="0" w:line="389"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The term “Indebtedness” shall not include any lease, concession or license of property (or Guarantee thereof) which would be considered an operating lease under GAAP as in effect on the Issue Date,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spacing w:after="0" w:line="361" w:lineRule="exact"/>
        <w:rPr>
          <w:sz w:val="20"/>
          <w:szCs w:val="20"/>
          <w:color w:val="auto"/>
        </w:rPr>
      </w:pPr>
    </w:p>
    <w:p>
      <w:pPr>
        <w:ind w:right="180" w:firstLine="648"/>
        <w:spacing w:after="0" w:line="292" w:lineRule="auto"/>
        <w:rPr>
          <w:sz w:val="20"/>
          <w:szCs w:val="20"/>
          <w:color w:val="auto"/>
        </w:rPr>
      </w:pPr>
      <w:r>
        <w:rPr>
          <w:rFonts w:ascii="Arial" w:cs="Arial" w:eastAsia="Arial" w:hAnsi="Arial"/>
          <w:sz w:val="22"/>
          <w:szCs w:val="22"/>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60"/>
          </w:cols>
          <w:pgMar w:left="240" w:top="1077" w:right="299" w:bottom="1440" w:gutter="0" w:footer="0" w:header="0"/>
        </w:sectPr>
      </w:pPr>
    </w:p>
    <w:bookmarkStart w:id="76" w:name="page77"/>
    <w:bookmarkEnd w:id="76"/>
    <w:p>
      <w:pPr>
        <w:ind w:right="20"/>
        <w:spacing w:after="0" w:line="341" w:lineRule="auto"/>
        <w:rPr>
          <w:sz w:val="20"/>
          <w:szCs w:val="20"/>
          <w:color w:val="auto"/>
        </w:rPr>
      </w:pPr>
      <w:r>
        <w:rPr>
          <w:rFonts w:ascii="Arial" w:cs="Arial" w:eastAsia="Arial" w:hAnsi="Arial"/>
          <w:sz w:val="19"/>
          <w:szCs w:val="19"/>
          <w:color w:val="auto"/>
        </w:rPr>
        <w:t>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above provisions, in no event shall the following constitute Indebtedness:</w:t>
      </w:r>
    </w:p>
    <w:p>
      <w:pPr>
        <w:spacing w:after="0" w:line="200" w:lineRule="exact"/>
        <w:rPr>
          <w:sz w:val="20"/>
          <w:szCs w:val="20"/>
          <w:color w:val="auto"/>
        </w:rPr>
      </w:pPr>
    </w:p>
    <w:p>
      <w:pPr>
        <w:spacing w:after="0" w:line="276" w:lineRule="exact"/>
        <w:rPr>
          <w:sz w:val="20"/>
          <w:szCs w:val="20"/>
          <w:color w:val="auto"/>
        </w:rPr>
      </w:pPr>
    </w:p>
    <w:p>
      <w:pPr>
        <w:ind w:left="660" w:right="480" w:firstLine="1293"/>
        <w:spacing w:after="0" w:line="315" w:lineRule="auto"/>
        <w:tabs>
          <w:tab w:leader="none" w:pos="2389"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 or consistent with past practice, other than assumptions of Indebtedness;</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Cash Management Services;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lease, concession or license of property (or Guarantee thereof) which would be considered an</w:t>
      </w:r>
    </w:p>
    <w:p>
      <w:pPr>
        <w:spacing w:after="0" w:line="92" w:lineRule="exact"/>
        <w:rPr>
          <w:rFonts w:ascii="Arial" w:cs="Arial" w:eastAsia="Arial" w:hAnsi="Arial"/>
          <w:sz w:val="19"/>
          <w:szCs w:val="19"/>
          <w:color w:val="auto"/>
        </w:rPr>
      </w:pPr>
    </w:p>
    <w:p>
      <w:pPr>
        <w:ind w:left="660" w:right="860"/>
        <w:spacing w:after="0" w:line="302" w:lineRule="auto"/>
        <w:rPr>
          <w:rFonts w:ascii="Arial" w:cs="Arial" w:eastAsia="Arial" w:hAnsi="Arial"/>
          <w:sz w:val="19"/>
          <w:szCs w:val="19"/>
          <w:color w:val="auto"/>
        </w:rPr>
      </w:pPr>
      <w:r>
        <w:rPr>
          <w:rFonts w:ascii="Arial" w:cs="Arial" w:eastAsia="Arial" w:hAnsi="Arial"/>
          <w:sz w:val="22"/>
          <w:szCs w:val="22"/>
          <w:color w:val="auto"/>
        </w:rPr>
        <w:t>operating lease under GAAP as in effect on the Issue Date or any prepayments of deposits received from clients or customers in the ordinary course of business or consistent with past practice;</w:t>
      </w:r>
    </w:p>
    <w:p>
      <w:pPr>
        <w:spacing w:after="0" w:line="389" w:lineRule="exact"/>
        <w:rPr>
          <w:rFonts w:ascii="Arial" w:cs="Arial" w:eastAsia="Arial" w:hAnsi="Arial"/>
          <w:sz w:val="19"/>
          <w:szCs w:val="19"/>
          <w:color w:val="auto"/>
        </w:rPr>
      </w:pPr>
    </w:p>
    <w:p>
      <w:pPr>
        <w:ind w:left="660" w:right="860" w:firstLine="1293"/>
        <w:spacing w:after="0" w:line="402" w:lineRule="auto"/>
        <w:tabs>
          <w:tab w:leader="none" w:pos="2389" w:val="left"/>
        </w:tabs>
        <w:numPr>
          <w:ilvl w:val="0"/>
          <w:numId w:val="85"/>
        </w:numPr>
        <w:rPr>
          <w:rFonts w:ascii="Arial" w:cs="Arial" w:eastAsia="Arial" w:hAnsi="Arial"/>
          <w:sz w:val="19"/>
          <w:szCs w:val="19"/>
          <w:color w:val="auto"/>
        </w:rPr>
      </w:pPr>
      <w:r>
        <w:rPr>
          <w:rFonts w:ascii="Arial" w:cs="Arial" w:eastAsia="Arial" w:hAnsi="Arial"/>
          <w:sz w:val="19"/>
          <w:szCs w:val="19"/>
          <w:color w:val="auto"/>
        </w:rPr>
        <w:t>obligations under any license, permit or other approval (or Guarantees given in respect of such obligations) incurred prior to the Issue Date or in the ordinary course of business or consistent with past practice;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connection with the purchase by the Company or any Restricted Subsidiary of any business, any post-</w:t>
      </w:r>
    </w:p>
    <w:p>
      <w:pPr>
        <w:spacing w:after="0" w:line="92" w:lineRule="exact"/>
        <w:rPr>
          <w:rFonts w:ascii="Arial" w:cs="Arial" w:eastAsia="Arial" w:hAnsi="Arial"/>
          <w:sz w:val="19"/>
          <w:szCs w:val="19"/>
          <w:color w:val="auto"/>
        </w:rPr>
      </w:pPr>
    </w:p>
    <w:p>
      <w:pPr>
        <w:jc w:val="both"/>
        <w:ind w:left="660" w:right="20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the time of closing, the amount of any such payment is not determinable and, to the extent such payment thereafter becomes fixed and determined, the amount is paid in a timely manner;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the avoidance of doubt, any obligations in respect of workers’ compensation claims, early retirement</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or termination obligations, pension fund obligations or contributions or similar claims, obligations or contributions or social security or wage Taxes.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077"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Indirect Parent</w:t>
      </w:r>
      <w:r>
        <w:rPr>
          <w:rFonts w:ascii="Arial" w:cs="Arial" w:eastAsia="Arial" w:hAnsi="Arial"/>
          <w:sz w:val="21"/>
          <w:szCs w:val="21"/>
          <w:color w:val="auto"/>
        </w:rPr>
        <w:t>” means Avis Budget Group, Inc., a corporation organized under the laws of the State of Delaware.</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means Citigroup Global Markets Inc., Credit Agricole Securities (USA) Inc., Deutsche Bank Securities Inc., J.P. Morgan Securities LLC, BMO Capital Markets Corp., RBC Capital Markets, LLC, Scotia Capital (USA) Inc., SMBC Nikko Securities America, Inc. and SunTrust Robinson Humphrey, Inc.</w:t>
      </w:r>
    </w:p>
    <w:p>
      <w:pPr>
        <w:spacing w:after="0" w:line="400"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dealers, licensees, franchisees,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other Persons and all other items that are or would be classified as investments on a balance sheet prepared on the basis of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the amount of Restricted 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76" w:lineRule="exact"/>
        <w:rPr>
          <w:sz w:val="20"/>
          <w:szCs w:val="20"/>
          <w:color w:val="auto"/>
        </w:rPr>
      </w:pPr>
    </w:p>
    <w:p>
      <w:pPr>
        <w:ind w:left="660" w:right="40" w:firstLine="645"/>
        <w:spacing w:after="0" w:line="315" w:lineRule="auto"/>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w:t>
      </w:r>
      <w:r>
        <w:rPr>
          <w:rFonts w:ascii="Arial" w:cs="Arial" w:eastAsia="Arial" w:hAnsi="Arial"/>
          <w:sz w:val="22"/>
          <w:szCs w:val="22"/>
          <w:color w:val="auto"/>
        </w:rPr>
        <w:t>” will include the portion (proportionate to the Company’s equity interest in a Restricted Subsidiary to be designated as an Unrestricted Subsidiary)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077" w:right="239" w:bottom="1440" w:gutter="0" w:footer="0" w:header="0"/>
        </w:sectPr>
      </w:pPr>
    </w:p>
    <w:bookmarkStart w:id="78" w:name="page79"/>
    <w:bookmarkEnd w:id="78"/>
    <w:p>
      <w:pPr>
        <w:ind w:right="200"/>
        <w:spacing w:after="0" w:line="336" w:lineRule="auto"/>
        <w:rPr>
          <w:sz w:val="20"/>
          <w:szCs w:val="20"/>
          <w:color w:val="auto"/>
        </w:rPr>
      </w:pPr>
      <w:r>
        <w:rPr>
          <w:rFonts w:ascii="Arial" w:cs="Arial" w:eastAsia="Arial" w:hAnsi="Arial"/>
          <w:sz w:val="19"/>
          <w:szCs w:val="19"/>
          <w:color w:val="auto"/>
        </w:rPr>
        <w:t xml:space="preserve">of the fair market value of the net assets of such Restricted Subsidiary of the Company at the time that such Restricted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371" w:lineRule="exact"/>
        <w:rPr>
          <w:sz w:val="20"/>
          <w:szCs w:val="20"/>
          <w:color w:val="auto"/>
        </w:rPr>
      </w:pPr>
    </w:p>
    <w:p>
      <w:pPr>
        <w:ind w:right="20" w:firstLine="645"/>
        <w:spacing w:after="0" w:line="341" w:lineRule="auto"/>
        <w:tabs>
          <w:tab w:leader="none" w:pos="10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any property transferred to or from an Unrestricted Subsidiary will be valued at its fair market value at the time of such transfer, in each case as determined in good faith by the Board of Directors of the Company.</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Securities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right="260" w:firstLine="645"/>
        <w:spacing w:after="0" w:line="315" w:lineRule="auto"/>
        <w:tabs>
          <w:tab w:leader="none" w:pos="10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or Canadian government or any agency or instrumentality thereof (other than Cash Equivalents);</w:t>
      </w:r>
    </w:p>
    <w:p>
      <w:pPr>
        <w:spacing w:after="0" w:line="375" w:lineRule="exact"/>
        <w:rPr>
          <w:rFonts w:ascii="Arial" w:cs="Arial" w:eastAsia="Arial" w:hAnsi="Arial"/>
          <w:sz w:val="22"/>
          <w:szCs w:val="22"/>
          <w:color w:val="auto"/>
        </w:rPr>
      </w:pPr>
    </w:p>
    <w:p>
      <w:pPr>
        <w:ind w:firstLine="645"/>
        <w:spacing w:after="0" w:line="315" w:lineRule="auto"/>
        <w:tabs>
          <w:tab w:leader="none" w:pos="10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a member of the European Union, or any agency or instrumentality thereof (other than Cash Equivalents);</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debt securities or debt instruments with a rating of “A-” or higher from S&amp;P or “A3” or higher by Moody’s or</w:t>
      </w:r>
    </w:p>
    <w:p>
      <w:pPr>
        <w:spacing w:after="0" w:line="92" w:lineRule="exact"/>
        <w:rPr>
          <w:rFonts w:ascii="Arial" w:cs="Arial" w:eastAsia="Arial" w:hAnsi="Arial"/>
          <w:sz w:val="19"/>
          <w:szCs w:val="19"/>
          <w:color w:val="auto"/>
        </w:rPr>
      </w:pPr>
    </w:p>
    <w:p>
      <w:pPr>
        <w:ind w:right="280"/>
        <w:spacing w:after="0" w:line="311" w:lineRule="auto"/>
        <w:rPr>
          <w:rFonts w:ascii="Arial" w:cs="Arial" w:eastAsia="Arial" w:hAnsi="Arial"/>
          <w:sz w:val="19"/>
          <w:szCs w:val="19"/>
          <w:color w:val="auto"/>
        </w:rPr>
      </w:pPr>
      <w:r>
        <w:rPr>
          <w:rFonts w:ascii="Arial" w:cs="Arial" w:eastAsia="Arial" w:hAnsi="Arial"/>
          <w:sz w:val="21"/>
          <w:szCs w:val="21"/>
          <w:color w:val="auto"/>
        </w:rPr>
        <w:t>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the Company and its Subsidiaries; and</w:t>
      </w:r>
    </w:p>
    <w:p>
      <w:pPr>
        <w:spacing w:after="0" w:line="384" w:lineRule="exact"/>
        <w:rPr>
          <w:rFonts w:ascii="Arial" w:cs="Arial" w:eastAsia="Arial" w:hAnsi="Arial"/>
          <w:sz w:val="19"/>
          <w:szCs w:val="19"/>
          <w:color w:val="auto"/>
        </w:rPr>
      </w:pPr>
    </w:p>
    <w:p>
      <w:pPr>
        <w:ind w:right="100" w:firstLine="645"/>
        <w:spacing w:after="0" w:line="341" w:lineRule="auto"/>
        <w:tabs>
          <w:tab w:leader="none" w:pos="10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investments in any fund that invests exclusively in investments of the type described in clauses (1), (2) and (3) above which fund may also hold cash and Cash Equivalents pending investment or distribution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Status</w:t>
      </w:r>
      <w:r>
        <w:rPr>
          <w:rFonts w:ascii="Arial" w:cs="Arial" w:eastAsia="Arial" w:hAnsi="Arial"/>
          <w:sz w:val="22"/>
          <w:szCs w:val="22"/>
          <w:color w:val="auto"/>
        </w:rPr>
        <w:t>” shall occur when the Notes receive each of the following:</w:t>
      </w:r>
    </w:p>
    <w:p>
      <w:pPr>
        <w:spacing w:after="0" w:line="200" w:lineRule="exact"/>
        <w:rPr>
          <w:sz w:val="20"/>
          <w:szCs w:val="20"/>
          <w:color w:val="auto"/>
        </w:rPr>
      </w:pPr>
    </w:p>
    <w:p>
      <w:pPr>
        <w:spacing w:after="0" w:line="276" w:lineRule="exact"/>
        <w:rPr>
          <w:sz w:val="20"/>
          <w:szCs w:val="20"/>
          <w:color w:val="auto"/>
        </w:rPr>
      </w:pPr>
    </w:p>
    <w:p>
      <w:pPr>
        <w:ind w:left="1080" w:hanging="435"/>
        <w:spacing w:after="0"/>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rating of “BBB-” or higher from S&amp;P;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rating of “Baa3” or higher from Moody’s;</w:t>
      </w:r>
    </w:p>
    <w:p>
      <w:pPr>
        <w:spacing w:after="0" w:line="200" w:lineRule="exact"/>
        <w:rPr>
          <w:sz w:val="20"/>
          <w:szCs w:val="20"/>
          <w:color w:val="auto"/>
        </w:rPr>
      </w:pPr>
    </w:p>
    <w:p>
      <w:pPr>
        <w:spacing w:after="0" w:line="3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20"/>
          </w:cols>
          <w:pgMar w:left="900" w:top="1077" w:right="279" w:bottom="1440" w:gutter="0" w:footer="0" w:header="0"/>
        </w:sectPr>
      </w:pPr>
    </w:p>
    <w:bookmarkStart w:id="79" w:name="page80"/>
    <w:bookmarkEnd w:id="79"/>
    <w:p>
      <w:pPr>
        <w:ind w:right="720" w:firstLine="648"/>
        <w:spacing w:after="0" w:line="302" w:lineRule="auto"/>
        <w:rPr>
          <w:sz w:val="20"/>
          <w:szCs w:val="20"/>
          <w:color w:val="auto"/>
        </w:rPr>
      </w:pPr>
      <w:r>
        <w:rPr>
          <w:rFonts w:ascii="Arial" w:cs="Arial" w:eastAsia="Arial" w:hAnsi="Arial"/>
          <w:sz w:val="22"/>
          <w:szCs w:val="22"/>
          <w:color w:val="auto"/>
        </w:rPr>
        <w:t>or the equivalent of such rating by either such rating organization or, if no rating of Moody’s or S&amp;P then exists, the equivalent of such rating by any other Nationally Recognized Statistical Rating Organization.</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means March 29, 2016.</w:t>
      </w:r>
    </w:p>
    <w:p>
      <w:pPr>
        <w:spacing w:after="0" w:line="200" w:lineRule="exact"/>
        <w:rPr>
          <w:sz w:val="20"/>
          <w:szCs w:val="20"/>
          <w:color w:val="auto"/>
        </w:rPr>
      </w:pPr>
    </w:p>
    <w:p>
      <w:pPr>
        <w:spacing w:after="0" w:line="27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lien, hypothecation or charge of any kind (including any conditional sale or other title retention agreement or lease in the nature thereof).</w:t>
      </w:r>
    </w:p>
    <w:p>
      <w:pPr>
        <w:spacing w:after="0" w:line="390"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xml:space="preserve">” means any acquisition, including by means of a merger or consolidation, by the Company or one or more of its Restricted Subsidiaries, the consummation of which is not conditioned upon the availability of, or on obtaining, third party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determining compliance with </w:t>
      </w:r>
      <w:r>
        <w:rPr>
          <w:rFonts w:ascii="Arial" w:cs="Arial" w:eastAsia="Arial" w:hAnsi="Arial"/>
          <w:sz w:val="22"/>
          <w:szCs w:val="22"/>
          <w:u w:val="single" w:color="auto"/>
          <w:color w:val="auto"/>
        </w:rPr>
        <w:t>Section 3.3</w:t>
      </w:r>
      <w:r>
        <w:rPr>
          <w:rFonts w:ascii="Arial" w:cs="Arial" w:eastAsia="Arial" w:hAnsi="Arial"/>
          <w:sz w:val="22"/>
          <w:szCs w:val="22"/>
          <w:color w:val="auto"/>
        </w:rPr>
        <w:t>, the Consolidated Net Income (and any other financial defined term derived therefrom) shall not include any Consolidated Net Income of or attributable to the target company or assets associated with any such Limited Condition Acquisition unless and until the closing of such Limited Condition Acquisition shall have actually occurred.</w:t>
      </w:r>
    </w:p>
    <w:p>
      <w:pPr>
        <w:spacing w:after="0" w:line="200" w:lineRule="exact"/>
        <w:rPr>
          <w:sz w:val="20"/>
          <w:szCs w:val="20"/>
          <w:color w:val="auto"/>
        </w:rPr>
      </w:pPr>
    </w:p>
    <w:p>
      <w:pPr>
        <w:spacing w:after="0" w:line="212" w:lineRule="exact"/>
        <w:rPr>
          <w:sz w:val="20"/>
          <w:szCs w:val="20"/>
          <w:color w:val="auto"/>
        </w:rPr>
      </w:pPr>
    </w:p>
    <w:p>
      <w:pPr>
        <w:ind w:right="5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Advances</w:t>
      </w:r>
      <w:r>
        <w:rPr>
          <w:rFonts w:ascii="Arial" w:cs="Arial" w:eastAsia="Arial" w:hAnsi="Arial"/>
          <w:sz w:val="19"/>
          <w:szCs w:val="19"/>
          <w:color w:val="auto"/>
        </w:rPr>
        <w:t>” means loans or advances made to, or Guarantees with respect to loans or advances made to, directors, officers, employees or consultants of any Parent Entity, the Company or any Restricted Subsidiary:</w:t>
      </w:r>
    </w:p>
    <w:p>
      <w:pPr>
        <w:spacing w:after="0" w:line="322" w:lineRule="exact"/>
        <w:rPr>
          <w:sz w:val="20"/>
          <w:szCs w:val="20"/>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in respect of travel, entertainment or moving related expenses Incurred in the ordinary course of business or</w:t>
      </w:r>
    </w:p>
    <w:p>
      <w:pPr>
        <w:spacing w:after="0" w:line="92" w:lineRule="exact"/>
        <w:rPr>
          <w:rFonts w:ascii="Arial" w:cs="Arial" w:eastAsia="Arial" w:hAnsi="Arial"/>
          <w:sz w:val="19"/>
          <w:szCs w:val="19"/>
          <w:color w:val="auto"/>
        </w:rPr>
      </w:pPr>
    </w:p>
    <w:p>
      <w:pPr>
        <w:ind w:left="660" w:right="300"/>
        <w:spacing w:after="0" w:line="292" w:lineRule="auto"/>
        <w:rPr>
          <w:rFonts w:ascii="Arial" w:cs="Arial" w:eastAsia="Arial" w:hAnsi="Arial"/>
          <w:sz w:val="19"/>
          <w:szCs w:val="19"/>
          <w:color w:val="auto"/>
        </w:rPr>
      </w:pPr>
      <w:r>
        <w:rPr>
          <w:rFonts w:ascii="Arial" w:cs="Arial" w:eastAsia="Arial" w:hAnsi="Arial"/>
          <w:sz w:val="22"/>
          <w:szCs w:val="22"/>
          <w:color w:val="auto"/>
        </w:rPr>
        <w:t>consistent with past practice or (b) for purposes of funding any such person’s purchase of Capital Stock (or similar obligations) of the Company, its Subsidiaries or any Parent Entity with (in the case of this sub-clause (b)) the approval of the Board of Directors;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respect of moving related expenses Incurred in connection with any closing or consolidation of any facility</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office; or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740" w:hanging="435"/>
        <w:spacing w:after="0"/>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 exceeding $25.0 million in the aggregate outstanding at any time.</w:t>
      </w:r>
    </w:p>
    <w:p>
      <w:pPr>
        <w:spacing w:after="0" w:line="200" w:lineRule="exact"/>
        <w:rPr>
          <w:sz w:val="20"/>
          <w:szCs w:val="20"/>
          <w:color w:val="auto"/>
        </w:rPr>
      </w:pPr>
    </w:p>
    <w:p>
      <w:pPr>
        <w:spacing w:after="0" w:line="290"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of its successors or assigns that is a Nationally Recognized Statistical Rating Organization.</w:t>
      </w:r>
    </w:p>
    <w:p>
      <w:pPr>
        <w:spacing w:after="0" w:line="390"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Nationally Recognized Statistical Rating Organization</w:t>
      </w:r>
      <w:r>
        <w:rPr>
          <w:rFonts w:ascii="Arial" w:cs="Arial" w:eastAsia="Arial" w:hAnsi="Arial"/>
          <w:sz w:val="22"/>
          <w:szCs w:val="22"/>
          <w:color w:val="auto"/>
        </w:rPr>
        <w:t>” means a nationally recognized statistical rating organization within the meaning of Rule 436 under the Securities Act.</w:t>
      </w:r>
    </w:p>
    <w:p>
      <w:pPr>
        <w:spacing w:after="0" w:line="390"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Available Cash</w:t>
      </w:r>
      <w:r>
        <w:rPr>
          <w:rFonts w:ascii="Arial" w:cs="Arial" w:eastAsia="Arial" w:hAnsi="Arial"/>
          <w:sz w:val="22"/>
          <w:szCs w:val="22"/>
          <w:color w:val="auto"/>
        </w:rPr>
        <w:t>” from an Asset Disposition means cash payments received (including any cash payments received by way of deferred payment of principal pursuant to a</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420"/>
          </w:cols>
          <w:pgMar w:left="240" w:top="1077" w:right="239" w:bottom="1440" w:gutter="0" w:footer="0" w:header="0"/>
          <w:type w:val="continuous"/>
        </w:sectPr>
      </w:pPr>
    </w:p>
    <w:bookmarkStart w:id="80" w:name="page81"/>
    <w:bookmarkEnd w:id="80"/>
    <w:p>
      <w:pPr>
        <w:ind w:right="460"/>
        <w:spacing w:after="0" w:line="306" w:lineRule="auto"/>
        <w:rPr>
          <w:sz w:val="20"/>
          <w:szCs w:val="20"/>
          <w:color w:val="auto"/>
        </w:rPr>
      </w:pPr>
      <w:r>
        <w:rPr>
          <w:rFonts w:ascii="Arial" w:cs="Arial" w:eastAsia="Arial" w:hAnsi="Arial"/>
          <w:sz w:val="21"/>
          <w:szCs w:val="21"/>
          <w:color w:val="auto"/>
        </w:rPr>
        <w:t>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389" w:lineRule="exact"/>
        <w:rPr>
          <w:sz w:val="20"/>
          <w:szCs w:val="20"/>
          <w:color w:val="auto"/>
        </w:rPr>
      </w:pPr>
    </w:p>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w:t>
      </w:r>
    </w:p>
    <w:p>
      <w:pPr>
        <w:spacing w:after="0" w:line="92" w:lineRule="exact"/>
        <w:rPr>
          <w:rFonts w:ascii="Arial" w:cs="Arial" w:eastAsia="Arial" w:hAnsi="Arial"/>
          <w:sz w:val="19"/>
          <w:szCs w:val="19"/>
          <w:color w:val="auto"/>
        </w:rPr>
      </w:pPr>
    </w:p>
    <w:p>
      <w:pPr>
        <w:ind w:left="660" w:right="300"/>
        <w:spacing w:after="0" w:line="346" w:lineRule="auto"/>
        <w:rPr>
          <w:rFonts w:ascii="Arial" w:cs="Arial" w:eastAsia="Arial" w:hAnsi="Arial"/>
          <w:sz w:val="19"/>
          <w:szCs w:val="19"/>
          <w:color w:val="auto"/>
        </w:rPr>
      </w:pPr>
      <w:r>
        <w:rPr>
          <w:rFonts w:ascii="Arial" w:cs="Arial" w:eastAsia="Arial" w:hAnsi="Arial"/>
          <w:sz w:val="19"/>
          <w:szCs w:val="19"/>
          <w:color w:val="auto"/>
        </w:rPr>
        <w:t>expenses Incurred, and all Taxes paid, reasonably estimated to be actually payable or accrued as a liability under GAAP (including, for the avoidance of doubt, any income, withholding and other Taxes payable as a result of the distribution of such proceeds to the Company and after taking into account any available tax credits or deductions and any tax sharing agreements), as a consequence of such Asset Disposition, including distributions for Related Taxes;</w:t>
      </w:r>
    </w:p>
    <w:p>
      <w:pPr>
        <w:spacing w:after="0" w:line="360" w:lineRule="exact"/>
        <w:rPr>
          <w:rFonts w:ascii="Arial" w:cs="Arial" w:eastAsia="Arial" w:hAnsi="Arial"/>
          <w:sz w:val="19"/>
          <w:szCs w:val="19"/>
          <w:color w:val="auto"/>
        </w:rPr>
      </w:pPr>
    </w:p>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payments made on any Indebtedness which is secured by any assets subject to such Asset Disposition, in</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accordance with the terms of any Lien upon such assets, or which by applicable law be repaid out of the proceeds from such Asset Disposition;</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distributions and other payments required to be made to minority interest holders (other than any Parent</w:t>
      </w:r>
    </w:p>
    <w:p>
      <w:pPr>
        <w:spacing w:after="0" w:line="92" w:lineRule="exact"/>
        <w:rPr>
          <w:rFonts w:ascii="Arial" w:cs="Arial" w:eastAsia="Arial" w:hAnsi="Arial"/>
          <w:sz w:val="19"/>
          <w:szCs w:val="19"/>
          <w:color w:val="auto"/>
        </w:rPr>
      </w:pPr>
    </w:p>
    <w:p>
      <w:pPr>
        <w:ind w:left="660" w:right="820"/>
        <w:spacing w:after="0" w:line="302" w:lineRule="auto"/>
        <w:rPr>
          <w:rFonts w:ascii="Arial" w:cs="Arial" w:eastAsia="Arial" w:hAnsi="Arial"/>
          <w:sz w:val="19"/>
          <w:szCs w:val="19"/>
          <w:color w:val="auto"/>
        </w:rPr>
      </w:pPr>
      <w:r>
        <w:rPr>
          <w:rFonts w:ascii="Arial" w:cs="Arial" w:eastAsia="Arial" w:hAnsi="Arial"/>
          <w:sz w:val="22"/>
          <w:szCs w:val="22"/>
          <w:color w:val="auto"/>
        </w:rPr>
        <w:t>Entity, the Company or any of its respective Subsidiaries) in Subsidiaries or joint ventures as a result of such Asset Disposition;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deduction of appropriate amounts required to be provided by the seller as a reserve, on the basis of GAAP,</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against any liabilities associated with the assets disposed of in such Asset Disposition and retained by the Company or any Restricted Subsidiary after such Asset Disposition.</w:t>
      </w:r>
    </w:p>
    <w:p>
      <w:pPr>
        <w:spacing w:after="0" w:line="390" w:lineRule="exact"/>
        <w:rPr>
          <w:sz w:val="20"/>
          <w:szCs w:val="20"/>
          <w:color w:val="auto"/>
        </w:rPr>
      </w:pPr>
    </w:p>
    <w:p>
      <w:pPr>
        <w:ind w:right="2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distributions for Related Taxes).</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w:t>
      </w:r>
      <w:r>
        <w:rPr>
          <w:rFonts w:ascii="Arial" w:cs="Arial" w:eastAsia="Arial" w:hAnsi="Arial"/>
          <w:sz w:val="22"/>
          <w:szCs w:val="22"/>
          <w:color w:val="auto"/>
        </w:rPr>
        <w:t>” means any Restricted Subsidiary that is not a Guarantor.</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 (as defined in Regulation 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1077" w:right="25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Documents</w:t>
      </w:r>
      <w:r>
        <w:rPr>
          <w:rFonts w:ascii="Arial" w:cs="Arial" w:eastAsia="Arial" w:hAnsi="Arial"/>
          <w:sz w:val="22"/>
          <w:szCs w:val="22"/>
          <w:color w:val="auto"/>
        </w:rPr>
        <w:t>” means the Notes (including Additional Notes), the Note Guarantees and this Indenture.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 Custodian</w:t>
      </w:r>
      <w:r>
        <w:rPr>
          <w:rFonts w:ascii="Arial" w:cs="Arial" w:eastAsia="Arial" w:hAnsi="Arial"/>
          <w:sz w:val="22"/>
          <w:szCs w:val="22"/>
          <w:color w:val="auto"/>
        </w:rPr>
        <w:t>” means the custodian with respect to the Global Notes (as appointed by DTC), or any successor Person thereto and shall initially be the Registrar.</w:t>
      </w:r>
    </w:p>
    <w:p>
      <w:pPr>
        <w:spacing w:after="0" w:line="390"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any principal, interest (including interest accruing on or after the filing of any petition in bankruptcy or for reorganization relating to the Company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w:t>
      </w:r>
      <w:r>
        <w:rPr>
          <w:rFonts w:ascii="Arial" w:cs="Arial" w:eastAsia="Arial" w:hAnsi="Arial"/>
          <w:sz w:val="22"/>
          <w:szCs w:val="22"/>
          <w:color w:val="auto"/>
        </w:rPr>
        <w:t>” means the offering of the Notes and the application of the proceeds thereof.</w:t>
      </w:r>
    </w:p>
    <w:p>
      <w:pPr>
        <w:spacing w:after="0" w:line="200" w:lineRule="exact"/>
        <w:rPr>
          <w:sz w:val="20"/>
          <w:szCs w:val="20"/>
          <w:color w:val="auto"/>
        </w:rPr>
      </w:pPr>
    </w:p>
    <w:p>
      <w:pPr>
        <w:spacing w:after="0" w:line="276" w:lineRule="exact"/>
        <w:rPr>
          <w:sz w:val="20"/>
          <w:szCs w:val="20"/>
          <w:color w:val="auto"/>
        </w:rPr>
      </w:pPr>
    </w:p>
    <w:p>
      <w:pPr>
        <w:ind w:right="4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final offering memorandum, dated March 14, 2016, relating to the Offering by the Issuers of $350,000,000 aggregate principal amount of 6.375% Senior Notes due 2024 and any future offering memorandum relating to Additional Notes.</w:t>
      </w:r>
    </w:p>
    <w:p>
      <w:pPr>
        <w:spacing w:after="0" w:line="400" w:lineRule="exact"/>
        <w:rPr>
          <w:sz w:val="20"/>
          <w:szCs w:val="20"/>
          <w:color w:val="auto"/>
        </w:rPr>
      </w:pPr>
    </w:p>
    <w:p>
      <w:pPr>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with respect to any Person, a certificate signed by one Officer of such Person.</w:t>
      </w:r>
    </w:p>
    <w:p>
      <w:pPr>
        <w:spacing w:after="0" w:line="200" w:lineRule="exact"/>
        <w:rPr>
          <w:sz w:val="20"/>
          <w:szCs w:val="20"/>
          <w:color w:val="auto"/>
        </w:rPr>
      </w:pPr>
    </w:p>
    <w:p>
      <w:pPr>
        <w:spacing w:after="0" w:line="276"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from legal counsel reasonably satisfactory to the Trustee. The counsel may be an employee of or counsel to the Company or its Subsidiaries.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w:t>
      </w:r>
      <w:r>
        <w:rPr>
          <w:rFonts w:ascii="Arial" w:cs="Arial" w:eastAsia="Arial" w:hAnsi="Arial"/>
          <w:sz w:val="22"/>
          <w:szCs w:val="22"/>
          <w:color w:val="auto"/>
        </w:rPr>
        <w:t>” means any direct or indirect parent of the Company.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 Expenses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costs (including all professional fees and expenses) Incurred by any Parent Entity in connection with reporting</w:t>
      </w:r>
    </w:p>
    <w:p>
      <w:pPr>
        <w:spacing w:after="0" w:line="92" w:lineRule="exact"/>
        <w:rPr>
          <w:rFonts w:ascii="Arial" w:cs="Arial" w:eastAsia="Arial" w:hAnsi="Arial"/>
          <w:sz w:val="19"/>
          <w:szCs w:val="19"/>
          <w:color w:val="auto"/>
        </w:rPr>
      </w:pPr>
    </w:p>
    <w:p>
      <w:pPr>
        <w:ind w:left="660" w:right="420"/>
        <w:spacing w:after="0" w:line="302" w:lineRule="auto"/>
        <w:rPr>
          <w:rFonts w:ascii="Arial" w:cs="Arial" w:eastAsia="Arial" w:hAnsi="Arial"/>
          <w:sz w:val="19"/>
          <w:szCs w:val="19"/>
          <w:color w:val="auto"/>
        </w:rPr>
      </w:pPr>
      <w:r>
        <w:rPr>
          <w:rFonts w:ascii="Arial" w:cs="Arial" w:eastAsia="Arial" w:hAnsi="Arial"/>
          <w:sz w:val="22"/>
          <w:szCs w:val="22"/>
          <w:color w:val="auto"/>
        </w:rPr>
        <w:t>obligations under or otherwise Incurred in connection with compliance with applicable laws, rules or regulations of any governmental,</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420"/>
          </w:cols>
          <w:pgMar w:left="240" w:top="1077" w:right="239" w:bottom="1440" w:gutter="0" w:footer="0" w:header="0"/>
          <w:type w:val="continuous"/>
        </w:sectPr>
      </w:pPr>
    </w:p>
    <w:bookmarkStart w:id="82" w:name="page83"/>
    <w:bookmarkEnd w:id="82"/>
    <w:p>
      <w:pPr>
        <w:ind w:right="220"/>
        <w:spacing w:after="0" w:line="288" w:lineRule="auto"/>
        <w:rPr>
          <w:sz w:val="20"/>
          <w:szCs w:val="20"/>
          <w:color w:val="auto"/>
        </w:rPr>
      </w:pPr>
      <w:r>
        <w:rPr>
          <w:rFonts w:ascii="Arial" w:cs="Arial" w:eastAsia="Arial" w:hAnsi="Arial"/>
          <w:sz w:val="22"/>
          <w:szCs w:val="22"/>
          <w:color w:val="auto"/>
        </w:rPr>
        <w:t>regulatory or self-regulatory body or stock exchange, this Indenture or any other agreement or instrument relating to the Notes, the Guarantees or any other Indebtedness of the Company or any Restricted Subsidiary, including in respect of any reports filed or delivered with respect to the Securities Act or Exchange Act or the respective rules and regulations promulgated thereunder;</w:t>
      </w:r>
    </w:p>
    <w:p>
      <w:pPr>
        <w:spacing w:after="0" w:line="200" w:lineRule="exact"/>
        <w:rPr>
          <w:sz w:val="20"/>
          <w:szCs w:val="20"/>
          <w:color w:val="auto"/>
        </w:rPr>
      </w:pPr>
    </w:p>
    <w:p>
      <w:pPr>
        <w:spacing w:after="0" w:line="206" w:lineRule="exact"/>
        <w:rPr>
          <w:sz w:val="20"/>
          <w:szCs w:val="20"/>
          <w:color w:val="auto"/>
        </w:rPr>
      </w:pPr>
    </w:p>
    <w:p>
      <w:pPr>
        <w:ind w:left="1080" w:hanging="435"/>
        <w:spacing w:after="0"/>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customary indemnification obligations of any Parent Entity owing to directors, officers, employees or other</w:t>
      </w:r>
    </w:p>
    <w:p>
      <w:pPr>
        <w:spacing w:after="0" w:line="92" w:lineRule="exact"/>
        <w:rPr>
          <w:rFonts w:ascii="Arial" w:cs="Arial" w:eastAsia="Arial" w:hAnsi="Arial"/>
          <w:sz w:val="19"/>
          <w:szCs w:val="19"/>
          <w:color w:val="auto"/>
        </w:rPr>
      </w:pPr>
    </w:p>
    <w:p>
      <w:pPr>
        <w:ind w:right="500"/>
        <w:spacing w:after="0" w:line="302" w:lineRule="auto"/>
        <w:rPr>
          <w:rFonts w:ascii="Arial" w:cs="Arial" w:eastAsia="Arial" w:hAnsi="Arial"/>
          <w:sz w:val="19"/>
          <w:szCs w:val="19"/>
          <w:color w:val="auto"/>
        </w:rPr>
      </w:pPr>
      <w:r>
        <w:rPr>
          <w:rFonts w:ascii="Arial" w:cs="Arial" w:eastAsia="Arial" w:hAnsi="Arial"/>
          <w:sz w:val="22"/>
          <w:szCs w:val="22"/>
          <w:color w:val="auto"/>
        </w:rPr>
        <w:t>Persons under its articles, charter, by-laws, partnership agreement or other constating documents or pursuant to written agreements with any such Person;</w:t>
      </w:r>
    </w:p>
    <w:p>
      <w:pPr>
        <w:spacing w:after="0" w:line="389" w:lineRule="exact"/>
        <w:rPr>
          <w:rFonts w:ascii="Arial" w:cs="Arial" w:eastAsia="Arial" w:hAnsi="Arial"/>
          <w:sz w:val="19"/>
          <w:szCs w:val="19"/>
          <w:color w:val="auto"/>
        </w:rPr>
      </w:pPr>
    </w:p>
    <w:p>
      <w:pPr>
        <w:ind w:firstLine="645"/>
        <w:spacing w:after="0" w:line="315" w:lineRule="auto"/>
        <w:tabs>
          <w:tab w:leader="none" w:pos="10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obligations of any Parent Entity in respect of director and officer insurance (including premiums therefor) to the extent relating to the Company and its Subsidiaries;</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(x) general corporate overhead expenses, including professional fees and expenses and (y) other operational</w:t>
      </w:r>
    </w:p>
    <w:p>
      <w:pPr>
        <w:spacing w:after="0" w:line="92" w:lineRule="exact"/>
        <w:rPr>
          <w:rFonts w:ascii="Arial" w:cs="Arial" w:eastAsia="Arial" w:hAnsi="Arial"/>
          <w:sz w:val="19"/>
          <w:szCs w:val="19"/>
          <w:color w:val="auto"/>
        </w:rPr>
      </w:pPr>
    </w:p>
    <w:p>
      <w:pPr>
        <w:ind w:right="140"/>
        <w:spacing w:after="0" w:line="302" w:lineRule="auto"/>
        <w:rPr>
          <w:rFonts w:ascii="Arial" w:cs="Arial" w:eastAsia="Arial" w:hAnsi="Arial"/>
          <w:sz w:val="19"/>
          <w:szCs w:val="19"/>
          <w:color w:val="auto"/>
        </w:rPr>
      </w:pPr>
      <w:r>
        <w:rPr>
          <w:rFonts w:ascii="Arial" w:cs="Arial" w:eastAsia="Arial" w:hAnsi="Arial"/>
          <w:sz w:val="22"/>
          <w:szCs w:val="22"/>
          <w:color w:val="auto"/>
        </w:rPr>
        <w:t>expenses of any Parent Entity related to the ownership or operation of the business of the Company or any of its Restricted Subsidiaries; and</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expenses Incurred by any Parent Entity in connection with any offering, sale, conversion or exchange of Capital</w:t>
      </w:r>
    </w:p>
    <w:p>
      <w:pPr>
        <w:spacing w:after="0" w:line="92" w:lineRule="exact"/>
        <w:rPr>
          <w:rFonts w:ascii="Arial" w:cs="Arial" w:eastAsia="Arial" w:hAnsi="Arial"/>
          <w:sz w:val="19"/>
          <w:szCs w:val="19"/>
          <w:color w:val="auto"/>
        </w:rPr>
      </w:pPr>
    </w:p>
    <w:p>
      <w:pPr>
        <w:ind w:right="20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Stock or Indebtedness; and amounts to finance Investments that would otherwise be permitted to be made pursuant to the covenant described above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if made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Restricted Payment shall be made substantially concurrently with the closing of such Investment, (B) such direct or indirect parent company shall, immediately following the closing thereof, cause (1) all property acquired (whether assets or Equity Interests) to be contributed to the capital of the Company or one of its Restricted Subsidiaries or (2) the merger, consolidation or amalgamation of the Person formed or acquired into the Company or one of its Restricted Subsidiaries (to the extent not prohibited by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order to consummate such Investment, (C) such direct or indirect parent company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clause (3)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(E) such Investment shall be deemed to be made by the Company or such Restricted Subsidiary pursuant to another provision of this covenant or pursuant to the definition of “Permitted Investments.”</w:t>
      </w:r>
    </w:p>
    <w:p>
      <w:pPr>
        <w:spacing w:after="0" w:line="4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760"/>
          </w:cols>
          <w:pgMar w:left="900" w:top="1077" w:right="239" w:bottom="1440" w:gutter="0" w:footer="0" w:header="0"/>
        </w:sectPr>
      </w:pPr>
    </w:p>
    <w:bookmarkStart w:id="83" w:name="page84"/>
    <w:bookmarkEnd w:id="83"/>
    <w:p>
      <w:pPr>
        <w:ind w:right="14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Pari Passu Indebtedness</w:t>
      </w:r>
      <w:r>
        <w:rPr>
          <w:rFonts w:ascii="Arial" w:cs="Arial" w:eastAsia="Arial" w:hAnsi="Arial"/>
          <w:sz w:val="19"/>
          <w:szCs w:val="19"/>
          <w:color w:val="auto"/>
        </w:rPr>
        <w:t>” means Indebtedness of the Company which ranks equally in right of payment to the Notes or of any Subsidiary Guarantor if such Indebtedness ranks equally in right of payment to the Subsidiary Guarantees of the Notes.</w:t>
      </w:r>
    </w:p>
    <w:p>
      <w:pPr>
        <w:spacing w:after="0" w:line="322"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Company to pay the principal of (and premium, if any) or interest on any Note on behalf of the Company.</w:t>
      </w:r>
    </w:p>
    <w:p>
      <w:pPr>
        <w:spacing w:after="0" w:line="390"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xml:space="preserve">” means the concurrent purchase and sale or exchange of assets used or useful in a Similar Business or a combination of such assets and cash, Cash Equivalents between the Company or any of its Restricted Subsidiaries and another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cash or Cash Equivalents received in excess of the value of any cash or Cash Equivalents sold or exchanged must be applied in accordance with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06"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xml:space="preserve">” means, collectively, (1) the Indirect Parent, (2) the Direct Parent, (3) any one or more Persons, together with such Persons’ Affiliates, whose beneficial ownership constitutes or results in a Change of Control in respect of which a Change of Control Offer is made in accordance with the requirements of this Indenture, (4) members of management of the Company (or any Parent Entity), (5) any Person who is acting solely as an underwriter in connection with a public or private offering of Capital Stock of any Parent Entity or the Company, acting in such capacity, and (6) any group (within the meaning of Section 13(d)(3) or Section 14(d)(2) of the Exchange Act or any successor provision) of which any of the foregoing are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such group and without giving effect to the existence of such group or any other group, the Indirect Parent, Direct Parent and members of management, collectively, have beneficial ownership of more than 50% of the total voting power of the Voting Stock of the Company or any of its direct or indirect Parent Entities held by such group.</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(in each case, by the Company or any of its Restricted Subsidiaries):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Investments in (a) a Restricted Subsidiary (including the Capital Stock of a Restricted Subsidiary) or the</w:t>
      </w:r>
    </w:p>
    <w:p>
      <w:pPr>
        <w:spacing w:after="0" w:line="69" w:lineRule="exact"/>
        <w:rPr>
          <w:rFonts w:ascii="Arial" w:cs="Arial" w:eastAsia="Arial" w:hAnsi="Arial"/>
          <w:sz w:val="21"/>
          <w:szCs w:val="21"/>
          <w:color w:val="auto"/>
        </w:rPr>
      </w:pPr>
    </w:p>
    <w:p>
      <w:pPr>
        <w:ind w:left="660" w:right="420"/>
        <w:spacing w:after="0" w:line="302" w:lineRule="auto"/>
        <w:rPr>
          <w:rFonts w:ascii="Arial" w:cs="Arial" w:eastAsia="Arial" w:hAnsi="Arial"/>
          <w:sz w:val="21"/>
          <w:szCs w:val="21"/>
          <w:color w:val="auto"/>
        </w:rPr>
      </w:pPr>
      <w:r>
        <w:rPr>
          <w:rFonts w:ascii="Arial" w:cs="Arial" w:eastAsia="Arial" w:hAnsi="Arial"/>
          <w:sz w:val="22"/>
          <w:szCs w:val="22"/>
          <w:color w:val="auto"/>
        </w:rPr>
        <w:t>Company, (b) a Person (including the Capital Stock of any such Person) that will, upon the making of such Investment, become a Restricted Subsidiary, or (c) a Special Purpose Entity;</w:t>
      </w:r>
    </w:p>
    <w:p>
      <w:pPr>
        <w:spacing w:after="0" w:line="389" w:lineRule="exact"/>
        <w:rPr>
          <w:rFonts w:ascii="Arial" w:cs="Arial" w:eastAsia="Arial" w:hAnsi="Arial"/>
          <w:sz w:val="21"/>
          <w:szCs w:val="21"/>
          <w:color w:val="auto"/>
        </w:rPr>
      </w:pPr>
    </w:p>
    <w:p>
      <w:pPr>
        <w:ind w:left="1740" w:hanging="435"/>
        <w:spacing w:after="0"/>
        <w:tabs>
          <w:tab w:leader="none" w:pos="17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Investments in another Person if such Person is engaged in any Similar Business and as a result of such</w:t>
      </w:r>
    </w:p>
    <w:p>
      <w:pPr>
        <w:spacing w:after="0" w:line="92" w:lineRule="exact"/>
        <w:rPr>
          <w:rFonts w:ascii="Arial" w:cs="Arial" w:eastAsia="Arial" w:hAnsi="Arial"/>
          <w:sz w:val="19"/>
          <w:szCs w:val="19"/>
          <w:color w:val="auto"/>
        </w:rPr>
      </w:pPr>
    </w:p>
    <w:p>
      <w:pPr>
        <w:ind w:left="660" w:right="400"/>
        <w:spacing w:after="0" w:line="302" w:lineRule="auto"/>
        <w:rPr>
          <w:rFonts w:ascii="Arial" w:cs="Arial" w:eastAsia="Arial" w:hAnsi="Arial"/>
          <w:sz w:val="19"/>
          <w:szCs w:val="19"/>
          <w:color w:val="auto"/>
        </w:rPr>
      </w:pPr>
      <w:r>
        <w:rPr>
          <w:rFonts w:ascii="Arial" w:cs="Arial" w:eastAsia="Arial" w:hAnsi="Arial"/>
          <w:sz w:val="22"/>
          <w:szCs w:val="22"/>
          <w:color w:val="auto"/>
        </w:rPr>
        <w:t>Investment such other Person is merged, consolidated or otherwise combined with or into, or transfers or conveys all or substantially all its assets to, the Company or a Restricted Subsidiary;</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Investments in cash, Cash Equivalents or Investment Grade Securities;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80"/>
          </w:cols>
          <w:pgMar w:left="240" w:top="1077" w:right="279" w:bottom="1440" w:gutter="0" w:footer="0" w:header="0"/>
        </w:sectPr>
      </w:pPr>
    </w:p>
    <w:bookmarkStart w:id="84" w:name="page85"/>
    <w:bookmarkEnd w:id="84"/>
    <w:p>
      <w:pPr>
        <w:ind w:right="520" w:firstLine="645"/>
        <w:spacing w:after="0" w:line="315"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in receivables owing to the Company or any Restricted Subsidiary created or acquired in the ordinary course of business or consistent with past practice;</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Investments in payroll, travel and similar advances to cover matters that are expected at the time of such</w:t>
      </w:r>
    </w:p>
    <w:p>
      <w:pPr>
        <w:spacing w:after="0" w:line="92" w:lineRule="exact"/>
        <w:rPr>
          <w:rFonts w:ascii="Arial" w:cs="Arial" w:eastAsia="Arial" w:hAnsi="Arial"/>
          <w:sz w:val="19"/>
          <w:szCs w:val="19"/>
          <w:color w:val="auto"/>
        </w:rPr>
      </w:pPr>
    </w:p>
    <w:p>
      <w:pPr>
        <w:ind w:right="100"/>
        <w:spacing w:after="0" w:line="302" w:lineRule="auto"/>
        <w:rPr>
          <w:rFonts w:ascii="Arial" w:cs="Arial" w:eastAsia="Arial" w:hAnsi="Arial"/>
          <w:sz w:val="19"/>
          <w:szCs w:val="19"/>
          <w:color w:val="auto"/>
        </w:rPr>
      </w:pPr>
      <w:r>
        <w:rPr>
          <w:rFonts w:ascii="Arial" w:cs="Arial" w:eastAsia="Arial" w:hAnsi="Arial"/>
          <w:sz w:val="22"/>
          <w:szCs w:val="22"/>
          <w:color w:val="auto"/>
        </w:rPr>
        <w:t>advances ultimately to be treated as expenses for accounting purposes and that are made in the ordinary course of business or consistent with past practice;</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Management Advances;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Investments received in settlement of debts created in the ordinary course of business or consistent with past</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practice and owing to, or of other claims asserted by,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spacing w:after="0" w:line="393" w:lineRule="exact"/>
        <w:rPr>
          <w:rFonts w:ascii="Arial" w:cs="Arial" w:eastAsia="Arial" w:hAnsi="Arial"/>
          <w:sz w:val="19"/>
          <w:szCs w:val="19"/>
          <w:color w:val="auto"/>
        </w:rPr>
      </w:pPr>
    </w:p>
    <w:p>
      <w:pPr>
        <w:ind w:right="660" w:firstLine="645"/>
        <w:spacing w:after="0" w:line="315"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made as a result of the receipt of non-cash consideration from a sale or other disposition of property or assets, including an Asset Disposition;</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Investments existing or pursuant to agreements or arrangements in effect on the Issue Date and any</w:t>
      </w:r>
    </w:p>
    <w:p>
      <w:pPr>
        <w:spacing w:after="0" w:line="69" w:lineRule="exact"/>
        <w:rPr>
          <w:rFonts w:ascii="Arial" w:cs="Arial" w:eastAsia="Arial" w:hAnsi="Arial"/>
          <w:sz w:val="21"/>
          <w:szCs w:val="21"/>
          <w:color w:val="auto"/>
        </w:rPr>
      </w:pPr>
    </w:p>
    <w:p>
      <w:pPr>
        <w:ind w:right="320"/>
        <w:spacing w:after="0" w:line="292" w:lineRule="auto"/>
        <w:rPr>
          <w:rFonts w:ascii="Arial" w:cs="Arial" w:eastAsia="Arial" w:hAnsi="Arial"/>
          <w:sz w:val="21"/>
          <w:szCs w:val="21"/>
          <w:color w:val="auto"/>
        </w:rPr>
      </w:pPr>
      <w:r>
        <w:rPr>
          <w:rFonts w:ascii="Arial" w:cs="Arial" w:eastAsia="Arial" w:hAnsi="Arial"/>
          <w:sz w:val="22"/>
          <w:szCs w:val="22"/>
          <w:color w:val="auto"/>
        </w:rPr>
        <w:t xml:space="preserve">modification, replacement, renewal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such Investment may not be increased except as required by the terms of such Investment as in existence on the Issue Date or as otherwise permitted under this Indenture;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1180" w:hanging="535"/>
        <w:spacing w:after="0"/>
        <w:tabs>
          <w:tab w:leader="none" w:pos="11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Hedging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endorsements of negotiable instruments and documents in the ordinary course of business, or pledges or</w:t>
      </w:r>
    </w:p>
    <w:p>
      <w:pPr>
        <w:spacing w:after="0" w:line="92" w:lineRule="exact"/>
        <w:rPr>
          <w:rFonts w:ascii="Arial" w:cs="Arial" w:eastAsia="Arial" w:hAnsi="Arial"/>
          <w:sz w:val="19"/>
          <w:szCs w:val="19"/>
          <w:color w:val="auto"/>
        </w:rPr>
      </w:pPr>
    </w:p>
    <w:p>
      <w:pPr>
        <w:ind w:right="38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321" w:lineRule="exact"/>
        <w:rPr>
          <w:rFonts w:ascii="Arial" w:cs="Arial" w:eastAsia="Arial" w:hAnsi="Arial"/>
          <w:sz w:val="19"/>
          <w:szCs w:val="19"/>
          <w:color w:val="auto"/>
        </w:rPr>
      </w:pPr>
    </w:p>
    <w:p>
      <w:pPr>
        <w:ind w:right="360" w:firstLine="645"/>
        <w:spacing w:after="0" w:line="315" w:lineRule="auto"/>
        <w:tabs>
          <w:tab w:leader="none" w:pos="11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Investment to the extent made using Capital Stock of the Company (other than Disqualified Stock) or Capital Stock of any Parent Entity as consideration;</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680"/>
          </w:cols>
          <w:pgMar w:left="900" w:top="1077" w:right="319" w:bottom="1440" w:gutter="0" w:footer="0" w:header="0"/>
        </w:sectPr>
      </w:pPr>
    </w:p>
    <w:bookmarkStart w:id="85" w:name="page86"/>
    <w:bookmarkEnd w:id="85"/>
    <w:p>
      <w:pPr>
        <w:ind w:left="1180" w:hanging="535"/>
        <w:spacing w:after="0"/>
        <w:tabs>
          <w:tab w:leader="none" w:pos="11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Investments consisting of purchases and acquisitions of inventory, supplies, materials and equipment or</w:t>
      </w:r>
    </w:p>
    <w:p>
      <w:pPr>
        <w:spacing w:after="0" w:line="92" w:lineRule="exact"/>
        <w:rPr>
          <w:rFonts w:ascii="Arial" w:cs="Arial" w:eastAsia="Arial" w:hAnsi="Arial"/>
          <w:sz w:val="19"/>
          <w:szCs w:val="19"/>
          <w:color w:val="auto"/>
        </w:rPr>
      </w:pPr>
    </w:p>
    <w:p>
      <w:pPr>
        <w:ind w:right="720"/>
        <w:spacing w:after="0" w:line="302" w:lineRule="auto"/>
        <w:rPr>
          <w:rFonts w:ascii="Arial" w:cs="Arial" w:eastAsia="Arial" w:hAnsi="Arial"/>
          <w:sz w:val="19"/>
          <w:szCs w:val="19"/>
          <w:color w:val="auto"/>
        </w:rPr>
      </w:pPr>
      <w:r>
        <w:rPr>
          <w:rFonts w:ascii="Arial" w:cs="Arial" w:eastAsia="Arial" w:hAnsi="Arial"/>
          <w:sz w:val="22"/>
          <w:szCs w:val="22"/>
          <w:color w:val="auto"/>
        </w:rPr>
        <w:t>licenses or leases of intellectual property, in any case, in the ordinary course of business and in accordance with this Indenture;</w:t>
      </w:r>
    </w:p>
    <w:p>
      <w:pPr>
        <w:spacing w:after="0" w:line="389" w:lineRule="exact"/>
        <w:rPr>
          <w:rFonts w:ascii="Arial" w:cs="Arial" w:eastAsia="Arial" w:hAnsi="Arial"/>
          <w:sz w:val="19"/>
          <w:szCs w:val="19"/>
          <w:color w:val="auto"/>
        </w:rPr>
      </w:pPr>
    </w:p>
    <w:p>
      <w:pPr>
        <w:ind w:right="300" w:firstLine="645"/>
        <w:spacing w:after="0" w:line="315" w:lineRule="auto"/>
        <w:tabs>
          <w:tab w:leader="none" w:pos="11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(i) Keepwells and similar arrangements in the ordinary course of business, and (ii) performance guarantees with respect to obligations that are permitted by this Indenture;</w:t>
      </w:r>
    </w:p>
    <w:p>
      <w:pPr>
        <w:spacing w:after="0" w:line="375" w:lineRule="exact"/>
        <w:rPr>
          <w:rFonts w:ascii="Arial" w:cs="Arial" w:eastAsia="Arial" w:hAnsi="Arial"/>
          <w:sz w:val="22"/>
          <w:szCs w:val="22"/>
          <w:color w:val="auto"/>
        </w:rPr>
      </w:pPr>
    </w:p>
    <w:p>
      <w:pPr>
        <w:ind w:right="100" w:firstLine="645"/>
        <w:spacing w:after="0" w:line="315" w:lineRule="auto"/>
        <w:tabs>
          <w:tab w:leader="none" w:pos="11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Investments consisting of earnest money deposits required in connection with a purchase agreement, or letter of intent, or other acquisitions to the extent not otherwise prohibited by this Indenture;</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Investments of a Restricted Subsidiary acquired after the Issue Date or of an entity merged into the Company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or merged into or 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720" w:firstLine="645"/>
        <w:spacing w:after="0" w:line="315" w:lineRule="auto"/>
        <w:tabs>
          <w:tab w:leader="none" w:pos="11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Investments consisting of licensing or contribution of intellectual property pursuant to joint marketing arrangements with other Persons;</w:t>
      </w:r>
    </w:p>
    <w:p>
      <w:pPr>
        <w:spacing w:after="0" w:line="375" w:lineRule="exact"/>
        <w:rPr>
          <w:rFonts w:ascii="Arial" w:cs="Arial" w:eastAsia="Arial" w:hAnsi="Arial"/>
          <w:sz w:val="22"/>
          <w:szCs w:val="22"/>
          <w:color w:val="auto"/>
        </w:rPr>
      </w:pPr>
    </w:p>
    <w:p>
      <w:pPr>
        <w:ind w:firstLine="645"/>
        <w:spacing w:after="0" w:line="315" w:lineRule="auto"/>
        <w:tabs>
          <w:tab w:leader="none" w:pos="11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other grantor trust subject to claims of creditors in the case of a bankruptcy of the Company;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Investments in joint ventures and similar entities and Unrestricted Subsidiaries having an aggregate fair</w:t>
      </w:r>
    </w:p>
    <w:p>
      <w:pPr>
        <w:spacing w:after="0" w:line="92" w:lineRule="exact"/>
        <w:rPr>
          <w:rFonts w:ascii="Arial" w:cs="Arial" w:eastAsia="Arial" w:hAnsi="Arial"/>
          <w:sz w:val="19"/>
          <w:szCs w:val="19"/>
          <w:color w:val="auto"/>
        </w:rPr>
      </w:pPr>
    </w:p>
    <w:p>
      <w:pPr>
        <w:jc w:val="both"/>
        <w:ind w:right="160"/>
        <w:spacing w:after="0" w:line="357" w:lineRule="auto"/>
        <w:rPr>
          <w:rFonts w:ascii="Arial" w:cs="Arial" w:eastAsia="Arial" w:hAnsi="Arial"/>
          <w:sz w:val="19"/>
          <w:szCs w:val="19"/>
          <w:color w:val="auto"/>
        </w:rPr>
      </w:pPr>
      <w:r>
        <w:rPr>
          <w:rFonts w:ascii="Arial" w:cs="Arial" w:eastAsia="Arial" w:hAnsi="Arial"/>
          <w:sz w:val="19"/>
          <w:szCs w:val="19"/>
          <w:color w:val="auto"/>
        </w:rPr>
        <w:t>market value, when taken together with all other Investments made pursuant to this clause that are at the time outstanding, not to exceed the greater of $300.0 million and 1.75% of Total Assets at the time of such Investment (with the fair market value of each Investment being measured at the time made and without giving effect to subsequent changes in value);</w:t>
      </w:r>
    </w:p>
    <w:p>
      <w:pPr>
        <w:spacing w:after="0" w:line="348" w:lineRule="exact"/>
        <w:rPr>
          <w:rFonts w:ascii="Arial" w:cs="Arial" w:eastAsia="Arial" w:hAnsi="Arial"/>
          <w:sz w:val="19"/>
          <w:szCs w:val="19"/>
          <w:color w:val="auto"/>
        </w:rPr>
      </w:pPr>
    </w:p>
    <w:p>
      <w:pPr>
        <w:ind w:left="1180" w:hanging="535"/>
        <w:spacing w:after="0"/>
        <w:tabs>
          <w:tab w:leader="none" w:pos="11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additional Investments having an aggregate fair market value, taken together with all other Investments made</w:t>
      </w:r>
    </w:p>
    <w:p>
      <w:pPr>
        <w:spacing w:after="0" w:line="92" w:lineRule="exact"/>
        <w:rPr>
          <w:rFonts w:ascii="Arial" w:cs="Arial" w:eastAsia="Arial" w:hAnsi="Arial"/>
          <w:sz w:val="19"/>
          <w:szCs w:val="19"/>
          <w:color w:val="auto"/>
        </w:rPr>
      </w:pPr>
    </w:p>
    <w:p>
      <w:pPr>
        <w:ind w:right="100"/>
        <w:spacing w:after="0" w:line="301" w:lineRule="auto"/>
        <w:rPr>
          <w:rFonts w:ascii="Arial" w:cs="Arial" w:eastAsia="Arial" w:hAnsi="Arial"/>
          <w:sz w:val="19"/>
          <w:szCs w:val="19"/>
          <w:color w:val="auto"/>
        </w:rPr>
      </w:pPr>
      <w:r>
        <w:rPr>
          <w:rFonts w:ascii="Arial" w:cs="Arial" w:eastAsia="Arial" w:hAnsi="Arial"/>
          <w:sz w:val="21"/>
          <w:szCs w:val="21"/>
          <w:color w:val="auto"/>
        </w:rPr>
        <w:t xml:space="preserve">pursuant to this clause (20) that are at that time outstanding, not to exceed the greater of $300.0 million and 1.75% of Total Assets (with the fair market value of each Investment being measured at the time made and without giving effect to subsequent changes in value) plus the amount of any distributions, dividends, payments or other returns in respect of such Investments (without duplication for purposes of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of any amounts applied pursuant to clause (c) of the first paragraph of such covenant);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Investment is in Capital Stock of a Person that subsequently becomes a Restricted Subsidiary, such Investment shall</w:t>
      </w:r>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20"/>
          </w:cols>
          <w:pgMar w:left="900" w:top="1077" w:right="279" w:bottom="1440" w:gutter="0" w:footer="0" w:header="0"/>
        </w:sectPr>
      </w:pPr>
    </w:p>
    <w:bookmarkStart w:id="86" w:name="page87"/>
    <w:bookmarkEnd w:id="86"/>
    <w:p>
      <w:pPr>
        <w:ind w:right="40"/>
        <w:spacing w:after="0" w:line="302" w:lineRule="auto"/>
        <w:rPr>
          <w:sz w:val="20"/>
          <w:szCs w:val="20"/>
          <w:color w:val="auto"/>
        </w:rPr>
      </w:pPr>
      <w:r>
        <w:rPr>
          <w:rFonts w:ascii="Arial" w:cs="Arial" w:eastAsia="Arial" w:hAnsi="Arial"/>
          <w:sz w:val="22"/>
          <w:szCs w:val="22"/>
          <w:color w:val="auto"/>
        </w:rPr>
        <w:t>thereafter be deemed permitted under clause (1) or (2) above and shall not be included as having been made pursuant to this clause (20);</w:t>
      </w:r>
    </w:p>
    <w:p>
      <w:pPr>
        <w:spacing w:after="0" w:line="390" w:lineRule="exact"/>
        <w:rPr>
          <w:sz w:val="20"/>
          <w:szCs w:val="20"/>
          <w:color w:val="auto"/>
        </w:rPr>
      </w:pPr>
    </w:p>
    <w:p>
      <w:pPr>
        <w:ind w:left="1180" w:hanging="535"/>
        <w:spacing w:after="0"/>
        <w:tabs>
          <w:tab w:leader="none" w:pos="11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 Investments in a Special Purpose Entity or any Investment by a Special Purpose Subsidiary in any other</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Person in connection with a Special Purpose Financing and (ii) distributions or payments of Special Purpose Financing Fees and purchases of receivables pursuant to a securitization repurchase obligation in connection with a Special Purpose Financing;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repurchases of Notes;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680" w:firstLine="645"/>
        <w:spacing w:after="0" w:line="315" w:lineRule="auto"/>
        <w:tabs>
          <w:tab w:leader="none" w:pos="11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Investments by an Unrestricted Subsidiary entered into prior to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herein;</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issuance or sale of Capital Stock, options, other equity-related interests or other securities, or other</w:t>
      </w:r>
    </w:p>
    <w:p>
      <w:pPr>
        <w:spacing w:after="0" w:line="92" w:lineRule="exact"/>
        <w:rPr>
          <w:rFonts w:ascii="Arial" w:cs="Arial" w:eastAsia="Arial" w:hAnsi="Arial"/>
          <w:sz w:val="19"/>
          <w:szCs w:val="19"/>
          <w:color w:val="auto"/>
        </w:rPr>
      </w:pPr>
    </w:p>
    <w:p>
      <w:pPr>
        <w:ind w:right="60"/>
        <w:spacing w:after="0" w:line="333" w:lineRule="auto"/>
        <w:rPr>
          <w:rFonts w:ascii="Arial" w:cs="Arial" w:eastAsia="Arial" w:hAnsi="Arial"/>
          <w:sz w:val="19"/>
          <w:szCs w:val="19"/>
          <w:color w:val="auto"/>
        </w:rPr>
      </w:pPr>
      <w:r>
        <w:rPr>
          <w:rFonts w:ascii="Arial" w:cs="Arial" w:eastAsia="Arial" w:hAnsi="Arial"/>
          <w:sz w:val="19"/>
          <w:szCs w:val="19"/>
          <w:color w:val="auto"/>
        </w:rPr>
        <w:t>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the payment of compensation, reasonable fees and reimbursement of expenses to, or indemnities provided on behalf of, in each case, officers, employees, directors or consultants of any Parent Entity, the Company or any Restricted Subsidiary (whether directly or indirectly and including through any Person owned or controlled by any of such directors, officers or employees), in each case in the ordinary course of business or consistent with past practice;</w:t>
      </w:r>
    </w:p>
    <w:p>
      <w:pPr>
        <w:spacing w:after="0" w:line="371" w:lineRule="exact"/>
        <w:rPr>
          <w:rFonts w:ascii="Arial" w:cs="Arial" w:eastAsia="Arial" w:hAnsi="Arial"/>
          <w:sz w:val="19"/>
          <w:szCs w:val="19"/>
          <w:color w:val="auto"/>
        </w:rPr>
      </w:pPr>
    </w:p>
    <w:p>
      <w:pPr>
        <w:ind w:left="1180" w:hanging="535"/>
        <w:spacing w:after="0"/>
        <w:tabs>
          <w:tab w:leader="none" w:pos="11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Investments pursuant to transactions arising out of the Separation and Distribution Agreement, dated as of</w:t>
      </w:r>
    </w:p>
    <w:p>
      <w:pPr>
        <w:spacing w:after="0" w:line="92" w:lineRule="exact"/>
        <w:rPr>
          <w:rFonts w:ascii="Arial" w:cs="Arial" w:eastAsia="Arial" w:hAnsi="Arial"/>
          <w:sz w:val="19"/>
          <w:szCs w:val="19"/>
          <w:color w:val="auto"/>
        </w:rPr>
      </w:pPr>
    </w:p>
    <w:p>
      <w:pPr>
        <w:ind w:right="580"/>
        <w:spacing w:after="0" w:line="292" w:lineRule="auto"/>
        <w:rPr>
          <w:rFonts w:ascii="Arial" w:cs="Arial" w:eastAsia="Arial" w:hAnsi="Arial"/>
          <w:sz w:val="19"/>
          <w:szCs w:val="19"/>
          <w:color w:val="auto"/>
        </w:rPr>
      </w:pPr>
      <w:r>
        <w:rPr>
          <w:rFonts w:ascii="Arial" w:cs="Arial" w:eastAsia="Arial" w:hAnsi="Arial"/>
          <w:sz w:val="22"/>
          <w:szCs w:val="22"/>
          <w:color w:val="auto"/>
        </w:rPr>
        <w:t>July 27, 2006 (as amended, modified or supplemented in accordance with its terms), among Avis Budget Group, Inc., Realogy Corporation, Wyndham Worldwide Corporation and Travelport Inc. in existence on the Issue Date, and any payments made pursuant thereto;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100" w:firstLine="645"/>
        <w:spacing w:after="0" w:line="315" w:lineRule="auto"/>
        <w:tabs>
          <w:tab w:leader="none" w:pos="11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entry into, and payments by the Company (and any Parent Entity) and its Restricted Subsidiaries pursuant to, any tax sharing agreements or other equity</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740"/>
          </w:cols>
          <w:pgMar w:left="900" w:top="1077" w:right="259" w:bottom="1440" w:gutter="0" w:footer="0" w:header="0"/>
        </w:sectPr>
      </w:pPr>
    </w:p>
    <w:bookmarkStart w:id="87" w:name="page88"/>
    <w:bookmarkEnd w:id="87"/>
    <w:p>
      <w:pPr>
        <w:spacing w:after="0"/>
        <w:rPr>
          <w:sz w:val="20"/>
          <w:szCs w:val="20"/>
          <w:color w:val="auto"/>
        </w:rPr>
      </w:pPr>
      <w:r>
        <w:rPr>
          <w:rFonts w:ascii="Arial" w:cs="Arial" w:eastAsia="Arial" w:hAnsi="Arial"/>
          <w:sz w:val="21"/>
          <w:szCs w:val="21"/>
          <w:color w:val="auto"/>
        </w:rPr>
        <w:t>agreements among the Company (and any such Parent Entity) and its Restricted Subsidiaries on customary terms;</w:t>
      </w:r>
    </w:p>
    <w:p>
      <w:pPr>
        <w:spacing w:after="0" w:line="200" w:lineRule="exact"/>
        <w:rPr>
          <w:sz w:val="20"/>
          <w:szCs w:val="20"/>
          <w:color w:val="auto"/>
        </w:rPr>
      </w:pPr>
    </w:p>
    <w:p>
      <w:pPr>
        <w:spacing w:after="0" w:line="288" w:lineRule="exact"/>
        <w:rPr>
          <w:sz w:val="20"/>
          <w:szCs w:val="20"/>
          <w:color w:val="auto"/>
        </w:rPr>
      </w:pPr>
    </w:p>
    <w:p>
      <w:pPr>
        <w:ind w:left="1180" w:hanging="535"/>
        <w:spacing w:after="0"/>
        <w:tabs>
          <w:tab w:leader="none" w:pos="11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 Investments in a Subsidiary, consisting of a demand note or promissory note of the Company or a</w:t>
      </w:r>
    </w:p>
    <w:p>
      <w:pPr>
        <w:spacing w:after="0" w:line="69" w:lineRule="exact"/>
        <w:rPr>
          <w:rFonts w:ascii="Arial" w:cs="Arial" w:eastAsia="Arial" w:hAnsi="Arial"/>
          <w:sz w:val="21"/>
          <w:szCs w:val="21"/>
          <w:color w:val="auto"/>
        </w:rPr>
      </w:pPr>
    </w:p>
    <w:p>
      <w:pPr>
        <w:ind w:right="120"/>
        <w:spacing w:after="0" w:line="336" w:lineRule="auto"/>
        <w:rPr>
          <w:rFonts w:ascii="Arial" w:cs="Arial" w:eastAsia="Arial" w:hAnsi="Arial"/>
          <w:sz w:val="21"/>
          <w:szCs w:val="21"/>
          <w:color w:val="auto"/>
        </w:rPr>
      </w:pPr>
      <w:r>
        <w:rPr>
          <w:rFonts w:ascii="Arial" w:cs="Arial" w:eastAsia="Arial" w:hAnsi="Arial"/>
          <w:sz w:val="19"/>
          <w:szCs w:val="19"/>
          <w:color w:val="auto"/>
        </w:rPr>
        <w:t>Restricted Subsidiary issued in favor of or for the benefit of a Special Purpose Subsidiary and which serves solely as credit enhancement for any vehicle-related financing in such Special Purpose Subsidiary, (b) Investments by a Special Purpose Subsidiary which is a Restricted Subsidiary in any such demand note or other promissory note issued by the Company, any Restricted Subsidiary or any Parent Entity to such Special Purpose Subsidiary which is a Restricted Subsidiary, provided that if such Parent Entity receives cash from the relevant Special Purpose Entity in exchange for such note, an equal cash amount is contributed by any Parent to the Company and (c) Investments made between Restricted Subsidiaries in connection with, or relating to, a Canadian Special Purpose Financing;</w:t>
      </w:r>
    </w:p>
    <w:p>
      <w:pPr>
        <w:spacing w:after="0" w:line="370" w:lineRule="exact"/>
        <w:rPr>
          <w:rFonts w:ascii="Arial" w:cs="Arial" w:eastAsia="Arial" w:hAnsi="Arial"/>
          <w:sz w:val="21"/>
          <w:szCs w:val="21"/>
          <w:color w:val="auto"/>
        </w:rPr>
      </w:pPr>
    </w:p>
    <w:p>
      <w:pPr>
        <w:ind w:right="400" w:firstLine="645"/>
        <w:spacing w:after="0" w:line="341" w:lineRule="auto"/>
        <w:tabs>
          <w:tab w:leader="none" w:pos="1188"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Investments consisting of, or arising out of or related to, Vehicle Rental Concession Rights (including any Investments referred to in the definition of the term “Vehicle Rental Concession Rights”); and</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customary Investments in connection with a receivables financing.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right="100" w:firstLine="645"/>
        <w:spacing w:after="0" w:line="315" w:lineRule="auto"/>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on assets or property of a Restricted Subsidiary that is not a Subsidiary Guarantor securing Indebtedness of any Restricted Subsidiary that is not a Subsidiary Guarantor;</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pledges, deposits or Liens under workmen’s compensation laws, payroll taxes, unemployment insurance laws,</w:t>
      </w:r>
    </w:p>
    <w:p>
      <w:pPr>
        <w:spacing w:after="0" w:line="92" w:lineRule="exact"/>
        <w:rPr>
          <w:rFonts w:ascii="Arial" w:cs="Arial" w:eastAsia="Arial" w:hAnsi="Arial"/>
          <w:sz w:val="19"/>
          <w:szCs w:val="19"/>
          <w:color w:val="auto"/>
        </w:rPr>
      </w:pPr>
    </w:p>
    <w:p>
      <w:pPr>
        <w:spacing w:after="0" w:line="300" w:lineRule="auto"/>
        <w:rPr>
          <w:rFonts w:ascii="Arial" w:cs="Arial" w:eastAsia="Arial" w:hAnsi="Arial"/>
          <w:sz w:val="19"/>
          <w:szCs w:val="19"/>
          <w:color w:val="auto"/>
        </w:rPr>
      </w:pPr>
      <w:r>
        <w:rPr>
          <w:rFonts w:ascii="Arial" w:cs="Arial" w:eastAsia="Arial" w:hAnsi="Arial"/>
          <w:sz w:val="21"/>
          <w:szCs w:val="21"/>
          <w:color w:val="auto"/>
        </w:rPr>
        <w:t>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advance payment, guarantees of government contracts, completion guarantees or warranties (or other similar bonds, instruments or obligations), or as security for contested taxes or for import or customs duties or the payment of rent, or other obligations of like nature, in each case Incurred in the ordinary course of business or consistent with past practice;</w:t>
      </w:r>
    </w:p>
    <w:p>
      <w:pPr>
        <w:spacing w:after="0" w:line="399" w:lineRule="exact"/>
        <w:rPr>
          <w:rFonts w:ascii="Arial" w:cs="Arial" w:eastAsia="Arial" w:hAnsi="Arial"/>
          <w:sz w:val="19"/>
          <w:szCs w:val="19"/>
          <w:color w:val="auto"/>
        </w:rPr>
      </w:pPr>
    </w:p>
    <w:p>
      <w:pPr>
        <w:ind w:right="1060" w:firstLine="645"/>
        <w:spacing w:after="0" w:line="315" w:lineRule="auto"/>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imposed by law, including carriers’, warehousemen’s, mechanics’, landlords’, materialmen’s, repairmen’s, construction contractors’ or other like Liens, in</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740"/>
          </w:cols>
          <w:pgMar w:left="900" w:top="1077" w:right="259" w:bottom="1440" w:gutter="0" w:footer="0" w:header="0"/>
        </w:sectPr>
      </w:pPr>
    </w:p>
    <w:bookmarkStart w:id="88" w:name="page89"/>
    <w:bookmarkEnd w:id="88"/>
    <w:p>
      <w:pPr>
        <w:ind w:left="4" w:right="120"/>
        <w:spacing w:after="0" w:line="302" w:lineRule="auto"/>
        <w:rPr>
          <w:sz w:val="20"/>
          <w:szCs w:val="20"/>
          <w:color w:val="auto"/>
        </w:rPr>
      </w:pPr>
      <w:r>
        <w:rPr>
          <w:rFonts w:ascii="Arial" w:cs="Arial" w:eastAsia="Arial" w:hAnsi="Arial"/>
          <w:sz w:val="22"/>
          <w:szCs w:val="22"/>
          <w:color w:val="auto"/>
        </w:rPr>
        <w:t>each case for sums not yet overdue for a period of more than 60 days or that are bonded or being contested in good faith by appropriate proceedings;</w:t>
      </w:r>
    </w:p>
    <w:p>
      <w:pPr>
        <w:spacing w:after="0" w:line="390" w:lineRule="exact"/>
        <w:rPr>
          <w:sz w:val="20"/>
          <w:szCs w:val="20"/>
          <w:color w:val="auto"/>
        </w:rPr>
      </w:pPr>
    </w:p>
    <w:p>
      <w:pPr>
        <w:ind w:left="1084" w:hanging="435"/>
        <w:spacing w:after="0"/>
        <w:tabs>
          <w:tab w:leader="none" w:pos="108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Liens for Taxes which are not overdue for a period of more than 60 days, or the nonpayment of which in the</w:t>
      </w:r>
    </w:p>
    <w:p>
      <w:pPr>
        <w:spacing w:after="0" w:line="92" w:lineRule="exact"/>
        <w:rPr>
          <w:rFonts w:ascii="Arial" w:cs="Arial" w:eastAsia="Arial" w:hAnsi="Arial"/>
          <w:sz w:val="19"/>
          <w:szCs w:val="19"/>
          <w:color w:val="auto"/>
        </w:rPr>
      </w:pPr>
    </w:p>
    <w:p>
      <w:pPr>
        <w:ind w:left="4" w:right="50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aggregate would not reasonably be expected to have a material adverse effect on the Company and its Restricted Subsidiaries, or 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appropriate reserves required pursuant to GAAP have been made in respect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4" w:hanging="435"/>
        <w:spacing w:after="0"/>
        <w:tabs>
          <w:tab w:leader="none" w:pos="108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encumbrances, ground leases, easements (including reciprocal easement agreements), survey exceptions, or</w:t>
      </w:r>
    </w:p>
    <w:p>
      <w:pPr>
        <w:spacing w:after="0" w:line="92" w:lineRule="exact"/>
        <w:rPr>
          <w:rFonts w:ascii="Arial" w:cs="Arial" w:eastAsia="Arial" w:hAnsi="Arial"/>
          <w:sz w:val="19"/>
          <w:szCs w:val="19"/>
          <w:color w:val="auto"/>
        </w:rPr>
      </w:pPr>
    </w:p>
    <w:p>
      <w:pPr>
        <w:ind w:left="4" w:right="80"/>
        <w:spacing w:after="0" w:line="285" w:lineRule="auto"/>
        <w:rPr>
          <w:rFonts w:ascii="Arial" w:cs="Arial" w:eastAsia="Arial" w:hAnsi="Arial"/>
          <w:sz w:val="19"/>
          <w:szCs w:val="19"/>
          <w:color w:val="auto"/>
        </w:rPr>
      </w:pPr>
      <w:r>
        <w:rPr>
          <w:rFonts w:ascii="Arial" w:cs="Arial" w:eastAsia="Arial" w:hAnsi="Arial"/>
          <w:sz w:val="22"/>
          <w:szCs w:val="22"/>
          <w:color w:val="auto"/>
        </w:rPr>
        <w:t>reservations of, or rights of 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their properties which do not in the aggregate materially adversely affect the value of said properties or materially impair their use in the operation of the business of the Company and its Restricted Subsidiaries;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4" w:right="140" w:firstLine="645"/>
        <w:spacing w:after="0" w:line="333" w:lineRule="auto"/>
        <w:tabs>
          <w:tab w:leader="none" w:pos="108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Liens (a) on assets or property of the Company or any Restricted Subsidiary securing Hedging Obligations or Cash Management Services permitted under this Indenture; (b) that are contractual rights of set-off or, in the case of clause</w:t>
      </w:r>
    </w:p>
    <w:p>
      <w:pPr>
        <w:spacing w:after="0" w:line="1" w:lineRule="exact"/>
        <w:rPr>
          <w:rFonts w:ascii="Arial" w:cs="Arial" w:eastAsia="Arial" w:hAnsi="Arial"/>
          <w:sz w:val="19"/>
          <w:szCs w:val="19"/>
          <w:color w:val="auto"/>
        </w:rPr>
      </w:pPr>
    </w:p>
    <w:p>
      <w:pPr>
        <w:ind w:left="4" w:hanging="4"/>
        <w:spacing w:after="0" w:line="331" w:lineRule="auto"/>
        <w:tabs>
          <w:tab w:leader="none" w:pos="26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or (ii) below, other bankers’ Liens (i) relating to treasury, depository and cash management services or any automated clearing house transfers of funds in the ordinary course of business and not given in connection with the issuance of Indebtedness, (ii) relating to the honoring by a bank or other financial institution of a check, draft or similar instrument drawn against insufficient funds or relating to pooled deposit or sweep accounts to permit satisfaction of overdraft or similar obligations incurred in the ordinary course of business of the Company or any Subsidiary or (iii) relating to purchase orders and other agreements entered into with customers of the Company or any Restricted Subsidiary in the ordinary course of business; (c) on cash accounts securing Indebtedness incurred with financial institutions in respect of customer deposits and advance payments received in the ordinary course of business or consistent with past practice from customers for goods or services purchased in the ordinary course of business or consistent with past practice; (d) encumbering reasonable customary initial deposits and margin deposits and similar Liens attaching to commodity trading accounts or other brokerage accounts incurred in the ordinary course of business; (e) on receivables (including related rights); (f) arising in connection with repurchase agreements on assets that are the subject of such repurchase agreements; and/or (g) (i) of a collection bank arising under Section 4-210 of the Uniform Commercial Code on items in the course of collection and (ii) in favor of a banking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764"/>
          </w:cols>
          <w:pgMar w:left="896" w:top="1077" w:right="239" w:bottom="1440" w:gutter="0" w:footer="0" w:header="0"/>
        </w:sectPr>
      </w:pPr>
    </w:p>
    <w:bookmarkStart w:id="89" w:name="page90"/>
    <w:bookmarkEnd w:id="89"/>
    <w:p>
      <w:pPr>
        <w:spacing w:after="0" w:line="306" w:lineRule="auto"/>
        <w:rPr>
          <w:sz w:val="20"/>
          <w:szCs w:val="20"/>
          <w:color w:val="auto"/>
        </w:rPr>
      </w:pPr>
      <w:r>
        <w:rPr>
          <w:rFonts w:ascii="Arial" w:cs="Arial" w:eastAsia="Arial" w:hAnsi="Arial"/>
          <w:sz w:val="21"/>
          <w:szCs w:val="21"/>
          <w:color w:val="auto"/>
        </w:rPr>
        <w:t>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to secure any Indebtedness;</w:t>
      </w:r>
    </w:p>
    <w:p>
      <w:pPr>
        <w:spacing w:after="0" w:line="389" w:lineRule="exact"/>
        <w:rPr>
          <w:sz w:val="20"/>
          <w:szCs w:val="20"/>
          <w:color w:val="auto"/>
        </w:rPr>
      </w:pPr>
    </w:p>
    <w:p>
      <w:pPr>
        <w:ind w:left="1080" w:hanging="435"/>
        <w:spacing w:after="0"/>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leases, licenses, subleases and sublicenses of assets (including real property and intellectual property rights);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080" w:hanging="435"/>
        <w:spacing w:after="0"/>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Liens arising out of judgments, decrees, orders or awards not giving rise to an Event of Default so long as (a)</w:t>
      </w:r>
    </w:p>
    <w:p>
      <w:pPr>
        <w:spacing w:after="0" w:line="92" w:lineRule="exact"/>
        <w:rPr>
          <w:rFonts w:ascii="Arial" w:cs="Arial" w:eastAsia="Arial" w:hAnsi="Arial"/>
          <w:sz w:val="19"/>
          <w:szCs w:val="19"/>
          <w:color w:val="auto"/>
        </w:rPr>
      </w:pPr>
    </w:p>
    <w:p>
      <w:pPr>
        <w:ind w:right="320"/>
        <w:spacing w:after="0" w:line="357" w:lineRule="auto"/>
        <w:rPr>
          <w:rFonts w:ascii="Arial" w:cs="Arial" w:eastAsia="Arial" w:hAnsi="Arial"/>
          <w:sz w:val="19"/>
          <w:szCs w:val="19"/>
          <w:color w:val="auto"/>
        </w:rPr>
      </w:pPr>
      <w:r>
        <w:rPr>
          <w:rFonts w:ascii="Arial" w:cs="Arial" w:eastAsia="Arial" w:hAnsi="Arial"/>
          <w:sz w:val="19"/>
          <w:szCs w:val="19"/>
          <w:color w:val="auto"/>
        </w:rPr>
        <w:t>any appropriate legal proceedings which may have been duly initiated for the review of such judgment, decree, order or award have not been finally terminated or (b) no more than 60 days have passed after (i) such judgment, decree, order or award has become final or (ii) such period within which such proceedings may be initiated has expired;</w:t>
      </w:r>
    </w:p>
    <w:p>
      <w:pPr>
        <w:spacing w:after="0" w:line="348" w:lineRule="exact"/>
        <w:rPr>
          <w:rFonts w:ascii="Arial" w:cs="Arial" w:eastAsia="Arial" w:hAnsi="Arial"/>
          <w:sz w:val="19"/>
          <w:szCs w:val="19"/>
          <w:color w:val="auto"/>
        </w:rPr>
      </w:pPr>
    </w:p>
    <w:p>
      <w:pPr>
        <w:ind w:left="1080" w:hanging="435"/>
        <w:spacing w:after="0"/>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Liens (i) on assets or property of the Company or any Restricted Subsidiary for the purpose of securing</w:t>
      </w:r>
    </w:p>
    <w:p>
      <w:pPr>
        <w:spacing w:after="0" w:line="69" w:lineRule="exact"/>
        <w:rPr>
          <w:rFonts w:ascii="Arial" w:cs="Arial" w:eastAsia="Arial" w:hAnsi="Arial"/>
          <w:sz w:val="21"/>
          <w:szCs w:val="21"/>
          <w:color w:val="auto"/>
        </w:rPr>
      </w:pPr>
    </w:p>
    <w:p>
      <w:pPr>
        <w:ind w:right="220"/>
        <w:spacing w:after="0" w:line="387" w:lineRule="auto"/>
        <w:rPr>
          <w:rFonts w:ascii="Arial" w:cs="Arial" w:eastAsia="Arial" w:hAnsi="Arial"/>
          <w:sz w:val="21"/>
          <w:szCs w:val="21"/>
          <w:color w:val="auto"/>
        </w:rPr>
      </w:pPr>
      <w:r>
        <w:rPr>
          <w:rFonts w:ascii="Arial" w:cs="Arial" w:eastAsia="Arial" w:hAnsi="Arial"/>
          <w:sz w:val="19"/>
          <w:szCs w:val="19"/>
          <w:color w:val="auto"/>
        </w:rPr>
        <w:t>Capitalized Lease Obligations (or any interest or title of any lessor thereunder or under any operating lease) or Purchase Money Obligations, and (ii) on any interest or title of a lessor under any Capitalized Lease Obligations or operating lease;</w:t>
      </w:r>
    </w:p>
    <w:p>
      <w:pPr>
        <w:spacing w:after="0" w:line="321" w:lineRule="exact"/>
        <w:rPr>
          <w:rFonts w:ascii="Arial" w:cs="Arial" w:eastAsia="Arial" w:hAnsi="Arial"/>
          <w:sz w:val="21"/>
          <w:szCs w:val="21"/>
          <w:color w:val="auto"/>
        </w:rPr>
      </w:pPr>
    </w:p>
    <w:p>
      <w:pPr>
        <w:ind w:left="1180" w:hanging="535"/>
        <w:spacing w:after="0"/>
        <w:tabs>
          <w:tab w:leader="none" w:pos="11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Liens perfected or evidenced by or Uniform Commercial Code financing statement filings (or similar filings</w:t>
      </w:r>
    </w:p>
    <w:p>
      <w:pPr>
        <w:spacing w:after="0" w:line="92" w:lineRule="exact"/>
        <w:rPr>
          <w:rFonts w:ascii="Arial" w:cs="Arial" w:eastAsia="Arial" w:hAnsi="Arial"/>
          <w:sz w:val="19"/>
          <w:szCs w:val="19"/>
          <w:color w:val="auto"/>
        </w:rPr>
      </w:pPr>
    </w:p>
    <w:p>
      <w:pPr>
        <w:ind w:right="160"/>
        <w:spacing w:after="0" w:line="302" w:lineRule="auto"/>
        <w:rPr>
          <w:rFonts w:ascii="Arial" w:cs="Arial" w:eastAsia="Arial" w:hAnsi="Arial"/>
          <w:sz w:val="19"/>
          <w:szCs w:val="19"/>
          <w:color w:val="auto"/>
        </w:rPr>
      </w:pPr>
      <w:r>
        <w:rPr>
          <w:rFonts w:ascii="Arial" w:cs="Arial" w:eastAsia="Arial" w:hAnsi="Arial"/>
          <w:sz w:val="22"/>
          <w:szCs w:val="22"/>
          <w:color w:val="auto"/>
        </w:rPr>
        <w:t>in other applicable jurisdictions) regarding operating leases entered into by the Company and its Restricted Subsidiaries in the ordinary course of business;</w:t>
      </w:r>
    </w:p>
    <w:p>
      <w:pPr>
        <w:spacing w:after="0" w:line="389" w:lineRule="exact"/>
        <w:rPr>
          <w:rFonts w:ascii="Arial" w:cs="Arial" w:eastAsia="Arial" w:hAnsi="Arial"/>
          <w:sz w:val="19"/>
          <w:szCs w:val="19"/>
          <w:color w:val="auto"/>
        </w:rPr>
      </w:pPr>
    </w:p>
    <w:p>
      <w:pPr>
        <w:ind w:right="720" w:firstLine="645"/>
        <w:spacing w:after="0" w:line="315" w:lineRule="auto"/>
        <w:tabs>
          <w:tab w:leader="none" w:pos="11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Liens existing on, or provided for in written arrangements existing on, the Issue Date, excluding Liens securing the Credit Agreement;</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Liens on property, other assets or shares of stock of a Person at the time such Person becomes a Restricted</w:t>
      </w:r>
    </w:p>
    <w:p>
      <w:pPr>
        <w:spacing w:after="0" w:line="92" w:lineRule="exact"/>
        <w:rPr>
          <w:rFonts w:ascii="Arial" w:cs="Arial" w:eastAsia="Arial" w:hAnsi="Arial"/>
          <w:sz w:val="19"/>
          <w:szCs w:val="19"/>
          <w:color w:val="auto"/>
        </w:rPr>
      </w:pPr>
    </w:p>
    <w:p>
      <w:pPr>
        <w:ind w:right="80"/>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Subsidiary (or at the time the Company or a Restricted Subsidiary acquires such property, other assets or shares of stock, including any acquisition by means of a merger, consolidation or other business combination transaction with or into the Company or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Liens are not created, Incurred or assumed in anticipation of or in connection with such other Person becoming a Restricted Subsidiary (or such acquisition of such property, other assets or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such Liens are limited to all or part of the same property, other assets or stock (plus improvements, accession, proceeds or dividends or distributions in connection with the original property, other assets or stock)</w:t>
      </w:r>
    </w:p>
    <w:p>
      <w:pPr>
        <w:spacing w:after="0" w:line="200" w:lineRule="exact"/>
        <w:rPr>
          <w:sz w:val="20"/>
          <w:szCs w:val="20"/>
          <w:color w:val="auto"/>
        </w:rPr>
      </w:pPr>
    </w:p>
    <w:p>
      <w:pPr>
        <w:spacing w:after="0" w:line="23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740"/>
          </w:cols>
          <w:pgMar w:left="900" w:top="1077" w:right="259" w:bottom="1440" w:gutter="0" w:footer="0" w:header="0"/>
        </w:sectPr>
      </w:pPr>
    </w:p>
    <w:bookmarkStart w:id="90" w:name="page91"/>
    <w:bookmarkEnd w:id="90"/>
    <w:p>
      <w:pPr>
        <w:ind w:right="160"/>
        <w:spacing w:after="0" w:line="302" w:lineRule="auto"/>
        <w:rPr>
          <w:sz w:val="20"/>
          <w:szCs w:val="20"/>
          <w:color w:val="auto"/>
        </w:rPr>
      </w:pPr>
      <w:r>
        <w:rPr>
          <w:rFonts w:ascii="Arial" w:cs="Arial" w:eastAsia="Arial" w:hAnsi="Arial"/>
          <w:sz w:val="22"/>
          <w:szCs w:val="22"/>
          <w:color w:val="auto"/>
        </w:rPr>
        <w:t>that secured (or, under the written arrangements under which such Liens arose, could secure) the obligations to which such Liens relate;</w:t>
      </w:r>
    </w:p>
    <w:p>
      <w:pPr>
        <w:spacing w:after="0" w:line="390" w:lineRule="exact"/>
        <w:rPr>
          <w:sz w:val="20"/>
          <w:szCs w:val="20"/>
          <w:color w:val="auto"/>
        </w:rPr>
      </w:pPr>
    </w:p>
    <w:p>
      <w:pPr>
        <w:ind w:left="1180" w:hanging="535"/>
        <w:spacing w:after="0"/>
        <w:tabs>
          <w:tab w:leader="none" w:pos="11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Liens on assets or property of the Company or any Restricted Subsidiary securing Indebtedness or other</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obligations of the Company or such Restricted Subsidiary owing to the Company or another Restricted Subsidiary, or Liens in favor of the Company or any Restricted Subsidiary;</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Liens securing Refinancing Indebtedness Incurred to refinance Indebtedness that was previously so secured,</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 xml:space="preserve">and permitted to be secured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(other than Liens permitted under clauses 6(a), 9, 19, 26, 33, 35, 36, 37 or 38 of this definition), or is in respect of property that is or could be the security for or subject to a Permitted Lien hereunder;</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mortgages, liens, security interests, restrictions, encumbrances or any other matters of record that have</w:t>
      </w:r>
    </w:p>
    <w:p>
      <w:pPr>
        <w:spacing w:after="0" w:line="92" w:lineRule="exact"/>
        <w:rPr>
          <w:rFonts w:ascii="Arial" w:cs="Arial" w:eastAsia="Arial" w:hAnsi="Arial"/>
          <w:sz w:val="19"/>
          <w:szCs w:val="19"/>
          <w:color w:val="auto"/>
        </w:rPr>
      </w:pPr>
    </w:p>
    <w:p>
      <w:pPr>
        <w:ind w:right="180"/>
        <w:spacing w:after="0" w:line="288" w:lineRule="auto"/>
        <w:rPr>
          <w:rFonts w:ascii="Arial" w:cs="Arial" w:eastAsia="Arial" w:hAnsi="Arial"/>
          <w:sz w:val="19"/>
          <w:szCs w:val="19"/>
          <w:color w:val="auto"/>
        </w:rPr>
      </w:pPr>
      <w:r>
        <w:rPr>
          <w:rFonts w:ascii="Arial" w:cs="Arial" w:eastAsia="Arial" w:hAnsi="Arial"/>
          <w:sz w:val="22"/>
          <w:szCs w:val="22"/>
          <w:color w:val="auto"/>
        </w:rPr>
        <w:t>been placed by any government, statutory or regulatory authority, developer, landlord or other third party on property over which the Company or any Restricted Subsidiary of the Company has easement rights or on any leased property and subordination or similar arrangements relating thereto and (b) any condemnation or eminent domain proceedings affecting any real property;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40" w:firstLine="645"/>
        <w:spacing w:after="0" w:line="315"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Capital Stock of any joint venture or similar arrangement pursuant to any joint venture or similar agreement;</w:t>
      </w:r>
    </w:p>
    <w:p>
      <w:pPr>
        <w:spacing w:after="0" w:line="375" w:lineRule="exact"/>
        <w:rPr>
          <w:rFonts w:ascii="Arial" w:cs="Arial" w:eastAsia="Arial" w:hAnsi="Arial"/>
          <w:sz w:val="22"/>
          <w:szCs w:val="22"/>
          <w:color w:val="auto"/>
        </w:rPr>
      </w:pPr>
    </w:p>
    <w:p>
      <w:pPr>
        <w:ind w:right="460" w:firstLine="645"/>
        <w:spacing w:after="0" w:line="315"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375" w:lineRule="exact"/>
        <w:rPr>
          <w:rFonts w:ascii="Arial" w:cs="Arial" w:eastAsia="Arial" w:hAnsi="Arial"/>
          <w:sz w:val="22"/>
          <w:szCs w:val="22"/>
          <w:color w:val="auto"/>
        </w:rPr>
      </w:pPr>
    </w:p>
    <w:p>
      <w:pPr>
        <w:ind w:right="320" w:firstLine="645"/>
        <w:spacing w:after="0" w:line="315"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hire purchase, consignment or similar arrangements for the sale of goods entered into in the ordinary course of business;</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Liens securing Indebtedness Incurred pursuant to any Credit Facility (including letters of credit or bankers’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acceptances issued or created under any Credit Facility), and (without limiting the foregoing), in each case, any Refinancing Indebtedness in respect thereof and Guarantees in respect of such Indebtedness in a maximum aggregate principal amount at any time outstanding not exceeding (i) $3,500</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760"/>
          </w:cols>
          <w:pgMar w:left="900" w:top="1077" w:right="239" w:bottom="1440" w:gutter="0" w:footer="0" w:header="0"/>
        </w:sectPr>
      </w:pPr>
    </w:p>
    <w:bookmarkStart w:id="91" w:name="page92"/>
    <w:bookmarkEnd w:id="91"/>
    <w:p>
      <w:pPr>
        <w:ind w:right="80"/>
        <w:spacing w:after="0" w:line="292" w:lineRule="auto"/>
        <w:rPr>
          <w:sz w:val="20"/>
          <w:szCs w:val="20"/>
          <w:color w:val="auto"/>
        </w:rPr>
      </w:pPr>
      <w:r>
        <w:rPr>
          <w:rFonts w:ascii="Arial" w:cs="Arial" w:eastAsia="Arial" w:hAnsi="Arial"/>
          <w:sz w:val="22"/>
          <w:szCs w:val="22"/>
          <w:color w:val="auto"/>
        </w:rPr>
        <w:t xml:space="preserve">million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in the case of any refinancing of any Indebtedness permitted to be secured under this clause or any portion thereof, the aggregate amount of fees, underwriting discounts, premiums and other costs and expenses Incurred in connection with such refinancing;</w:t>
      </w:r>
    </w:p>
    <w:p>
      <w:pPr>
        <w:spacing w:after="0" w:line="400" w:lineRule="exact"/>
        <w:rPr>
          <w:sz w:val="20"/>
          <w:szCs w:val="20"/>
          <w:color w:val="auto"/>
        </w:rPr>
      </w:pPr>
    </w:p>
    <w:p>
      <w:pPr>
        <w:ind w:left="1180" w:hanging="535"/>
        <w:spacing w:after="0"/>
        <w:tabs>
          <w:tab w:leader="none" w:pos="11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to secure Indebtedness of any Non-Guarantors, covering only the assets of such Subsidiary;</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right="20" w:firstLine="645"/>
        <w:spacing w:after="0" w:line="315" w:lineRule="auto"/>
        <w:tabs>
          <w:tab w:leader="none" w:pos="118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on Capital Stock or other securities or assets of any Unrestricted Subsidiary that secure Indebtedness of such Unrestricted Subsidiary;</w:t>
      </w:r>
    </w:p>
    <w:p>
      <w:pPr>
        <w:spacing w:after="0" w:line="375" w:lineRule="exact"/>
        <w:rPr>
          <w:rFonts w:ascii="Arial" w:cs="Arial" w:eastAsia="Arial" w:hAnsi="Arial"/>
          <w:sz w:val="22"/>
          <w:szCs w:val="22"/>
          <w:color w:val="auto"/>
        </w:rPr>
      </w:pPr>
    </w:p>
    <w:p>
      <w:pPr>
        <w:ind w:right="20" w:firstLine="645"/>
        <w:spacing w:after="0" w:line="315" w:lineRule="auto"/>
        <w:tabs>
          <w:tab w:leader="none" w:pos="118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security granted over the marketable securities portfolio described in clause (9) of the definition of “Cash Equivalents” in connection with the disposal thereof to a third party;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on specific items of inventory of other goods and proceeds of any Person securing such Person’s</w:t>
      </w:r>
    </w:p>
    <w:p>
      <w:pPr>
        <w:spacing w:after="0" w:line="92" w:lineRule="exact"/>
        <w:rPr>
          <w:rFonts w:ascii="Arial" w:cs="Arial" w:eastAsia="Arial" w:hAnsi="Arial"/>
          <w:sz w:val="19"/>
          <w:szCs w:val="19"/>
          <w:color w:val="auto"/>
        </w:rPr>
      </w:pPr>
    </w:p>
    <w:p>
      <w:pPr>
        <w:ind w:right="300"/>
        <w:spacing w:after="0" w:line="302" w:lineRule="auto"/>
        <w:rPr>
          <w:rFonts w:ascii="Arial" w:cs="Arial" w:eastAsia="Arial" w:hAnsi="Arial"/>
          <w:sz w:val="19"/>
          <w:szCs w:val="19"/>
          <w:color w:val="auto"/>
        </w:rPr>
      </w:pPr>
      <w:r>
        <w:rPr>
          <w:rFonts w:ascii="Arial" w:cs="Arial" w:eastAsia="Arial" w:hAnsi="Arial"/>
          <w:sz w:val="22"/>
          <w:szCs w:val="22"/>
          <w:color w:val="auto"/>
        </w:rPr>
        <w:t>obligations in respect of bankers’ acceptances issued or created for the account of such Person to facilitate the purchase, shipment or storage of such inventory or other goods;</w:t>
      </w:r>
    </w:p>
    <w:p>
      <w:pPr>
        <w:spacing w:after="0" w:line="389" w:lineRule="exact"/>
        <w:rPr>
          <w:rFonts w:ascii="Arial" w:cs="Arial" w:eastAsia="Arial" w:hAnsi="Arial"/>
          <w:sz w:val="19"/>
          <w:szCs w:val="19"/>
          <w:color w:val="auto"/>
        </w:rPr>
      </w:pPr>
    </w:p>
    <w:p>
      <w:pPr>
        <w:ind w:firstLine="645"/>
        <w:spacing w:after="0" w:line="315" w:lineRule="auto"/>
        <w:tabs>
          <w:tab w:leader="none" w:pos="118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on equipment of the Company or any Restricted Subsidiary and located on the premises of any client or supplier in the ordinary course of business;</w:t>
      </w:r>
    </w:p>
    <w:p>
      <w:pPr>
        <w:spacing w:after="0" w:line="375" w:lineRule="exact"/>
        <w:rPr>
          <w:rFonts w:ascii="Arial" w:cs="Arial" w:eastAsia="Arial" w:hAnsi="Arial"/>
          <w:sz w:val="22"/>
          <w:szCs w:val="22"/>
          <w:color w:val="auto"/>
        </w:rPr>
      </w:pPr>
    </w:p>
    <w:p>
      <w:pPr>
        <w:ind w:right="260" w:firstLine="645"/>
        <w:spacing w:after="0" w:line="402" w:lineRule="auto"/>
        <w:tabs>
          <w:tab w:leader="none" w:pos="118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on assets or securities deemed to arise in connection with and solely as a result of the execution, delivery or performance of contracts to sell such assets or securities if such sale is otherwise permitted by this Indenture;</w:t>
      </w:r>
    </w:p>
    <w:p>
      <w:pPr>
        <w:spacing w:after="0" w:line="307" w:lineRule="exact"/>
        <w:rPr>
          <w:rFonts w:ascii="Arial" w:cs="Arial" w:eastAsia="Arial" w:hAnsi="Arial"/>
          <w:sz w:val="19"/>
          <w:szCs w:val="19"/>
          <w:color w:val="auto"/>
        </w:rPr>
      </w:pPr>
    </w:p>
    <w:p>
      <w:pPr>
        <w:ind w:left="1180" w:hanging="535"/>
        <w:spacing w:after="0"/>
        <w:tabs>
          <w:tab w:leader="none" w:pos="11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arising by operation of law or contract on insurance policies and the proceeds thereof to secure</w:t>
      </w:r>
    </w:p>
    <w:p>
      <w:pPr>
        <w:spacing w:after="0" w:line="69" w:lineRule="exact"/>
        <w:rPr>
          <w:rFonts w:ascii="Arial" w:cs="Arial" w:eastAsia="Arial" w:hAnsi="Arial"/>
          <w:sz w:val="21"/>
          <w:szCs w:val="21"/>
          <w:color w:val="auto"/>
        </w:rPr>
      </w:pPr>
    </w:p>
    <w:p>
      <w:pPr>
        <w:jc w:val="both"/>
        <w:ind w:right="40"/>
        <w:spacing w:after="0" w:line="292" w:lineRule="auto"/>
        <w:rPr>
          <w:rFonts w:ascii="Arial" w:cs="Arial" w:eastAsia="Arial" w:hAnsi="Arial"/>
          <w:sz w:val="21"/>
          <w:szCs w:val="21"/>
          <w:color w:val="auto"/>
        </w:rPr>
      </w:pPr>
      <w:r>
        <w:rPr>
          <w:rFonts w:ascii="Arial" w:cs="Arial" w:eastAsia="Arial" w:hAnsi="Arial"/>
          <w:sz w:val="22"/>
          <w:szCs w:val="22"/>
          <w:color w:val="auto"/>
        </w:rPr>
        <w:t>premiums thereunder, and Liens, pledges and deposits in the ordinary course of business securing liability for premiums or reimbursement or indemnification obligations of (including obligations in respect of letters of credit or bank guarantees for the benefits of) insurance carriers;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420" w:firstLine="645"/>
        <w:spacing w:after="0" w:line="315" w:lineRule="auto"/>
        <w:tabs>
          <w:tab w:leader="none" w:pos="118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in connection with any letter of intent or purchase agreement permitted hereunder;</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(i) on cash advances in favor of the seller of any property to be acquired in an Investment permitted</w:t>
      </w:r>
    </w:p>
    <w:p>
      <w:pPr>
        <w:spacing w:after="0" w:line="92" w:lineRule="exact"/>
        <w:rPr>
          <w:rFonts w:ascii="Arial" w:cs="Arial" w:eastAsia="Arial" w:hAnsi="Arial"/>
          <w:sz w:val="19"/>
          <w:szCs w:val="19"/>
          <w:color w:val="auto"/>
        </w:rPr>
      </w:pPr>
    </w:p>
    <w:p>
      <w:pPr>
        <w:ind w:right="34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pursuant to Permitted Investments to be applied against the purchase price for such Investment, and (ii) consisting of an agreement to sell any property in an asset sale permitted by </w:t>
      </w:r>
      <w:r>
        <w:rPr>
          <w:rFonts w:ascii="Arial" w:cs="Arial" w:eastAsia="Arial" w:hAnsi="Arial"/>
          <w:sz w:val="19"/>
          <w:szCs w:val="19"/>
          <w:u w:val="single" w:color="auto"/>
          <w:color w:val="auto"/>
        </w:rPr>
        <w:t>Section 3.5</w:t>
      </w:r>
      <w:r>
        <w:rPr>
          <w:rFonts w:ascii="Arial" w:cs="Arial" w:eastAsia="Arial" w:hAnsi="Arial"/>
          <w:sz w:val="19"/>
          <w:szCs w:val="19"/>
          <w:color w:val="auto"/>
        </w:rPr>
        <w:t>, in each case, solely to the extent</w:t>
      </w:r>
    </w:p>
    <w:p>
      <w:pPr>
        <w:spacing w:after="0" w:line="34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680"/>
          </w:cols>
          <w:pgMar w:left="900" w:top="1077" w:right="31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such Investment or asset sale, as the case may be, would have been permitted on the date of the creation of such Lien;</w:t>
      </w:r>
    </w:p>
    <w:p>
      <w:pPr>
        <w:spacing w:after="0" w:line="200" w:lineRule="exact"/>
        <w:rPr>
          <w:sz w:val="20"/>
          <w:szCs w:val="20"/>
          <w:color w:val="auto"/>
        </w:rPr>
      </w:pPr>
    </w:p>
    <w:p>
      <w:pPr>
        <w:spacing w:after="0" w:line="311" w:lineRule="exact"/>
        <w:rPr>
          <w:sz w:val="20"/>
          <w:szCs w:val="20"/>
          <w:color w:val="auto"/>
        </w:rPr>
      </w:pPr>
    </w:p>
    <w:p>
      <w:pPr>
        <w:ind w:right="160" w:firstLine="645"/>
        <w:spacing w:after="0" w:line="315" w:lineRule="auto"/>
        <w:tabs>
          <w:tab w:leader="none" w:pos="118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securing Indebtedness and other obligations in an aggregate principal amount not to exceed the greater of (a) $200 million and (b) 1.5% of Total Assets, at any one time outstanding;</w:t>
      </w:r>
    </w:p>
    <w:p>
      <w:pPr>
        <w:spacing w:after="0" w:line="375" w:lineRule="exact"/>
        <w:rPr>
          <w:rFonts w:ascii="Arial" w:cs="Arial" w:eastAsia="Arial" w:hAnsi="Arial"/>
          <w:sz w:val="22"/>
          <w:szCs w:val="22"/>
          <w:color w:val="auto"/>
        </w:rPr>
      </w:pPr>
    </w:p>
    <w:p>
      <w:pPr>
        <w:ind w:right="900" w:firstLine="645"/>
        <w:spacing w:after="0" w:line="315" w:lineRule="auto"/>
        <w:tabs>
          <w:tab w:leader="none" w:pos="118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Liens then existing with respect to assets of an Unrestricted Subsidiary on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right="200" w:firstLine="645"/>
        <w:spacing w:after="0" w:line="402" w:lineRule="auto"/>
        <w:tabs>
          <w:tab w:leader="none" w:pos="118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Liens Incurred to secure Obligations in respect of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and after giving pro forma effect thereto, the Consolidated Total Secured Leverage Ratio would be no greater than 4.0 to 1.00;</w:t>
      </w:r>
    </w:p>
    <w:p>
      <w:pPr>
        <w:spacing w:after="0" w:line="307" w:lineRule="exact"/>
        <w:rPr>
          <w:rFonts w:ascii="Arial" w:cs="Arial" w:eastAsia="Arial" w:hAnsi="Arial"/>
          <w:sz w:val="19"/>
          <w:szCs w:val="19"/>
          <w:color w:val="auto"/>
        </w:rPr>
      </w:pPr>
    </w:p>
    <w:p>
      <w:pPr>
        <w:ind w:right="740" w:firstLine="645"/>
        <w:spacing w:after="0" w:line="315" w:lineRule="auto"/>
        <w:tabs>
          <w:tab w:leader="none" w:pos="118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securing Indebtedness which is secured by Rental Vehicles in the ordinary course of business or consistent with past practice;</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on or under, or arising out of or relating to, any Vehicle Rental Concession Rights;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securing Indebtedness arising from agreements providing for guarantees, indemnification, obligations in</w:t>
      </w:r>
    </w:p>
    <w:p>
      <w:pPr>
        <w:spacing w:after="0" w:line="92" w:lineRule="exact"/>
        <w:rPr>
          <w:rFonts w:ascii="Arial" w:cs="Arial" w:eastAsia="Arial" w:hAnsi="Arial"/>
          <w:sz w:val="19"/>
          <w:szCs w:val="19"/>
          <w:color w:val="auto"/>
        </w:rPr>
      </w:pPr>
    </w:p>
    <w:p>
      <w:pPr>
        <w:ind w:right="360"/>
        <w:spacing w:after="0" w:line="292" w:lineRule="auto"/>
        <w:rPr>
          <w:rFonts w:ascii="Arial" w:cs="Arial" w:eastAsia="Arial" w:hAnsi="Arial"/>
          <w:sz w:val="19"/>
          <w:szCs w:val="19"/>
          <w:color w:val="auto"/>
        </w:rPr>
      </w:pPr>
      <w:r>
        <w:rPr>
          <w:rFonts w:ascii="Arial" w:cs="Arial" w:eastAsia="Arial" w:hAnsi="Arial"/>
          <w:sz w:val="22"/>
          <w:szCs w:val="22"/>
          <w:color w:val="auto"/>
        </w:rPr>
        <w:t>respect of earn-outs or other adjustments of purchase price or, in each case, similar obligations, in each case, Incurred or assumed in connection with the acquisition or disposition of any business or assets or Person or any Capital Stock of a Subsidiary;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securing Indebtedness consisting of (a) accommodation guarantees for the benefit of trade creditors of</w:t>
      </w:r>
    </w:p>
    <w:p>
      <w:pPr>
        <w:spacing w:after="0" w:line="92"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2"/>
          <w:szCs w:val="22"/>
          <w:color w:val="auto"/>
        </w:rPr>
        <w:t>the Company or any of its Restricted Subsidiaries, (b) Guarantees in connection with the construction or improvement of all or any portion of a Public Facility to be used by the Company or any Restricted Subsidiary or (c) Guarantees required or reasonably necessary (in the good faith determination of the Company) in connection with Vehicle Rental Concession Rights;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securing Indebtedness (a) of a Special Purpose Subsidiary secured by a Lien on all or part of the assets</w:t>
      </w:r>
    </w:p>
    <w:p>
      <w:pPr>
        <w:spacing w:after="0" w:line="92" w:lineRule="exact"/>
        <w:rPr>
          <w:rFonts w:ascii="Arial" w:cs="Arial" w:eastAsia="Arial" w:hAnsi="Arial"/>
          <w:sz w:val="19"/>
          <w:szCs w:val="19"/>
          <w:color w:val="auto"/>
        </w:rPr>
      </w:pPr>
    </w:p>
    <w:p>
      <w:pPr>
        <w:ind w:right="22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disposed of in, or otherwise Incurred in connection with, a Financing Disposition, or (b) otherwise Incurred in connection with a Special Purpose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such Indebtedness is not recourse to the Company or any Restricted Subsidiary that is not a Special Purpose Subsidiary (other than with respect to Special Purpose Financing Undertakings or with respect to potential liability of Aviscar Inc. or Budgetcar Inc., or their respective successors, in their capacity as partners</w:t>
      </w:r>
    </w:p>
    <w:p>
      <w:pPr>
        <w:spacing w:after="0" w:line="200" w:lineRule="exact"/>
        <w:rPr>
          <w:sz w:val="20"/>
          <w:szCs w:val="20"/>
          <w:color w:val="auto"/>
        </w:rPr>
      </w:pPr>
    </w:p>
    <w:p>
      <w:pPr>
        <w:spacing w:after="0" w:line="23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740"/>
          </w:cols>
          <w:pgMar w:left="900" w:top="1077" w:right="259" w:bottom="1440" w:gutter="0" w:footer="0" w:header="0"/>
        </w:sectPr>
      </w:pPr>
    </w:p>
    <w:bookmarkStart w:id="93" w:name="page94"/>
    <w:bookmarkEnd w:id="93"/>
    <w:p>
      <w:pPr>
        <w:ind w:left="660" w:right="100"/>
        <w:spacing w:after="0" w:line="300" w:lineRule="auto"/>
        <w:rPr>
          <w:sz w:val="20"/>
          <w:szCs w:val="20"/>
          <w:color w:val="auto"/>
        </w:rPr>
      </w:pPr>
      <w:r>
        <w:rPr>
          <w:rFonts w:ascii="Arial" w:cs="Arial" w:eastAsia="Arial" w:hAnsi="Arial"/>
          <w:sz w:val="21"/>
          <w:szCs w:val="21"/>
          <w:color w:val="auto"/>
        </w:rPr>
        <w:t>in a Canadian Securitization Entity), (2) in the event such Indebtedness shall become recourse to the Company or any Restricted Subsidiary that is not a Special Purpose Subsidiary (other than with respect to Special Purpose Financing Undertakings), the related Liens will be deemed to be, and must be classified by the Company as, Incurred at such time (or at the time initially Incurred) under one or more of the other provisions of this “Permitted Liens” definition, for so long as such Indebtedness shall be so recourse; and (3) in the event that at any time thereafter such Indebtedness shall comply with the provisions of the preceding subclause (1), the Company may classify the related Liens in whole or in part as Incurred under this clause (36);</w:t>
      </w:r>
    </w:p>
    <w:p>
      <w:pPr>
        <w:spacing w:after="0" w:line="399" w:lineRule="exact"/>
        <w:rPr>
          <w:sz w:val="20"/>
          <w:szCs w:val="20"/>
          <w:color w:val="auto"/>
        </w:rPr>
      </w:pPr>
    </w:p>
    <w:p>
      <w:pPr>
        <w:ind w:left="1840" w:hanging="535"/>
        <w:spacing w:after="0"/>
        <w:tabs>
          <w:tab w:leader="none" w:pos="18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securing Permitted Vehicle Indebtedness;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securing the Notes and Guarantees;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on receivables and related assets arising in connection with a receivables financing.</w:t>
      </w:r>
    </w:p>
    <w:p>
      <w:pPr>
        <w:spacing w:after="0" w:line="200" w:lineRule="exact"/>
        <w:rPr>
          <w:sz w:val="20"/>
          <w:szCs w:val="20"/>
          <w:color w:val="auto"/>
        </w:rPr>
      </w:pPr>
    </w:p>
    <w:p>
      <w:pPr>
        <w:spacing w:after="0" w:line="290"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For purposes of this definition,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covenant and such Permitted Lien shall be treated as having been made pursuant only to the clause or clauses of the definition of Permitted Lien to which such Permitted Lien has been classified or reclassified.</w:t>
      </w:r>
    </w:p>
    <w:p>
      <w:pPr>
        <w:spacing w:after="0" w:line="200" w:lineRule="exact"/>
        <w:rPr>
          <w:sz w:val="20"/>
          <w:szCs w:val="20"/>
          <w:color w:val="auto"/>
        </w:rPr>
      </w:pPr>
    </w:p>
    <w:p>
      <w:pPr>
        <w:spacing w:after="0" w:line="205"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 xml:space="preserve">For purposes of determining compliance with any U.S. dollar-denominated restriction on the incurrence of Liens with respect to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spacing w:after="0" w:line="372" w:lineRule="exact"/>
        <w:rPr>
          <w:sz w:val="20"/>
          <w:szCs w:val="20"/>
          <w:color w:val="auto"/>
        </w:rPr>
      </w:pPr>
    </w:p>
    <w:p>
      <w:pPr>
        <w:ind w:right="420" w:firstLine="648"/>
        <w:spacing w:after="0" w:line="302" w:lineRule="auto"/>
        <w:rPr>
          <w:sz w:val="20"/>
          <w:szCs w:val="20"/>
          <w:color w:val="auto"/>
        </w:rPr>
      </w:pPr>
      <w:r>
        <w:rPr>
          <w:rFonts w:ascii="Arial" w:cs="Arial" w:eastAsia="Arial" w:hAnsi="Arial"/>
          <w:sz w:val="22"/>
          <w:szCs w:val="22"/>
          <w:color w:val="auto"/>
        </w:rPr>
        <w:t>Notwithstanding any other provision of this definition, the maximum amount of Indebtedness with respect to which the Company or a Restricted Subsidiary may Incur Liens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00"/>
          </w:cols>
          <w:pgMar w:left="240" w:top="1077" w:right="259" w:bottom="1440" w:gutter="0" w:footer="0" w:header="0"/>
        </w:sectPr>
      </w:pPr>
    </w:p>
    <w:bookmarkStart w:id="94" w:name="page95"/>
    <w:bookmarkEnd w:id="94"/>
    <w:p>
      <w:pPr>
        <w:ind w:right="120"/>
        <w:spacing w:after="0" w:line="306" w:lineRule="auto"/>
        <w:rPr>
          <w:sz w:val="20"/>
          <w:szCs w:val="20"/>
          <w:color w:val="auto"/>
        </w:rPr>
      </w:pPr>
      <w:r>
        <w:rPr>
          <w:rFonts w:ascii="Arial" w:cs="Arial" w:eastAsia="Arial" w:hAnsi="Arial"/>
          <w:sz w:val="21"/>
          <w:szCs w:val="21"/>
          <w:color w:val="auto"/>
        </w:rPr>
        <w:t>under this definition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89"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Vehicle Indebtedness</w:t>
      </w:r>
      <w:r>
        <w:rPr>
          <w:rFonts w:ascii="Arial" w:cs="Arial" w:eastAsia="Arial" w:hAnsi="Arial"/>
          <w:sz w:val="19"/>
          <w:szCs w:val="19"/>
          <w:color w:val="auto"/>
        </w:rPr>
        <w:t>” means (i) any Indebtedness Incurred in connection with the acquisition, sale, leasing, financing or refinancing of Vehicles and/or related rights (including under leases, manufacturer warranties and buy-back programs, and insurance policies) and/or related assets, including, without limitation, assets that have been transferred to a Special Purpose Entity or made subject to a Lien in a Financing Disposition, and (ii) any Refinancing of the Indebtedness under clause (i). The amount of any Permitted Vehicle Indebtedness shall be determined in accordance with the definition of “Indebtedness.”</w:t>
      </w:r>
    </w:p>
    <w:p>
      <w:pPr>
        <w:spacing w:after="0" w:line="366" w:lineRule="exact"/>
        <w:rPr>
          <w:sz w:val="20"/>
          <w:szCs w:val="20"/>
          <w:color w:val="auto"/>
        </w:rPr>
      </w:pPr>
    </w:p>
    <w:p>
      <w:pPr>
        <w:ind w:right="40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400" w:lineRule="exact"/>
        <w:rPr>
          <w:sz w:val="20"/>
          <w:szCs w:val="20"/>
          <w:color w:val="auto"/>
        </w:rPr>
      </w:pPr>
    </w:p>
    <w:p>
      <w:pPr>
        <w:jc w:val="both"/>
        <w:ind w:right="8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400" w:lineRule="exact"/>
        <w:rPr>
          <w:sz w:val="20"/>
          <w:szCs w:val="20"/>
          <w:color w:val="auto"/>
        </w:rPr>
      </w:pPr>
    </w:p>
    <w:p>
      <w:pPr>
        <w:ind w:right="1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349" w:lineRule="exact"/>
        <w:rPr>
          <w:sz w:val="20"/>
          <w:szCs w:val="20"/>
          <w:color w:val="auto"/>
        </w:rPr>
      </w:pPr>
    </w:p>
    <w:p>
      <w:pPr>
        <w:ind w:right="100"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Facility</w:t>
      </w:r>
      <w:r>
        <w:rPr>
          <w:rFonts w:ascii="Arial" w:cs="Arial" w:eastAsia="Arial" w:hAnsi="Arial"/>
          <w:sz w:val="21"/>
          <w:szCs w:val="21"/>
          <w:color w:val="auto"/>
        </w:rPr>
        <w:t>” means (i) any airport; marine port; rail, subway, bus or other transit stop, station or terminal; stadium; convention center; or military camp, fort, post or base or (ii) any other facility owned or operated by any nation or government or political subdivision thereof, or agency, authority or other instrumentality of any thereof, or other entity exercising regulatory, administrative or other functions of or pertaining to government, or any organization of nations (including the United Nations, the European Union and the North Atlantic Treaty Organization).</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Facility Operator</w:t>
      </w:r>
      <w:r>
        <w:rPr>
          <w:rFonts w:ascii="Arial" w:cs="Arial" w:eastAsia="Arial" w:hAnsi="Arial"/>
          <w:sz w:val="22"/>
          <w:szCs w:val="22"/>
          <w:color w:val="auto"/>
        </w:rPr>
        <w:t>” means a Person that grants or has the power to grant a Vehicle Rental Concession.</w:t>
      </w:r>
    </w:p>
    <w:p>
      <w:pPr>
        <w:spacing w:after="0" w:line="200" w:lineRule="exact"/>
        <w:rPr>
          <w:sz w:val="20"/>
          <w:szCs w:val="20"/>
          <w:color w:val="auto"/>
        </w:rPr>
      </w:pPr>
    </w:p>
    <w:p>
      <w:pPr>
        <w:spacing w:after="0" w:line="276"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Obligations</w:t>
      </w:r>
      <w:r>
        <w:rPr>
          <w:rFonts w:ascii="Arial" w:cs="Arial" w:eastAsia="Arial" w:hAnsi="Arial"/>
          <w:sz w:val="22"/>
          <w:szCs w:val="22"/>
          <w:color w:val="auto"/>
        </w:rPr>
        <w:t>” means any Indebtedness Incurred to finance or refinance the acquisition, leasing, construction or improvement of property (real or personal) or assets (including Capital Stock), and whether acquired through the direct acquisition of such property</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40"/>
          </w:cols>
          <w:pgMar w:left="240" w:top="1077" w:right="31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or assets or the acquisition of the Capital Stock of any Person owning such property or assets, or otherwise.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means any “qualified institutional buyer” as such term is defined in Rule 144A.</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means (1) each of Moody’s and S&amp;P, and (2) if Moody’s or S&amp;P ceases to rate the Notes for reasons outside of the Company’s control, a Nationally Recognized Statistical Rating Organization selected by the Company or any parent of the Company as a replacement agency for Moody’s or S&amp;P, as the case may be.</w:t>
      </w:r>
    </w:p>
    <w:p>
      <w:pPr>
        <w:spacing w:after="0" w:line="400" w:lineRule="exact"/>
        <w:rPr>
          <w:sz w:val="20"/>
          <w:szCs w:val="20"/>
          <w:color w:val="auto"/>
        </w:rPr>
      </w:pPr>
    </w:p>
    <w:p>
      <w:pPr>
        <w:ind w:right="30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Ratings Decline Period</w:t>
      </w:r>
      <w:r>
        <w:rPr>
          <w:rFonts w:ascii="Arial" w:cs="Arial" w:eastAsia="Arial" w:hAnsi="Arial"/>
          <w:sz w:val="21"/>
          <w:szCs w:val="21"/>
          <w:color w:val="auto"/>
        </w:rPr>
        <w:t xml:space="preserve">” means the period that (i) begins on the earlier of (a) a Change of Control or (b) the first public notice of the intention by the Company to affect a Change of Control and (ii) ends 60 days following the consummation of such Change of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period will be extended so long as the rating of the Notes is under publicly announced consideration for a possible downgrade by either of the Rating Agencies.</w:t>
      </w:r>
    </w:p>
    <w:p>
      <w:pPr>
        <w:spacing w:after="0" w:line="389" w:lineRule="exact"/>
        <w:rPr>
          <w:sz w:val="20"/>
          <w:szCs w:val="20"/>
          <w:color w:val="auto"/>
        </w:rPr>
      </w:pPr>
    </w:p>
    <w:p>
      <w:pPr>
        <w:ind w:right="6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Ratings Event</w:t>
      </w:r>
      <w:r>
        <w:rPr>
          <w:rFonts w:ascii="Arial" w:cs="Arial" w:eastAsia="Arial" w:hAnsi="Arial"/>
          <w:sz w:val="19"/>
          <w:szCs w:val="19"/>
          <w:color w:val="auto"/>
        </w:rPr>
        <w:t>” means (x)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(y) the Notes do not have an Investment Grade Status from any Rating Agency.</w:t>
      </w:r>
    </w:p>
    <w:p>
      <w:pPr>
        <w:spacing w:after="0" w:line="361"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Refinance</w:t>
      </w:r>
      <w:r>
        <w:rPr>
          <w:rFonts w:ascii="Arial" w:cs="Arial" w:eastAsia="Arial" w:hAnsi="Arial"/>
          <w:sz w:val="21"/>
          <w:szCs w:val="21"/>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21"/>
          <w:szCs w:val="21"/>
          <w:u w:val="single" w:color="auto"/>
          <w:color w:val="auto"/>
        </w:rPr>
        <w:t>refinances,</w:t>
      </w:r>
      <w:r>
        <w:rPr>
          <w:rFonts w:ascii="Arial" w:cs="Arial" w:eastAsia="Arial" w:hAnsi="Arial"/>
          <w:sz w:val="21"/>
          <w:szCs w:val="21"/>
          <w:color w:val="auto"/>
        </w:rPr>
        <w:t>” “</w:t>
      </w:r>
      <w:r>
        <w:rPr>
          <w:rFonts w:ascii="Arial" w:cs="Arial" w:eastAsia="Arial" w:hAnsi="Arial"/>
          <w:sz w:val="21"/>
          <w:szCs w:val="21"/>
          <w:u w:val="single" w:color="auto"/>
          <w:color w:val="auto"/>
        </w:rPr>
        <w:t>refinanced</w:t>
      </w:r>
      <w:r>
        <w:rPr>
          <w:rFonts w:ascii="Arial" w:cs="Arial" w:eastAsia="Arial" w:hAnsi="Arial"/>
          <w:sz w:val="21"/>
          <w:szCs w:val="21"/>
          <w:color w:val="auto"/>
        </w:rPr>
        <w:t>” and “</w:t>
      </w:r>
      <w:r>
        <w:rPr>
          <w:rFonts w:ascii="Arial" w:cs="Arial" w:eastAsia="Arial" w:hAnsi="Arial"/>
          <w:sz w:val="21"/>
          <w:szCs w:val="21"/>
          <w:u w:val="single" w:color="auto"/>
          <w:color w:val="auto"/>
        </w:rPr>
        <w:t>refinancing</w:t>
      </w:r>
      <w:r>
        <w:rPr>
          <w:rFonts w:ascii="Arial" w:cs="Arial" w:eastAsia="Arial" w:hAnsi="Arial"/>
          <w:sz w:val="21"/>
          <w:szCs w:val="21"/>
          <w:color w:val="auto"/>
        </w:rPr>
        <w:t>” as used for any purpose in this Indenture shall have a correlative meaning.</w:t>
      </w:r>
    </w:p>
    <w:p>
      <w:pPr>
        <w:spacing w:after="0" w:line="385"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366" w:lineRule="exact"/>
        <w:rPr>
          <w:sz w:val="20"/>
          <w:szCs w:val="20"/>
          <w:color w:val="auto"/>
        </w:rPr>
      </w:pPr>
    </w:p>
    <w:p>
      <w:pPr>
        <w:ind w:left="1740" w:hanging="435"/>
        <w:spacing w:after="0"/>
        <w:tabs>
          <w:tab w:leader="none" w:pos="17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the Indebtedness being refinanced is Subordinated Indebtedness, such Refinancing Indebtedness has a Stated</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Maturity at the time such Refinancing Indebtedness is Incurred which is not less than the remaining Stated Maturity of the Indebtedness, Disqualified Stock or Preferred Stock being refunded or refinanced;</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40"/>
          </w:cols>
          <w:pgMar w:left="240" w:top="1077" w:right="319" w:bottom="1440" w:gutter="0" w:footer="0" w:header="0"/>
        </w:sectPr>
      </w:pPr>
    </w:p>
    <w:bookmarkStart w:id="96" w:name="page97"/>
    <w:bookmarkEnd w:id="96"/>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Refinancing Indebtedness shall not include: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a Subsidiary of the Company that is not a</w:t>
      </w:r>
    </w:p>
    <w:p>
      <w:pPr>
        <w:spacing w:after="0" w:line="92" w:lineRule="exact"/>
        <w:rPr>
          <w:rFonts w:ascii="Arial" w:cs="Arial" w:eastAsia="Arial" w:hAnsi="Arial"/>
          <w:sz w:val="19"/>
          <w:szCs w:val="19"/>
          <w:color w:val="auto"/>
        </w:rPr>
      </w:pPr>
    </w:p>
    <w:p>
      <w:pPr>
        <w:ind w:left="1300" w:right="440"/>
        <w:spacing w:after="0" w:line="302" w:lineRule="auto"/>
        <w:rPr>
          <w:rFonts w:ascii="Arial" w:cs="Arial" w:eastAsia="Arial" w:hAnsi="Arial"/>
          <w:sz w:val="19"/>
          <w:szCs w:val="19"/>
          <w:color w:val="auto"/>
        </w:rPr>
      </w:pPr>
      <w:r>
        <w:rPr>
          <w:rFonts w:ascii="Arial" w:cs="Arial" w:eastAsia="Arial" w:hAnsi="Arial"/>
          <w:sz w:val="22"/>
          <w:szCs w:val="22"/>
          <w:color w:val="auto"/>
        </w:rPr>
        <w:t>Subsidiary Guarantor that refinances Indebtedness, Disqualified Stock or Preferred Stock of the Company or a Subsidiary Guarantor; or</w:t>
      </w:r>
    </w:p>
    <w:p>
      <w:pPr>
        <w:spacing w:after="0" w:line="389" w:lineRule="exact"/>
        <w:rPr>
          <w:rFonts w:ascii="Arial" w:cs="Arial" w:eastAsia="Arial" w:hAnsi="Arial"/>
          <w:sz w:val="19"/>
          <w:szCs w:val="19"/>
          <w:color w:val="auto"/>
        </w:rPr>
      </w:pPr>
    </w:p>
    <w:p>
      <w:pPr>
        <w:ind w:left="1300" w:right="300" w:firstLine="653"/>
        <w:spacing w:after="0" w:line="402" w:lineRule="auto"/>
        <w:tabs>
          <w:tab w:leader="none" w:pos="23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the Company or a Restricted Subsidiary that refinances Indebtedness, Disqualified Stock or Preferred Stock of an Unrestricted Subsidiary; and</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such Refinancing Indebtedness has an aggregate principal amount (or if Incurred with original issue discount,</w:t>
      </w:r>
    </w:p>
    <w:p>
      <w:pPr>
        <w:spacing w:after="0" w:line="92" w:lineRule="exact"/>
        <w:rPr>
          <w:rFonts w:ascii="Arial" w:cs="Arial" w:eastAsia="Arial" w:hAnsi="Arial"/>
          <w:sz w:val="19"/>
          <w:szCs w:val="19"/>
          <w:color w:val="auto"/>
        </w:rPr>
      </w:pPr>
    </w:p>
    <w:p>
      <w:pPr>
        <w:ind w:left="660" w:right="320"/>
        <w:spacing w:after="0" w:line="292" w:lineRule="auto"/>
        <w:rPr>
          <w:rFonts w:ascii="Arial" w:cs="Arial" w:eastAsia="Arial" w:hAnsi="Arial"/>
          <w:sz w:val="19"/>
          <w:szCs w:val="19"/>
          <w:color w:val="auto"/>
        </w:rPr>
      </w:pPr>
      <w:r>
        <w:rPr>
          <w:rFonts w:ascii="Arial" w:cs="Arial" w:eastAsia="Arial" w:hAnsi="Arial"/>
          <w:sz w:val="22"/>
          <w:szCs w:val="22"/>
          <w:color w:val="auto"/>
        </w:rPr>
        <w:t>an aggregate issue price) that is equal to or less than the aggregate principal amount (or if Incurred with original issue discount, the aggregate accreted value) then outstanding (plus fees, underwriting discounts and expenses, including any premium and defeasance costs) under the Indebtedness being Refinanced.</w:t>
      </w:r>
    </w:p>
    <w:p>
      <w:pPr>
        <w:spacing w:after="0" w:line="400" w:lineRule="exact"/>
        <w:rPr>
          <w:sz w:val="20"/>
          <w:szCs w:val="20"/>
          <w:color w:val="auto"/>
        </w:rPr>
      </w:pPr>
    </w:p>
    <w:p>
      <w:pPr>
        <w:ind w:right="280" w:firstLine="648"/>
        <w:spacing w:after="0" w:line="302" w:lineRule="auto"/>
        <w:rPr>
          <w:sz w:val="20"/>
          <w:szCs w:val="20"/>
          <w:color w:val="auto"/>
        </w:rPr>
      </w:pPr>
      <w:r>
        <w:rPr>
          <w:rFonts w:ascii="Arial" w:cs="Arial" w:eastAsia="Arial" w:hAnsi="Arial"/>
          <w:sz w:val="22"/>
          <w:szCs w:val="22"/>
          <w:color w:val="auto"/>
        </w:rPr>
        <w:t>Refinancing Indebtedness in respect of any Credit Facility or any other Indebtedness may be Incurred from time to time after the termination, discharge or repayment of any such Credit Facility or other Indebtedness.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S-X</w:t>
      </w:r>
      <w:r>
        <w:rPr>
          <w:rFonts w:ascii="Arial" w:cs="Arial" w:eastAsia="Arial" w:hAnsi="Arial"/>
          <w:sz w:val="22"/>
          <w:szCs w:val="22"/>
          <w:color w:val="auto"/>
        </w:rPr>
        <w:t>” means Regulation S-X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Taxes</w:t>
      </w:r>
      <w:r>
        <w:rPr>
          <w:rFonts w:ascii="Arial" w:cs="Arial" w:eastAsia="Arial" w:hAnsi="Arial"/>
          <w:sz w:val="19"/>
          <w:szCs w:val="19"/>
          <w:color w:val="auto"/>
        </w:rPr>
        <w:t>” means any and all Taxes required to be paid by any Parent Entity other than Taxes directly attributable to</w:t>
      </w:r>
    </w:p>
    <w:p>
      <w:pPr>
        <w:spacing w:after="0" w:line="79" w:lineRule="exact"/>
        <w:rPr>
          <w:sz w:val="20"/>
          <w:szCs w:val="20"/>
          <w:color w:val="auto"/>
        </w:rPr>
      </w:pPr>
    </w:p>
    <w:p>
      <w:pPr>
        <w:ind w:firstLine="8"/>
        <w:spacing w:after="0" w:line="357" w:lineRule="auto"/>
        <w:tabs>
          <w:tab w:leader="none" w:pos="25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income of any entity other than any Parent Entity, the Company or any of its Subsidiaries, (ii) owning stock or other equity interests of any corporation or other entity other than any Parent Entity, the Company or any of its Subsidiaries or (iii) withholding taxes on payments actually made by any Parent Entity other than to another Parent Entity, the Company or any of its Subsidiaries.</w:t>
      </w:r>
    </w:p>
    <w:p>
      <w:pPr>
        <w:spacing w:after="0" w:line="349"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Rental Vehicles</w:t>
      </w:r>
      <w:r>
        <w:rPr>
          <w:rFonts w:ascii="Arial" w:cs="Arial" w:eastAsia="Arial" w:hAnsi="Arial"/>
          <w:sz w:val="22"/>
          <w:szCs w:val="22"/>
          <w:color w:val="auto"/>
        </w:rPr>
        <w:t>” means all Vehicles owned by or leased to the Company or any Subsidiary that are or have been offered for lease or rental by any of the Company and its Restricted Subsidiaries in their vehicle rental operations (and not, for the avoidance of doubt, in connection with any business or operations involving the leasing or renting of other types of Vehicles), including any such Vehicles being held for sale.</w:t>
      </w:r>
    </w:p>
    <w:p>
      <w:pPr>
        <w:spacing w:after="0" w:line="200" w:lineRule="exact"/>
        <w:rPr>
          <w:sz w:val="20"/>
          <w:szCs w:val="20"/>
          <w:color w:val="auto"/>
        </w:rPr>
      </w:pPr>
    </w:p>
    <w:p>
      <w:pPr>
        <w:spacing w:after="0" w:line="206"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any officer with the corporate trust department of the Trustee (or any successor group of the Trustee) who shall have direct responsibility for the administration of this Indenture and also means, with respect to a particular corporate trust</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00"/>
          </w:cols>
          <w:pgMar w:left="240" w:top="1077" w:right="359" w:bottom="1440" w:gutter="0" w:footer="0" w:header="0"/>
        </w:sectPr>
      </w:pPr>
    </w:p>
    <w:bookmarkStart w:id="97" w:name="page98"/>
    <w:bookmarkEnd w:id="97"/>
    <w:p>
      <w:pPr>
        <w:ind w:right="120"/>
        <w:spacing w:after="0" w:line="302" w:lineRule="auto"/>
        <w:rPr>
          <w:sz w:val="20"/>
          <w:szCs w:val="20"/>
          <w:color w:val="auto"/>
        </w:rPr>
      </w:pPr>
      <w:r>
        <w:rPr>
          <w:rFonts w:ascii="Arial" w:cs="Arial" w:eastAsia="Arial" w:hAnsi="Arial"/>
          <w:sz w:val="22"/>
          <w:szCs w:val="22"/>
          <w:color w:val="auto"/>
        </w:rPr>
        <w:t>matter, any other officer to whom such matter is referred because of such person’s knowledge of and familiarity with the particular subject.</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means any Investment other than a Permitted Investment.</w:t>
      </w:r>
    </w:p>
    <w:p>
      <w:pPr>
        <w:spacing w:after="0" w:line="200" w:lineRule="exact"/>
        <w:rPr>
          <w:sz w:val="20"/>
          <w:szCs w:val="20"/>
          <w:color w:val="auto"/>
        </w:rPr>
      </w:pPr>
    </w:p>
    <w:p>
      <w:pPr>
        <w:spacing w:after="0" w:line="276" w:lineRule="exact"/>
        <w:rPr>
          <w:sz w:val="20"/>
          <w:szCs w:val="20"/>
          <w:color w:val="auto"/>
        </w:rPr>
      </w:pPr>
    </w:p>
    <w:p>
      <w:pPr>
        <w:ind w:right="1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w:t>
      </w:r>
      <w:r>
        <w:rPr>
          <w:rFonts w:ascii="Arial" w:cs="Arial" w:eastAsia="Arial" w:hAnsi="Arial"/>
          <w:sz w:val="22"/>
          <w:szCs w:val="22"/>
          <w:color w:val="auto"/>
        </w:rPr>
        <w:t xml:space="preserve">” means Initial Notes and Additional Notes bearing one of the restrictive legends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 Legend</w:t>
      </w:r>
      <w:r>
        <w:rPr>
          <w:rFonts w:ascii="Arial" w:cs="Arial" w:eastAsia="Arial" w:hAnsi="Arial"/>
          <w:sz w:val="22"/>
          <w:szCs w:val="22"/>
          <w:color w:val="auto"/>
        </w:rPr>
        <w:t xml:space="preserve">” means the legend set forth in </w:t>
      </w:r>
      <w:r>
        <w:rPr>
          <w:rFonts w:ascii="Arial" w:cs="Arial" w:eastAsia="Arial" w:hAnsi="Arial"/>
          <w:sz w:val="22"/>
          <w:szCs w:val="22"/>
          <w:u w:val="single" w:color="auto"/>
          <w:color w:val="auto"/>
        </w:rPr>
        <w:t>Section 2.1(d)(1)</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the Company other than an Unrestricted Subsidiary.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under the Securities Act.</w:t>
      </w:r>
    </w:p>
    <w:p>
      <w:pPr>
        <w:spacing w:after="0" w:line="200" w:lineRule="exact"/>
        <w:rPr>
          <w:sz w:val="20"/>
          <w:szCs w:val="20"/>
          <w:color w:val="auto"/>
        </w:rPr>
      </w:pPr>
    </w:p>
    <w:p>
      <w:pPr>
        <w:spacing w:after="0" w:line="276" w:lineRule="exact"/>
        <w:rPr>
          <w:sz w:val="20"/>
          <w:szCs w:val="20"/>
          <w:color w:val="auto"/>
        </w:rPr>
      </w:pPr>
    </w:p>
    <w:p>
      <w:pPr>
        <w:ind w:right="8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Investors Ratings Services or any of its successors or assigns that is a Nationally Recognized Statistical Rating Organization</w:t>
      </w:r>
    </w:p>
    <w:p>
      <w:pPr>
        <w:spacing w:after="0" w:line="39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thereto.</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pacing w:after="0" w:line="390" w:lineRule="exact"/>
        <w:rPr>
          <w:sz w:val="20"/>
          <w:szCs w:val="20"/>
          <w:color w:val="auto"/>
        </w:rPr>
      </w:pPr>
    </w:p>
    <w:p>
      <w:pPr>
        <w:ind w:right="66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Transactions</w:t>
      </w:r>
      <w:r>
        <w:rPr>
          <w:rFonts w:ascii="Arial" w:cs="Arial" w:eastAsia="Arial" w:hAnsi="Arial"/>
          <w:sz w:val="19"/>
          <w:szCs w:val="19"/>
          <w:color w:val="auto"/>
        </w:rPr>
        <w:t>” means the Separation and Distribution Agreement, dated as of July 27, 2006 (as amended, modified or supplemented in accordance with its terms), among Avis Budget Group, Inc., Realogy Corporation, Wyndham Worldwide Corporation and Travelport Inc., and all transactions, agreements and arrangements related thereto.</w:t>
      </w:r>
    </w:p>
    <w:p>
      <w:pPr>
        <w:spacing w:after="0" w:line="349" w:lineRule="exact"/>
        <w:rPr>
          <w:sz w:val="20"/>
          <w:szCs w:val="20"/>
          <w:color w:val="auto"/>
        </w:rPr>
      </w:pPr>
    </w:p>
    <w:p>
      <w:pPr>
        <w:ind w:right="2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Restricted Subsidiary that would be a “significant subsidiary” as defined in Article 1, Rule 1-02 of Regulation S-X, promulgated pursuant to the Securities Act, as such regulation is in effect on the Issue Date.</w:t>
      </w:r>
    </w:p>
    <w:p>
      <w:pPr>
        <w:spacing w:after="0" w:line="322"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means (a) any businesses, services or activities engaged in by the Company or any of its Subsidiaries or any Associates on the Issue Date and (b) any businesses, services and activities engaged in by the Company or any of its Subsidiaries or any Associates that are related, complementary, incidental, ancillary or similar to any of the foregoing or are extensions or developments of any thereof.</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420"/>
          </w:cols>
          <w:pgMar w:left="240" w:top="1077" w:right="239" w:bottom="1440" w:gutter="0" w:footer="0" w:header="0"/>
          <w:type w:val="continuous"/>
        </w:sectPr>
      </w:pPr>
    </w:p>
    <w:bookmarkStart w:id="98" w:name="page99"/>
    <w:bookmarkEnd w:id="98"/>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Entity</w:t>
      </w:r>
      <w:r>
        <w:rPr>
          <w:rFonts w:ascii="Arial" w:cs="Arial" w:eastAsia="Arial" w:hAnsi="Arial"/>
          <w:sz w:val="19"/>
          <w:szCs w:val="19"/>
          <w:color w:val="auto"/>
        </w:rPr>
        <w:t>” means (x) any Special Purpose Subsidiary, (y) any other Person that is engaged in the business of</w:t>
      </w:r>
    </w:p>
    <w:p>
      <w:pPr>
        <w:spacing w:after="0" w:line="79" w:lineRule="exact"/>
        <w:rPr>
          <w:sz w:val="20"/>
          <w:szCs w:val="20"/>
          <w:color w:val="auto"/>
        </w:rPr>
      </w:pPr>
    </w:p>
    <w:p>
      <w:pPr>
        <w:ind w:right="180" w:firstLine="8"/>
        <w:spacing w:after="0" w:line="303" w:lineRule="auto"/>
        <w:tabs>
          <w:tab w:leader="none" w:pos="25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acquiring, selling, collecting, financing or refinancing receivables, accounts (as defined in the Uniform Commercial Code as in effect in any jurisdiction from time to time), other accounts and/or other receivables, and/or related assets, and/or (ii) acquiring, selling, leasing, financing or refinancing Vehicles, and/or related rights (including under leases, manufacturer warranties and buy-back programs, and insurance policies) and/or assets (including managing, exercising and disposing of any such rights and/or assets) or (z) any successor of any of the foregoing.</w:t>
      </w:r>
    </w:p>
    <w:p>
      <w:pPr>
        <w:spacing w:after="0" w:line="393"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w:t>
      </w:r>
      <w:r>
        <w:rPr>
          <w:rFonts w:ascii="Arial" w:cs="Arial" w:eastAsia="Arial" w:hAnsi="Arial"/>
          <w:sz w:val="22"/>
          <w:szCs w:val="22"/>
          <w:color w:val="auto"/>
        </w:rPr>
        <w:t>” means any financing or refinancing of assets consisting of or including receivables or Vehicles of the Company or any Restricted Subsidiary that have been transferred to a Special Purpose Entity or made subject to a Lien in a Financing Disposition.</w:t>
      </w:r>
    </w:p>
    <w:p>
      <w:pPr>
        <w:spacing w:after="0" w:line="400" w:lineRule="exact"/>
        <w:rPr>
          <w:sz w:val="20"/>
          <w:szCs w:val="20"/>
          <w:color w:val="auto"/>
        </w:rPr>
      </w:pPr>
    </w:p>
    <w:p>
      <w:pPr>
        <w:ind w:right="1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 Fees</w:t>
      </w:r>
      <w:r>
        <w:rPr>
          <w:rFonts w:ascii="Arial" w:cs="Arial" w:eastAsia="Arial" w:hAnsi="Arial"/>
          <w:sz w:val="22"/>
          <w:szCs w:val="22"/>
          <w:color w:val="auto"/>
        </w:rPr>
        <w:t>” means distributions or payments made directly or by means of discounts with respect to any participation interest issued or sold in connection with, and other fees paid to a Person that is not a Restricted Subsidiary in connection with, any Special Purpose Financing.</w:t>
      </w:r>
    </w:p>
    <w:p>
      <w:pPr>
        <w:spacing w:after="0" w:line="400"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Financing Undertakings</w:t>
      </w:r>
      <w:r>
        <w:rPr>
          <w:rFonts w:ascii="Arial" w:cs="Arial" w:eastAsia="Arial" w:hAnsi="Arial"/>
          <w:sz w:val="19"/>
          <w:szCs w:val="19"/>
          <w:color w:val="auto"/>
        </w:rPr>
        <w:t xml:space="preserve">” means representations, warranties, covenants, indemnities, guarantees of performance and (subject to clause (b) of the proviso below) other agreements and undertakings entered into or provided by the Company or any of its Restricted Subsidiaries that the Company determines in good faith (which determination shall be conclusive) are customary or otherwise necessary or advisable in connection with a Special Purpose Financing or a Financing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it is understood that Special Purpose Financing Undertakings may consist of or include (i) reimbursement and other obligations in respect of notes, letters of credit, surety bonds and similar instruments provided for credit enhancement purposes or (ii) Hedging Obligations entered into by the Company or any Restricted Subsidiary, in respect of any Special Purpose Financing or Financing Disposition, and (b) subject to the preceding clause (a), any such other agreements and undertakings shall not include any Guarantee of Indebtedness of a Special Purpose Subsidiary by the Company or a Restricted Subsidiary that is not a Special Purpose Subsidiary.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Subsidiary</w:t>
      </w:r>
      <w:r>
        <w:rPr>
          <w:rFonts w:ascii="Arial" w:cs="Arial" w:eastAsia="Arial" w:hAnsi="Arial"/>
          <w:sz w:val="19"/>
          <w:szCs w:val="19"/>
          <w:color w:val="auto"/>
        </w:rPr>
        <w:t>” means a Subsidiary of the Company that is engaged solely in (x) the business of (i) acquiring, selling, collecting, financing or refinancing receivables, accounts (as defined in the Uniform Commercial Code as in effect in any jurisdiction from time to time) and other accounts and receivables (including any thereof constituting or evidenced by chattel paper, instruments or general intangibles), all proceeds thereof and all rights (contractual and other), collateral and other assets relating thereto, and/or (ii) acquiring, selling, leasing, financing or refinancing Vehicles, and/or related rights (including under leases, manufacturer warranties and buy-back programs, and insurance policies) and/or assets (including managing,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077" w:right="239" w:bottom="1440" w:gutter="0" w:footer="0" w:header="0"/>
        </w:sectPr>
      </w:pPr>
    </w:p>
    <w:bookmarkStart w:id="99" w:name="page100"/>
    <w:bookmarkEnd w:id="99"/>
    <w:p>
      <w:pPr>
        <w:ind w:right="80"/>
        <w:spacing w:after="0" w:line="292" w:lineRule="auto"/>
        <w:rPr>
          <w:sz w:val="20"/>
          <w:szCs w:val="20"/>
          <w:color w:val="auto"/>
        </w:rPr>
      </w:pPr>
      <w:r>
        <w:rPr>
          <w:rFonts w:ascii="Arial" w:cs="Arial" w:eastAsia="Arial" w:hAnsi="Arial"/>
          <w:sz w:val="22"/>
          <w:szCs w:val="22"/>
          <w:color w:val="auto"/>
        </w:rPr>
        <w:t>exercising and disposing of any such rights and/or assets), all proceeds thereof and all rights (contractual and other), collateral and other assets relating thereto, and (y) any business or activities incidental or related to such business, which shall, for greater certainty, include any Canadian Securitization Entity.</w:t>
      </w:r>
    </w:p>
    <w:p>
      <w:pPr>
        <w:spacing w:after="0" w:line="400"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200" w:lineRule="exact"/>
        <w:rPr>
          <w:sz w:val="20"/>
          <w:szCs w:val="20"/>
          <w:color w:val="auto"/>
        </w:rPr>
      </w:pPr>
    </w:p>
    <w:p>
      <w:pPr>
        <w:spacing w:after="0" w:line="206" w:lineRule="exact"/>
        <w:rPr>
          <w:sz w:val="20"/>
          <w:szCs w:val="20"/>
          <w:color w:val="auto"/>
        </w:rPr>
      </w:pPr>
    </w:p>
    <w:p>
      <w:pPr>
        <w:ind w:right="14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with respect to any Person, any Indebtedness (whether outstanding on the Issue Date or thereafter Incurred) which is expressly subordinated in right of payment to the Notes pursuant to a written agreement.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limited liability</w:t>
      </w:r>
    </w:p>
    <w:p>
      <w:pPr>
        <w:spacing w:after="0" w:line="92" w:lineRule="exact"/>
        <w:rPr>
          <w:rFonts w:ascii="Arial" w:cs="Arial" w:eastAsia="Arial" w:hAnsi="Arial"/>
          <w:sz w:val="19"/>
          <w:szCs w:val="19"/>
          <w:color w:val="auto"/>
        </w:rPr>
      </w:pPr>
    </w:p>
    <w:p>
      <w:pPr>
        <w:ind w:left="660" w:right="80"/>
        <w:spacing w:after="0" w:line="288" w:lineRule="auto"/>
        <w:rPr>
          <w:rFonts w:ascii="Arial" w:cs="Arial" w:eastAsia="Arial" w:hAnsi="Arial"/>
          <w:sz w:val="19"/>
          <w:szCs w:val="19"/>
          <w:color w:val="auto"/>
        </w:rPr>
      </w:pPr>
      <w:r>
        <w:rPr>
          <w:rFonts w:ascii="Arial" w:cs="Arial" w:eastAsia="Arial" w:hAnsi="Arial"/>
          <w:sz w:val="22"/>
          <w:szCs w:val="22"/>
          <w:color w:val="auto"/>
        </w:rPr>
        <w:t>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or similar entity of which:</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more than 50% of the capital accounts, distribution rights, total equity and voting interests or general or</w:t>
      </w:r>
    </w:p>
    <w:p>
      <w:pPr>
        <w:spacing w:after="0" w:line="92" w:lineRule="exact"/>
        <w:rPr>
          <w:rFonts w:ascii="Arial" w:cs="Arial" w:eastAsia="Arial" w:hAnsi="Arial"/>
          <w:sz w:val="19"/>
          <w:szCs w:val="19"/>
          <w:color w:val="auto"/>
        </w:rPr>
      </w:pPr>
    </w:p>
    <w:p>
      <w:pPr>
        <w:jc w:val="both"/>
        <w:ind w:left="1300" w:right="100"/>
        <w:spacing w:after="0" w:line="292" w:lineRule="auto"/>
        <w:rPr>
          <w:rFonts w:ascii="Arial" w:cs="Arial" w:eastAsia="Arial" w:hAnsi="Arial"/>
          <w:sz w:val="19"/>
          <w:szCs w:val="19"/>
          <w:color w:val="auto"/>
        </w:rPr>
      </w:pPr>
      <w:r>
        <w:rPr>
          <w:rFonts w:ascii="Arial" w:cs="Arial" w:eastAsia="Arial" w:hAnsi="Arial"/>
          <w:sz w:val="22"/>
          <w:szCs w:val="22"/>
          <w:color w:val="auto"/>
        </w:rPr>
        <w:t>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200" w:lineRule="exact"/>
        <w:rPr>
          <w:sz w:val="20"/>
          <w:szCs w:val="20"/>
          <w:color w:val="auto"/>
        </w:rPr>
      </w:pPr>
    </w:p>
    <w:p>
      <w:pPr>
        <w:spacing w:after="0" w:line="276"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Guarantee</w:t>
      </w:r>
      <w:r>
        <w:rPr>
          <w:rFonts w:ascii="Arial" w:cs="Arial" w:eastAsia="Arial" w:hAnsi="Arial"/>
          <w:sz w:val="22"/>
          <w:szCs w:val="22"/>
          <w:color w:val="auto"/>
        </w:rPr>
        <w:t>” means any guarantee that may from time to time be entered into by a Restricted Subsidiary of the Company on or after the Issue Date.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60"/>
          </w:cols>
          <w:pgMar w:left="240" w:top="1077" w:right="29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Restricted Subsidiary that Guarantees the Notes.</w:t>
      </w:r>
    </w:p>
    <w:p>
      <w:pPr>
        <w:spacing w:after="0" w:line="200" w:lineRule="exact"/>
        <w:rPr>
          <w:sz w:val="20"/>
          <w:szCs w:val="20"/>
          <w:color w:val="auto"/>
        </w:rPr>
      </w:pPr>
    </w:p>
    <w:p>
      <w:pPr>
        <w:spacing w:after="0" w:line="276" w:lineRule="exact"/>
        <w:rPr>
          <w:sz w:val="20"/>
          <w:szCs w:val="20"/>
          <w:color w:val="auto"/>
        </w:rPr>
      </w:pPr>
    </w:p>
    <w:p>
      <w:pPr>
        <w:ind w:right="20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and future taxes, levies, imposts, deductions, charges, assessments, duties and withholdings and any charges of a similar nature (including interest, penalties and other liabilities with respect thereto) that are imposed by any government or other taxing authority, including but not limited to income, sales, use, transfer, rental, ad valorem, value-added, stamp, property consumption, franchise, license, capital, net worth, gross receipts, excise, occupancy, intangibles or similar tax, charges or assessments.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TIA</w:t>
      </w:r>
      <w:r>
        <w:rPr>
          <w:rFonts w:ascii="Arial" w:cs="Arial" w:eastAsia="Arial" w:hAnsi="Arial"/>
          <w:sz w:val="22"/>
          <w:szCs w:val="22"/>
          <w:color w:val="auto"/>
        </w:rPr>
        <w:t>” means the Trust Indenture Act of 1939, as amended.</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means, as of any date, the total consolidated assets of the Company and its Subsidiaries on a consolidated basis, as shown on the most recent consolidated balance sheet of the Company and its Subsidiaries, determined on a pro forma basis in a manner consistent with the pro forma basis contained in the definition of Fixed Charge Coverage Ratio.</w:t>
      </w:r>
    </w:p>
    <w:p>
      <w:pPr>
        <w:spacing w:after="0" w:line="349" w:lineRule="exact"/>
        <w:rPr>
          <w:sz w:val="20"/>
          <w:szCs w:val="20"/>
          <w:color w:val="auto"/>
        </w:rPr>
      </w:pPr>
    </w:p>
    <w:p>
      <w:pPr>
        <w:ind w:right="2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any fees or expenses incurred or paid by any Parent Entity, the Company or any Restricted Subsidiary in connection with the Transactions.</w:t>
      </w:r>
    </w:p>
    <w:p>
      <w:pPr>
        <w:spacing w:after="0" w:line="390" w:lineRule="exact"/>
        <w:rPr>
          <w:sz w:val="20"/>
          <w:szCs w:val="20"/>
          <w:color w:val="auto"/>
        </w:rPr>
      </w:pPr>
    </w:p>
    <w:p>
      <w:pPr>
        <w:ind w:right="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issuance of the Notes, the acquisition by the Company of Maggiore Group, repayment of existing indebtedness with the proceeds of the Notes and other related transactions.</w:t>
      </w:r>
    </w:p>
    <w:p>
      <w:pPr>
        <w:spacing w:after="0" w:line="390" w:lineRule="exact"/>
        <w:rPr>
          <w:sz w:val="20"/>
          <w:szCs w:val="20"/>
          <w:color w:val="auto"/>
        </w:rPr>
      </w:pPr>
    </w:p>
    <w:p>
      <w:pPr>
        <w:ind w:right="9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any Person authorized by the Company to effect the transfer of any Note on behalf of the Company.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means the party named as such in this Indenture until a successor replaces it and, thereafter, means the successor.</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660" w:firstLine="645"/>
        <w:spacing w:after="0" w:line="315" w:lineRule="auto"/>
        <w:tabs>
          <w:tab w:leader="none" w:pos="17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Subsidiary of the Company that at the time of determination is an Unrestricted Subsidiary (as designated by the Company in the manner provided below);</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Special Purpose Subsidiary that is designated by the Board of Directors in the manner provided below;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740" w:hanging="435"/>
        <w:spacing w:after="0"/>
        <w:tabs>
          <w:tab w:leader="none" w:pos="17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00" w:lineRule="exact"/>
        <w:rPr>
          <w:sz w:val="20"/>
          <w:szCs w:val="20"/>
          <w:color w:val="auto"/>
        </w:rPr>
      </w:pPr>
    </w:p>
    <w:p>
      <w:pPr>
        <w:spacing w:after="0" w:line="290" w:lineRule="exact"/>
        <w:rPr>
          <w:sz w:val="20"/>
          <w:szCs w:val="20"/>
          <w:color w:val="auto"/>
        </w:rPr>
      </w:pPr>
    </w:p>
    <w:p>
      <w:pPr>
        <w:ind w:right="540"/>
        <w:spacing w:after="0" w:line="302" w:lineRule="auto"/>
        <w:rPr>
          <w:sz w:val="20"/>
          <w:szCs w:val="20"/>
          <w:color w:val="auto"/>
        </w:rPr>
      </w:pPr>
      <w:r>
        <w:rPr>
          <w:rFonts w:ascii="Arial" w:cs="Arial" w:eastAsia="Arial" w:hAnsi="Arial"/>
          <w:sz w:val="22"/>
          <w:szCs w:val="22"/>
          <w:color w:val="auto"/>
        </w:rPr>
        <w:t>The Company may designate any Subsidiary of the Company (including any newly acquired or newly formed Subsidiary or a Person becoming a Subsidiary through merger, consolidation or</w:t>
      </w:r>
    </w:p>
    <w:p>
      <w:pPr>
        <w:sectPr>
          <w:pgSz w:w="11900" w:h="16838" w:orient="portrait"/>
          <w:cols w:equalWidth="0" w:num="1">
            <w:col w:w="11420"/>
          </w:cols>
          <w:pgMar w:left="240" w:top="1077"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420"/>
          </w:cols>
          <w:pgMar w:left="240" w:top="1077"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22"/>
          <w:szCs w:val="22"/>
          <w:color w:val="auto"/>
        </w:rPr>
        <w:t>other business combination transaction, or Investment therein) to be an Unrestricted Subsidiary only if:</w:t>
      </w:r>
    </w:p>
    <w:p>
      <w:pPr>
        <w:spacing w:after="0" w:line="200" w:lineRule="exact"/>
        <w:rPr>
          <w:sz w:val="20"/>
          <w:szCs w:val="20"/>
          <w:color w:val="auto"/>
        </w:rPr>
      </w:pPr>
    </w:p>
    <w:p>
      <w:pPr>
        <w:spacing w:after="0" w:line="236" w:lineRule="exact"/>
        <w:rPr>
          <w:sz w:val="20"/>
          <w:szCs w:val="20"/>
          <w:color w:val="auto"/>
        </w:rPr>
      </w:pPr>
    </w:p>
    <w:p>
      <w:pPr>
        <w:ind w:left="1740" w:hanging="435"/>
        <w:spacing w:after="0"/>
        <w:tabs>
          <w:tab w:leader="none" w:pos="17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such Subsidiary or any of its Subsidiaries does not own any Capital Stock or Indebtedness of, or own or hold</w:t>
      </w:r>
    </w:p>
    <w:p>
      <w:pPr>
        <w:spacing w:after="0" w:line="92" w:lineRule="exact"/>
        <w:rPr>
          <w:rFonts w:ascii="Arial" w:cs="Arial" w:eastAsia="Arial" w:hAnsi="Arial"/>
          <w:sz w:val="19"/>
          <w:szCs w:val="19"/>
          <w:color w:val="auto"/>
        </w:rPr>
      </w:pPr>
    </w:p>
    <w:p>
      <w:pPr>
        <w:ind w:left="660" w:right="720"/>
        <w:spacing w:after="0" w:line="302" w:lineRule="auto"/>
        <w:rPr>
          <w:rFonts w:ascii="Arial" w:cs="Arial" w:eastAsia="Arial" w:hAnsi="Arial"/>
          <w:sz w:val="19"/>
          <w:szCs w:val="19"/>
          <w:color w:val="auto"/>
        </w:rPr>
      </w:pPr>
      <w:r>
        <w:rPr>
          <w:rFonts w:ascii="Arial" w:cs="Arial" w:eastAsia="Arial" w:hAnsi="Arial"/>
          <w:sz w:val="22"/>
          <w:szCs w:val="22"/>
          <w:color w:val="auto"/>
        </w:rPr>
        <w:t>any Lien on any property of, the Company or any other Subsidiary of the Company which is not a Subsidiary of the Subsidiary to be so designated or otherwise an Unrestricted Subsidiary;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such designation and the Investment of the Company in such Subsidiary complies with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324" w:lineRule="exact"/>
        <w:rPr>
          <w:sz w:val="20"/>
          <w:szCs w:val="20"/>
          <w:color w:val="auto"/>
        </w:rPr>
      </w:pPr>
    </w:p>
    <w:p>
      <w:pPr>
        <w:ind w:right="60"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Obligations</w:t>
      </w:r>
      <w:r>
        <w:rPr>
          <w:rFonts w:ascii="Arial" w:cs="Arial" w:eastAsia="Arial" w:hAnsi="Arial"/>
          <w:sz w:val="19"/>
          <w:szCs w:val="19"/>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372" w:lineRule="exact"/>
        <w:rPr>
          <w:sz w:val="20"/>
          <w:szCs w:val="20"/>
          <w:color w:val="auto"/>
        </w:rPr>
      </w:pPr>
    </w:p>
    <w:p>
      <w:pPr>
        <w:ind w:right="20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 Rental Concession</w:t>
      </w:r>
      <w:r>
        <w:rPr>
          <w:rFonts w:ascii="Arial" w:cs="Arial" w:eastAsia="Arial" w:hAnsi="Arial"/>
          <w:sz w:val="22"/>
          <w:szCs w:val="22"/>
          <w:color w:val="auto"/>
        </w:rPr>
        <w:t>” means any right, whether or not exclusive, to conduct a Vehicle rental business at a Public Facility, or to pick up or discharge persons or otherwise to possess or use all or part of a Public Facility in connection with such a business, and any related rights or interests.</w:t>
      </w:r>
    </w:p>
    <w:p>
      <w:pPr>
        <w:spacing w:after="0" w:line="400"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Vehicle Rental Concession Rights</w:t>
      </w:r>
      <w:r>
        <w:rPr>
          <w:rFonts w:ascii="Arial" w:cs="Arial" w:eastAsia="Arial" w:hAnsi="Arial"/>
          <w:sz w:val="19"/>
          <w:szCs w:val="19"/>
          <w:color w:val="auto"/>
        </w:rPr>
        <w:t>” means any or all of the following: (a) any Vehicle Rental Concession, (b) any rights of the Company or any Restricted Subsidiary thereof under or relating to (i) any law, regulation, license, permit, request for proposals, invitation to bid, lease, agreement or understanding with a Public Facility Operator in connection with which a Vehicle Rental Concession has been or may be granted to the Company or any Restricted Subsidiary and (ii) any agreement with, or Investment or other interest or participation in, any Person, property or asset required (x) by any such law, ordinance, regulation, license, permit, request for proposals, invitation to bid, lease, agreement or understanding or (y) by any Public Facility</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380"/>
          </w:cols>
          <w:pgMar w:left="240" w:top="1077" w:right="279" w:bottom="1440" w:gutter="0" w:footer="0" w:header="0"/>
        </w:sectPr>
      </w:pPr>
    </w:p>
    <w:bookmarkStart w:id="102" w:name="page103"/>
    <w:bookmarkEnd w:id="102"/>
    <w:p>
      <w:pPr>
        <w:ind w:right="120"/>
        <w:spacing w:after="0" w:line="302" w:lineRule="auto"/>
        <w:rPr>
          <w:sz w:val="20"/>
          <w:szCs w:val="20"/>
          <w:color w:val="auto"/>
        </w:rPr>
      </w:pPr>
      <w:r>
        <w:rPr>
          <w:rFonts w:ascii="Arial" w:cs="Arial" w:eastAsia="Arial" w:hAnsi="Arial"/>
          <w:sz w:val="22"/>
          <w:szCs w:val="22"/>
          <w:color w:val="auto"/>
        </w:rPr>
        <w:t>Operator as a condition to obtaining or maintaining a Vehicle Rental Concession, and (c) any liabilities or obligations relating to or arising in connection with any of the foregoing.</w:t>
      </w:r>
    </w:p>
    <w:p>
      <w:pPr>
        <w:spacing w:after="0" w:line="390"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Vehicles</w:t>
      </w:r>
      <w:r>
        <w:rPr>
          <w:rFonts w:ascii="Arial" w:cs="Arial" w:eastAsia="Arial" w:hAnsi="Arial"/>
          <w:sz w:val="22"/>
          <w:szCs w:val="22"/>
          <w:color w:val="auto"/>
        </w:rPr>
        <w:t>” means vehicles owned or operated by, or leased or rented to or by, the Company or any of its Subsidiaries, including automobiles, trucks, tractors, trailers, vans, sport utility vehicles, buses, campers, motor homes, motorcycles and other motor vehicles.</w:t>
      </w:r>
    </w:p>
    <w:p>
      <w:pPr>
        <w:spacing w:after="0" w:line="40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 Person means all classes of Capital Stock of such Person then outstanding and normally entitled to vote in the election of directors.</w:t>
      </w:r>
    </w:p>
    <w:p>
      <w:pPr>
        <w:spacing w:after="0" w:line="390" w:lineRule="exact"/>
        <w:rPr>
          <w:sz w:val="20"/>
          <w:szCs w:val="20"/>
          <w:color w:val="auto"/>
        </w:rPr>
      </w:pPr>
    </w:p>
    <w:p>
      <w:pPr>
        <w:ind w:right="1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Domestic Subsidiary</w:t>
      </w:r>
      <w:r>
        <w:rPr>
          <w:rFonts w:ascii="Arial" w:cs="Arial" w:eastAsia="Arial" w:hAnsi="Arial"/>
          <w:sz w:val="19"/>
          <w:szCs w:val="19"/>
          <w:color w:val="auto"/>
        </w:rPr>
        <w:t>” means a Domestic Subsidiary of the Company, all of the Capital Stock of which (other than directors’ qualifying shares or shares required by any applicable law or regulation to be held by a Person other than the Company or another Domestic Subsidiary) is owned by the Company or another Domestic Subsidiary.</w:t>
      </w:r>
    </w:p>
    <w:p>
      <w:pPr>
        <w:spacing w:after="0" w:line="34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Definitions.</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340" w:type="dxa"/>
            <w:vAlign w:val="bottom"/>
            <w:tcBorders>
              <w:top w:val="single" w:sz="8" w:color="auto"/>
              <w:left w:val="single" w:sz="8" w:color="00000A"/>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60" w:type="dxa"/>
            <w:vAlign w:val="bottom"/>
            <w:tcBorders>
              <w:top w:val="single" w:sz="8" w:color="auto"/>
              <w:right w:val="single" w:sz="8" w:color="00000A"/>
            </w:tcBorders>
          </w:tcPr>
          <w:p>
            <w:pPr>
              <w:spacing w:after="0"/>
              <w:rPr>
                <w:sz w:val="24"/>
                <w:szCs w:val="24"/>
                <w:color w:val="auto"/>
              </w:rPr>
            </w:pPr>
          </w:p>
        </w:tc>
        <w:tc>
          <w:tcPr>
            <w:tcW w:w="2720" w:type="dxa"/>
            <w:vAlign w:val="bottom"/>
            <w:tcBorders>
              <w:top w:val="single" w:sz="8" w:color="auto"/>
              <w:right w:val="single" w:sz="8" w:color="00000A"/>
            </w:tcBorders>
          </w:tcPr>
          <w:p>
            <w:pPr>
              <w:ind w:left="860"/>
              <w:spacing w:after="0"/>
              <w:rPr>
                <w:sz w:val="20"/>
                <w:szCs w:val="20"/>
                <w:color w:val="auto"/>
              </w:rPr>
            </w:pPr>
            <w:r>
              <w:rPr>
                <w:rFonts w:ascii="Arial" w:cs="Arial" w:eastAsia="Arial" w:hAnsi="Arial"/>
                <w:sz w:val="22"/>
                <w:szCs w:val="22"/>
                <w:b w:val="1"/>
                <w:bCs w:val="1"/>
                <w:color w:val="auto"/>
              </w:rPr>
              <w:t>Defined in</w:t>
            </w:r>
          </w:p>
        </w:tc>
        <w:tc>
          <w:tcPr>
            <w:tcW w:w="0" w:type="dxa"/>
            <w:vAlign w:val="bottom"/>
          </w:tcPr>
          <w:p>
            <w:pPr>
              <w:spacing w:after="0"/>
              <w:rPr>
                <w:sz w:val="1"/>
                <w:szCs w:val="1"/>
                <w:color w:val="auto"/>
              </w:rPr>
            </w:pPr>
          </w:p>
        </w:tc>
      </w:tr>
      <w:tr>
        <w:trPr>
          <w:trHeight w:val="291"/>
        </w:trPr>
        <w:tc>
          <w:tcPr>
            <w:tcW w:w="8720" w:type="dxa"/>
            <w:vAlign w:val="bottom"/>
            <w:tcBorders>
              <w:left w:val="single" w:sz="8" w:color="00000A"/>
              <w:bottom w:val="single" w:sz="8" w:color="auto"/>
              <w:right w:val="single" w:sz="8" w:color="00000A"/>
            </w:tcBorders>
            <w:gridSpan w:val="18"/>
          </w:tcPr>
          <w:p>
            <w:pPr>
              <w:ind w:left="160"/>
              <w:spacing w:after="0"/>
              <w:rPr>
                <w:sz w:val="20"/>
                <w:szCs w:val="20"/>
                <w:color w:val="auto"/>
              </w:rPr>
            </w:pPr>
            <w:r>
              <w:rPr>
                <w:rFonts w:ascii="Arial" w:cs="Arial" w:eastAsia="Arial" w:hAnsi="Arial"/>
                <w:sz w:val="22"/>
                <w:szCs w:val="22"/>
                <w:color w:val="auto"/>
              </w:rPr>
              <w:t>Term</w:t>
            </w:r>
          </w:p>
        </w:tc>
        <w:tc>
          <w:tcPr>
            <w:tcW w:w="2720" w:type="dxa"/>
            <w:vAlign w:val="bottom"/>
            <w:tcBorders>
              <w:bottom w:val="single" w:sz="8" w:color="auto"/>
              <w:right w:val="single" w:sz="8" w:color="00000A"/>
            </w:tcBorders>
          </w:tcPr>
          <w:p>
            <w:pPr>
              <w:ind w:left="1020"/>
              <w:spacing w:after="0"/>
              <w:rPr>
                <w:sz w:val="20"/>
                <w:szCs w:val="20"/>
                <w:color w:val="auto"/>
              </w:rPr>
            </w:pPr>
            <w:r>
              <w:rPr>
                <w:rFonts w:ascii="Arial" w:cs="Arial" w:eastAsia="Arial" w:hAnsi="Arial"/>
                <w:sz w:val="22"/>
                <w:szCs w:val="22"/>
                <w:b w:val="1"/>
                <w:bCs w:val="1"/>
                <w:color w:val="auto"/>
              </w:rPr>
              <w:t>Section</w:t>
            </w:r>
          </w:p>
        </w:tc>
        <w:tc>
          <w:tcPr>
            <w:tcW w:w="0" w:type="dxa"/>
            <w:vAlign w:val="bottom"/>
          </w:tcPr>
          <w:p>
            <w:pPr>
              <w:spacing w:after="0"/>
              <w:rPr>
                <w:sz w:val="1"/>
                <w:szCs w:val="1"/>
                <w:color w:val="auto"/>
              </w:rPr>
            </w:pPr>
          </w:p>
        </w:tc>
      </w:tr>
      <w:tr>
        <w:trPr>
          <w:trHeight w:val="338"/>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“Additional Interest”</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3.10(c)</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“Additional Restricted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2.1(e)(2)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“Agent Members”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“Asset Disposition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“Authenticating Agent”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“Change of Control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“Change of Control Payment”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3.9(a)(2)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“Change of Control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tcBorders>
              <w:left w:val="single" w:sz="8" w:color="auto"/>
            </w:tcBorders>
            <w:gridSpan w:val="3"/>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“Covenant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2.15</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“Defaulted Interest”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“Event of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“Excess Proceeds”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3.5(e)</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“Foreign Disposition”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“Global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10.1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“Guaranteed Obligations”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“Increased Amount”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“Initial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700" w:type="dxa"/>
            <w:vAlign w:val="bottom"/>
            <w:gridSpan w:val="13"/>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“Initial Lien”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60" w:type="dxa"/>
            <w:vAlign w:val="bottom"/>
            <w:gridSpan w:val="15"/>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8"/>
          </w:tcPr>
          <w:p>
            <w:pPr>
              <w:ind w:left="240"/>
              <w:spacing w:after="0"/>
              <w:rPr>
                <w:sz w:val="20"/>
                <w:szCs w:val="20"/>
                <w:color w:val="auto"/>
              </w:rPr>
            </w:pPr>
            <w:r>
              <w:rPr>
                <w:rFonts w:ascii="Arial" w:cs="Arial" w:eastAsia="Arial" w:hAnsi="Arial"/>
                <w:sz w:val="22"/>
                <w:szCs w:val="22"/>
                <w:color w:val="auto"/>
              </w:rPr>
              <w:t>“Institutional Accredited Investor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4460" w:type="dxa"/>
            <w:vAlign w:val="bottom"/>
            <w:tcBorders>
              <w:right w:val="single" w:sz="8" w:color="00000A"/>
            </w:tcBorders>
          </w:tcPr>
          <w:p>
            <w:pPr>
              <w:spacing w:after="0"/>
              <w:rPr>
                <w:sz w:val="4"/>
                <w:szCs w:val="4"/>
                <w:color w:val="auto"/>
              </w:rPr>
            </w:pPr>
          </w:p>
        </w:tc>
        <w:tc>
          <w:tcPr>
            <w:tcW w:w="27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077" w:right="219" w:bottom="1027" w:gutter="0" w:footer="0" w:header="0"/>
        </w:sectPr>
      </w:pP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440"/>
          </w:cols>
          <w:pgMar w:left="240" w:top="1077" w:right="219" w:bottom="1027"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338"/>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“Institutional Accredited Investor Notes”</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2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“Issuer Order”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“Legal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12.8</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“Legal Holiday”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“Notes Register”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“Permitted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3"/>
              </w:rPr>
              <w:t>2.11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“protected purchaser”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5.7(a)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“Redemption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“Refunding Capital Stock”</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“Registrar”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“Regulation S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“Regulation S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2.6(b)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“Resale Restriction Termination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4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3.3(a)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“Restricted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“Restricted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“Reversion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“Rule 144A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“Rule 144A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“Special Interest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578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“Special Record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7"/>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4.1(a)(1)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“Successor Company”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7"/>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“Suspended Covenant”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7"/>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“Suspension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8"/>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440" w:type="dxa"/>
            <w:vAlign w:val="bottom"/>
            <w:tcBorders>
              <w:right w:val="single" w:sz="8" w:color="00000A"/>
            </w:tcBorders>
            <w:gridSpan w:val="7"/>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3.22(a)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0"/>
          </w:tcPr>
          <w:p>
            <w:pPr>
              <w:ind w:left="240"/>
              <w:spacing w:after="0"/>
              <w:rPr>
                <w:sz w:val="20"/>
                <w:szCs w:val="20"/>
                <w:color w:val="auto"/>
              </w:rPr>
            </w:pPr>
            <w:r>
              <w:rPr>
                <w:rFonts w:ascii="Arial" w:cs="Arial" w:eastAsia="Arial" w:hAnsi="Arial"/>
                <w:sz w:val="22"/>
                <w:szCs w:val="22"/>
                <w:color w:val="auto"/>
              </w:rPr>
              <w:t>“Terminated Covenants”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20" w:type="dxa"/>
            <w:vAlign w:val="bottom"/>
            <w:tcBorders>
              <w:bottom w:val="single" w:sz="8" w:color="auto"/>
              <w:right w:val="single" w:sz="8" w:color="00000A"/>
            </w:tcBorders>
          </w:tcPr>
          <w:p>
            <w:pPr>
              <w:spacing w:after="0"/>
              <w:rPr>
                <w:sz w:val="4"/>
                <w:szCs w:val="4"/>
                <w:color w:val="auto"/>
              </w:rPr>
            </w:pPr>
          </w:p>
        </w:tc>
        <w:tc>
          <w:tcPr>
            <w:tcW w:w="272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40" w:firstLine="648"/>
        <w:spacing w:after="0" w:line="298" w:lineRule="auto"/>
        <w:rPr>
          <w:sz w:val="20"/>
          <w:szCs w:val="20"/>
          <w:color w:val="auto"/>
        </w:rPr>
      </w:pPr>
      <w:r>
        <w:rPr>
          <w:rFonts w:ascii="Arial" w:cs="Arial" w:eastAsia="Arial" w:hAnsi="Arial"/>
          <w:sz w:val="22"/>
          <w:szCs w:val="22"/>
          <w:color w:val="auto"/>
        </w:rPr>
        <w:t>SECTION 1.3 Inapplicability of the TIA. No provisions of the TIA are incorporated by reference in or made a part of this Indenture unless explicitly incorporated herein by reference. Unless specifically provided in this Indenture, no terms that are defined in the TIA have the meanings specified therein for purposes of this Indenture.</w:t>
      </w:r>
    </w:p>
    <w:p>
      <w:pPr>
        <w:spacing w:after="0" w:line="17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pacing w:after="0" w:line="200" w:lineRule="exact"/>
        <w:rPr>
          <w:sz w:val="20"/>
          <w:szCs w:val="20"/>
          <w:color w:val="auto"/>
        </w:rPr>
      </w:pPr>
    </w:p>
    <w:p>
      <w:pPr>
        <w:spacing w:after="0" w:line="290" w:lineRule="exact"/>
        <w:rPr>
          <w:sz w:val="20"/>
          <w:szCs w:val="20"/>
          <w:color w:val="auto"/>
        </w:rPr>
      </w:pPr>
    </w:p>
    <w:p>
      <w:pPr>
        <w:ind w:left="1740" w:hanging="435"/>
        <w:spacing w:after="0"/>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in accordance with GAAP;</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“or” is not exclusive;</w:t>
      </w:r>
    </w:p>
    <w:p>
      <w:pPr>
        <w:sectPr>
          <w:pgSz w:w="11900" w:h="16838" w:orient="portrait"/>
          <w:cols w:equalWidth="0" w:num="1">
            <w:col w:w="11440"/>
          </w:cols>
          <w:pgMar w:left="240" w:top="990" w:right="219" w:bottom="987"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440"/>
          </w:cols>
          <w:pgMar w:left="240" w:top="990" w:right="219" w:bottom="987" w:gutter="0" w:footer="0" w:header="0"/>
          <w:type w:val="continuous"/>
        </w:sectPr>
      </w:pPr>
    </w:p>
    <w:bookmarkStart w:id="104" w:name="page105"/>
    <w:bookmarkEnd w:id="104"/>
    <w:p>
      <w:pPr>
        <w:ind w:left="1740" w:hanging="435"/>
        <w:spacing w:after="0"/>
        <w:tabs>
          <w:tab w:leader="none" w:pos="17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60" w:firstLine="645"/>
        <w:spacing w:after="0" w:line="402" w:lineRule="auto"/>
        <w:tabs>
          <w:tab w:leader="none" w:pos="17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principal amount of any preferred stock shall be (i) the maximum liquidation value of such preferred stock</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or (ii) the maximum mandatory redemption or mandatory repurchase price with respect to such preferred stock, whichever is greater;</w:t>
      </w:r>
    </w:p>
    <w:p>
      <w:pPr>
        <w:spacing w:after="0" w:line="389" w:lineRule="exact"/>
        <w:rPr>
          <w:rFonts w:ascii="Arial" w:cs="Arial" w:eastAsia="Arial" w:hAnsi="Arial"/>
          <w:sz w:val="19"/>
          <w:szCs w:val="19"/>
          <w:color w:val="auto"/>
        </w:rPr>
      </w:pPr>
    </w:p>
    <w:p>
      <w:pPr>
        <w:ind w:left="660" w:right="60" w:firstLine="645"/>
        <w:spacing w:after="0" w:line="315" w:lineRule="auto"/>
        <w:tabs>
          <w:tab w:leader="none" w:pos="17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all amounts expressed in this Indenture or in any of the Notes in terms of money refer to the lawful currency of the United States of America;</w:t>
      </w:r>
    </w:p>
    <w:p>
      <w:pPr>
        <w:spacing w:after="0" w:line="375" w:lineRule="exact"/>
        <w:rPr>
          <w:rFonts w:ascii="Arial" w:cs="Arial" w:eastAsia="Arial" w:hAnsi="Arial"/>
          <w:sz w:val="22"/>
          <w:szCs w:val="22"/>
          <w:color w:val="auto"/>
        </w:rPr>
      </w:pPr>
    </w:p>
    <w:p>
      <w:pPr>
        <w:ind w:left="660" w:right="320" w:firstLine="645"/>
        <w:spacing w:after="0" w:line="315" w:lineRule="auto"/>
        <w:tabs>
          <w:tab w:leader="none" w:pos="184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unless otherwise specifically indicated, the term “consolidation” means the consolidation of the accounts of</w:t>
      </w:r>
    </w:p>
    <w:p>
      <w:pPr>
        <w:spacing w:after="0" w:line="92" w:lineRule="exact"/>
        <w:rPr>
          <w:rFonts w:ascii="Arial" w:cs="Arial" w:eastAsia="Arial" w:hAnsi="Arial"/>
          <w:sz w:val="19"/>
          <w:szCs w:val="19"/>
          <w:color w:val="auto"/>
        </w:rPr>
      </w:pPr>
    </w:p>
    <w:p>
      <w:pPr>
        <w:ind w:left="660" w:right="6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each of the Restricted Subsidiaries with those of the Company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THE NOTES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Form, Dating and Terms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aggregate principal amount of Notes that may be authenticated and delivered under this Indenture is</w:t>
      </w:r>
    </w:p>
    <w:p>
      <w:pPr>
        <w:spacing w:after="0" w:line="92" w:lineRule="exact"/>
        <w:rPr>
          <w:rFonts w:ascii="Arial" w:cs="Arial" w:eastAsia="Arial" w:hAnsi="Arial"/>
          <w:sz w:val="19"/>
          <w:szCs w:val="19"/>
          <w:color w:val="auto"/>
        </w:rPr>
      </w:pPr>
    </w:p>
    <w:p>
      <w:pPr>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unlimited. The Initial Notes issued on the date hereof will be in an aggregate principal amount of $350,000,000. In addition, the Issuers may issue, from time to time in accordance with the provisions of this Indenture and Additional Notes (as provided herein). Furthermore, Notes may be authenticated and delivered upon registration of transfer, exchange or in lieu of, other Notes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 in</w:t>
      </w:r>
    </w:p>
    <w:p>
      <w:pPr>
        <w:sectPr>
          <w:pgSz w:w="11900" w:h="16838" w:orient="portrait"/>
          <w:cols w:equalWidth="0" w:num="1">
            <w:col w:w="11400"/>
          </w:cols>
          <w:pgMar w:left="240" w:top="1077" w:right="2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400"/>
          </w:cols>
          <w:pgMar w:left="240" w:top="1077" w:right="259" w:bottom="1440" w:gutter="0" w:footer="0" w:header="0"/>
          <w:type w:val="continuous"/>
        </w:sectPr>
      </w:pPr>
    </w:p>
    <w:bookmarkStart w:id="105" w:name="page106"/>
    <w:bookmarkEnd w:id="105"/>
    <w:p>
      <w:pPr>
        <w:ind w:right="320"/>
        <w:spacing w:after="0" w:line="302" w:lineRule="auto"/>
        <w:rPr>
          <w:sz w:val="20"/>
          <w:szCs w:val="20"/>
          <w:color w:val="auto"/>
        </w:rPr>
      </w:pPr>
      <w:r>
        <w:rPr>
          <w:rFonts w:ascii="Arial" w:cs="Arial" w:eastAsia="Arial" w:hAnsi="Arial"/>
          <w:sz w:val="22"/>
          <w:szCs w:val="22"/>
          <w:color w:val="auto"/>
        </w:rPr>
        <w:t xml:space="preserve">connection with an Asset Disposition Offer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in connection with a Change of Control Offer pursuant to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39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With respect to any Additional Notes, the Issuers shall set forth in (i) an Officer’s Certificate or (ii) one or more indentures supplemental hereto, the following information:</w:t>
      </w:r>
    </w:p>
    <w:p>
      <w:pPr>
        <w:spacing w:after="0" w:line="39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aggregate principal amount of such Additional Notes to be authenticated and delivered pursuant to</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Indenture;</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issue price and the issue date of such Additional Notes, including the date from which interest shall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accrue; and</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whether such Additional Notes shall be Restricted Notes.</w:t>
      </w:r>
    </w:p>
    <w:p>
      <w:pPr>
        <w:spacing w:after="0" w:line="200" w:lineRule="exact"/>
        <w:rPr>
          <w:sz w:val="20"/>
          <w:szCs w:val="20"/>
          <w:color w:val="auto"/>
        </w:rPr>
      </w:pPr>
    </w:p>
    <w:p>
      <w:pPr>
        <w:spacing w:after="0" w:line="290" w:lineRule="exact"/>
        <w:rPr>
          <w:sz w:val="20"/>
          <w:szCs w:val="20"/>
          <w:color w:val="auto"/>
        </w:rPr>
      </w:pPr>
    </w:p>
    <w:p>
      <w:pPr>
        <w:ind w:right="60" w:firstLine="648"/>
        <w:spacing w:after="0" w:line="311" w:lineRule="auto"/>
        <w:rPr>
          <w:sz w:val="20"/>
          <w:szCs w:val="20"/>
          <w:color w:val="auto"/>
        </w:rPr>
      </w:pPr>
      <w:r>
        <w:rPr>
          <w:rFonts w:ascii="Arial" w:cs="Arial" w:eastAsia="Arial" w:hAnsi="Arial"/>
          <w:sz w:val="21"/>
          <w:szCs w:val="21"/>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21"/>
          <w:szCs w:val="21"/>
          <w:u w:val="single" w:color="auto"/>
          <w:color w:val="auto"/>
        </w:rPr>
        <w:t>Section 12.4</w:t>
      </w:r>
      <w:r>
        <w:rPr>
          <w:rFonts w:ascii="Arial" w:cs="Arial" w:eastAsia="Arial" w:hAnsi="Arial"/>
          <w:sz w:val="21"/>
          <w:szCs w:val="21"/>
          <w:color w:val="auto"/>
        </w:rPr>
        <w:t>, an Opinion of Counsel as to the due authorization, execution, delivery, validity and enforceability of such Additional Notes.</w:t>
      </w:r>
    </w:p>
    <w:p>
      <w:pPr>
        <w:spacing w:after="0" w:line="385" w:lineRule="exact"/>
        <w:rPr>
          <w:sz w:val="20"/>
          <w:szCs w:val="20"/>
          <w:color w:val="auto"/>
        </w:rPr>
      </w:pPr>
    </w:p>
    <w:p>
      <w:pPr>
        <w:ind w:right="60" w:firstLine="648"/>
        <w:spacing w:after="0" w:line="301" w:lineRule="auto"/>
        <w:rPr>
          <w:sz w:val="20"/>
          <w:szCs w:val="20"/>
          <w:color w:val="auto"/>
        </w:rPr>
      </w:pPr>
      <w:r>
        <w:rPr>
          <w:rFonts w:ascii="Arial" w:cs="Arial" w:eastAsia="Arial" w:hAnsi="Arial"/>
          <w:sz w:val="21"/>
          <w:szCs w:val="21"/>
          <w:color w:val="auto"/>
        </w:rPr>
        <w:t xml:space="preserve">The Initial Notes and the Additional Notes shall be considered collectively as a single class for all purposes of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Additional Notes will not be issued with the same CUSIP or ISIN, as applicable, as existing Notes unless such Additional Notes are fungible with the existing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398" w:lineRule="exact"/>
        <w:rPr>
          <w:sz w:val="20"/>
          <w:szCs w:val="20"/>
          <w:color w:val="auto"/>
        </w:rPr>
      </w:pPr>
    </w:p>
    <w:p>
      <w:pPr>
        <w:ind w:left="1740" w:hanging="435"/>
        <w:spacing w:after="0"/>
        <w:tabs>
          <w:tab w:leader="none" w:pos="174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Initial Notes are being offered and sold by the Issuers pursuant to a purchase agreement, dated March 14,</w:t>
      </w:r>
    </w:p>
    <w:p>
      <w:pPr>
        <w:spacing w:after="0" w:line="92" w:lineRule="exact"/>
        <w:rPr>
          <w:rFonts w:ascii="Arial" w:cs="Arial" w:eastAsia="Arial" w:hAnsi="Arial"/>
          <w:sz w:val="19"/>
          <w:szCs w:val="19"/>
          <w:color w:val="auto"/>
        </w:rPr>
      </w:pPr>
    </w:p>
    <w:p>
      <w:pPr>
        <w:jc w:val="both"/>
        <w:ind w:right="660"/>
        <w:spacing w:after="0" w:line="326" w:lineRule="auto"/>
        <w:rPr>
          <w:rFonts w:ascii="Arial" w:cs="Arial" w:eastAsia="Arial" w:hAnsi="Arial"/>
          <w:sz w:val="19"/>
          <w:szCs w:val="19"/>
          <w:color w:val="auto"/>
        </w:rPr>
      </w:pPr>
      <w:r>
        <w:rPr>
          <w:rFonts w:ascii="Arial" w:cs="Arial" w:eastAsia="Arial" w:hAnsi="Arial"/>
          <w:sz w:val="19"/>
          <w:szCs w:val="19"/>
          <w:color w:val="auto"/>
        </w:rPr>
        <w:t>2016, among the Issuers, the Guarantors and the Initial Purchasers. The Initial Notes and any Additional Notes (if issued as Restricted Notes) (the “</w:t>
      </w:r>
      <w:r>
        <w:rPr>
          <w:rFonts w:ascii="Arial" w:cs="Arial" w:eastAsia="Arial" w:hAnsi="Arial"/>
          <w:sz w:val="19"/>
          <w:szCs w:val="19"/>
          <w:u w:val="single" w:color="auto"/>
          <w:color w:val="auto"/>
        </w:rPr>
        <w:t>Additional Restricted Notes</w:t>
      </w:r>
      <w:r>
        <w:rPr>
          <w:rFonts w:ascii="Arial" w:cs="Arial" w:eastAsia="Arial" w:hAnsi="Arial"/>
          <w:sz w:val="19"/>
          <w:szCs w:val="19"/>
          <w:color w:val="auto"/>
        </w:rPr>
        <w:t>”) will be resold initially only to (A) QIBs in reliance on Rule 144A and</w:t>
      </w:r>
    </w:p>
    <w:p>
      <w:pPr>
        <w:ind w:firstLine="8"/>
        <w:spacing w:after="0" w:line="346" w:lineRule="auto"/>
        <w:tabs>
          <w:tab w:leader="none" w:pos="34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Non-U.S. Persons in reliance on Regulation S. Such Initial Notes and Additional Restricted Notes may thereafter be transferred to, among others, QIBs, purchasers in reliance on Regulation S and IAIs in accordance with Rule 501 under the Securities Act, in each case, in accordance with the procedure described herein. Additional Notes offered after the date hereof may be offered and sold by the Issuers from time to time pursuant to one or more purchase agreements in accordance with applicable law.</w:t>
      </w:r>
    </w:p>
    <w:p>
      <w:pPr>
        <w:spacing w:after="0" w:line="361" w:lineRule="exact"/>
        <w:rPr>
          <w:sz w:val="20"/>
          <w:szCs w:val="20"/>
          <w:color w:val="auto"/>
        </w:rPr>
      </w:pPr>
    </w:p>
    <w:p>
      <w:pPr>
        <w:ind w:right="600" w:firstLine="648"/>
        <w:spacing w:after="0" w:line="302" w:lineRule="auto"/>
        <w:rPr>
          <w:sz w:val="20"/>
          <w:szCs w:val="20"/>
          <w:color w:val="auto"/>
        </w:rPr>
      </w:pPr>
      <w:r>
        <w:rPr>
          <w:rFonts w:ascii="Arial" w:cs="Arial" w:eastAsia="Arial" w:hAnsi="Arial"/>
          <w:sz w:val="22"/>
          <w:szCs w:val="22"/>
          <w:color w:val="auto"/>
        </w:rPr>
        <w:t>Initial Notes and Additional Restricted Notes offered and sold to QIBs in the United States of America in reliance on Rule 144A (the “</w:t>
      </w:r>
      <w:r>
        <w:rPr>
          <w:rFonts w:ascii="Arial" w:cs="Arial" w:eastAsia="Arial" w:hAnsi="Arial"/>
          <w:sz w:val="22"/>
          <w:szCs w:val="22"/>
          <w:u w:val="single" w:color="auto"/>
          <w:color w:val="auto"/>
        </w:rPr>
        <w:t>Rule 144A Notes</w:t>
      </w:r>
      <w:r>
        <w:rPr>
          <w:rFonts w:ascii="Arial" w:cs="Arial" w:eastAsia="Arial" w:hAnsi="Arial"/>
          <w:sz w:val="22"/>
          <w:szCs w:val="22"/>
          <w:color w:val="auto"/>
        </w:rPr>
        <w:t>”) shall be issued in the form</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360"/>
          </w:cols>
          <w:pgMar w:left="240" w:top="1077" w:right="29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22"/>
          <w:szCs w:val="22"/>
          <w:color w:val="auto"/>
        </w:rPr>
        <w:t xml:space="preserve">of a permanent global Note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which is hereby incorporated by reference and made a part of this Indenture, including appropriate legends as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Rule 144A Global Note</w:t>
      </w:r>
      <w:r>
        <w:rPr>
          <w:rFonts w:ascii="Arial" w:cs="Arial" w:eastAsia="Arial" w:hAnsi="Arial"/>
          <w:sz w:val="22"/>
          <w:szCs w:val="22"/>
          <w:color w:val="auto"/>
        </w:rPr>
        <w:t>”), deposited with the Registrar, as custodian for DTC, duly executed by the Issuers and authenticated by the Trustee as hereinafter provided.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Registrar, as custodian for DTC or its nominee, as hereinafter provided.</w:t>
      </w:r>
    </w:p>
    <w:p>
      <w:pPr>
        <w:spacing w:after="0" w:line="200" w:lineRule="exact"/>
        <w:rPr>
          <w:sz w:val="20"/>
          <w:szCs w:val="20"/>
          <w:color w:val="auto"/>
        </w:rPr>
      </w:pPr>
    </w:p>
    <w:p>
      <w:pPr>
        <w:spacing w:after="0" w:line="209" w:lineRule="exact"/>
        <w:rPr>
          <w:sz w:val="20"/>
          <w:szCs w:val="20"/>
          <w:color w:val="auto"/>
        </w:rPr>
      </w:pPr>
    </w:p>
    <w:p>
      <w:pPr>
        <w:ind w:right="120" w:firstLine="648"/>
        <w:spacing w:after="0" w:line="334" w:lineRule="auto"/>
        <w:rPr>
          <w:sz w:val="20"/>
          <w:szCs w:val="20"/>
          <w:color w:val="auto"/>
        </w:rPr>
      </w:pPr>
      <w:r>
        <w:rPr>
          <w:rFonts w:ascii="Arial" w:cs="Arial" w:eastAsia="Arial" w:hAnsi="Arial"/>
          <w:sz w:val="19"/>
          <w:szCs w:val="19"/>
          <w:color w:val="auto"/>
        </w:rPr>
        <w:t>Initial Notes and any Additional Restricted Notes offered and sold outside the United States of America (the “</w:t>
      </w:r>
      <w:r>
        <w:rPr>
          <w:rFonts w:ascii="Arial" w:cs="Arial" w:eastAsia="Arial" w:hAnsi="Arial"/>
          <w:sz w:val="19"/>
          <w:szCs w:val="19"/>
          <w:u w:val="single" w:color="auto"/>
          <w:color w:val="auto"/>
        </w:rPr>
        <w:t>Regulation S</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w:t>
      </w:r>
      <w:r>
        <w:rPr>
          <w:rFonts w:ascii="Arial" w:cs="Arial" w:eastAsia="Arial" w:hAnsi="Arial"/>
          <w:sz w:val="19"/>
          <w:szCs w:val="19"/>
          <w:color w:val="auto"/>
        </w:rPr>
        <w:t xml:space="preserve">”) in reliance on Regulation S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Regulation S Global Note</w:t>
      </w:r>
      <w:r>
        <w:rPr>
          <w:rFonts w:ascii="Arial" w:cs="Arial" w:eastAsia="Arial" w:hAnsi="Arial"/>
          <w:sz w:val="19"/>
          <w:szCs w:val="19"/>
          <w:color w:val="auto"/>
        </w:rPr>
        <w:t xml:space="preserve">”) within a reasonable period after the expiration of the Restricted Period (as defined below) upon delivery of the certification contemplated by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Each Regulation S Global Note will be deposited upon issuance with, or on behalf of, the Registrar as custodian for DTC in the manner described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Prior to the 40th day after the later of the commencement of the offering of the Initial Notes and the Issue Date (such period through and including such 40th day,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370" w:lineRule="exact"/>
        <w:rPr>
          <w:sz w:val="20"/>
          <w:szCs w:val="20"/>
          <w:color w:val="auto"/>
        </w:rPr>
      </w:pPr>
    </w:p>
    <w:p>
      <w:pPr>
        <w:ind w:right="160" w:firstLine="648"/>
        <w:spacing w:after="0" w:line="300" w:lineRule="auto"/>
        <w:rPr>
          <w:sz w:val="20"/>
          <w:szCs w:val="20"/>
          <w:color w:val="auto"/>
        </w:rPr>
      </w:pPr>
      <w:r>
        <w:rPr>
          <w:rFonts w:ascii="Arial" w:cs="Arial" w:eastAsia="Arial" w:hAnsi="Arial"/>
          <w:sz w:val="21"/>
          <w:szCs w:val="21"/>
          <w:color w:val="auto"/>
        </w:rPr>
        <w:t>Investors may hold their interests in the Regulation S Global Note through organizations other than Euroclear or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 in the depositaries’ names on the books of DTC.</w:t>
      </w:r>
    </w:p>
    <w:p>
      <w:pPr>
        <w:spacing w:after="0" w:line="399"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Registrar, as custodian for DTC or its nominee, as hereinafter provided.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1077" w:right="259" w:bottom="1440" w:gutter="0" w:footer="0" w:header="0"/>
        </w:sectPr>
      </w:pPr>
    </w:p>
    <w:bookmarkStart w:id="107" w:name="page108"/>
    <w:bookmarkEnd w:id="107"/>
    <w:p>
      <w:pPr>
        <w:ind w:right="40" w:firstLine="648"/>
        <w:spacing w:after="0" w:line="299" w:lineRule="auto"/>
        <w:rPr>
          <w:sz w:val="20"/>
          <w:szCs w:val="20"/>
          <w:color w:val="auto"/>
        </w:rPr>
      </w:pPr>
      <w:r>
        <w:rPr>
          <w:rFonts w:ascii="Arial" w:cs="Arial" w:eastAsia="Arial" w:hAnsi="Arial"/>
          <w:sz w:val="21"/>
          <w:szCs w:val="21"/>
          <w:color w:val="auto"/>
        </w:rPr>
        <w:t>Initial Notes and Additional Restricted Notes resold to IAIs (the “</w:t>
      </w:r>
      <w:r>
        <w:rPr>
          <w:rFonts w:ascii="Arial" w:cs="Arial" w:eastAsia="Arial" w:hAnsi="Arial"/>
          <w:sz w:val="21"/>
          <w:szCs w:val="21"/>
          <w:u w:val="single" w:color="auto"/>
          <w:color w:val="auto"/>
        </w:rPr>
        <w:t>Institutional Accredited Investor Notes</w:t>
      </w:r>
      <w:r>
        <w:rPr>
          <w:rFonts w:ascii="Arial" w:cs="Arial" w:eastAsia="Arial" w:hAnsi="Arial"/>
          <w:sz w:val="21"/>
          <w:szCs w:val="21"/>
          <w:color w:val="auto"/>
        </w:rPr>
        <w:t xml:space="preserve">”) in the United States of America shall be issued in the form of a permanent global Note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including appropriate legends as set forth in </w:t>
      </w:r>
      <w:r>
        <w:rPr>
          <w:rFonts w:ascii="Arial" w:cs="Arial" w:eastAsia="Arial" w:hAnsi="Arial"/>
          <w:sz w:val="21"/>
          <w:szCs w:val="21"/>
          <w:u w:val="single" w:color="auto"/>
          <w:color w:val="auto"/>
        </w:rPr>
        <w:t>Section 2.1(d)</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Institutional Accredited Investor Global Note</w:t>
      </w:r>
      <w:r>
        <w:rPr>
          <w:rFonts w:ascii="Arial" w:cs="Arial" w:eastAsia="Arial" w:hAnsi="Arial"/>
          <w:sz w:val="21"/>
          <w:szCs w:val="21"/>
          <w:color w:val="auto"/>
        </w:rPr>
        <w:t>”) deposited with the Registrar, as custodian for DTC, duly executed by the Issuers and authenticated by the Trustee as hereinafter provided. The Institutional Accredited Investor Global Note may be represented by more than one certificate, if so required by DTC’s rules regarding the maximum principal amount to be represented by a single certificate. The aggregate principal amount of the Institutional Accredited Investor Global Note may from time to time be increased or decreased by adjustments made on the records of the Registrar, as custodian for DTC or its nominee, as hereinafter provided.</w:t>
      </w:r>
    </w:p>
    <w:p>
      <w:pPr>
        <w:spacing w:after="0" w:line="200" w:lineRule="exact"/>
        <w:rPr>
          <w:sz w:val="20"/>
          <w:szCs w:val="20"/>
          <w:color w:val="auto"/>
        </w:rPr>
      </w:pPr>
    </w:p>
    <w:p>
      <w:pPr>
        <w:spacing w:after="0" w:line="202"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The Rule 144A Global Note, the Regulation S Global Note and the Institutional Accredited Investor Global Note are sometimes collectively herein referred to as the “</w:t>
      </w:r>
      <w:r>
        <w:rPr>
          <w:rFonts w:ascii="Arial" w:cs="Arial" w:eastAsia="Arial" w:hAnsi="Arial"/>
          <w:sz w:val="22"/>
          <w:szCs w:val="22"/>
          <w:u w:val="single" w:color="auto"/>
          <w:color w:val="auto"/>
        </w:rPr>
        <w:t>Global Notes</w:t>
      </w:r>
      <w:r>
        <w:rPr>
          <w:rFonts w:ascii="Arial" w:cs="Arial" w:eastAsia="Arial" w:hAnsi="Arial"/>
          <w:sz w:val="22"/>
          <w:szCs w:val="22"/>
          <w:color w:val="auto"/>
        </w:rPr>
        <w:t>.”</w:t>
      </w:r>
    </w:p>
    <w:p>
      <w:pPr>
        <w:spacing w:after="0" w:line="390"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 xml:space="preserve">The principal of (and premium, if any) and interest and Additional Interest, if any, on the Notes shall be payable at the office or agency of Paying Agent designated by the Issuers maintained for such purpose (which shall initially be the office of the Trustee maintained for such purpose), or at such other office or agency of the Issuers as may be maintained for such purpose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installment of interest, and Additional Interest, if any, may be paid (i) at the option of the Paying Agent, by check mailed to addresses of the Persons entitled thereto as such addresses shall appear on the Notes Register or (ii) by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discretion).</w:t>
      </w:r>
    </w:p>
    <w:p>
      <w:pPr>
        <w:spacing w:after="0" w:line="377" w:lineRule="exact"/>
        <w:rPr>
          <w:sz w:val="20"/>
          <w:szCs w:val="20"/>
          <w:color w:val="auto"/>
        </w:rPr>
      </w:pPr>
    </w:p>
    <w:p>
      <w:pPr>
        <w:ind w:right="120" w:firstLine="648"/>
        <w:spacing w:after="0" w:line="357" w:lineRule="auto"/>
        <w:rPr>
          <w:sz w:val="20"/>
          <w:szCs w:val="20"/>
          <w:color w:val="auto"/>
        </w:rPr>
      </w:pPr>
      <w:r>
        <w:rPr>
          <w:rFonts w:ascii="Arial" w:cs="Arial" w:eastAsia="Arial" w:hAnsi="Arial"/>
          <w:sz w:val="19"/>
          <w:szCs w:val="19"/>
          <w:color w:val="auto"/>
        </w:rPr>
        <w:t xml:space="preserve">The Notes may have notations, legends or endorsements required by law, stock exchange rule or usage, in addition to those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Issuers shall approve any notation, endorsement or legend on the Notes. Each Note shall be dated the date of its authentication. The terms of the Notes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part of the terms of this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1077" w:right="239" w:bottom="1440" w:gutter="0" w:footer="0" w:header="0"/>
        </w:sectPr>
      </w:pPr>
    </w:p>
    <w:bookmarkStart w:id="108" w:name="page109"/>
    <w:bookmarkEnd w:id="108"/>
    <w:p>
      <w:pPr>
        <w:ind w:right="920"/>
        <w:spacing w:after="0" w:line="302" w:lineRule="auto"/>
        <w:rPr>
          <w:sz w:val="20"/>
          <w:szCs w:val="20"/>
          <w:color w:val="auto"/>
        </w:rPr>
      </w:pPr>
      <w:r>
        <w:rPr>
          <w:rFonts w:ascii="Arial" w:cs="Arial" w:eastAsia="Arial" w:hAnsi="Arial"/>
          <w:sz w:val="22"/>
          <w:szCs w:val="22"/>
          <w:color w:val="auto"/>
        </w:rPr>
        <w:t>Indenture and, to the extent applicable, the Issuers, the Guarantors and the Trustee, by their execution and delivery of this Indenture, expressly agree to be bound by such terms.</w:t>
      </w:r>
    </w:p>
    <w:p>
      <w:pPr>
        <w:spacing w:after="0" w:line="390" w:lineRule="exact"/>
        <w:rPr>
          <w:sz w:val="20"/>
          <w:szCs w:val="20"/>
          <w:color w:val="auto"/>
        </w:rPr>
      </w:pPr>
    </w:p>
    <w:p>
      <w:pPr>
        <w:ind w:right="80" w:firstLine="1305"/>
        <w:spacing w:after="0" w:line="315" w:lineRule="auto"/>
        <w:tabs>
          <w:tab w:leader="none" w:pos="1716"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Denominations</w:t>
      </w:r>
      <w:r>
        <w:rPr>
          <w:rFonts w:ascii="Arial" w:cs="Arial" w:eastAsia="Arial" w:hAnsi="Arial"/>
          <w:sz w:val="22"/>
          <w:szCs w:val="22"/>
          <w:color w:val="auto"/>
        </w:rPr>
        <w:t>. The Notes shall be issuable only in fully registered form in minimum denominations of $2,000 and any integral multiple of $1,000 in excess thereof.</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Restrictive Legends</w:t>
      </w:r>
      <w:r>
        <w:rPr>
          <w:rFonts w:ascii="Arial" w:cs="Arial" w:eastAsia="Arial" w:hAnsi="Arial"/>
          <w:sz w:val="19"/>
          <w:szCs w:val="19"/>
          <w:color w:val="auto"/>
        </w:rPr>
        <w:t>. Unless and until (i) an Initial Note or an Additional Note issued as a Restricted Note is</w:t>
      </w:r>
    </w:p>
    <w:p>
      <w:pPr>
        <w:spacing w:after="0" w:line="92" w:lineRule="exact"/>
        <w:rPr>
          <w:rFonts w:ascii="Arial" w:cs="Arial" w:eastAsia="Arial" w:hAnsi="Arial"/>
          <w:sz w:val="19"/>
          <w:szCs w:val="19"/>
          <w:color w:val="auto"/>
        </w:rPr>
      </w:pPr>
    </w:p>
    <w:p>
      <w:pPr>
        <w:ind w:right="260"/>
        <w:spacing w:after="0" w:line="292" w:lineRule="auto"/>
        <w:rPr>
          <w:rFonts w:ascii="Arial" w:cs="Arial" w:eastAsia="Arial" w:hAnsi="Arial"/>
          <w:sz w:val="19"/>
          <w:szCs w:val="19"/>
          <w:color w:val="auto"/>
        </w:rPr>
      </w:pPr>
      <w:r>
        <w:rPr>
          <w:rFonts w:ascii="Arial" w:cs="Arial" w:eastAsia="Arial" w:hAnsi="Arial"/>
          <w:sz w:val="22"/>
          <w:szCs w:val="22"/>
          <w:color w:val="auto"/>
        </w:rPr>
        <w:t>sold under an effective registration statement or (ii) the Issuers receive an opinion of counsel satisfactory to it to the effect that neither such legend nor the related restrictions on transfer are required in order to maintain compliance with the provisions of the Securities Act:</w:t>
      </w:r>
    </w:p>
    <w:p>
      <w:pPr>
        <w:spacing w:after="0" w:line="400" w:lineRule="exact"/>
        <w:rPr>
          <w:sz w:val="20"/>
          <w:szCs w:val="20"/>
          <w:color w:val="auto"/>
        </w:rPr>
      </w:pPr>
    </w:p>
    <w:p>
      <w:pPr>
        <w:ind w:left="660" w:right="440" w:firstLine="1293"/>
        <w:spacing w:after="0" w:line="315" w:lineRule="auto"/>
        <w:tabs>
          <w:tab w:leader="none" w:pos="238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Rule 144A Global Note, the Regulation S Global Note and the Institutional Accredited Investor Global Note shall bear the following legend on the face thereof:</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ONE YEAR ANNIVERSARY OF THE ISSUANCE HEREOF (OR ANY PREDECESSOR SECURITY HERETO) OR (Y) BY ANY HOLDER THAT WAS AN AFFILIATE OF THE COMPANY AT ANYTIME DURING THE THREE MONTHS PRECEDING THE DATE OF SUCH TRANSFER, IN EITHER CASE OTHER THAN</w:t>
      </w:r>
    </w:p>
    <w:p>
      <w:pPr>
        <w:spacing w:after="0" w:line="2" w:lineRule="exact"/>
        <w:rPr>
          <w:sz w:val="20"/>
          <w:szCs w:val="20"/>
          <w:color w:val="auto"/>
        </w:rPr>
      </w:pPr>
    </w:p>
    <w:p>
      <w:pPr>
        <w:ind w:left="960" w:hanging="304"/>
        <w:spacing w:after="0"/>
        <w:tabs>
          <w:tab w:leader="none" w:pos="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THE COMPANY,</w:t>
      </w:r>
    </w:p>
    <w:p>
      <w:pPr>
        <w:spacing w:after="0" w:line="242" w:lineRule="exact"/>
        <w:rPr>
          <w:rFonts w:ascii="Arial" w:cs="Arial" w:eastAsia="Arial" w:hAnsi="Arial"/>
          <w:sz w:val="22"/>
          <w:szCs w:val="22"/>
          <w:color w:val="auto"/>
        </w:rPr>
      </w:pPr>
    </w:p>
    <w:p>
      <w:pPr>
        <w:jc w:val="both"/>
        <w:ind w:left="660" w:hanging="4"/>
        <w:spacing w:after="0" w:line="246" w:lineRule="auto"/>
        <w:tabs>
          <w:tab w:leader="none" w:pos="103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w:t>
      </w:r>
    </w:p>
    <w:p>
      <w:pPr>
        <w:spacing w:after="0" w:line="4" w:lineRule="exact"/>
        <w:rPr>
          <w:rFonts w:ascii="Arial" w:cs="Arial" w:eastAsia="Arial" w:hAnsi="Arial"/>
          <w:sz w:val="22"/>
          <w:szCs w:val="22"/>
          <w:color w:val="auto"/>
        </w:rPr>
      </w:pPr>
    </w:p>
    <w:p>
      <w:pPr>
        <w:ind w:left="660"/>
        <w:spacing w:after="0" w:line="246" w:lineRule="auto"/>
        <w:rPr>
          <w:rFonts w:ascii="Arial" w:cs="Arial" w:eastAsia="Arial" w:hAnsi="Arial"/>
          <w:sz w:val="22"/>
          <w:szCs w:val="22"/>
          <w:color w:val="auto"/>
        </w:rPr>
      </w:pPr>
      <w:r>
        <w:rPr>
          <w:rFonts w:ascii="Arial" w:cs="Arial" w:eastAsia="Arial" w:hAnsi="Arial"/>
          <w:sz w:val="22"/>
          <w:szCs w:val="22"/>
          <w:color w:val="auto"/>
        </w:rPr>
        <w:t>RULE 144A (AS INDICATED BY THE BOX CHECKED BY THE TRANSFEROR ON THE CERTIFICATE OF TRANSFER ON THE REVERSE OF THIS SECURITY),</w:t>
      </w:r>
    </w:p>
    <w:p>
      <w:pPr>
        <w:spacing w:after="0" w:line="233" w:lineRule="exact"/>
        <w:rPr>
          <w:rFonts w:ascii="Arial" w:cs="Arial" w:eastAsia="Arial" w:hAnsi="Arial"/>
          <w:sz w:val="22"/>
          <w:szCs w:val="22"/>
          <w:color w:val="auto"/>
        </w:rPr>
      </w:pPr>
    </w:p>
    <w:p>
      <w:pPr>
        <w:jc w:val="both"/>
        <w:ind w:left="660" w:hanging="4"/>
        <w:spacing w:after="0" w:line="253" w:lineRule="auto"/>
        <w:tabs>
          <w:tab w:leader="none" w:pos="96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AN OFFSHORE TRANSACTION IN ACCORDANCE WITH REGULATION S UNDER THE SECURITIES ACT (AS INDICATED BY THE BOX CHECKED BY THE TRANSFEROR ON THE CERTIFICATE OF TRANSFER ON THE REVERSE OF THIS SECURITY),</w:t>
      </w:r>
    </w:p>
    <w:p>
      <w:pPr>
        <w:spacing w:after="0" w:line="226" w:lineRule="exact"/>
        <w:rPr>
          <w:rFonts w:ascii="Arial" w:cs="Arial" w:eastAsia="Arial" w:hAnsi="Arial"/>
          <w:sz w:val="22"/>
          <w:szCs w:val="22"/>
          <w:color w:val="auto"/>
        </w:rPr>
      </w:pPr>
    </w:p>
    <w:p>
      <w:pPr>
        <w:ind w:left="980" w:hanging="324"/>
        <w:spacing w:after="0"/>
        <w:tabs>
          <w:tab w:leader="none" w:pos="98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AN INSTITUTION THAT IS AN “ACCREDITED INVESTOR” AS DEFINED IN RULE 501(a)(1), (2), (3) OR</w:t>
      </w:r>
    </w:p>
    <w:p>
      <w:pPr>
        <w:spacing w:after="0" w:line="33" w:lineRule="exact"/>
        <w:rPr>
          <w:rFonts w:ascii="Arial" w:cs="Arial" w:eastAsia="Arial" w:hAnsi="Arial"/>
          <w:sz w:val="21"/>
          <w:szCs w:val="21"/>
          <w:color w:val="auto"/>
        </w:rPr>
      </w:pPr>
    </w:p>
    <w:p>
      <w:pPr>
        <w:ind w:left="660" w:hanging="4"/>
        <w:spacing w:after="0" w:line="246" w:lineRule="auto"/>
        <w:tabs>
          <w:tab w:leader="none" w:pos="101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OF REGULATION D UNDER THE SECURITIES ACT (AS INDICATED BY THE BOX CHECKED BY THE TRANSFEROR ON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077" w:right="239" w:bottom="1440" w:gutter="0" w:footer="0" w:header="0"/>
        </w:sectPr>
      </w:pPr>
    </w:p>
    <w:bookmarkStart w:id="109" w:name="page110"/>
    <w:bookmarkEnd w:id="109"/>
    <w:p>
      <w:pPr>
        <w:jc w:val="both"/>
        <w:ind w:left="4"/>
        <w:spacing w:after="0" w:line="250" w:lineRule="auto"/>
        <w:rPr>
          <w:sz w:val="20"/>
          <w:szCs w:val="20"/>
          <w:color w:val="auto"/>
        </w:rPr>
      </w:pPr>
      <w:r>
        <w:rPr>
          <w:rFonts w:ascii="Arial" w:cs="Arial" w:eastAsia="Arial" w:hAnsi="Arial"/>
          <w:sz w:val="22"/>
          <w:szCs w:val="22"/>
          <w:color w:val="auto"/>
        </w:rPr>
        <w:t>CERTIFICATE OF TRANSFER ON THE REVERSE OF THIS SECURITY) THAT IS ACQUIRING THIS SECURITY FOR INVESTMENT PURPOSES AND NOT FOR DISTRIBUTION, AND A CERTIFICATE WHICH MAY BE OBTAINED FROM THE COMPANY OR THE TRUSTEE IS DELIVERED BY THE TRANSFEREE TO THE COMPANY AND THE TRUSTEE,</w:t>
      </w:r>
    </w:p>
    <w:p>
      <w:pPr>
        <w:spacing w:after="0" w:line="229" w:lineRule="exact"/>
        <w:rPr>
          <w:sz w:val="20"/>
          <w:szCs w:val="20"/>
          <w:color w:val="auto"/>
        </w:rPr>
      </w:pPr>
    </w:p>
    <w:p>
      <w:pPr>
        <w:ind w:left="4" w:hanging="4"/>
        <w:spacing w:after="0" w:line="263" w:lineRule="auto"/>
        <w:tabs>
          <w:tab w:leader="none" w:pos="33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PURSUANT TO ANY EXEMPTION FROM REGISTRATION UNDER THE SECURITIES ACT PROVIDED BY RULE 144 (IF APPLICABLE) UNDER THE SECURITIES ACT, OR</w:t>
      </w:r>
    </w:p>
    <w:p>
      <w:pPr>
        <w:spacing w:after="0" w:line="215" w:lineRule="exact"/>
        <w:rPr>
          <w:rFonts w:ascii="Arial" w:cs="Arial" w:eastAsia="Arial" w:hAnsi="Arial"/>
          <w:sz w:val="22"/>
          <w:szCs w:val="22"/>
          <w:color w:val="auto"/>
        </w:rPr>
      </w:pPr>
    </w:p>
    <w:p>
      <w:pPr>
        <w:ind w:left="304" w:hanging="304"/>
        <w:spacing w:after="0"/>
        <w:tabs>
          <w:tab w:leader="none" w:pos="30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PURSUANT TO AN EFFECTIVE REGISTRATION STATEMENT UNDER THE</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2"/>
          <w:szCs w:val="22"/>
          <w:color w:val="auto"/>
        </w:rPr>
        <w:t>SECURITIES ACT,</w:t>
      </w:r>
    </w:p>
    <w:p>
      <w:pPr>
        <w:spacing w:after="0" w:line="242" w:lineRule="exact"/>
        <w:rPr>
          <w:sz w:val="20"/>
          <w:szCs w:val="20"/>
          <w:color w:val="auto"/>
        </w:rPr>
      </w:pPr>
    </w:p>
    <w:p>
      <w:pPr>
        <w:jc w:val="both"/>
        <w:ind w:left="4"/>
        <w:spacing w:after="0" w:line="245" w:lineRule="auto"/>
        <w:rPr>
          <w:sz w:val="20"/>
          <w:szCs w:val="20"/>
          <w:color w:val="auto"/>
        </w:rPr>
      </w:pPr>
      <w:r>
        <w:rPr>
          <w:rFonts w:ascii="Arial" w:cs="Arial" w:eastAsia="Arial" w:hAnsi="Arial"/>
          <w:sz w:val="22"/>
          <w:szCs w:val="22"/>
          <w:color w:val="auto"/>
        </w:rPr>
        <w:t>IN EACH CASE, IN ACCORDANCE WITH ANY APPLICABLE SECURITIES LAWS OF ANY STATE OF THE UNITED STATES. AN INSTITUTIONAL ACCREDITED INVESTOR HOLDING THIS SECURITY AGREES THAT IT WILL FURNISH TO THE COMPANY AND THE TRUSTEE SUCH CERTIFICATES, OPINIONS OF COUNSEL AND OTHER INFORMATION AS THEY MAY REASONABLY REQUIRE TO CONFIRM THAT THE TRANSFER BY IT OF THIS SECURITY COMPLIES WITH THE FOREGOING RESTRICTIONS. THE HOLDER HEREOF, BY PURCHASING THIS SECURITY, REPRESENTS AND AGREES FOR THE BENEFIT OF THE COMPANY THAT IT IS (1) A QUALIFIED INSTITUTIONAL BUYER WITHIN THE MEANING OF RULE 144A OR (2) PURCHASING FROM A PERSON NOT PARTICIPATING IN THE INITIAL DISTRIBUTION OF THIS SECURITY (OR ANY PREDECESSOR SECURITY), THAT IT IS AN INSTITUTION THAT IS AN “ACCREDITED INVESTOR” AS DEFINED IN RULE 501(a)(l), (2), (3) 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22"/>
          <w:szCs w:val="22"/>
          <w:color w:val="auto"/>
        </w:rPr>
        <w:t>Each Global Note, whether or not an Initial Note, shall also bear the following legend on the face thereof:</w:t>
      </w:r>
    </w:p>
    <w:p>
      <w:pPr>
        <w:spacing w:after="0" w:line="274" w:lineRule="exact"/>
        <w:rPr>
          <w:sz w:val="20"/>
          <w:szCs w:val="20"/>
          <w:color w:val="auto"/>
        </w:rPr>
      </w:pPr>
    </w:p>
    <w:p>
      <w:pPr>
        <w:jc w:val="both"/>
        <w:ind w:left="4"/>
        <w:spacing w:after="0" w:line="301"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w:t>
      </w:r>
    </w:p>
    <w:p>
      <w:pPr>
        <w:spacing w:after="0" w:line="200" w:lineRule="exact"/>
        <w:rPr>
          <w:sz w:val="20"/>
          <w:szCs w:val="20"/>
          <w:color w:val="auto"/>
        </w:rPr>
      </w:pPr>
    </w:p>
    <w:p>
      <w:pPr>
        <w:spacing w:after="0" w:line="22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764"/>
          </w:cols>
          <w:pgMar w:left="896" w:top="847" w:right="239" w:bottom="1440" w:gutter="0" w:footer="0" w:header="0"/>
        </w:sectPr>
      </w:pPr>
    </w:p>
    <w:bookmarkStart w:id="110" w:name="page111"/>
    <w:bookmarkEnd w:id="110"/>
    <w:p>
      <w:pPr>
        <w:jc w:val="both"/>
        <w:ind w:left="660"/>
        <w:spacing w:after="0" w:line="328" w:lineRule="auto"/>
        <w:rPr>
          <w:sz w:val="20"/>
          <w:szCs w:val="20"/>
          <w:color w:val="auto"/>
        </w:rPr>
      </w:pPr>
      <w:r>
        <w:rPr>
          <w:rFonts w:ascii="Arial" w:cs="Arial" w:eastAsia="Arial" w:hAnsi="Arial"/>
          <w:sz w:val="21"/>
          <w:szCs w:val="21"/>
          <w:color w:val="auto"/>
        </w:rPr>
        <w:t>PLEDGE OR OTHER USE HEREOF FOR VALUE OR OTHERWISE BY OR TO ANY PERSON IS WRONGFUL INASMUCH AS THE REGISTERED OWNER HEREOF, CEDE &amp; CO., HAS AN INTEREST HEREIN.</w:t>
      </w:r>
    </w:p>
    <w:p>
      <w:pPr>
        <w:spacing w:after="0" w:line="137"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SECTIONS 2.1 AND 2.6 OF THE INDENTURE (AS DEFINED HEREIN).</w:t>
      </w:r>
    </w:p>
    <w:p>
      <w:pPr>
        <w:spacing w:after="0" w:line="206" w:lineRule="exact"/>
        <w:rPr>
          <w:sz w:val="20"/>
          <w:szCs w:val="20"/>
          <w:color w:val="auto"/>
        </w:rPr>
      </w:pPr>
    </w:p>
    <w:p>
      <w:pPr>
        <w:ind w:left="1720" w:hanging="415"/>
        <w:spacing w:after="0"/>
        <w:tabs>
          <w:tab w:leader="none" w:pos="1720"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Book-Entry Provisions</w:t>
      </w:r>
      <w:r>
        <w:rPr>
          <w:rFonts w:ascii="Arial" w:cs="Arial" w:eastAsia="Arial" w:hAnsi="Arial"/>
          <w:sz w:val="19"/>
          <w:szCs w:val="19"/>
          <w:color w:val="auto"/>
        </w:rPr>
        <w:t xml:space="preserve">. (i)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shall apply only to Global Notes deposited with the Registrar, as</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custodian for DTC.</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27"/>
        <w:spacing w:after="0"/>
        <w:tabs>
          <w:tab w:leader="none" w:pos="238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Each Global Note initially shall (x) be registered in the name of DTC or the nominee of DTC, (y) be</w:t>
      </w:r>
    </w:p>
    <w:p>
      <w:pPr>
        <w:spacing w:after="0" w:line="92" w:lineRule="exact"/>
        <w:rPr>
          <w:rFonts w:ascii="Arial" w:cs="Arial" w:eastAsia="Arial" w:hAnsi="Arial"/>
          <w:sz w:val="19"/>
          <w:szCs w:val="19"/>
          <w:color w:val="auto"/>
        </w:rPr>
      </w:pPr>
    </w:p>
    <w:p>
      <w:pPr>
        <w:jc w:val="both"/>
        <w:ind w:left="660" w:right="20"/>
        <w:spacing w:after="0" w:line="326" w:lineRule="auto"/>
        <w:rPr>
          <w:rFonts w:ascii="Arial" w:cs="Arial" w:eastAsia="Arial" w:hAnsi="Arial"/>
          <w:sz w:val="19"/>
          <w:szCs w:val="19"/>
          <w:color w:val="auto"/>
        </w:rPr>
      </w:pPr>
      <w:r>
        <w:rPr>
          <w:rFonts w:ascii="Arial" w:cs="Arial" w:eastAsia="Arial" w:hAnsi="Arial"/>
          <w:sz w:val="19"/>
          <w:szCs w:val="19"/>
          <w:color w:val="auto"/>
        </w:rPr>
        <w:t xml:space="preserve">delivered to the Notes Custodian for DTC and (z) bear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Transfers of a Global Note (but not a beneficial interest therein) will be limited to transfers thereof in whole, but not in part, to the DTC, its successors or its respective nominees, except as set forth in </w:t>
      </w:r>
      <w:r>
        <w:rPr>
          <w:rFonts w:ascii="Arial" w:cs="Arial" w:eastAsia="Arial" w:hAnsi="Arial"/>
          <w:sz w:val="19"/>
          <w:szCs w:val="19"/>
          <w:u w:val="single" w:color="auto"/>
          <w:color w:val="auto"/>
        </w:rPr>
        <w:t>Section 2.1(e)(4)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If a beneficial interest in a Global Note is transferred or exchanged for a beneficial interest in another Global Note, the Notes Custodian will (x) record a decrease in the principal amount of the Global Note being transferred or exchanged equal to the principal amount of such transfer or exchange and</w:t>
      </w:r>
    </w:p>
    <w:p>
      <w:pPr>
        <w:spacing w:after="0" w:line="1" w:lineRule="exact"/>
        <w:rPr>
          <w:rFonts w:ascii="Arial" w:cs="Arial" w:eastAsia="Arial" w:hAnsi="Arial"/>
          <w:sz w:val="19"/>
          <w:szCs w:val="19"/>
          <w:color w:val="auto"/>
        </w:rPr>
      </w:pPr>
    </w:p>
    <w:p>
      <w:pPr>
        <w:ind w:left="660" w:right="20" w:hanging="4"/>
        <w:spacing w:after="0" w:line="341" w:lineRule="auto"/>
        <w:tabs>
          <w:tab w:leader="none" w:pos="96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365" w:lineRule="exact"/>
        <w:rPr>
          <w:rFonts w:ascii="Arial" w:cs="Arial" w:eastAsia="Arial" w:hAnsi="Arial"/>
          <w:sz w:val="19"/>
          <w:szCs w:val="19"/>
          <w:color w:val="auto"/>
        </w:rPr>
      </w:pPr>
    </w:p>
    <w:p>
      <w:pPr>
        <w:ind w:left="2380" w:hanging="427"/>
        <w:spacing w:after="0"/>
        <w:tabs>
          <w:tab w:leader="none" w:pos="2380" w:val="left"/>
        </w:tabs>
        <w:numPr>
          <w:ilvl w:val="2"/>
          <w:numId w:val="125"/>
        </w:numPr>
        <w:rPr>
          <w:rFonts w:ascii="Arial" w:cs="Arial" w:eastAsia="Arial" w:hAnsi="Arial"/>
          <w:sz w:val="19"/>
          <w:szCs w:val="19"/>
          <w:color w:val="auto"/>
        </w:rPr>
      </w:pPr>
      <w:r>
        <w:rPr>
          <w:rFonts w:ascii="Arial" w:cs="Arial" w:eastAsia="Arial" w:hAnsi="Arial"/>
          <w:sz w:val="19"/>
          <w:szCs w:val="19"/>
          <w:color w:val="auto"/>
        </w:rPr>
        <w:t>Members of, or participants in, DTC (“</w:t>
      </w:r>
      <w:r>
        <w:rPr>
          <w:rFonts w:ascii="Arial" w:cs="Arial" w:eastAsia="Arial" w:hAnsi="Arial"/>
          <w:sz w:val="19"/>
          <w:szCs w:val="19"/>
          <w:u w:val="single" w:color="auto"/>
          <w:color w:val="auto"/>
        </w:rPr>
        <w:t>Agent Members</w:t>
      </w:r>
      <w:r>
        <w:rPr>
          <w:rFonts w:ascii="Arial" w:cs="Arial" w:eastAsia="Arial" w:hAnsi="Arial"/>
          <w:sz w:val="19"/>
          <w:szCs w:val="19"/>
          <w:color w:val="auto"/>
        </w:rPr>
        <w:t>”) shall have no rights under this Indenture with</w:t>
      </w:r>
    </w:p>
    <w:p>
      <w:pPr>
        <w:spacing w:after="0" w:line="92" w:lineRule="exact"/>
        <w:rPr>
          <w:rFonts w:ascii="Arial" w:cs="Arial" w:eastAsia="Arial" w:hAnsi="Arial"/>
          <w:sz w:val="19"/>
          <w:szCs w:val="19"/>
          <w:color w:val="auto"/>
        </w:rPr>
      </w:pPr>
    </w:p>
    <w:p>
      <w:pPr>
        <w:ind w:left="660" w:right="40"/>
        <w:spacing w:after="0" w:line="338" w:lineRule="auto"/>
        <w:rPr>
          <w:rFonts w:ascii="Arial" w:cs="Arial" w:eastAsia="Arial" w:hAnsi="Arial"/>
          <w:sz w:val="19"/>
          <w:szCs w:val="19"/>
          <w:color w:val="auto"/>
        </w:rPr>
      </w:pPr>
      <w:r>
        <w:rPr>
          <w:rFonts w:ascii="Arial" w:cs="Arial" w:eastAsia="Arial" w:hAnsi="Arial"/>
          <w:sz w:val="19"/>
          <w:szCs w:val="19"/>
          <w:color w:val="auto"/>
        </w:rPr>
        <w:t>respect to any Global Note held on their behalf by DTC or by the Notes Custodian as the custodian of DTC or under such Global Note, and DTC may be treated by the Issuers, the Trustee and any agent of the Issuers or the Trustee as the absolute owner of such Global Note for all purposes whatsoever. Notwithstanding the foregoing, nothing herein shall prevent the Issuers, the Trustee or any agent of the Issuers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61" w:right="239" w:bottom="1440" w:gutter="0" w:footer="0" w:header="0"/>
        </w:sectPr>
      </w:pPr>
    </w:p>
    <w:bookmarkStart w:id="111" w:name="page112"/>
    <w:bookmarkEnd w:id="111"/>
    <w:p>
      <w:pPr>
        <w:ind w:left="2380" w:hanging="427"/>
        <w:spacing w:after="0"/>
        <w:tabs>
          <w:tab w:leader="none" w:pos="23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In connection with any transfer of a portion of the beneficial interest in a Global Note pursuant to</w:t>
      </w:r>
    </w:p>
    <w:p>
      <w:pPr>
        <w:spacing w:after="0" w:line="69" w:lineRule="exact"/>
        <w:rPr>
          <w:rFonts w:ascii="Arial" w:cs="Arial" w:eastAsia="Arial" w:hAnsi="Arial"/>
          <w:sz w:val="21"/>
          <w:szCs w:val="21"/>
          <w:color w:val="auto"/>
        </w:rPr>
      </w:pPr>
    </w:p>
    <w:p>
      <w:pPr>
        <w:ind w:left="660" w:right="80"/>
        <w:spacing w:after="0" w:line="346" w:lineRule="auto"/>
        <w:rPr>
          <w:rFonts w:ascii="Arial" w:cs="Arial" w:eastAsia="Arial" w:hAnsi="Arial"/>
          <w:sz w:val="21"/>
          <w:szCs w:val="21"/>
          <w:color w:val="auto"/>
        </w:rPr>
      </w:pPr>
      <w:r>
        <w:rPr>
          <w:rFonts w:ascii="Arial" w:cs="Arial" w:eastAsia="Arial" w:hAnsi="Arial"/>
          <w:sz w:val="19"/>
          <w:szCs w:val="19"/>
          <w:u w:val="single" w:color="auto"/>
          <w:color w:val="auto"/>
        </w:rPr>
        <w:t>Section 2.1(f)</w:t>
      </w:r>
      <w:r>
        <w:rPr>
          <w:rFonts w:ascii="Arial" w:cs="Arial" w:eastAsia="Arial" w:hAnsi="Arial"/>
          <w:sz w:val="19"/>
          <w:szCs w:val="19"/>
          <w:color w:val="auto"/>
        </w:rPr>
        <w:t xml:space="preserve">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Issuers shall execute, and the Trustee shall authenticate and make available for delivery, one or more Definitive Notes of like tenor and amount.</w:t>
      </w:r>
    </w:p>
    <w:p>
      <w:pPr>
        <w:spacing w:after="0" w:line="360" w:lineRule="exact"/>
        <w:rPr>
          <w:rFonts w:ascii="Arial" w:cs="Arial" w:eastAsia="Arial" w:hAnsi="Arial"/>
          <w:sz w:val="21"/>
          <w:szCs w:val="21"/>
          <w:color w:val="auto"/>
        </w:rPr>
      </w:pPr>
    </w:p>
    <w:p>
      <w:pPr>
        <w:ind w:left="2380" w:hanging="427"/>
        <w:spacing w:after="0"/>
        <w:tabs>
          <w:tab w:leader="none" w:pos="23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In connection with the transfer of an entire Global Note to beneficial owners pursuant to </w:t>
      </w:r>
      <w:r>
        <w:rPr>
          <w:rFonts w:ascii="Arial" w:cs="Arial" w:eastAsia="Arial" w:hAnsi="Arial"/>
          <w:sz w:val="19"/>
          <w:szCs w:val="19"/>
          <w:u w:val="single" w:color="auto"/>
          <w:color w:val="auto"/>
        </w:rPr>
        <w:t>Section 2.1(f)</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660" w:right="160"/>
        <w:spacing w:after="0" w:line="288" w:lineRule="auto"/>
        <w:rPr>
          <w:rFonts w:ascii="Arial" w:cs="Arial" w:eastAsia="Arial" w:hAnsi="Arial"/>
          <w:sz w:val="19"/>
          <w:szCs w:val="19"/>
          <w:color w:val="auto"/>
        </w:rPr>
      </w:pPr>
      <w:r>
        <w:rPr>
          <w:rFonts w:ascii="Arial" w:cs="Arial" w:eastAsia="Arial" w:hAnsi="Arial"/>
          <w:sz w:val="22"/>
          <w:szCs w:val="22"/>
          <w:color w:val="auto"/>
        </w:rPr>
        <w:t>such Global Note shall be deemed to be surrendered to the Registrar for cancellation, and the Issuers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The registered Holder of a Global Note may grant proxies and otherwise authorize any person,</w:t>
      </w:r>
    </w:p>
    <w:p>
      <w:pPr>
        <w:spacing w:after="0" w:line="69" w:lineRule="exact"/>
        <w:rPr>
          <w:rFonts w:ascii="Arial" w:cs="Arial" w:eastAsia="Arial" w:hAnsi="Arial"/>
          <w:sz w:val="21"/>
          <w:szCs w:val="21"/>
          <w:color w:val="auto"/>
        </w:rPr>
      </w:pPr>
    </w:p>
    <w:p>
      <w:pPr>
        <w:ind w:left="660" w:right="200"/>
        <w:spacing w:after="0" w:line="302" w:lineRule="auto"/>
        <w:rPr>
          <w:rFonts w:ascii="Arial" w:cs="Arial" w:eastAsia="Arial" w:hAnsi="Arial"/>
          <w:sz w:val="21"/>
          <w:szCs w:val="21"/>
          <w:color w:val="auto"/>
        </w:rPr>
      </w:pPr>
      <w:r>
        <w:rPr>
          <w:rFonts w:ascii="Arial" w:cs="Arial" w:eastAsia="Arial" w:hAnsi="Arial"/>
          <w:sz w:val="22"/>
          <w:szCs w:val="22"/>
          <w:color w:val="auto"/>
        </w:rPr>
        <w:t>including Agent Members and persons that may hold interests through Agent Members, to take any action which a Holder is entitled to take under this Indenture or the Notes.</w:t>
      </w:r>
    </w:p>
    <w:p>
      <w:pPr>
        <w:spacing w:after="0" w:line="389" w:lineRule="exact"/>
        <w:rPr>
          <w:rFonts w:ascii="Arial" w:cs="Arial" w:eastAsia="Arial" w:hAnsi="Arial"/>
          <w:sz w:val="21"/>
          <w:szCs w:val="21"/>
          <w:color w:val="auto"/>
        </w:rPr>
      </w:pPr>
    </w:p>
    <w:p>
      <w:pPr>
        <w:ind w:left="2380" w:hanging="427"/>
        <w:spacing w:after="0"/>
        <w:tabs>
          <w:tab w:leader="none" w:pos="23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Holder of a Global Note shall, by acceptance of such Global Note, agree that transfers of beneficial</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00" w:hanging="395"/>
        <w:spacing w:after="0"/>
        <w:tabs>
          <w:tab w:leader="none" w:pos="170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Definitive Notes</w:t>
      </w:r>
      <w:r>
        <w:rPr>
          <w:rFonts w:ascii="Arial" w:cs="Arial" w:eastAsia="Arial" w:hAnsi="Arial"/>
          <w:sz w:val="19"/>
          <w:szCs w:val="19"/>
          <w:color w:val="auto"/>
        </w:rPr>
        <w:t>. Except as provided below, owners of beneficial interests in Global Notes will not be entitled</w:t>
      </w:r>
    </w:p>
    <w:p>
      <w:pPr>
        <w:spacing w:after="0" w:line="92" w:lineRule="exact"/>
        <w:rPr>
          <w:rFonts w:ascii="Arial" w:cs="Arial" w:eastAsia="Arial" w:hAnsi="Arial"/>
          <w:sz w:val="19"/>
          <w:szCs w:val="19"/>
          <w:color w:val="auto"/>
        </w:rPr>
      </w:pPr>
    </w:p>
    <w:p>
      <w:pPr>
        <w:spacing w:after="0" w:line="334" w:lineRule="auto"/>
        <w:rPr>
          <w:rFonts w:ascii="Arial" w:cs="Arial" w:eastAsia="Arial" w:hAnsi="Arial"/>
          <w:sz w:val="19"/>
          <w:szCs w:val="19"/>
          <w:color w:val="auto"/>
        </w:rPr>
      </w:pPr>
      <w:r>
        <w:rPr>
          <w:rFonts w:ascii="Arial" w:cs="Arial" w:eastAsia="Arial" w:hAnsi="Arial"/>
          <w:sz w:val="19"/>
          <w:szCs w:val="19"/>
          <w:color w:val="auto"/>
        </w:rPr>
        <w:t>to receive Definitive Notes. Definitive Notes shall be transferred to all beneficial owners in exchange for their beneficial interests in a Global Note if (A) DTC notifies the Issuers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Issuers or (B) an Event of Default has occurred and is continuing. In the event of the occurrence of any of the events specified in clause (A) or (B) of the preceding sentence, the Issuers shall promptly make available to the Trustee or the Authenticating Agent a reasonable supply of Definitive Notes. In addition, any Note transferred to an affiliate (as defined in Rule 405 under the Securities Act) of the Issuers or evidencing a Note that has been acquired by an affiliate in a transaction or series of transactions not involving any public offering must, until one year after the last date on which either the Issuers or 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1077" w:right="239" w:bottom="1440" w:gutter="0" w:footer="0" w:header="0"/>
        </w:sectPr>
      </w:pPr>
    </w:p>
    <w:bookmarkStart w:id="112" w:name="page113"/>
    <w:bookmarkEnd w:id="112"/>
    <w:p>
      <w:pPr>
        <w:ind w:right="140"/>
        <w:spacing w:after="0" w:line="288" w:lineRule="auto"/>
        <w:rPr>
          <w:sz w:val="20"/>
          <w:szCs w:val="20"/>
          <w:color w:val="auto"/>
        </w:rPr>
      </w:pPr>
      <w:r>
        <w:rPr>
          <w:rFonts w:ascii="Arial" w:cs="Arial" w:eastAsia="Arial" w:hAnsi="Arial"/>
          <w:sz w:val="22"/>
          <w:szCs w:val="22"/>
          <w:color w:val="auto"/>
        </w:rPr>
        <w:t xml:space="preserve">affiliate of the Issuers was an owner of the Note, be in the form of a Definitive Note and bear the legend regarding transfer restrictions in </w:t>
      </w:r>
      <w:r>
        <w:rPr>
          <w:rFonts w:ascii="Arial" w:cs="Arial" w:eastAsia="Arial" w:hAnsi="Arial"/>
          <w:sz w:val="22"/>
          <w:szCs w:val="22"/>
          <w:u w:val="single" w:color="auto"/>
          <w:color w:val="auto"/>
        </w:rPr>
        <w:t>Section 2.1(d)</w:t>
      </w:r>
      <w:r>
        <w:rPr>
          <w:rFonts w:ascii="Arial" w:cs="Arial" w:eastAsia="Arial" w:hAnsi="Arial"/>
          <w:sz w:val="22"/>
          <w:szCs w:val="22"/>
          <w:color w:val="auto"/>
        </w:rPr>
        <w:t>. If required to do so pursuant to any applicable law or regulation, beneficial owners may also obtain Definitive Notes in exchange for their beneficial interests in a Global Note upon written request in accordance with DTC’s and the Registrar’s procedures.</w:t>
      </w:r>
    </w:p>
    <w:p>
      <w:pPr>
        <w:spacing w:after="0" w:line="200" w:lineRule="exact"/>
        <w:rPr>
          <w:sz w:val="20"/>
          <w:szCs w:val="20"/>
          <w:color w:val="auto"/>
        </w:rPr>
      </w:pPr>
    </w:p>
    <w:p>
      <w:pPr>
        <w:spacing w:after="0" w:line="206" w:lineRule="exact"/>
        <w:rPr>
          <w:sz w:val="20"/>
          <w:szCs w:val="20"/>
          <w:color w:val="auto"/>
        </w:rPr>
      </w:pPr>
    </w:p>
    <w:p>
      <w:pPr>
        <w:ind w:left="2380" w:hanging="427"/>
        <w:spacing w:after="0"/>
        <w:tabs>
          <w:tab w:leader="none" w:pos="23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Any Definitive Note delivered in exchange for an interest in a Global Note pursuant to </w:t>
      </w:r>
      <w:r>
        <w:rPr>
          <w:rFonts w:ascii="Arial" w:cs="Arial" w:eastAsia="Arial" w:hAnsi="Arial"/>
          <w:sz w:val="19"/>
          <w:szCs w:val="19"/>
          <w:u w:val="single" w:color="auto"/>
          <w:color w:val="auto"/>
        </w:rPr>
        <w:t>Section 2.1(e)</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Global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 beneficial interest in a Global Note, the Registrar</w:t>
      </w:r>
    </w:p>
    <w:p>
      <w:pPr>
        <w:spacing w:after="0" w:line="92" w:lineRule="exact"/>
        <w:rPr>
          <w:rFonts w:ascii="Arial" w:cs="Arial" w:eastAsia="Arial" w:hAnsi="Arial"/>
          <w:sz w:val="19"/>
          <w:szCs w:val="19"/>
          <w:color w:val="auto"/>
        </w:rPr>
      </w:pPr>
    </w:p>
    <w:p>
      <w:pPr>
        <w:ind w:left="660" w:right="420"/>
        <w:spacing w:after="0" w:line="287" w:lineRule="auto"/>
        <w:rPr>
          <w:rFonts w:ascii="Arial" w:cs="Arial" w:eastAsia="Arial" w:hAnsi="Arial"/>
          <w:sz w:val="19"/>
          <w:szCs w:val="19"/>
          <w:color w:val="auto"/>
        </w:rPr>
      </w:pPr>
      <w:r>
        <w:rPr>
          <w:rFonts w:ascii="Arial" w:cs="Arial" w:eastAsia="Arial" w:hAnsi="Arial"/>
          <w:sz w:val="22"/>
          <w:szCs w:val="22"/>
          <w:color w:val="auto"/>
        </w:rPr>
        <w:t>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Issuers shall execute, and the Trustee shall authenticate and make available for delivery, to the transferring Holder a new Definitive Note representing the principal amount not so transferred.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380" w:hanging="427"/>
        <w:spacing w:after="0"/>
        <w:tabs>
          <w:tab w:leader="none" w:pos="23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another Definitive Note, (x) the Registrar will cancel</w:t>
      </w:r>
    </w:p>
    <w:p>
      <w:pPr>
        <w:spacing w:after="0" w:line="92" w:lineRule="exact"/>
        <w:rPr>
          <w:rFonts w:ascii="Arial" w:cs="Arial" w:eastAsia="Arial" w:hAnsi="Arial"/>
          <w:sz w:val="19"/>
          <w:szCs w:val="19"/>
          <w:color w:val="auto"/>
        </w:rPr>
      </w:pPr>
    </w:p>
    <w:p>
      <w:pPr>
        <w:ind w:left="660" w:right="80"/>
        <w:spacing w:after="0" w:line="335" w:lineRule="auto"/>
        <w:rPr>
          <w:rFonts w:ascii="Arial" w:cs="Arial" w:eastAsia="Arial" w:hAnsi="Arial"/>
          <w:sz w:val="19"/>
          <w:szCs w:val="19"/>
          <w:color w:val="auto"/>
        </w:rPr>
      </w:pPr>
      <w:r>
        <w:rPr>
          <w:rFonts w:ascii="Arial" w:cs="Arial" w:eastAsia="Arial" w:hAnsi="Arial"/>
          <w:sz w:val="19"/>
          <w:szCs w:val="19"/>
          <w:color w:val="auto"/>
        </w:rPr>
        <w:t>the Definitive Note being transferred or exchanged, (y) the Issuers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Issuers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369" w:lineRule="exact"/>
        <w:rPr>
          <w:rFonts w:ascii="Arial" w:cs="Arial" w:eastAsia="Arial" w:hAnsi="Arial"/>
          <w:sz w:val="19"/>
          <w:szCs w:val="19"/>
          <w:color w:val="auto"/>
        </w:rPr>
      </w:pPr>
    </w:p>
    <w:p>
      <w:pPr>
        <w:ind w:left="2380" w:hanging="427"/>
        <w:spacing w:after="0"/>
        <w:tabs>
          <w:tab w:leader="none" w:pos="23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Indenture, in no event shall a Definitive Note be</w:t>
      </w:r>
    </w:p>
    <w:p>
      <w:pPr>
        <w:spacing w:after="0" w:line="69" w:lineRule="exact"/>
        <w:rPr>
          <w:rFonts w:ascii="Arial" w:cs="Arial" w:eastAsia="Arial" w:hAnsi="Arial"/>
          <w:sz w:val="21"/>
          <w:szCs w:val="21"/>
          <w:color w:val="auto"/>
        </w:rPr>
      </w:pPr>
    </w:p>
    <w:p>
      <w:pPr>
        <w:ind w:left="660" w:right="900"/>
        <w:spacing w:after="0" w:line="302" w:lineRule="auto"/>
        <w:rPr>
          <w:rFonts w:ascii="Arial" w:cs="Arial" w:eastAsia="Arial" w:hAnsi="Arial"/>
          <w:sz w:val="21"/>
          <w:szCs w:val="21"/>
          <w:color w:val="auto"/>
        </w:rPr>
      </w:pPr>
      <w:r>
        <w:rPr>
          <w:rFonts w:ascii="Arial" w:cs="Arial" w:eastAsia="Arial" w:hAnsi="Arial"/>
          <w:sz w:val="22"/>
          <w:szCs w:val="22"/>
          <w:color w:val="auto"/>
        </w:rPr>
        <w:t>delivered upon exchange or transfer of a beneficial interest in the Regulation S Global Note prior to the end of the Restricted Period.</w:t>
      </w:r>
    </w:p>
    <w:p>
      <w:pPr>
        <w:spacing w:after="0" w:line="174" w:lineRule="exact"/>
        <w:rPr>
          <w:sz w:val="20"/>
          <w:szCs w:val="20"/>
          <w:color w:val="auto"/>
        </w:rPr>
      </w:pPr>
    </w:p>
    <w:p>
      <w:pPr>
        <w:ind w:right="720" w:firstLine="648"/>
        <w:spacing w:after="0" w:line="315"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Execution and Authentication</w:t>
      </w:r>
      <w:r>
        <w:rPr>
          <w:rFonts w:ascii="Arial" w:cs="Arial" w:eastAsia="Arial" w:hAnsi="Arial"/>
          <w:sz w:val="22"/>
          <w:szCs w:val="22"/>
          <w:color w:val="auto"/>
        </w:rPr>
        <w:t>. One Officer shall sign the Notes for each of the Issuers by manual or facsimile signature. If the Officers whose signature are on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1077" w:right="239" w:bottom="1440" w:gutter="0" w:footer="0" w:header="0"/>
        </w:sectPr>
      </w:pPr>
    </w:p>
    <w:bookmarkStart w:id="113" w:name="page114"/>
    <w:bookmarkEnd w:id="113"/>
    <w:p>
      <w:pPr>
        <w:ind w:right="400"/>
        <w:spacing w:after="0" w:line="302" w:lineRule="auto"/>
        <w:rPr>
          <w:sz w:val="20"/>
          <w:szCs w:val="20"/>
          <w:color w:val="auto"/>
        </w:rPr>
      </w:pPr>
      <w:r>
        <w:rPr>
          <w:rFonts w:ascii="Arial" w:cs="Arial" w:eastAsia="Arial" w:hAnsi="Arial"/>
          <w:sz w:val="22"/>
          <w:szCs w:val="22"/>
          <w:color w:val="auto"/>
        </w:rPr>
        <w:t>Note no longer holds such office at the time the Trustee or Authenticating Agent authenticates the Note, the Note shall be valid nevertheless.</w:t>
      </w:r>
    </w:p>
    <w:p>
      <w:pPr>
        <w:spacing w:after="0" w:line="390"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A Note shall not be valid until an authorized officer of the Trustee or the Authenticating Agent manually authenticates the Note. The signature of the Trustee or the Authenticating Agent on a Note shall be conclusive evidence that such Note has been duly and validly authenticated and issued under this Indenture. A Note shall be dated the date of its authentication.</w:t>
      </w:r>
    </w:p>
    <w:p>
      <w:pPr>
        <w:spacing w:after="0" w:line="349"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At any time and from time to time after the execution and delivery of this Indenture, the Authenticating Agent shall authenticate and make available for delivery: (1) Initial Notes for original issue on the Issue Date in an aggregate principal amount of $350,000,000 and (2) subject to the terms of this Indenture, Additional Notes for original issue in an unlimited principal amount, in each case upon a written order of the Issuers signed by one Officer (the “</w:t>
      </w:r>
      <w:r>
        <w:rPr>
          <w:rFonts w:ascii="Arial" w:cs="Arial" w:eastAsia="Arial" w:hAnsi="Arial"/>
          <w:sz w:val="22"/>
          <w:szCs w:val="22"/>
          <w:u w:val="single" w:color="auto"/>
          <w:color w:val="auto"/>
        </w:rPr>
        <w:t>Issuer Order</w:t>
      </w:r>
      <w:r>
        <w:rPr>
          <w:rFonts w:ascii="Arial" w:cs="Arial" w:eastAsia="Arial" w:hAnsi="Arial"/>
          <w:sz w:val="22"/>
          <w:szCs w:val="22"/>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200" w:lineRule="exact"/>
        <w:rPr>
          <w:sz w:val="20"/>
          <w:szCs w:val="20"/>
          <w:color w:val="auto"/>
        </w:rPr>
      </w:pPr>
    </w:p>
    <w:p>
      <w:pPr>
        <w:spacing w:after="0" w:line="209" w:lineRule="exact"/>
        <w:rPr>
          <w:sz w:val="20"/>
          <w:szCs w:val="20"/>
          <w:color w:val="auto"/>
        </w:rPr>
      </w:pPr>
    </w:p>
    <w:p>
      <w:pPr>
        <w:ind w:right="180" w:firstLine="648"/>
        <w:spacing w:after="0" w:line="285" w:lineRule="auto"/>
        <w:rPr>
          <w:sz w:val="20"/>
          <w:szCs w:val="20"/>
          <w:color w:val="auto"/>
        </w:rPr>
      </w:pPr>
      <w:r>
        <w:rPr>
          <w:rFonts w:ascii="Arial" w:cs="Arial" w:eastAsia="Arial" w:hAnsi="Arial"/>
          <w:sz w:val="22"/>
          <w:szCs w:val="22"/>
          <w:color w:val="auto"/>
        </w:rPr>
        <w:t>The Trustee may appoint an agent (the “</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reasonably acceptable to the Issuers to authenticate the Notes. Any such appointment shall be evidenced by an instrument signed by a Responsible Officer, a copy of which shall be furnished to the Issuers. Unless limited by the terms of such appointment, any such Authenticating Agent may authenticate Notes whenever the Trustee may do so. Each reference in this Indenture to authentication by the Trustee includes authentication by an Authenticating Agent. An Authenticating Agent has the same rights as any Registrar, Paying Agent or agent for service of notices and demands.</w:t>
      </w:r>
    </w:p>
    <w:p>
      <w:pPr>
        <w:spacing w:after="0" w:line="200" w:lineRule="exact"/>
        <w:rPr>
          <w:sz w:val="20"/>
          <w:szCs w:val="20"/>
          <w:color w:val="auto"/>
        </w:rPr>
      </w:pPr>
    </w:p>
    <w:p>
      <w:pPr>
        <w:spacing w:after="0" w:line="212" w:lineRule="exact"/>
        <w:rPr>
          <w:sz w:val="20"/>
          <w:szCs w:val="20"/>
          <w:color w:val="auto"/>
        </w:rPr>
      </w:pPr>
    </w:p>
    <w:p>
      <w:pPr>
        <w:ind w:right="80" w:firstLine="648"/>
        <w:spacing w:after="0" w:line="333" w:lineRule="auto"/>
        <w:rPr>
          <w:sz w:val="20"/>
          <w:szCs w:val="20"/>
          <w:color w:val="auto"/>
        </w:rPr>
      </w:pPr>
      <w:r>
        <w:rPr>
          <w:rFonts w:ascii="Arial" w:cs="Arial" w:eastAsia="Arial" w:hAnsi="Arial"/>
          <w:sz w:val="19"/>
          <w:szCs w:val="19"/>
          <w:color w:val="auto"/>
        </w:rPr>
        <w:t xml:space="preserve">In case any of the Issuers or any Guarantor,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any of the Issuers or any Guarantor shall have been merged, or the Person which shall have received a conveyance, transfer, lease or other disposition as aforesaid, shall have executed an indenture supplemental hereto with the Trustee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Issuer Order of the successor Person, shall authenticate and make available for delivery Notes as specified in such order for the purpose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00"/>
          </w:cols>
          <w:pgMar w:left="240" w:top="861" w:right="259" w:bottom="1440" w:gutter="0" w:footer="0" w:header="0"/>
        </w:sectPr>
      </w:pPr>
    </w:p>
    <w:bookmarkStart w:id="114" w:name="page115"/>
    <w:bookmarkEnd w:id="114"/>
    <w:p>
      <w:pPr>
        <w:ind w:right="120"/>
        <w:spacing w:after="0" w:line="288" w:lineRule="auto"/>
        <w:rPr>
          <w:sz w:val="20"/>
          <w:szCs w:val="20"/>
          <w:color w:val="auto"/>
        </w:rPr>
      </w:pPr>
      <w:r>
        <w:rPr>
          <w:rFonts w:ascii="Arial" w:cs="Arial" w:eastAsia="Arial" w:hAnsi="Arial"/>
          <w:sz w:val="22"/>
          <w:szCs w:val="22"/>
          <w:color w:val="auto"/>
        </w:rPr>
        <w:t xml:space="preserve">such exchange. If Notes shall at any time be authenticated and delivered in any new name of a successor Person pursuant to this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90" w:lineRule="exact"/>
        <w:rPr>
          <w:sz w:val="20"/>
          <w:szCs w:val="20"/>
          <w:color w:val="auto"/>
        </w:rPr>
      </w:pPr>
    </w:p>
    <w:p>
      <w:pPr>
        <w:ind w:firstLine="648"/>
        <w:spacing w:after="0" w:line="29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Registrar and Paying Agent</w:t>
      </w:r>
      <w:r>
        <w:rPr>
          <w:rFonts w:ascii="Arial" w:cs="Arial" w:eastAsia="Arial" w:hAnsi="Arial"/>
          <w:sz w:val="22"/>
          <w:szCs w:val="22"/>
          <w:color w:val="auto"/>
        </w:rPr>
        <w:t>. The Issuers shall maintain an office or agency where Notes may be presented for registration of transfer or for exchange (the “</w:t>
      </w:r>
      <w:r>
        <w:rPr>
          <w:rFonts w:ascii="Arial" w:cs="Arial" w:eastAsia="Arial" w:hAnsi="Arial"/>
          <w:sz w:val="22"/>
          <w:szCs w:val="22"/>
          <w:u w:val="single" w:color="auto"/>
          <w:color w:val="auto"/>
        </w:rPr>
        <w:t>Registrar</w:t>
      </w:r>
      <w:r>
        <w:rPr>
          <w:rFonts w:ascii="Arial" w:cs="Arial" w:eastAsia="Arial" w:hAnsi="Arial"/>
          <w:sz w:val="22"/>
          <w:szCs w:val="22"/>
          <w:color w:val="auto"/>
        </w:rPr>
        <w:t>”) and an office or agency where Notes may be presented for payment. The Registrar shall keep a register of the Notes and of their transfer and exchange (the “</w:t>
      </w:r>
      <w:r>
        <w:rPr>
          <w:rFonts w:ascii="Arial" w:cs="Arial" w:eastAsia="Arial" w:hAnsi="Arial"/>
          <w:sz w:val="22"/>
          <w:szCs w:val="22"/>
          <w:u w:val="single" w:color="auto"/>
          <w:color w:val="auto"/>
        </w:rPr>
        <w:t>Notes Register</w:t>
      </w:r>
      <w:r>
        <w:rPr>
          <w:rFonts w:ascii="Arial" w:cs="Arial" w:eastAsia="Arial" w:hAnsi="Arial"/>
          <w:sz w:val="22"/>
          <w:szCs w:val="22"/>
          <w:color w:val="auto"/>
        </w:rPr>
        <w:t>”). The Issuers may have one or more co-registrars and one or more additional paying agents. The term “Paying Agent” includes any additional paying agent and the term “Registrar” includes any co-registrar.</w:t>
      </w:r>
    </w:p>
    <w:p>
      <w:pPr>
        <w:spacing w:after="0" w:line="200" w:lineRule="exact"/>
        <w:rPr>
          <w:sz w:val="20"/>
          <w:szCs w:val="20"/>
          <w:color w:val="auto"/>
        </w:rPr>
      </w:pPr>
    </w:p>
    <w:p>
      <w:pPr>
        <w:spacing w:after="0" w:line="203" w:lineRule="exact"/>
        <w:rPr>
          <w:sz w:val="20"/>
          <w:szCs w:val="20"/>
          <w:color w:val="auto"/>
        </w:rPr>
      </w:pPr>
    </w:p>
    <w:p>
      <w:pPr>
        <w:ind w:right="440" w:firstLine="648"/>
        <w:spacing w:after="0" w:line="303" w:lineRule="auto"/>
        <w:rPr>
          <w:sz w:val="20"/>
          <w:szCs w:val="20"/>
          <w:color w:val="auto"/>
        </w:rPr>
      </w:pPr>
      <w:r>
        <w:rPr>
          <w:rFonts w:ascii="Arial" w:cs="Arial" w:eastAsia="Arial" w:hAnsi="Arial"/>
          <w:sz w:val="21"/>
          <w:szCs w:val="21"/>
          <w:color w:val="auto"/>
        </w:rPr>
        <w:t xml:space="preserve">The Issuers shall enter into an appropriate agency agreement with any Registrar or Paying Agent not a party to this Indenture. The agreement shall implement the provisions of this Indenture that relate to such agent. The Issuers shall notify the Trustee in writing of the name and address of each such agent. If the Issuers fail to maintain a Registrar or Paying Agent, the Trustee shall act as such and shall be entitled to appropriate compensation therefor pursuant to </w:t>
      </w:r>
      <w:r>
        <w:rPr>
          <w:rFonts w:ascii="Arial" w:cs="Arial" w:eastAsia="Arial" w:hAnsi="Arial"/>
          <w:sz w:val="21"/>
          <w:szCs w:val="21"/>
          <w:u w:val="single" w:color="auto"/>
          <w:color w:val="auto"/>
        </w:rPr>
        <w:t>Section 7.7</w:t>
      </w:r>
      <w:r>
        <w:rPr>
          <w:rFonts w:ascii="Arial" w:cs="Arial" w:eastAsia="Arial" w:hAnsi="Arial"/>
          <w:sz w:val="21"/>
          <w:szCs w:val="21"/>
          <w:color w:val="auto"/>
        </w:rPr>
        <w:t>. The Issuers or any Guarantor may act as Paying Agent, Registrar or transfer agent.</w:t>
      </w:r>
    </w:p>
    <w:p>
      <w:pPr>
        <w:spacing w:after="0" w:line="393" w:lineRule="exact"/>
        <w:rPr>
          <w:sz w:val="20"/>
          <w:szCs w:val="20"/>
          <w:color w:val="auto"/>
        </w:rPr>
      </w:pPr>
    </w:p>
    <w:p>
      <w:pPr>
        <w:ind w:right="100" w:firstLine="648"/>
        <w:spacing w:after="0" w:line="300" w:lineRule="auto"/>
        <w:rPr>
          <w:sz w:val="20"/>
          <w:szCs w:val="20"/>
          <w:color w:val="auto"/>
        </w:rPr>
      </w:pPr>
      <w:r>
        <w:rPr>
          <w:rFonts w:ascii="Arial" w:cs="Arial" w:eastAsia="Arial" w:hAnsi="Arial"/>
          <w:sz w:val="21"/>
          <w:szCs w:val="21"/>
          <w:color w:val="auto"/>
        </w:rPr>
        <w:t xml:space="preserve">The Issuers initially appoint the Trustee as Registrar, Paying Agent and Transfer Agent for the Notes. The Issuers may change any agent without prior notice to the Holders, but upon written notice to such agent and to the Trustee;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removal shall become effective until (i) acceptance of any appointment by a successor as evidenced by an appropriate agreement entered into by the Issuers and such successor agent, as the case may be, and delivered to the Trustee and the passage of any waiting or notice periods required by DTC procedures or (ii) written notification to the Trustee that the Trustee shall serve as agent until the appointment of a successor in accordance with clause (i) above. The agent may resign at any time upon written notice to the Issuers and the Trustee.</w:t>
      </w:r>
    </w:p>
    <w:p>
      <w:pPr>
        <w:spacing w:after="0" w:line="183" w:lineRule="exact"/>
        <w:rPr>
          <w:sz w:val="20"/>
          <w:szCs w:val="20"/>
          <w:color w:val="auto"/>
        </w:rPr>
      </w:pPr>
    </w:p>
    <w:p>
      <w:pPr>
        <w:ind w:right="100" w:firstLine="648"/>
        <w:spacing w:after="0" w:line="33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 xml:space="preserve">. By no later than 12:00 p.m. (New York time) on the date on which any principal of, premium, if any, or interest on any Note is due and payable, the Issuers shall deposit with the Paying Agent a sum sufficient in immediately available funds to pay such principal, premium or interest when due or at the option of the Paying Agent, payment of interest and Additional Interest, if any, may be made by check mailed to the Holders of the Notes at their respective addresses set forth in the register of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payments of principal, premium, if any, and interest with respect to the Notes represented by one or more Global Notes registered in the name of DTC or its nominee will be made by wire transfer of immediately available funds to the accounts specified by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077" w:right="239" w:bottom="1440" w:gutter="0" w:footer="0" w:header="0"/>
        </w:sectPr>
      </w:pPr>
    </w:p>
    <w:bookmarkStart w:id="115" w:name="page116"/>
    <w:bookmarkEnd w:id="115"/>
    <w:p>
      <w:pPr>
        <w:ind w:right="40"/>
        <w:spacing w:after="0" w:line="331" w:lineRule="auto"/>
        <w:rPr>
          <w:sz w:val="20"/>
          <w:szCs w:val="20"/>
          <w:color w:val="auto"/>
        </w:rPr>
      </w:pPr>
      <w:r>
        <w:rPr>
          <w:rFonts w:ascii="Arial" w:cs="Arial" w:eastAsia="Arial" w:hAnsi="Arial"/>
          <w:sz w:val="19"/>
          <w:szCs w:val="19"/>
          <w:color w:val="auto"/>
        </w:rPr>
        <w:t xml:space="preserve">Holder or Holders thereof. The Issuers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Issuers or other obligors on the Notes), shall notify the Trustee in writing of any default by the Issuers or any Guarantor in making any such payment and shall during the continuance of any default by the Issuers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Issuers or a Subsidiary of the Issuers acts as Paying Agent, it shall segregate the money held by it as Paying Agent and hold it as a separate trust fund. The Issuers at any time may require a Paying Agent (other than the Trustee) to pay all money held by it to the Trustee and to account for any funds or assets disbursed by such Paying Agent. Upon complying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Paying Agent (if other than the Issuers or a Subsidiary of the Issuers) shall have no further liability for the money delivered to the Trustee. Upon any bankruptcy, reorganization or similar proceeding with respect to the Issuers, the Trustee shall serve as Paying Agent for the Notes.</w:t>
      </w:r>
    </w:p>
    <w:p>
      <w:pPr>
        <w:spacing w:after="0" w:line="166" w:lineRule="exact"/>
        <w:rPr>
          <w:sz w:val="20"/>
          <w:szCs w:val="20"/>
          <w:color w:val="auto"/>
        </w:rPr>
      </w:pPr>
    </w:p>
    <w:p>
      <w:pPr>
        <w:ind w:firstLine="648"/>
        <w:spacing w:after="0" w:line="345"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Holder Lists</w:t>
      </w:r>
      <w:r>
        <w:rPr>
          <w:rFonts w:ascii="Arial" w:cs="Arial" w:eastAsia="Arial" w:hAnsi="Arial"/>
          <w:sz w:val="19"/>
          <w:szCs w:val="19"/>
          <w:color w:val="auto"/>
        </w:rPr>
        <w:t>. The Trustee shall preserve in as current a form as is reasonably practicable the most recent list available to it of the names and addresses of Holders. If the Trustee is not the Registrar, the Issuers, on their own behalf and on behalf of each of the Guarantors,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and the Issuers.</w:t>
      </w:r>
    </w:p>
    <w:p>
      <w:pPr>
        <w:spacing w:after="0" w:line="14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Holder may transfer a Note (or a beneficial interest therein) to another Person or exchange a Note (or a</w:t>
      </w:r>
    </w:p>
    <w:p>
      <w:pPr>
        <w:spacing w:after="0" w:line="92" w:lineRule="exact"/>
        <w:rPr>
          <w:rFonts w:ascii="Arial" w:cs="Arial" w:eastAsia="Arial" w:hAnsi="Arial"/>
          <w:sz w:val="19"/>
          <w:szCs w:val="19"/>
          <w:color w:val="auto"/>
        </w:rPr>
      </w:pPr>
    </w:p>
    <w:p>
      <w:pPr>
        <w:ind w:right="2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beneficial interest therein) for another Note or Notes of any authorized denomination by presenting to the Transfer Agent a written request therefor stating the name of the proposed transferee or requesting such an exchange, accompanied by any certification, opinion or other document required by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Transfer Agent will promptly register any transfer or exchange that meets the requirements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as applicable, and, in the case of a Global Note (or a beneficial interest therein), the applicable rules and procedures of DTC, Euroclear and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861" w:right="25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color w:val="auto"/>
        </w:rPr>
        <w:t>Clearstream. The Registrar shall refuse to register any requested transfer or exchange that does not comply with this paragraph.</w:t>
      </w:r>
    </w:p>
    <w:p>
      <w:pPr>
        <w:spacing w:after="0" w:line="200" w:lineRule="exact"/>
        <w:rPr>
          <w:sz w:val="20"/>
          <w:szCs w:val="20"/>
          <w:color w:val="auto"/>
        </w:rPr>
      </w:pPr>
    </w:p>
    <w:p>
      <w:pPr>
        <w:spacing w:after="0" w:line="311" w:lineRule="exact"/>
        <w:rPr>
          <w:sz w:val="20"/>
          <w:szCs w:val="20"/>
          <w:color w:val="auto"/>
        </w:rPr>
      </w:pPr>
    </w:p>
    <w:p>
      <w:pPr>
        <w:ind w:left="1740" w:hanging="435"/>
        <w:spacing w:after="0"/>
        <w:tabs>
          <w:tab w:leader="none" w:pos="174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Transfers of Rule 144A Notes and Institutional Accredited Investor Notes</w:t>
      </w:r>
      <w:r>
        <w:rPr>
          <w:rFonts w:ascii="Arial" w:cs="Arial" w:eastAsia="Arial" w:hAnsi="Arial"/>
          <w:sz w:val="19"/>
          <w:szCs w:val="19"/>
          <w:color w:val="auto"/>
        </w:rPr>
        <w:t>. The following provisions shall apply</w:t>
      </w:r>
    </w:p>
    <w:p>
      <w:pPr>
        <w:spacing w:after="0" w:line="92" w:lineRule="exact"/>
        <w:rPr>
          <w:rFonts w:ascii="Arial" w:cs="Arial" w:eastAsia="Arial" w:hAnsi="Arial"/>
          <w:sz w:val="19"/>
          <w:szCs w:val="19"/>
          <w:color w:val="auto"/>
        </w:rPr>
      </w:pPr>
    </w:p>
    <w:p>
      <w:pPr>
        <w:ind w:right="240"/>
        <w:spacing w:after="0" w:line="357" w:lineRule="auto"/>
        <w:rPr>
          <w:rFonts w:ascii="Arial" w:cs="Arial" w:eastAsia="Arial" w:hAnsi="Arial"/>
          <w:sz w:val="19"/>
          <w:szCs w:val="19"/>
          <w:color w:val="auto"/>
        </w:rPr>
      </w:pPr>
      <w:r>
        <w:rPr>
          <w:rFonts w:ascii="Arial" w:cs="Arial" w:eastAsia="Arial" w:hAnsi="Arial"/>
          <w:sz w:val="19"/>
          <w:szCs w:val="19"/>
          <w:color w:val="auto"/>
        </w:rPr>
        <w:t>with respect to any proposed registration of transfer of a Rule 144A Note or an Institutional Accredited Investor Note prior to the date that is one year after the later of the date of its original issue and the last date on which the Issuers or any Affiliate of the Issuers was the owner of such Notes (or any predecessor thereto) (the “</w:t>
      </w:r>
      <w:r>
        <w:rPr>
          <w:rFonts w:ascii="Arial" w:cs="Arial" w:eastAsia="Arial" w:hAnsi="Arial"/>
          <w:sz w:val="19"/>
          <w:szCs w:val="19"/>
          <w:u w:val="single" w:color="auto"/>
          <w:color w:val="auto"/>
        </w:rPr>
        <w:t>Resale Restriction Termination Date</w:t>
      </w:r>
      <w:r>
        <w:rPr>
          <w:rFonts w:ascii="Arial" w:cs="Arial" w:eastAsia="Arial" w:hAnsi="Arial"/>
          <w:sz w:val="19"/>
          <w:szCs w:val="19"/>
          <w:color w:val="auto"/>
        </w:rPr>
        <w:t>”):</w:t>
      </w:r>
    </w:p>
    <w:p>
      <w:pPr>
        <w:spacing w:after="0" w:line="348" w:lineRule="exact"/>
        <w:rPr>
          <w:rFonts w:ascii="Arial" w:cs="Arial" w:eastAsia="Arial" w:hAnsi="Arial"/>
          <w:sz w:val="19"/>
          <w:szCs w:val="19"/>
          <w:color w:val="auto"/>
        </w:rPr>
      </w:pPr>
    </w:p>
    <w:p>
      <w:pPr>
        <w:ind w:left="2380" w:hanging="427"/>
        <w:spacing w:after="0"/>
        <w:tabs>
          <w:tab w:leader="none" w:pos="238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right="100"/>
        <w:spacing w:after="0" w:line="298" w:lineRule="auto"/>
        <w:rPr>
          <w:rFonts w:ascii="Arial" w:cs="Arial" w:eastAsia="Arial" w:hAnsi="Arial"/>
          <w:sz w:val="22"/>
          <w:szCs w:val="22"/>
          <w:color w:val="auto"/>
        </w:rPr>
      </w:pPr>
      <w:r>
        <w:rPr>
          <w:rFonts w:ascii="Arial" w:cs="Arial" w:eastAsia="Arial" w:hAnsi="Arial"/>
          <w:sz w:val="21"/>
          <w:szCs w:val="21"/>
          <w:color w:val="auto"/>
        </w:rPr>
        <w:t xml:space="preserve">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2380" w:hanging="427"/>
        <w:spacing w:after="0"/>
        <w:tabs>
          <w:tab w:leader="none" w:pos="238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an IAI shall be made upon receipt by the Registrar or its agent of a certificate substantially in the form set forth in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from the proposed transferee and the delivery of an Opinion of Counsel, certification and/or other information satisfactory to it;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2380" w:hanging="427"/>
        <w:spacing w:after="0"/>
        <w:tabs>
          <w:tab w:leader="none" w:pos="238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right="34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 Non-U.S. Person shall be made 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from the proposed transferee and the delivery of an Opinion of Counsel, certification and/or other information satisfactory to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140" w:firstLine="1305"/>
        <w:spacing w:after="0" w:line="315" w:lineRule="auto"/>
        <w:tabs>
          <w:tab w:leader="none" w:pos="1716"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Transfers of Regulation S Notes</w:t>
      </w:r>
      <w:r>
        <w:rPr>
          <w:rFonts w:ascii="Arial" w:cs="Arial" w:eastAsia="Arial" w:hAnsi="Arial"/>
          <w:sz w:val="22"/>
          <w:szCs w:val="22"/>
          <w:color w:val="auto"/>
        </w:rPr>
        <w:t>. The following provisions shall apply with respect to any proposed transfer of a Regulation S Note prior to the expiration of the Restricted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077" w:right="239" w:bottom="1440" w:gutter="0" w:footer="0" w:header="0"/>
        </w:sectPr>
      </w:pPr>
    </w:p>
    <w:bookmarkStart w:id="117" w:name="page118"/>
    <w:bookmarkEnd w:id="117"/>
    <w:p>
      <w:pPr>
        <w:ind w:left="2380" w:hanging="427"/>
        <w:spacing w:after="0"/>
        <w:tabs>
          <w:tab w:leader="none" w:pos="23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 transfer of a Regulation S Note or a beneficial interest therein to a QIB shall be made upon the</w:t>
      </w:r>
    </w:p>
    <w:p>
      <w:pPr>
        <w:spacing w:after="0" w:line="69" w:lineRule="exact"/>
        <w:rPr>
          <w:rFonts w:ascii="Arial" w:cs="Arial" w:eastAsia="Arial" w:hAnsi="Arial"/>
          <w:sz w:val="21"/>
          <w:szCs w:val="21"/>
          <w:color w:val="auto"/>
        </w:rPr>
      </w:pPr>
    </w:p>
    <w:p>
      <w:pPr>
        <w:ind w:left="660" w:right="60"/>
        <w:spacing w:after="0" w:line="338" w:lineRule="auto"/>
        <w:rPr>
          <w:rFonts w:ascii="Arial" w:cs="Arial" w:eastAsia="Arial" w:hAnsi="Arial"/>
          <w:sz w:val="21"/>
          <w:szCs w:val="21"/>
          <w:color w:val="auto"/>
        </w:rPr>
      </w:pPr>
      <w:r>
        <w:rPr>
          <w:rFonts w:ascii="Arial" w:cs="Arial" w:eastAsia="Arial" w:hAnsi="Arial"/>
          <w:sz w:val="19"/>
          <w:szCs w:val="19"/>
          <w:color w:val="auto"/>
        </w:rPr>
        <w:t>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368" w:lineRule="exact"/>
        <w:rPr>
          <w:rFonts w:ascii="Arial" w:cs="Arial" w:eastAsia="Arial" w:hAnsi="Arial"/>
          <w:sz w:val="21"/>
          <w:szCs w:val="21"/>
          <w:color w:val="auto"/>
        </w:rPr>
      </w:pPr>
    </w:p>
    <w:p>
      <w:pPr>
        <w:ind w:left="2380" w:hanging="427"/>
        <w:spacing w:after="0"/>
        <w:tabs>
          <w:tab w:leader="none" w:pos="23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an IAI shall be made upon receipt by</w:t>
      </w:r>
    </w:p>
    <w:p>
      <w:pPr>
        <w:spacing w:after="0" w:line="92" w:lineRule="exact"/>
        <w:rPr>
          <w:rFonts w:ascii="Arial" w:cs="Arial" w:eastAsia="Arial" w:hAnsi="Arial"/>
          <w:sz w:val="19"/>
          <w:szCs w:val="19"/>
          <w:color w:val="auto"/>
        </w:rPr>
      </w:pPr>
    </w:p>
    <w:p>
      <w:pPr>
        <w:ind w:left="660" w:right="24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the Registrar or its agent of a certificate substantially in the form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from the proposed transferee and the delivery of an Opinion of Counsel, certification and/or other information satisfactory to the Issuers; and</w:t>
      </w:r>
    </w:p>
    <w:p>
      <w:pPr>
        <w:spacing w:after="0" w:line="321" w:lineRule="exact"/>
        <w:rPr>
          <w:rFonts w:ascii="Arial" w:cs="Arial" w:eastAsia="Arial" w:hAnsi="Arial"/>
          <w:sz w:val="19"/>
          <w:szCs w:val="19"/>
          <w:color w:val="auto"/>
        </w:rPr>
      </w:pPr>
    </w:p>
    <w:p>
      <w:pPr>
        <w:ind w:left="2380" w:hanging="427"/>
        <w:spacing w:after="0"/>
        <w:tabs>
          <w:tab w:leader="none" w:pos="23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 Non-U.S. Person shall be made</w:t>
      </w:r>
    </w:p>
    <w:p>
      <w:pPr>
        <w:spacing w:after="0" w:line="92" w:lineRule="exact"/>
        <w:rPr>
          <w:rFonts w:ascii="Arial" w:cs="Arial" w:eastAsia="Arial" w:hAnsi="Arial"/>
          <w:sz w:val="19"/>
          <w:szCs w:val="19"/>
          <w:color w:val="auto"/>
        </w:rPr>
      </w:pPr>
    </w:p>
    <w:p>
      <w:pPr>
        <w:ind w:left="6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hereof from the proposed transferee and receipt by the Registrar or its agent of an Opinion of Counsel, certification and/or other information satisfactory to the Issuers.</w:t>
      </w:r>
    </w:p>
    <w:p>
      <w:pPr>
        <w:spacing w:after="0" w:line="400" w:lineRule="exact"/>
        <w:rPr>
          <w:sz w:val="20"/>
          <w:szCs w:val="20"/>
          <w:color w:val="auto"/>
        </w:rPr>
      </w:pPr>
    </w:p>
    <w:p>
      <w:pPr>
        <w:ind w:right="560" w:firstLine="648"/>
        <w:spacing w:after="0" w:line="387" w:lineRule="auto"/>
        <w:rPr>
          <w:sz w:val="20"/>
          <w:szCs w:val="20"/>
          <w:color w:val="auto"/>
        </w:rPr>
      </w:pPr>
      <w:r>
        <w:rPr>
          <w:rFonts w:ascii="Arial" w:cs="Arial" w:eastAsia="Arial" w:hAnsi="Arial"/>
          <w:sz w:val="19"/>
          <w:szCs w:val="19"/>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or any additional certification.</w:t>
      </w:r>
    </w:p>
    <w:p>
      <w:pPr>
        <w:spacing w:after="0" w:line="322" w:lineRule="exact"/>
        <w:rPr>
          <w:sz w:val="20"/>
          <w:szCs w:val="20"/>
          <w:color w:val="auto"/>
        </w:rPr>
      </w:pPr>
    </w:p>
    <w:p>
      <w:pPr>
        <w:ind w:left="1740" w:hanging="435"/>
        <w:spacing w:after="0"/>
        <w:tabs>
          <w:tab w:leader="none" w:pos="174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Restricted Notes Legend</w:t>
      </w:r>
      <w:r>
        <w:rPr>
          <w:rFonts w:ascii="Arial" w:cs="Arial" w:eastAsia="Arial" w:hAnsi="Arial"/>
          <w:sz w:val="19"/>
          <w:szCs w:val="19"/>
          <w:color w:val="auto"/>
        </w:rPr>
        <w:t>. Upon the transfer, exchange or replacement of Notes not bearing a Restricted Notes</w:t>
      </w:r>
    </w:p>
    <w:p>
      <w:pPr>
        <w:spacing w:after="0" w:line="92" w:lineRule="exact"/>
        <w:rPr>
          <w:rFonts w:ascii="Arial" w:cs="Arial" w:eastAsia="Arial" w:hAnsi="Arial"/>
          <w:sz w:val="19"/>
          <w:szCs w:val="19"/>
          <w:color w:val="auto"/>
        </w:rPr>
      </w:pPr>
    </w:p>
    <w:p>
      <w:pPr>
        <w:spacing w:after="0" w:line="338" w:lineRule="auto"/>
        <w:rPr>
          <w:rFonts w:ascii="Arial" w:cs="Arial" w:eastAsia="Arial" w:hAnsi="Arial"/>
          <w:sz w:val="19"/>
          <w:szCs w:val="19"/>
          <w:color w:val="auto"/>
        </w:rPr>
      </w:pPr>
      <w:r>
        <w:rPr>
          <w:rFonts w:ascii="Arial" w:cs="Arial" w:eastAsia="Arial" w:hAnsi="Arial"/>
          <w:sz w:val="19"/>
          <w:szCs w:val="19"/>
          <w:color w:val="auto"/>
        </w:rPr>
        <w:t>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or (2) there is delivered to the Registrar an Opinion of Counsel reasonably satisfactory to the Issuers and the Registrar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368" w:lineRule="exact"/>
        <w:rPr>
          <w:rFonts w:ascii="Arial" w:cs="Arial" w:eastAsia="Arial" w:hAnsi="Arial"/>
          <w:sz w:val="19"/>
          <w:szCs w:val="19"/>
          <w:color w:val="auto"/>
        </w:rPr>
      </w:pPr>
    </w:p>
    <w:p>
      <w:pPr>
        <w:ind w:left="1720" w:hanging="415"/>
        <w:spacing w:after="0"/>
        <w:tabs>
          <w:tab w:leader="none" w:pos="172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1077" w:right="259" w:bottom="1440" w:gutter="0" w:footer="0" w:header="0"/>
        </w:sectPr>
      </w:pPr>
    </w:p>
    <w:bookmarkStart w:id="118" w:name="page119"/>
    <w:bookmarkEnd w:id="118"/>
    <w:p>
      <w:pPr>
        <w:ind w:left="1700" w:hanging="395"/>
        <w:spacing w:after="0"/>
        <w:tabs>
          <w:tab w:leader="none" w:pos="170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Retention of Written Communications</w:t>
      </w:r>
      <w:r>
        <w:rPr>
          <w:rFonts w:ascii="Arial" w:cs="Arial" w:eastAsia="Arial" w:hAnsi="Arial"/>
          <w:sz w:val="19"/>
          <w:szCs w:val="19"/>
          <w:color w:val="auto"/>
        </w:rPr>
        <w:t>. The Registrar shall retain copies of all letters, notices and other written</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communications received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2.6</w:t>
      </w:r>
      <w:r>
        <w:rPr>
          <w:rFonts w:ascii="Arial" w:cs="Arial" w:eastAsia="Arial" w:hAnsi="Arial"/>
          <w:sz w:val="22"/>
          <w:szCs w:val="22"/>
          <w:color w:val="auto"/>
        </w:rPr>
        <w:t>. The Issuers shall have the right to inspect and make copies of all such letters, notices or other written communications at any reasonable time upon the giving of reasonable prior written notice to the Registrar.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Obligations with Respect to Transfers and Exchanges of Notes</w:t>
      </w:r>
      <w:r>
        <w:rPr>
          <w:rFonts w:ascii="Arial" w:cs="Arial" w:eastAsia="Arial" w:hAnsi="Arial"/>
          <w:sz w:val="21"/>
          <w:szCs w:val="21"/>
          <w:color w:val="auto"/>
        </w:rPr>
        <w:t>. To permit registrations of transfers and</w:t>
      </w:r>
    </w:p>
    <w:p>
      <w:pPr>
        <w:spacing w:after="0" w:line="69" w:lineRule="exact"/>
        <w:rPr>
          <w:rFonts w:ascii="Arial" w:cs="Arial" w:eastAsia="Arial" w:hAnsi="Arial"/>
          <w:sz w:val="21"/>
          <w:szCs w:val="21"/>
          <w:color w:val="auto"/>
        </w:rPr>
      </w:pPr>
    </w:p>
    <w:p>
      <w:pPr>
        <w:ind w:right="260"/>
        <w:spacing w:after="0" w:line="302" w:lineRule="auto"/>
        <w:rPr>
          <w:rFonts w:ascii="Arial" w:cs="Arial" w:eastAsia="Arial" w:hAnsi="Arial"/>
          <w:sz w:val="21"/>
          <w:szCs w:val="21"/>
          <w:color w:val="auto"/>
        </w:rPr>
      </w:pPr>
      <w:r>
        <w:rPr>
          <w:rFonts w:ascii="Arial" w:cs="Arial" w:eastAsia="Arial" w:hAnsi="Arial"/>
          <w:sz w:val="22"/>
          <w:szCs w:val="22"/>
          <w:color w:val="auto"/>
        </w:rPr>
        <w:t xml:space="preserve">exchanges, the Issuers shall, subject to the other terms and conditions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execute and the Trustee shall authenticate Definitive Notes and Global Notes at the Issuers’ and Registrar’s written request.</w:t>
      </w:r>
    </w:p>
    <w:p>
      <w:pPr>
        <w:spacing w:after="0" w:line="3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2"/>
          <w:szCs w:val="22"/>
          <w:color w:val="auto"/>
        </w:rPr>
        <w:t xml:space="preserve">No service charge shall be made to a Holder for any registration of transfer or exchange, but the Issuers and the Trustee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right="200" w:firstLine="648"/>
        <w:spacing w:after="0" w:line="346" w:lineRule="auto"/>
        <w:rPr>
          <w:sz w:val="20"/>
          <w:szCs w:val="20"/>
          <w:color w:val="auto"/>
        </w:rPr>
      </w:pPr>
      <w:r>
        <w:rPr>
          <w:rFonts w:ascii="Arial" w:cs="Arial" w:eastAsia="Arial" w:hAnsi="Arial"/>
          <w:sz w:val="19"/>
          <w:szCs w:val="19"/>
          <w:color w:val="auto"/>
        </w:rPr>
        <w:t>The Issuers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w:t>
      </w:r>
    </w:p>
    <w:p>
      <w:pPr>
        <w:spacing w:after="0" w:line="361"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Prior to the due presentation for registration of transfer of any Note, the Issuers, the Trustee, the Paying Agent or the Registrar may deem and treat the person in whose name a Note is registered as the owner of such Note for the purpose of receiving payment of principal of, premium, if any, and (subject to paragraph 2 of the form of Notes attached hereto as </w:t>
      </w:r>
      <w:r>
        <w:rPr>
          <w:rFonts w:ascii="Arial" w:cs="Arial" w:eastAsia="Arial" w:hAnsi="Arial"/>
          <w:sz w:val="22"/>
          <w:szCs w:val="22"/>
          <w:u w:val="single" w:color="auto"/>
          <w:color w:val="auto"/>
        </w:rPr>
        <w:t>Exhibits A</w:t>
      </w:r>
      <w:r>
        <w:rPr>
          <w:rFonts w:ascii="Arial" w:cs="Arial" w:eastAsia="Arial" w:hAnsi="Arial"/>
          <w:sz w:val="22"/>
          <w:szCs w:val="22"/>
          <w:color w:val="auto"/>
        </w:rPr>
        <w:t>) interest on such Note and for all other purposes whatsoever, including without limitation the transfer or exchange of such Note, whether or not such Note is overdue, and none of the Issuers, the Trustee, the Paying Agent or the Registrar shall be affected by notice to the contrary.</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 xml:space="preserve">Any Definitive Note delivered in exchange for an interest in a Global Note pursuant to </w:t>
      </w:r>
      <w:r>
        <w:rPr>
          <w:rFonts w:ascii="Arial" w:cs="Arial" w:eastAsia="Arial" w:hAnsi="Arial"/>
          <w:sz w:val="22"/>
          <w:szCs w:val="22"/>
          <w:u w:val="single" w:color="auto"/>
          <w:color w:val="auto"/>
        </w:rPr>
        <w:t>Section 2.1(f)</w:t>
      </w:r>
      <w:r>
        <w:rPr>
          <w:rFonts w:ascii="Arial" w:cs="Arial" w:eastAsia="Arial" w:hAnsi="Arial"/>
          <w:sz w:val="22"/>
          <w:szCs w:val="22"/>
          <w:color w:val="auto"/>
        </w:rPr>
        <w:t xml:space="preserve"> 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Definitive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400"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1077" w:right="239" w:bottom="1440" w:gutter="0" w:footer="0" w:header="0"/>
        </w:sectPr>
      </w:pPr>
    </w:p>
    <w:bookmarkStart w:id="119" w:name="page120"/>
    <w:bookmarkEnd w:id="119"/>
    <w:p>
      <w:pPr>
        <w:ind w:left="1740" w:hanging="435"/>
        <w:spacing w:after="0"/>
        <w:tabs>
          <w:tab w:leader="none" w:pos="174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No Obligation of the Trustee</w:t>
      </w:r>
      <w:r>
        <w:rPr>
          <w:rFonts w:ascii="Arial" w:cs="Arial" w:eastAsia="Arial" w:hAnsi="Arial"/>
          <w:sz w:val="21"/>
          <w:szCs w:val="21"/>
          <w:color w:val="auto"/>
        </w:rPr>
        <w:t>. (1) Neither the Trustee nor the Registrar shall have any responsibility or</w:t>
      </w:r>
    </w:p>
    <w:p>
      <w:pPr>
        <w:spacing w:after="0" w:line="69" w:lineRule="exact"/>
        <w:rPr>
          <w:rFonts w:ascii="Arial" w:cs="Arial" w:eastAsia="Arial" w:hAnsi="Arial"/>
          <w:sz w:val="21"/>
          <w:szCs w:val="21"/>
          <w:color w:val="auto"/>
        </w:rPr>
      </w:pPr>
    </w:p>
    <w:p>
      <w:pPr>
        <w:spacing w:after="0" w:line="334" w:lineRule="auto"/>
        <w:rPr>
          <w:rFonts w:ascii="Arial" w:cs="Arial" w:eastAsia="Arial" w:hAnsi="Arial"/>
          <w:sz w:val="21"/>
          <w:szCs w:val="21"/>
          <w:color w:val="auto"/>
        </w:rPr>
      </w:pPr>
      <w:r>
        <w:rPr>
          <w:rFonts w:ascii="Arial" w:cs="Arial" w:eastAsia="Arial" w:hAnsi="Arial"/>
          <w:sz w:val="19"/>
          <w:szCs w:val="19"/>
          <w:color w:val="auto"/>
        </w:rPr>
        <w:t>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w:t>
      </w:r>
    </w:p>
    <w:p>
      <w:pPr>
        <w:spacing w:after="0" w:line="370" w:lineRule="exact"/>
        <w:rPr>
          <w:sz w:val="20"/>
          <w:szCs w:val="20"/>
          <w:color w:val="auto"/>
        </w:rPr>
      </w:pPr>
    </w:p>
    <w:p>
      <w:pPr>
        <w:ind w:right="80" w:firstLine="648"/>
        <w:spacing w:after="0" w:line="300" w:lineRule="auto"/>
        <w:rPr>
          <w:sz w:val="20"/>
          <w:szCs w:val="20"/>
          <w:color w:val="auto"/>
        </w:rPr>
      </w:pPr>
      <w:r>
        <w:rPr>
          <w:rFonts w:ascii="Arial" w:cs="Arial" w:eastAsia="Arial" w:hAnsi="Arial"/>
          <w:sz w:val="21"/>
          <w:szCs w:val="21"/>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Registrar nor any of their respective agents shall have any responsibility for any actions taken or not taken by DTC.</w:t>
      </w:r>
    </w:p>
    <w:p>
      <w:pPr>
        <w:spacing w:after="0" w:line="18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Form of Certificate To Be Delivered in Connection with Transfers to IAIs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Car Rental,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1077"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Jacksonville, FL 32256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w:t>
      </w:r>
    </w:p>
    <w:p>
      <w:pPr>
        <w:spacing w:after="0" w:line="21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Care Rental, LLC and Avis Budget Finance,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is delivered to request a transfer of $[_________] principal amount of the 6.375% Senior Notes due 2024 (the</w:t>
      </w:r>
    </w:p>
    <w:p>
      <w:pPr>
        <w:spacing w:after="0" w:line="79" w:lineRule="exact"/>
        <w:rPr>
          <w:sz w:val="20"/>
          <w:szCs w:val="20"/>
          <w:color w:val="auto"/>
        </w:rPr>
      </w:pPr>
    </w:p>
    <w:p>
      <w:pPr>
        <w:ind w:right="680"/>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of Avis Budget Car Rental, LLC (the “</w:t>
      </w:r>
      <w:r>
        <w:rPr>
          <w:rFonts w:ascii="Arial" w:cs="Arial" w:eastAsia="Arial" w:hAnsi="Arial"/>
          <w:sz w:val="22"/>
          <w:szCs w:val="22"/>
          <w:u w:val="single" w:color="auto"/>
          <w:color w:val="auto"/>
        </w:rPr>
        <w:t>Company</w:t>
      </w:r>
      <w:r>
        <w:rPr>
          <w:rFonts w:ascii="Arial" w:cs="Arial" w:eastAsia="Arial" w:hAnsi="Arial"/>
          <w:sz w:val="22"/>
          <w:szCs w:val="22"/>
          <w:color w:val="auto"/>
        </w:rPr>
        <w:t>”) and Avis Budget Finance, Inc. (together with the Company, the “</w:t>
      </w:r>
      <w:r>
        <w:rPr>
          <w:rFonts w:ascii="Arial" w:cs="Arial" w:eastAsia="Arial" w:hAnsi="Arial"/>
          <w:sz w:val="22"/>
          <w:szCs w:val="22"/>
          <w:u w:val="single" w:color="auto"/>
          <w:color w:val="auto"/>
        </w:rPr>
        <w:t>Issuers</w:t>
      </w:r>
      <w:r>
        <w:rPr>
          <w:rFonts w:ascii="Arial" w:cs="Arial" w:eastAsia="Arial" w:hAnsi="Arial"/>
          <w:sz w:val="22"/>
          <w:szCs w:val="22"/>
          <w:color w:val="auto"/>
        </w:rPr>
        <w:t>”).</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transfer, the Notes would be registered in the name of the new beneficial owner as follows: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-17780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-17780</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represents and warrants to you that:</w:t>
      </w:r>
    </w:p>
    <w:p>
      <w:pPr>
        <w:spacing w:after="0" w:line="200" w:lineRule="exact"/>
        <w:rPr>
          <w:sz w:val="20"/>
          <w:szCs w:val="20"/>
          <w:color w:val="auto"/>
        </w:rPr>
      </w:pPr>
    </w:p>
    <w:p>
      <w:pPr>
        <w:spacing w:after="0" w:line="276" w:lineRule="exact"/>
        <w:rPr>
          <w:sz w:val="20"/>
          <w:szCs w:val="20"/>
          <w:color w:val="auto"/>
        </w:rPr>
      </w:pPr>
    </w:p>
    <w:p>
      <w:pPr>
        <w:ind w:right="80" w:firstLine="656"/>
        <w:spacing w:after="0" w:line="338" w:lineRule="auto"/>
        <w:tabs>
          <w:tab w:leader="none" w:pos="102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We are an institutional “accredited investor” (as defined in Rule 501(a)(1), (2), (3) or (7)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purchasing for our own account or for the account of such an institutional “accredited investor,”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368" w:lineRule="exact"/>
        <w:rPr>
          <w:rFonts w:ascii="Arial" w:cs="Arial" w:eastAsia="Arial" w:hAnsi="Arial"/>
          <w:sz w:val="19"/>
          <w:szCs w:val="19"/>
          <w:color w:val="auto"/>
        </w:rPr>
      </w:pPr>
    </w:p>
    <w:p>
      <w:pPr>
        <w:ind w:firstLine="656"/>
        <w:spacing w:after="0" w:line="299" w:lineRule="auto"/>
        <w:tabs>
          <w:tab w:leader="none" w:pos="1023"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Resale Restriction Termination Date only (a) to the Issuers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21"/>
          <w:szCs w:val="21"/>
          <w:u w:val="single" w:color="auto"/>
          <w:color w:val="auto"/>
        </w:rPr>
        <w:t>QIB</w:t>
      </w:r>
      <w:r>
        <w:rPr>
          <w:rFonts w:ascii="Arial" w:cs="Arial" w:eastAsia="Arial" w:hAnsi="Arial"/>
          <w:sz w:val="21"/>
          <w:szCs w:val="21"/>
          <w:color w:val="auto"/>
        </w:rPr>
        <w:t>”) that is purchasing for its own account or for the account of a QIB and to whom notice is given that the transfer is being made in reliance on Rule 144A, (d) pursuant to offers and sales to non-U.S. persons that occur</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380"/>
          </w:cols>
          <w:pgMar w:left="240" w:top="847" w:right="279" w:bottom="1440" w:gutter="0" w:footer="0" w:header="0"/>
        </w:sectPr>
      </w:pPr>
    </w:p>
    <w:bookmarkStart w:id="121" w:name="page122"/>
    <w:bookmarkEnd w:id="121"/>
    <w:p>
      <w:pPr>
        <w:ind w:right="60"/>
        <w:spacing w:after="0" w:line="331" w:lineRule="auto"/>
        <w:rPr>
          <w:sz w:val="20"/>
          <w:szCs w:val="20"/>
          <w:color w:val="auto"/>
        </w:rPr>
      </w:pPr>
      <w:r>
        <w:rPr>
          <w:rFonts w:ascii="Arial" w:cs="Arial" w:eastAsia="Arial" w:hAnsi="Arial"/>
          <w:sz w:val="19"/>
          <w:szCs w:val="19"/>
          <w:color w:val="auto"/>
        </w:rPr>
        <w:t>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Issuers and the Trustee and Registrar,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Issuers and the Trustee and Registrar reserve the right prior to any offer, sale or other transfer prior to the Resale Restriction Termination Date of the Notes pursuant to clauses (d), (e) or (f) above to require the delivery of an opinion of counsel, certifications and/or other information satisfactory to the Issuers.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We [are][are not] an Affiliate of the Issuers.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-17780</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-17780</wp:posOffset>
            </wp:positionV>
            <wp:extent cx="274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Form of Certificate To Be Delivered in Connection with Transfers Pursuant to Regulation 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Car Rental,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1077"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Avis Budget Car Rental, LLC and Avis Budget Finance, Inc. (the “</w:t>
      </w:r>
      <w:r>
        <w:rPr>
          <w:rFonts w:ascii="Arial" w:cs="Arial" w:eastAsia="Arial" w:hAnsi="Arial"/>
          <w:sz w:val="22"/>
          <w:szCs w:val="22"/>
          <w:u w:val="single" w:color="auto"/>
          <w:color w:val="auto"/>
        </w:rPr>
        <w:t>Issuers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6.375% Senior Notes due 2024 (the “Notes”)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with our proposed sale of $[________] aggregate principal amount of the Notes, we confirm that such sale</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22"/>
          <w:szCs w:val="22"/>
          <w:color w:val="auto"/>
        </w:rPr>
        <w:t>has been effected pursuant to and in accordance with Regulation S under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accordingly, we represent that:</w:t>
      </w:r>
    </w:p>
    <w:p>
      <w:pPr>
        <w:spacing w:after="0" w:line="390" w:lineRule="exact"/>
        <w:rPr>
          <w:sz w:val="20"/>
          <w:szCs w:val="20"/>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offer of the Notes was not made to a person in the United States;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right="20" w:firstLine="656"/>
        <w:spacing w:after="0" w:line="306" w:lineRule="auto"/>
        <w:tabs>
          <w:tab w:leader="none" w:pos="111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389" w:lineRule="exact"/>
        <w:rPr>
          <w:rFonts w:ascii="Arial" w:cs="Arial" w:eastAsia="Arial" w:hAnsi="Arial"/>
          <w:sz w:val="21"/>
          <w:szCs w:val="21"/>
          <w:color w:val="auto"/>
        </w:rPr>
      </w:pPr>
    </w:p>
    <w:p>
      <w:pPr>
        <w:ind w:right="100" w:firstLine="656"/>
        <w:spacing w:after="0" w:line="302" w:lineRule="auto"/>
        <w:tabs>
          <w:tab w:leader="none" w:pos="110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 directed selling efforts have been made in the United States in contravention of the requirements of Rule 903(a)(2) or Rule 904(a)(2) of Regulation S, as applicable; and</w:t>
      </w:r>
    </w:p>
    <w:p>
      <w:pPr>
        <w:spacing w:after="0" w:line="389" w:lineRule="exact"/>
        <w:rPr>
          <w:rFonts w:ascii="Arial" w:cs="Arial" w:eastAsia="Arial" w:hAnsi="Arial"/>
          <w:sz w:val="22"/>
          <w:szCs w:val="22"/>
          <w:color w:val="auto"/>
        </w:rPr>
      </w:pPr>
    </w:p>
    <w:p>
      <w:pPr>
        <w:ind w:left="1120" w:hanging="464"/>
        <w:spacing w:after="0"/>
        <w:tabs>
          <w:tab w:leader="none" w:pos="112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transaction is not part of a plan or scheme to evade the registration requirements of the Securities Act.</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if the sale is made during a restricted period and the provisions of Rule 903(b)(2), Rule 903(b)(3) or</w:t>
      </w:r>
    </w:p>
    <w:p>
      <w:pPr>
        <w:spacing w:after="0" w:line="56"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Rule 904(b)(1) of Regulation S are applicable thereto, we confirm that such sale has been made in accordance with the applicable provisions of Rule 903(b)(2), Rule 903(b)(3) or Rule 904(b)(1), as the case may be.</w:t>
      </w:r>
    </w:p>
    <w:p>
      <w:pPr>
        <w:spacing w:after="0" w:line="390" w:lineRule="exact"/>
        <w:rPr>
          <w:sz w:val="20"/>
          <w:szCs w:val="20"/>
          <w:color w:val="auto"/>
        </w:rPr>
      </w:pPr>
    </w:p>
    <w:p>
      <w:pPr>
        <w:ind w:right="280" w:firstLine="648"/>
        <w:spacing w:after="0" w:line="302" w:lineRule="auto"/>
        <w:rPr>
          <w:sz w:val="20"/>
          <w:szCs w:val="20"/>
          <w:color w:val="auto"/>
        </w:rPr>
      </w:pPr>
      <w:r>
        <w:rPr>
          <w:rFonts w:ascii="Arial" w:cs="Arial" w:eastAsia="Arial" w:hAnsi="Arial"/>
          <w:sz w:val="22"/>
          <w:szCs w:val="22"/>
          <w:color w:val="auto"/>
        </w:rPr>
        <w:t>We also hereby certify that we [are][are not] an Affiliate of the Issuers and, to our knowledge, the transferee of the Notes [is][is not] an Affiliate of the Issuers.</w:t>
      </w:r>
    </w:p>
    <w:p>
      <w:pPr>
        <w:spacing w:after="0" w:line="390"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The Trustee, Registrar and the Issuers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ectPr>
          <w:pgSz w:w="11900" w:h="16838" w:orient="portrait"/>
          <w:cols w:equalWidth="0" w:num="1">
            <w:col w:w="11380"/>
          </w:cols>
          <w:pgMar w:left="240" w:top="847" w:right="27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380"/>
          </w:cols>
          <w:pgMar w:left="240" w:top="847" w:right="279" w:bottom="1440" w:gutter="0" w:footer="0" w:header="0"/>
          <w:type w:val="continuous"/>
        </w:sectPr>
      </w:pPr>
    </w:p>
    <w:bookmarkStart w:id="123" w:name="page124"/>
    <w:bookmarkEnd w:id="123"/>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[Name of Transferor]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411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38"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648"/>
        <w:spacing w:after="0" w:line="334"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Mutilated, Destroyed, Lost or Stolen Notes</w:t>
      </w:r>
      <w:r>
        <w:rPr>
          <w:rFonts w:ascii="Arial" w:cs="Arial" w:eastAsia="Arial" w:hAnsi="Arial"/>
          <w:sz w:val="19"/>
          <w:szCs w:val="19"/>
          <w:color w:val="auto"/>
        </w:rPr>
        <w:t>. If a mutilated Note is surrendered to the Registrar or if the Holder of a Note claims that the Note has been lost, destroyed or wrongfully taken, the Issuers shall issue and the Trustee shall authenticate a replacement Note if the requirements of Section 8-405 of the Uniform Commercial Code are met, such that the Holder (a) satisfies the Issuers or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Issuers and the Trustee and the Registrar prior to the Note being acquired by a protected purchaser as defined in Section 8-303 of the Uniform Commercial Code (a “</w:t>
      </w:r>
      <w:r>
        <w:rPr>
          <w:rFonts w:ascii="Arial" w:cs="Arial" w:eastAsia="Arial" w:hAnsi="Arial"/>
          <w:sz w:val="19"/>
          <w:szCs w:val="19"/>
          <w:u w:val="single" w:color="auto"/>
          <w:color w:val="auto"/>
        </w:rPr>
        <w:t>protected purchaser</w:t>
      </w:r>
      <w:r>
        <w:rPr>
          <w:rFonts w:ascii="Arial" w:cs="Arial" w:eastAsia="Arial" w:hAnsi="Arial"/>
          <w:sz w:val="19"/>
          <w:szCs w:val="19"/>
          <w:color w:val="auto"/>
        </w:rPr>
        <w:t>”), (c) satisfies any other reasonable requirements of the Trustee. If required by the Trustee or the Issuers, such Holder shall furnish a reasonable indemnity bond sufficient in the reasonable judgment of the Trustee to protect the Issuers, Trustee, a Paying Agent and the Registrar from any loss which any of them may suffer if a Note is replaced.</w:t>
      </w:r>
    </w:p>
    <w:p>
      <w:pPr>
        <w:spacing w:after="0" w:line="37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Issuers in their discretion may, instead of issuing a new Note, pay such Note.</w:t>
      </w:r>
    </w:p>
    <w:p>
      <w:pPr>
        <w:spacing w:after="0" w:line="39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 xml:space="preserve">Upon the issuance of any new Note under this </w:t>
      </w:r>
      <w:r>
        <w:rPr>
          <w:rFonts w:ascii="Arial" w:cs="Arial" w:eastAsia="Arial" w:hAnsi="Arial"/>
          <w:sz w:val="22"/>
          <w:szCs w:val="22"/>
          <w:u w:val="single" w:color="auto"/>
          <w:color w:val="auto"/>
        </w:rPr>
        <w:t>Section 2.11</w:t>
      </w:r>
      <w:r>
        <w:rPr>
          <w:rFonts w:ascii="Arial" w:cs="Arial" w:eastAsia="Arial" w:hAnsi="Arial"/>
          <w:sz w:val="22"/>
          <w:szCs w:val="22"/>
          <w:color w:val="auto"/>
        </w:rPr>
        <w:t>, the Issuers may require that such Holder pay a sum sufficient to cover any tax or other governmental charge that may be imposed in relation thereto and any other reasonable expenses (including the fees and expenses of counsel and of the Trustee) in connection therewith.</w:t>
      </w:r>
    </w:p>
    <w:p>
      <w:pPr>
        <w:spacing w:after="0" w:line="400"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 xml:space="preserve">Subject to the proviso in the initial paragraph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every new Note issued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in lieu of any mutilated, destroyed, lost or stolen Note shall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380"/>
          </w:cols>
          <w:pgMar w:left="240" w:top="1293" w:right="279" w:bottom="1440" w:gutter="0" w:footer="0" w:header="0"/>
        </w:sectPr>
      </w:pPr>
    </w:p>
    <w:bookmarkStart w:id="124" w:name="page125"/>
    <w:bookmarkEnd w:id="124"/>
    <w:p>
      <w:pPr>
        <w:jc w:val="both"/>
        <w:ind w:right="100"/>
        <w:spacing w:after="0" w:line="357" w:lineRule="auto"/>
        <w:rPr>
          <w:sz w:val="20"/>
          <w:szCs w:val="20"/>
          <w:color w:val="auto"/>
        </w:rPr>
      </w:pPr>
      <w:r>
        <w:rPr>
          <w:rFonts w:ascii="Arial" w:cs="Arial" w:eastAsia="Arial" w:hAnsi="Arial"/>
          <w:sz w:val="19"/>
          <w:szCs w:val="19"/>
          <w:color w:val="auto"/>
        </w:rPr>
        <w:t>constitute an original additional contractual obligation of the Issuers,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349"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are exclusive and shall preclude (to the extent lawful) all other rights and remedies with respect to the replacement or payment of mutilated, destroyed, lost or stolen Notes.</w:t>
      </w:r>
    </w:p>
    <w:p>
      <w:pPr>
        <w:spacing w:after="0" w:line="174" w:lineRule="exact"/>
        <w:rPr>
          <w:sz w:val="20"/>
          <w:szCs w:val="20"/>
          <w:color w:val="auto"/>
        </w:rPr>
      </w:pPr>
    </w:p>
    <w:p>
      <w:pPr>
        <w:ind w:firstLine="648"/>
        <w:spacing w:after="0" w:line="300"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u w:val="single" w:color="auto"/>
          <w:color w:val="auto"/>
        </w:rPr>
        <w:t>Outstanding Notes</w:t>
      </w:r>
      <w:r>
        <w:rPr>
          <w:rFonts w:ascii="Arial" w:cs="Arial" w:eastAsia="Arial" w:hAnsi="Arial"/>
          <w:sz w:val="21"/>
          <w:szCs w:val="21"/>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and those described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w:t>
      </w:r>
      <w:r>
        <w:rPr>
          <w:rFonts w:ascii="Arial" w:cs="Arial" w:eastAsia="Arial" w:hAnsi="Arial"/>
          <w:sz w:val="21"/>
          <w:szCs w:val="21"/>
          <w:color w:val="auto"/>
        </w:rPr>
        <w:t xml:space="preserve"> as not outstanding. A Note does not cease to be outstanding in the event the Issuers or an Affiliate of the Issuers holds the Note;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for purposes of determining which are outstanding for consent or voting purposes hereunder, the provisions of </w:t>
      </w:r>
      <w:r>
        <w:rPr>
          <w:rFonts w:ascii="Arial" w:cs="Arial" w:eastAsia="Arial" w:hAnsi="Arial"/>
          <w:sz w:val="21"/>
          <w:szCs w:val="21"/>
          <w:u w:val="single" w:color="auto"/>
          <w:color w:val="auto"/>
        </w:rPr>
        <w:t>Section 12.6</w:t>
      </w:r>
      <w:r>
        <w:rPr>
          <w:rFonts w:ascii="Arial" w:cs="Arial" w:eastAsia="Arial" w:hAnsi="Arial"/>
          <w:sz w:val="21"/>
          <w:szCs w:val="21"/>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or the Registrar actually knows to be held by the Issuers or an Affiliate of the Issuers shall not be considered outstanding.</w:t>
      </w:r>
    </w:p>
    <w:p>
      <w:pPr>
        <w:spacing w:after="0" w:line="398" w:lineRule="exact"/>
        <w:rPr>
          <w:sz w:val="20"/>
          <w:szCs w:val="20"/>
          <w:color w:val="auto"/>
        </w:rPr>
      </w:pPr>
    </w:p>
    <w:p>
      <w:pPr>
        <w:ind w:right="80" w:firstLine="648"/>
        <w:spacing w:after="0" w:line="288" w:lineRule="auto"/>
        <w:rPr>
          <w:sz w:val="20"/>
          <w:szCs w:val="20"/>
          <w:color w:val="auto"/>
        </w:rPr>
      </w:pPr>
      <w:r>
        <w:rPr>
          <w:rFonts w:ascii="Arial" w:cs="Arial" w:eastAsia="Arial" w:hAnsi="Arial"/>
          <w:sz w:val="22"/>
          <w:szCs w:val="22"/>
          <w:color w:val="auto"/>
        </w:rPr>
        <w:t xml:space="preserve">If a Note is replaced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(other than a mutilated Note surrendered for replacement), it ceases to be outstanding unless the Trustee or the Registrar and the Issuers receive proof satisfactory to them that the replaced Note is held by a protected purchaser. A mutilated Note ceases to be outstanding upon surrender of such Note and replacement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right="120" w:firstLine="648"/>
        <w:spacing w:after="0" w:line="287" w:lineRule="auto"/>
        <w:rPr>
          <w:sz w:val="20"/>
          <w:szCs w:val="20"/>
          <w:color w:val="auto"/>
        </w:rPr>
      </w:pPr>
      <w:r>
        <w:rPr>
          <w:rFonts w:ascii="Arial" w:cs="Arial" w:eastAsia="Arial" w:hAnsi="Arial"/>
          <w:sz w:val="22"/>
          <w:szCs w:val="22"/>
          <w:color w:val="auto"/>
        </w:rPr>
        <w:t>If the Paying Agent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89" w:lineRule="exact"/>
        <w:rPr>
          <w:sz w:val="20"/>
          <w:szCs w:val="20"/>
          <w:color w:val="auto"/>
        </w:rPr>
      </w:pPr>
    </w:p>
    <w:p>
      <w:pPr>
        <w:ind w:right="380" w:firstLine="648"/>
        <w:spacing w:after="0" w:line="36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Temporary Notes</w:t>
      </w:r>
      <w:r>
        <w:rPr>
          <w:rFonts w:ascii="Arial" w:cs="Arial" w:eastAsia="Arial" w:hAnsi="Arial"/>
          <w:sz w:val="19"/>
          <w:szCs w:val="19"/>
          <w:color w:val="auto"/>
        </w:rPr>
        <w:t>. In the event that Definitive Notes are to be issued under the terms of this Indenture, until such Definitive Notes are ready for delivery, the Issuers may prepare and the Trustee or Authenticating Agent shall authenticate temporary Notes. Temporary Notes shall be substantially in the form, and shall carry all rights, of Definitive Notes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1077" w:right="259" w:bottom="1440" w:gutter="0" w:footer="0" w:header="0"/>
        </w:sectPr>
      </w:pPr>
    </w:p>
    <w:bookmarkStart w:id="125" w:name="page126"/>
    <w:bookmarkEnd w:id="125"/>
    <w:p>
      <w:pPr>
        <w:spacing w:after="0" w:line="299" w:lineRule="auto"/>
        <w:rPr>
          <w:sz w:val="20"/>
          <w:szCs w:val="20"/>
          <w:color w:val="auto"/>
        </w:rPr>
      </w:pPr>
      <w:r>
        <w:rPr>
          <w:rFonts w:ascii="Arial" w:cs="Arial" w:eastAsia="Arial" w:hAnsi="Arial"/>
          <w:sz w:val="21"/>
          <w:szCs w:val="21"/>
          <w:color w:val="auto"/>
        </w:rPr>
        <w:t>but may have variations that the Issuers considers appropriate for temporary Notes. Without unreasonable delay, the Issuers shall prepare and the Trustee or Authenticating Agent shall authenticate Definitive Notes. After the preparation of Definitive Notes, the temporary Notes shall be exchangeable for Definitive Notes upon surrender of the temporary Notes at any office or agency maintained by the Issuers for that purpose and such exchange shall be without charge to the Holder. Upon surrender for cancellation of any one or more temporary Notes, the Issuers shall execute, and the Trustee or Authenticating Agent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186" w:lineRule="exact"/>
        <w:rPr>
          <w:sz w:val="20"/>
          <w:szCs w:val="20"/>
          <w:color w:val="auto"/>
        </w:rPr>
      </w:pPr>
    </w:p>
    <w:p>
      <w:pPr>
        <w:ind w:right="80" w:firstLine="648"/>
        <w:spacing w:after="0" w:line="339"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The Issuers at any time may deliver Notes to the Registrar for cancellation. The Registrar shall automatically cancel all Notes surrendered for registration of transfer, exchange, payment or cancellation and dispose of such Notes in accordance with its internal policies and customary procedures (subject to the record retention requirements of the Exchange Act). If the Issuers or any Guarantor acquires any of the Notes, such acquisition shall not operate as a redemption or satisfaction of the Indebtedness represented by such Notes unless and until the same are surrendered to the Registrar for cancellation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Issuers may not issue new Notes to replace Notes it has paid or delivered to the Registrar for cancellation for any reason other than in connection with a transfer or exchange.</w:t>
      </w:r>
    </w:p>
    <w:p>
      <w:pPr>
        <w:spacing w:after="0" w:line="365" w:lineRule="exact"/>
        <w:rPr>
          <w:sz w:val="20"/>
          <w:szCs w:val="20"/>
          <w:color w:val="auto"/>
        </w:rPr>
      </w:pPr>
    </w:p>
    <w:p>
      <w:pPr>
        <w:ind w:right="160" w:firstLine="648"/>
        <w:spacing w:after="0" w:line="285" w:lineRule="auto"/>
        <w:rPr>
          <w:sz w:val="20"/>
          <w:szCs w:val="20"/>
          <w:color w:val="auto"/>
        </w:rPr>
      </w:pPr>
      <w:r>
        <w:rPr>
          <w:rFonts w:ascii="Arial" w:cs="Arial" w:eastAsia="Arial" w:hAnsi="Arial"/>
          <w:sz w:val="22"/>
          <w:szCs w:val="22"/>
          <w:color w:val="auto"/>
        </w:rPr>
        <w:t>At such time as all beneficial interests in a Global Note have either been exchanged for Definitive Notes, transferred, redeemed, repurchased or canceled, such Global Note shall be returned by DTC to the Registrar for cancellation or retained and canceled by the Registrar.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Notes Custodian for such Global Note) with respect to such Global Note, by the Registrar, to reflect such reduction.</w:t>
      </w:r>
    </w:p>
    <w:p>
      <w:pPr>
        <w:spacing w:after="0" w:line="193" w:lineRule="exact"/>
        <w:rPr>
          <w:sz w:val="20"/>
          <w:szCs w:val="20"/>
          <w:color w:val="auto"/>
        </w:rPr>
      </w:pPr>
    </w:p>
    <w:p>
      <w:pPr>
        <w:ind w:right="200" w:firstLine="648"/>
        <w:spacing w:after="0" w:line="292"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Payment of Interest; Defaulted Interest</w:t>
      </w:r>
      <w:r>
        <w:rPr>
          <w:rFonts w:ascii="Arial" w:cs="Arial" w:eastAsia="Arial" w:hAnsi="Arial"/>
          <w:sz w:val="22"/>
          <w:szCs w:val="22"/>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Issuers maintained for such purpose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380"/>
          </w:cols>
          <w:pgMar w:left="240" w:top="861" w:right="279" w:bottom="1440" w:gutter="0" w:footer="0" w:header="0"/>
        </w:sectPr>
      </w:pPr>
    </w:p>
    <w:bookmarkStart w:id="126" w:name="page127"/>
    <w:bookmarkEnd w:id="126"/>
    <w:p>
      <w:pPr>
        <w:ind w:right="40" w:firstLine="648"/>
        <w:spacing w:after="0" w:line="287" w:lineRule="auto"/>
        <w:rPr>
          <w:sz w:val="20"/>
          <w:szCs w:val="20"/>
          <w:color w:val="auto"/>
        </w:rPr>
      </w:pPr>
      <w:r>
        <w:rPr>
          <w:rFonts w:ascii="Arial" w:cs="Arial" w:eastAsia="Arial" w:hAnsi="Arial"/>
          <w:sz w:val="22"/>
          <w:szCs w:val="22"/>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22"/>
          <w:szCs w:val="22"/>
          <w:u w:val="single" w:color="auto"/>
          <w:color w:val="auto"/>
        </w:rPr>
        <w:t>Defaulted Interest</w:t>
      </w:r>
      <w:r>
        <w:rPr>
          <w:rFonts w:ascii="Arial" w:cs="Arial" w:eastAsia="Arial" w:hAnsi="Arial"/>
          <w:sz w:val="22"/>
          <w:szCs w:val="22"/>
          <w:color w:val="auto"/>
        </w:rPr>
        <w:t>”) shall be paid by the Issuers, at its election in each case, as provided in clause (a) or (b) below:</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Issuers may elect to make payment of any Defaulted Interest to the Persons in whose names the Notes (or</w:t>
      </w:r>
    </w:p>
    <w:p>
      <w:pPr>
        <w:spacing w:after="0" w:line="92" w:lineRule="exact"/>
        <w:rPr>
          <w:rFonts w:ascii="Arial" w:cs="Arial" w:eastAsia="Arial" w:hAnsi="Arial"/>
          <w:sz w:val="19"/>
          <w:szCs w:val="19"/>
          <w:color w:val="auto"/>
        </w:rPr>
      </w:pPr>
    </w:p>
    <w:p>
      <w:pPr>
        <w:ind w:right="40"/>
        <w:spacing w:after="0" w:line="326" w:lineRule="auto"/>
        <w:rPr>
          <w:rFonts w:ascii="Arial" w:cs="Arial" w:eastAsia="Arial" w:hAnsi="Arial"/>
          <w:sz w:val="19"/>
          <w:szCs w:val="19"/>
          <w:color w:val="auto"/>
        </w:rPr>
      </w:pPr>
      <w:r>
        <w:rPr>
          <w:rFonts w:ascii="Arial" w:cs="Arial" w:eastAsia="Arial" w:hAnsi="Arial"/>
          <w:sz w:val="19"/>
          <w:szCs w:val="19"/>
          <w:color w:val="auto"/>
        </w:rPr>
        <w:t>their respective predecessor Notes) are registered at the close of business on a Special Record Date (as defined below) for the payment of such Defaulted Interest, which shall be fixed in the following manner. The Issuers shall notify the Trustee in writing of the amount of Defaulted Interest proposed to be paid on each Note and the date (not less than 30 days after such notice) of the proposed payment (the “</w:t>
      </w:r>
      <w:r>
        <w:rPr>
          <w:rFonts w:ascii="Arial" w:cs="Arial" w:eastAsia="Arial" w:hAnsi="Arial"/>
          <w:sz w:val="19"/>
          <w:szCs w:val="19"/>
          <w:u w:val="single" w:color="auto"/>
          <w:color w:val="auto"/>
        </w:rPr>
        <w:t>Special Interest Payment Date</w:t>
      </w:r>
      <w:r>
        <w:rPr>
          <w:rFonts w:ascii="Arial" w:cs="Arial" w:eastAsia="Arial" w:hAnsi="Arial"/>
          <w:sz w:val="19"/>
          <w:szCs w:val="19"/>
          <w:color w:val="auto"/>
        </w:rPr>
        <w:t xml:space="preserve">”), and at the same time the Issuers shall deposit with the Trustee or Paying Agent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19"/>
          <w:szCs w:val="19"/>
          <w:u w:val="single" w:color="auto"/>
          <w:color w:val="auto"/>
        </w:rPr>
        <w:t>Section 2.15(a)</w:t>
      </w:r>
      <w:r>
        <w:rPr>
          <w:rFonts w:ascii="Arial" w:cs="Arial" w:eastAsia="Arial" w:hAnsi="Arial"/>
          <w:sz w:val="19"/>
          <w:szCs w:val="19"/>
          <w:color w:val="auto"/>
        </w:rPr>
        <w:t>. Thereupon the Issuers shall fix a record date (the “</w:t>
      </w:r>
      <w:r>
        <w:rPr>
          <w:rFonts w:ascii="Arial" w:cs="Arial" w:eastAsia="Arial" w:hAnsi="Arial"/>
          <w:sz w:val="19"/>
          <w:szCs w:val="19"/>
          <w:u w:val="single" w:color="auto"/>
          <w:color w:val="auto"/>
        </w:rPr>
        <w:t>Special Record Date</w:t>
      </w:r>
      <w:r>
        <w:rPr>
          <w:rFonts w:ascii="Arial" w:cs="Arial" w:eastAsia="Arial" w:hAnsi="Arial"/>
          <w:sz w:val="19"/>
          <w:szCs w:val="19"/>
          <w:color w:val="auto"/>
        </w:rPr>
        <w:t>”) for the payment of such Defaulted Interest, which date shall be not more than</w:t>
      </w:r>
    </w:p>
    <w:p>
      <w:pPr>
        <w:spacing w:after="0" w:line="2" w:lineRule="exact"/>
        <w:rPr>
          <w:rFonts w:ascii="Arial" w:cs="Arial" w:eastAsia="Arial" w:hAnsi="Arial"/>
          <w:sz w:val="19"/>
          <w:szCs w:val="19"/>
          <w:color w:val="auto"/>
        </w:rPr>
      </w:pPr>
    </w:p>
    <w:p>
      <w:pPr>
        <w:ind w:right="40"/>
        <w:spacing w:after="0" w:line="334" w:lineRule="auto"/>
        <w:rPr>
          <w:rFonts w:ascii="Arial" w:cs="Arial" w:eastAsia="Arial" w:hAnsi="Arial"/>
          <w:sz w:val="19"/>
          <w:szCs w:val="19"/>
          <w:color w:val="auto"/>
        </w:rPr>
      </w:pPr>
      <w:r>
        <w:rPr>
          <w:rFonts w:ascii="Arial" w:cs="Arial" w:eastAsia="Arial" w:hAnsi="Arial"/>
          <w:sz w:val="19"/>
          <w:szCs w:val="19"/>
          <w:color w:val="auto"/>
        </w:rPr>
        <w:t xml:space="preserve">20 calendar days and not less than 15 calendar days prior to the Special Interest Payment Date and not less than 10 calendar days after the receipt by the Paying Agent of the notice of the proposed payment. The Issuers shall promptly notify the Trustee and the Paying Agent in writing of such Special Record Date, and in the name and at the expense of the Issuers, the Trustee shall cause notice of the proposed payment of such Defaulted Interest and the Special Record Date and Special Interest Payment Date therefor to be given in the manner provided for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Issuers may make payment of any Defaulted Interest in any other lawful manner not inconsistent with the</w:t>
      </w:r>
    </w:p>
    <w:p>
      <w:pPr>
        <w:spacing w:after="0" w:line="92" w:lineRule="exact"/>
        <w:rPr>
          <w:rFonts w:ascii="Arial" w:cs="Arial" w:eastAsia="Arial" w:hAnsi="Arial"/>
          <w:sz w:val="19"/>
          <w:szCs w:val="19"/>
          <w:color w:val="auto"/>
        </w:rPr>
      </w:pPr>
    </w:p>
    <w:p>
      <w:pPr>
        <w:spacing w:after="0" w:line="311" w:lineRule="auto"/>
        <w:rPr>
          <w:rFonts w:ascii="Arial" w:cs="Arial" w:eastAsia="Arial" w:hAnsi="Arial"/>
          <w:sz w:val="19"/>
          <w:szCs w:val="19"/>
          <w:color w:val="auto"/>
        </w:rPr>
      </w:pPr>
      <w:r>
        <w:rPr>
          <w:rFonts w:ascii="Arial" w:cs="Arial" w:eastAsia="Arial" w:hAnsi="Arial"/>
          <w:sz w:val="21"/>
          <w:szCs w:val="21"/>
          <w:color w:val="auto"/>
        </w:rPr>
        <w:t xml:space="preserve">requirements of any securities exchange on which the Notes may be listed, and upon such notice as may be required by such exchange, if, after written notice given by the Issuers to the Trustee and the Paying Agent of the proposed payment pursuant to this </w:t>
      </w:r>
      <w:r>
        <w:rPr>
          <w:rFonts w:ascii="Arial" w:cs="Arial" w:eastAsia="Arial" w:hAnsi="Arial"/>
          <w:sz w:val="21"/>
          <w:szCs w:val="21"/>
          <w:u w:val="single" w:color="auto"/>
          <w:color w:val="auto"/>
        </w:rPr>
        <w:t>Section 2.15(b)</w:t>
      </w:r>
      <w:r>
        <w:rPr>
          <w:rFonts w:ascii="Arial" w:cs="Arial" w:eastAsia="Arial" w:hAnsi="Arial"/>
          <w:sz w:val="21"/>
          <w:szCs w:val="21"/>
          <w:color w:val="auto"/>
        </w:rPr>
        <w:t>, such manner of payment shall be deemed practicable by the Paying Agent.</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340"/>
          </w:cols>
          <w:pgMar w:left="240" w:top="1077" w:right="319" w:bottom="1440" w:gutter="0" w:footer="0" w:header="0"/>
        </w:sectPr>
      </w:pPr>
    </w:p>
    <w:bookmarkStart w:id="127" w:name="page128"/>
    <w:bookmarkEnd w:id="127"/>
    <w:p>
      <w:pPr>
        <w:ind w:right="100" w:firstLine="648"/>
        <w:spacing w:after="0" w:line="292" w:lineRule="auto"/>
        <w:rPr>
          <w:sz w:val="20"/>
          <w:szCs w:val="20"/>
          <w:color w:val="auto"/>
        </w:rPr>
      </w:pPr>
      <w:r>
        <w:rPr>
          <w:rFonts w:ascii="Arial" w:cs="Arial" w:eastAsia="Arial" w:hAnsi="Arial"/>
          <w:sz w:val="22"/>
          <w:szCs w:val="22"/>
          <w:color w:val="auto"/>
        </w:rPr>
        <w:t xml:space="preserve">Subject to the foregoing provisions of this </w:t>
      </w:r>
      <w:r>
        <w:rPr>
          <w:rFonts w:ascii="Arial" w:cs="Arial" w:eastAsia="Arial" w:hAnsi="Arial"/>
          <w:sz w:val="22"/>
          <w:szCs w:val="22"/>
          <w:u w:val="single" w:color="auto"/>
          <w:color w:val="auto"/>
        </w:rPr>
        <w:t>Section 2.15</w:t>
      </w:r>
      <w:r>
        <w:rPr>
          <w:rFonts w:ascii="Arial" w:cs="Arial" w:eastAsia="Arial" w:hAnsi="Arial"/>
          <w:sz w:val="22"/>
          <w:szCs w:val="22"/>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CUSIP and ISIN Numbers</w:t>
      </w:r>
      <w:r>
        <w:rPr>
          <w:rFonts w:ascii="Arial" w:cs="Arial" w:eastAsia="Arial" w:hAnsi="Arial"/>
          <w:sz w:val="22"/>
          <w:szCs w:val="22"/>
          <w:color w:val="auto"/>
        </w:rPr>
        <w:t xml:space="preserve">. The Issuers in issuing the Notes may use “CUSIP” and “ISIN” numbers and, if so, the Trustee shall use “CUSIP” and “ISIN” numbers in notices of redemption or purchase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Issuers shall promptly notify the Trustee and Registrar in writing of any change in the CUSIP and ISIN numbers.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COVENANTS</w:t>
      </w:r>
    </w:p>
    <w:p>
      <w:pPr>
        <w:spacing w:after="0" w:line="266"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Payment of Notes</w:t>
      </w:r>
      <w:r>
        <w:rPr>
          <w:rFonts w:ascii="Arial" w:cs="Arial" w:eastAsia="Arial" w:hAnsi="Arial"/>
          <w:sz w:val="22"/>
          <w:szCs w:val="22"/>
          <w:color w:val="auto"/>
        </w:rPr>
        <w:t>. The Issuers shall promptly pay principal of, premium, if any, and interest on the Notes at the office or agency of the Issuers maintained for such purpose or, at the option of the Paying Agent, payment of interest may be made by check mailed to the Holders of the Notes at their respective addresses set forth in the Notes Register provided that all payments of principal, premium, if any, and interest with respect to Notes represented by one or more Global Notes registered in the name of or held by DTC or its nominee shall be made by wire transfer of immediately available funds to the accounts specified by the Holders thereof. Until otherwise designated by the Issuers, the Issuers’ office or agency will be the office of the Trustee maintained for such purpose.</w:t>
      </w:r>
    </w:p>
    <w:p>
      <w:pPr>
        <w:spacing w:after="0" w:line="19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Company shall not, and shall not permit any of its Restricted Subsidiaries, directly or indirectly, to:</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380" w:hanging="427"/>
        <w:spacing w:after="0"/>
        <w:tabs>
          <w:tab w:leader="none" w:pos="2380" w:val="left"/>
        </w:tabs>
        <w:numPr>
          <w:ilvl w:val="1"/>
          <w:numId w:val="138"/>
        </w:numPr>
        <w:rPr>
          <w:rFonts w:ascii="Arial" w:cs="Arial" w:eastAsia="Arial" w:hAnsi="Arial"/>
          <w:sz w:val="21"/>
          <w:szCs w:val="21"/>
          <w:color w:val="auto"/>
        </w:rPr>
      </w:pPr>
      <w:r>
        <w:rPr>
          <w:rFonts w:ascii="Arial" w:cs="Arial" w:eastAsia="Arial" w:hAnsi="Arial"/>
          <w:sz w:val="21"/>
          <w:szCs w:val="21"/>
          <w:color w:val="auto"/>
        </w:rPr>
        <w:t>declare or pay any dividend or make any distribution on or in respect of the Company’s or any</w:t>
      </w:r>
    </w:p>
    <w:p>
      <w:pPr>
        <w:spacing w:after="0" w:line="69" w:lineRule="exact"/>
        <w:rPr>
          <w:rFonts w:ascii="Arial" w:cs="Arial" w:eastAsia="Arial" w:hAnsi="Arial"/>
          <w:sz w:val="21"/>
          <w:szCs w:val="21"/>
          <w:color w:val="auto"/>
        </w:rPr>
      </w:pPr>
    </w:p>
    <w:p>
      <w:pPr>
        <w:ind w:left="660" w:right="820"/>
        <w:spacing w:after="0" w:line="302" w:lineRule="auto"/>
        <w:rPr>
          <w:rFonts w:ascii="Arial" w:cs="Arial" w:eastAsia="Arial" w:hAnsi="Arial"/>
          <w:sz w:val="21"/>
          <w:szCs w:val="21"/>
          <w:color w:val="auto"/>
        </w:rPr>
      </w:pPr>
      <w:r>
        <w:rPr>
          <w:rFonts w:ascii="Arial" w:cs="Arial" w:eastAsia="Arial" w:hAnsi="Arial"/>
          <w:sz w:val="22"/>
          <w:szCs w:val="22"/>
          <w:color w:val="auto"/>
        </w:rPr>
        <w:t>Restricted Subsidiary’s Capital Stock (including any such payment in connection with any merger or consolidation involving the Company or any of its Restricted Subsidiaries) except: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00"/>
          </w:cols>
          <w:pgMar w:left="240" w:top="1077" w:right="259" w:bottom="1440" w:gutter="0" w:footer="0" w:header="0"/>
        </w:sectPr>
      </w:pPr>
    </w:p>
    <w:bookmarkStart w:id="128" w:name="page129"/>
    <w:bookmarkEnd w:id="128"/>
    <w:p>
      <w:pPr>
        <w:ind w:left="3080" w:hanging="479"/>
        <w:spacing w:after="0"/>
        <w:tabs>
          <w:tab w:leader="none" w:pos="30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dividends or distributions payable in Capital Stock of the Company (other than Disqualified</w:t>
      </w:r>
    </w:p>
    <w:p>
      <w:pPr>
        <w:spacing w:after="0" w:line="92" w:lineRule="exact"/>
        <w:rPr>
          <w:rFonts w:ascii="Arial" w:cs="Arial" w:eastAsia="Arial" w:hAnsi="Arial"/>
          <w:sz w:val="19"/>
          <w:szCs w:val="19"/>
          <w:color w:val="auto"/>
        </w:rPr>
      </w:pPr>
    </w:p>
    <w:p>
      <w:pPr>
        <w:ind w:left="660" w:right="820"/>
        <w:spacing w:after="0" w:line="328" w:lineRule="auto"/>
        <w:rPr>
          <w:rFonts w:ascii="Arial" w:cs="Arial" w:eastAsia="Arial" w:hAnsi="Arial"/>
          <w:sz w:val="19"/>
          <w:szCs w:val="19"/>
          <w:color w:val="auto"/>
        </w:rPr>
      </w:pPr>
      <w:r>
        <w:rPr>
          <w:rFonts w:ascii="Arial" w:cs="Arial" w:eastAsia="Arial" w:hAnsi="Arial"/>
          <w:sz w:val="21"/>
          <w:szCs w:val="21"/>
          <w:color w:val="auto"/>
        </w:rPr>
        <w:t>Stock) or in options, warrants or other rights to purchase such Capital Stock (other than Disqualified Stock) of the Company, other than Indebtedness convertible into or exchangeable for Capital Stock; and</w:t>
      </w:r>
    </w:p>
    <w:p>
      <w:pPr>
        <w:spacing w:after="0" w:line="366" w:lineRule="exact"/>
        <w:rPr>
          <w:rFonts w:ascii="Arial" w:cs="Arial" w:eastAsia="Arial" w:hAnsi="Arial"/>
          <w:sz w:val="19"/>
          <w:szCs w:val="19"/>
          <w:color w:val="auto"/>
        </w:rPr>
      </w:pPr>
    </w:p>
    <w:p>
      <w:pPr>
        <w:ind w:left="3060" w:hanging="459"/>
        <w:spacing w:after="0"/>
        <w:tabs>
          <w:tab w:leader="none" w:pos="30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dividends or distributions payable to the Company or a Restricted Subsidiary (and, in the case</w:t>
      </w:r>
    </w:p>
    <w:p>
      <w:pPr>
        <w:spacing w:after="0" w:line="92" w:lineRule="exact"/>
        <w:rPr>
          <w:rFonts w:ascii="Arial" w:cs="Arial" w:eastAsia="Arial" w:hAnsi="Arial"/>
          <w:sz w:val="19"/>
          <w:szCs w:val="19"/>
          <w:color w:val="auto"/>
        </w:rPr>
      </w:pPr>
    </w:p>
    <w:p>
      <w:pPr>
        <w:ind w:left="660" w:right="58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any such Restricted Subsidiary making such dividend or distribution, to holders of its Capital Stock other than the Company or another Restricted Subsidiary on no more than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389" w:lineRule="exact"/>
        <w:rPr>
          <w:rFonts w:ascii="Arial" w:cs="Arial" w:eastAsia="Arial" w:hAnsi="Arial"/>
          <w:sz w:val="19"/>
          <w:szCs w:val="19"/>
          <w:color w:val="auto"/>
        </w:rPr>
      </w:pPr>
    </w:p>
    <w:p>
      <w:pPr>
        <w:ind w:left="660" w:right="480" w:firstLine="1293"/>
        <w:spacing w:after="0" w:line="315" w:lineRule="auto"/>
        <w:tabs>
          <w:tab w:leader="none" w:pos="238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purchase, redeem, retire or otherwise acquire for value any Capital Stock of the Company held by Persons other than the Company or a Restricted Subsidiary of the Company;</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purchase, repurchase, redeem, defease or otherwise acquire or retire for value, prior to scheduled</w:t>
      </w:r>
    </w:p>
    <w:p>
      <w:pPr>
        <w:spacing w:after="0" w:line="92" w:lineRule="exact"/>
        <w:rPr>
          <w:rFonts w:ascii="Arial" w:cs="Arial" w:eastAsia="Arial" w:hAnsi="Arial"/>
          <w:sz w:val="19"/>
          <w:szCs w:val="19"/>
          <w:color w:val="auto"/>
        </w:rPr>
      </w:pPr>
    </w:p>
    <w:p>
      <w:pPr>
        <w:ind w:left="660"/>
        <w:spacing w:after="0" w:line="303" w:lineRule="auto"/>
        <w:rPr>
          <w:rFonts w:ascii="Arial" w:cs="Arial" w:eastAsia="Arial" w:hAnsi="Arial"/>
          <w:sz w:val="19"/>
          <w:szCs w:val="19"/>
          <w:color w:val="auto"/>
        </w:rPr>
      </w:pPr>
      <w:r>
        <w:rPr>
          <w:rFonts w:ascii="Arial" w:cs="Arial" w:eastAsia="Arial" w:hAnsi="Arial"/>
          <w:sz w:val="21"/>
          <w:szCs w:val="21"/>
          <w:color w:val="auto"/>
        </w:rPr>
        <w:t>maturity, scheduled repayment or 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(b) any Indebtedness of the Company or a Restricted Subsidiary to the Company or a Restricted Subsidiary; or</w:t>
      </w:r>
    </w:p>
    <w:p>
      <w:pPr>
        <w:spacing w:after="0" w:line="393" w:lineRule="exact"/>
        <w:rPr>
          <w:rFonts w:ascii="Arial" w:cs="Arial" w:eastAsia="Arial" w:hAnsi="Arial"/>
          <w:sz w:val="19"/>
          <w:szCs w:val="19"/>
          <w:color w:val="auto"/>
        </w:rPr>
      </w:pPr>
    </w:p>
    <w:p>
      <w:pPr>
        <w:ind w:left="2380" w:hanging="427"/>
        <w:spacing w:after="0"/>
        <w:tabs>
          <w:tab w:leader="none" w:pos="23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00" w:lineRule="exact"/>
        <w:rPr>
          <w:sz w:val="20"/>
          <w:szCs w:val="20"/>
          <w:color w:val="auto"/>
        </w:rPr>
      </w:pPr>
    </w:p>
    <w:p>
      <w:pPr>
        <w:spacing w:after="0" w:line="290" w:lineRule="exact"/>
        <w:rPr>
          <w:sz w:val="20"/>
          <w:szCs w:val="20"/>
          <w:color w:val="auto"/>
        </w:rPr>
      </w:pPr>
    </w:p>
    <w:p>
      <w:pPr>
        <w:ind w:right="240"/>
        <w:spacing w:after="0" w:line="292" w:lineRule="auto"/>
        <w:rPr>
          <w:sz w:val="20"/>
          <w:szCs w:val="20"/>
          <w:color w:val="auto"/>
        </w:rPr>
      </w:pPr>
      <w:r>
        <w:rPr>
          <w:rFonts w:ascii="Arial" w:cs="Arial" w:eastAsia="Arial" w:hAnsi="Arial"/>
          <w:sz w:val="22"/>
          <w:szCs w:val="22"/>
          <w:color w:val="auto"/>
        </w:rPr>
        <w:t>(any such dividend, distribution, purchase, redemption, repurchase, defeasance, other acquisition, retirement or Restricted Investment referred to in clauses (1) through (4) are referred to herein as a “</w:t>
      </w:r>
      <w:r>
        <w:rPr>
          <w:rFonts w:ascii="Arial" w:cs="Arial" w:eastAsia="Arial" w:hAnsi="Arial"/>
          <w:sz w:val="22"/>
          <w:szCs w:val="22"/>
          <w:i w:val="1"/>
          <w:iCs w:val="1"/>
          <w:color w:val="auto"/>
        </w:rPr>
        <w:t>Restricted Payment</w:t>
      </w:r>
      <w:r>
        <w:rPr>
          <w:rFonts w:ascii="Arial" w:cs="Arial" w:eastAsia="Arial" w:hAnsi="Arial"/>
          <w:sz w:val="22"/>
          <w:szCs w:val="22"/>
          <w:color w:val="auto"/>
        </w:rPr>
        <w:t>”), if at the time the Company or such Restricted Subsidiary makes such Restricted Payment:</w:t>
      </w:r>
    </w:p>
    <w:p>
      <w:pPr>
        <w:spacing w:after="0" w:line="360" w:lineRule="exact"/>
        <w:rPr>
          <w:sz w:val="20"/>
          <w:szCs w:val="20"/>
          <w:color w:val="auto"/>
        </w:rPr>
      </w:pPr>
    </w:p>
    <w:p>
      <w:pPr>
        <w:ind w:left="1720" w:hanging="415"/>
        <w:spacing w:after="0"/>
        <w:tabs>
          <w:tab w:leader="none" w:pos="17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Default shall have occurred and be continuing (or would result immediately thereafter therefrom);</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right="60" w:firstLine="645"/>
        <w:spacing w:after="0" w:line="302" w:lineRule="auto"/>
        <w:tabs>
          <w:tab w:leader="none" w:pos="178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Fixed Charge Coverage Ratio for the Company and its Restricted Subsidiaries is at least 2.00 to 1.00 after giving effect, on a pro forma basis, to such Restricted Payment; or</w:t>
      </w:r>
    </w:p>
    <w:p>
      <w:pPr>
        <w:spacing w:after="0" w:line="349" w:lineRule="exact"/>
        <w:rPr>
          <w:rFonts w:ascii="Arial" w:cs="Arial" w:eastAsia="Arial" w:hAnsi="Arial"/>
          <w:sz w:val="22"/>
          <w:szCs w:val="22"/>
          <w:color w:val="auto"/>
        </w:rPr>
      </w:pPr>
    </w:p>
    <w:p>
      <w:pPr>
        <w:ind w:left="660" w:right="160" w:firstLine="645"/>
        <w:spacing w:after="0" w:line="292" w:lineRule="auto"/>
        <w:tabs>
          <w:tab w:leader="none" w:pos="184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aggregate amount of such Restricted Payment and all other Restricted Payments made subsequent to the Issue Date (and not returned or rescinded) (including Permitted Payments permitted below by </w:t>
      </w:r>
      <w:r>
        <w:rPr>
          <w:rFonts w:ascii="Arial" w:cs="Arial" w:eastAsia="Arial" w:hAnsi="Arial"/>
          <w:sz w:val="22"/>
          <w:szCs w:val="22"/>
          <w:u w:val="single" w:color="auto"/>
          <w:color w:val="auto"/>
        </w:rPr>
        <w:t>Section 3.3(b)(1)</w:t>
      </w:r>
      <w:r>
        <w:rPr>
          <w:rFonts w:ascii="Arial" w:cs="Arial" w:eastAsia="Arial" w:hAnsi="Arial"/>
          <w:sz w:val="22"/>
          <w:szCs w:val="22"/>
          <w:color w:val="auto"/>
        </w:rPr>
        <w:t xml:space="preserve"> (without duplication) and</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320"/>
          </w:cols>
          <w:pgMar w:left="240" w:top="1077" w:right="339" w:bottom="1440" w:gutter="0" w:footer="0" w:header="0"/>
        </w:sectPr>
      </w:pPr>
    </w:p>
    <w:bookmarkStart w:id="129" w:name="page130"/>
    <w:bookmarkEnd w:id="129"/>
    <w:p>
      <w:pPr>
        <w:ind w:right="540"/>
        <w:spacing w:after="0" w:line="302" w:lineRule="auto"/>
        <w:rPr>
          <w:sz w:val="20"/>
          <w:szCs w:val="20"/>
          <w:color w:val="auto"/>
        </w:rPr>
      </w:pPr>
      <w:r>
        <w:rPr>
          <w:rFonts w:ascii="Arial" w:cs="Arial" w:eastAsia="Arial" w:hAnsi="Arial"/>
          <w:sz w:val="22"/>
          <w:szCs w:val="22"/>
          <w:u w:val="single" w:color="auto"/>
          <w:color w:val="auto"/>
        </w:rPr>
        <w:t>Section 3.3(b)(10)</w:t>
      </w:r>
      <w:r>
        <w:rPr>
          <w:rFonts w:ascii="Arial" w:cs="Arial" w:eastAsia="Arial" w:hAnsi="Arial"/>
          <w:sz w:val="22"/>
          <w:szCs w:val="22"/>
          <w:color w:val="auto"/>
        </w:rPr>
        <w:t xml:space="preserve">, but excluding all other Restricted Payments permitted by </w:t>
      </w:r>
      <w:r>
        <w:rPr>
          <w:rFonts w:ascii="Arial" w:cs="Arial" w:eastAsia="Arial" w:hAnsi="Arial"/>
          <w:sz w:val="22"/>
          <w:szCs w:val="22"/>
          <w:u w:val="single" w:color="auto"/>
          <w:color w:val="auto"/>
        </w:rPr>
        <w:t>Section 3.3(b)</w:t>
      </w:r>
      <w:r>
        <w:rPr>
          <w:rFonts w:ascii="Arial" w:cs="Arial" w:eastAsia="Arial" w:hAnsi="Arial"/>
          <w:sz w:val="22"/>
          <w:szCs w:val="22"/>
          <w:color w:val="auto"/>
        </w:rPr>
        <w:t>) would exceed the sum of (without duplication):</w:t>
      </w:r>
    </w:p>
    <w:p>
      <w:pPr>
        <w:spacing w:after="0" w:line="349" w:lineRule="exact"/>
        <w:rPr>
          <w:sz w:val="20"/>
          <w:szCs w:val="20"/>
          <w:color w:val="auto"/>
        </w:rPr>
      </w:pPr>
    </w:p>
    <w:p>
      <w:pPr>
        <w:ind w:left="1800" w:hanging="507"/>
        <w:spacing w:after="0"/>
        <w:tabs>
          <w:tab w:leader="none" w:pos="18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$800.0 million;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40" w:right="80" w:firstLine="653"/>
        <w:spacing w:after="0" w:line="288" w:lineRule="auto"/>
        <w:tabs>
          <w:tab w:leader="none" w:pos="179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50% of the Consolidated Net Income for the period (treated as one accounting period) from January 1, 2015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365" w:lineRule="exact"/>
        <w:rPr>
          <w:rFonts w:ascii="Arial" w:cs="Arial" w:eastAsia="Arial" w:hAnsi="Arial"/>
          <w:sz w:val="22"/>
          <w:szCs w:val="22"/>
          <w:color w:val="auto"/>
        </w:rPr>
      </w:pPr>
    </w:p>
    <w:p>
      <w:pPr>
        <w:ind w:left="640" w:right="40" w:firstLine="653"/>
        <w:spacing w:after="0" w:line="298" w:lineRule="auto"/>
        <w:tabs>
          <w:tab w:leader="none" w:pos="1792"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100% of the aggregate Net Cash Proceeds, and the fair market value of property or assets or marketable securities, received by the Company from the issue or sale of its Capital Stock (other than Disqualified Stock or Designated Preferred Stock) subsequent to March 11, 2015 or otherwise 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from such proceeds in reliance on </w:t>
      </w:r>
      <w:r>
        <w:rPr>
          <w:rFonts w:ascii="Arial" w:cs="Arial" w:eastAsia="Arial" w:hAnsi="Arial"/>
          <w:sz w:val="21"/>
          <w:szCs w:val="21"/>
          <w:u w:val="single" w:color="auto"/>
          <w:color w:val="auto"/>
        </w:rPr>
        <w:t>Section 3.3(b)(6)</w:t>
      </w:r>
      <w:r>
        <w:rPr>
          <w:rFonts w:ascii="Arial" w:cs="Arial" w:eastAsia="Arial" w:hAnsi="Arial"/>
          <w:sz w:val="21"/>
          <w:szCs w:val="21"/>
          <w:color w:val="auto"/>
        </w:rPr>
        <w:t xml:space="preserve"> and (z) Excluded Contributions);</w:t>
      </w:r>
    </w:p>
    <w:p>
      <w:pPr>
        <w:spacing w:after="0" w:line="364" w:lineRule="exact"/>
        <w:rPr>
          <w:rFonts w:ascii="Arial" w:cs="Arial" w:eastAsia="Arial" w:hAnsi="Arial"/>
          <w:sz w:val="21"/>
          <w:szCs w:val="21"/>
          <w:color w:val="auto"/>
        </w:rPr>
      </w:pPr>
    </w:p>
    <w:p>
      <w:pPr>
        <w:ind w:left="640" w:firstLine="653"/>
        <w:spacing w:after="0" w:line="334" w:lineRule="auto"/>
        <w:tabs>
          <w:tab w:leader="none" w:pos="180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for the benefit of their employees to the extent funded by the Company or any Restricted Subsidiary) by the Company or any Restricted Subsidiary subsequent to March 11, 2015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35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720"/>
          </w:cols>
          <w:pgMar w:left="900" w:top="1077" w:right="279" w:bottom="1440" w:gutter="0" w:footer="0" w:header="0"/>
        </w:sectPr>
      </w:pPr>
    </w:p>
    <w:bookmarkStart w:id="130" w:name="page131"/>
    <w:bookmarkEnd w:id="130"/>
    <w:p>
      <w:pPr>
        <w:ind w:left="1300" w:firstLine="653"/>
        <w:spacing w:after="0" w:line="333" w:lineRule="auto"/>
        <w:tabs>
          <w:tab w:leader="none" w:pos="24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100% of the aggregate amount received in cash and the fair market value of marketable securities or other property received by means of: (i) 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March 11, 2015; or (ii) the sale (other than to the Company or a Restricted Subsidiary) of the stock of an Unrestricted Subsidiary or a distribution from an Unrestricted Subsidiary (other than to the extent of the amount of the Investment that constituted a Permitted Investment, which will instead increase the amount available under the applicable clause of the definition of “Permitted Investments”) or a dividend from an Unrestricted Subsidiary after March 11, 2015; and</w:t>
      </w:r>
    </w:p>
    <w:p>
      <w:pPr>
        <w:spacing w:after="0" w:line="331" w:lineRule="exact"/>
        <w:rPr>
          <w:rFonts w:ascii="Arial" w:cs="Arial" w:eastAsia="Arial" w:hAnsi="Arial"/>
          <w:sz w:val="19"/>
          <w:szCs w:val="19"/>
          <w:color w:val="auto"/>
        </w:rPr>
      </w:pPr>
    </w:p>
    <w:p>
      <w:pPr>
        <w:ind w:left="1300" w:right="40" w:firstLine="653"/>
        <w:spacing w:after="0" w:line="334" w:lineRule="auto"/>
        <w:tabs>
          <w:tab w:leader="none" w:pos="242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March 11, 2015, the fair market value of the Investment in such Unrestricted Subsidiary (or the assets transferred), as determined in good faith by the Company, at the time of the redesignation of such Unrestricted Subsidiary as a Restricted Subsidiary or at the time of such merger or consolidation or transfer of assets (after taking into consideration any Indebtedness associated with the Unrestricted Subsidiary so designated or merged or consolidated or Indebtedness associated with the assets so transferred), other than to the extent of the amount of the Investment that constituted a Permitted Investment.</w:t>
      </w:r>
    </w:p>
    <w:p>
      <w:pPr>
        <w:spacing w:after="0" w:line="329" w:lineRule="exact"/>
        <w:rPr>
          <w:rFonts w:ascii="Arial" w:cs="Arial" w:eastAsia="Arial" w:hAnsi="Arial"/>
          <w:sz w:val="19"/>
          <w:szCs w:val="19"/>
          <w:color w:val="auto"/>
        </w:rPr>
      </w:pPr>
    </w:p>
    <w:p>
      <w:pPr>
        <w:ind w:left="1740" w:hanging="435"/>
        <w:spacing w:after="0"/>
        <w:tabs>
          <w:tab w:leader="none" w:pos="174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The foregoing provisions of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will not prohibit any of the following (collectively, “</w:t>
      </w:r>
      <w:r>
        <w:rPr>
          <w:rFonts w:ascii="Arial" w:cs="Arial" w:eastAsia="Arial" w:hAnsi="Arial"/>
          <w:sz w:val="21"/>
          <w:szCs w:val="21"/>
          <w:i w:val="1"/>
          <w:iCs w:val="1"/>
          <w:color w:val="auto"/>
        </w:rPr>
        <w:t>Permitted</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payment of any dividend or distribution within 60 days after the date of declaration thereof, if at the</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date of declaration such payment would have complied with the provisions of this Indenture or the redemption, repurchase or retirement of Indebtedness if, at the date of any redemption notice, such payment would have complied with the provisions of this Indenture;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Capital Stock or</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Subordinated Indebtedness made by exchange (including any such exchange pursuant to the exercise of a conversion right or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00"/>
          </w:cols>
          <w:pgMar w:left="240" w:top="1077" w:right="259" w:bottom="1440" w:gutter="0" w:footer="0" w:header="0"/>
        </w:sectPr>
      </w:pPr>
    </w:p>
    <w:bookmarkStart w:id="131" w:name="page132"/>
    <w:bookmarkEnd w:id="131"/>
    <w:p>
      <w:pPr>
        <w:ind w:right="80"/>
        <w:spacing w:after="0" w:line="338" w:lineRule="auto"/>
        <w:rPr>
          <w:sz w:val="20"/>
          <w:szCs w:val="20"/>
          <w:color w:val="auto"/>
        </w:rPr>
      </w:pPr>
      <w:r>
        <w:rPr>
          <w:rFonts w:ascii="Arial" w:cs="Arial" w:eastAsia="Arial" w:hAnsi="Arial"/>
          <w:sz w:val="19"/>
          <w:szCs w:val="19"/>
          <w:color w:val="auto"/>
        </w:rPr>
        <w:t>privilege in connection with which cash is paid in lieu of the issuance of fractional shares) for, or out of the proceeds of the substantially concurrent sale of, Capital Stock of the Company (other than Disqualified Stock or Designated Preferred Stock)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xml:space="preserve">”) or a substantially concurrent contribution to the equity (other than through the issuance of Disqualified Stock or Designated Preferred Stock or through an Excluded Contribution)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so applied, the Net Cash Proceeds, or fair market value of property or assets or of marketable securities, from such sale of Capital Stock or such contribution will be excluded from </w:t>
      </w:r>
      <w:r>
        <w:rPr>
          <w:rFonts w:ascii="Arial" w:cs="Arial" w:eastAsia="Arial" w:hAnsi="Arial"/>
          <w:sz w:val="19"/>
          <w:szCs w:val="19"/>
          <w:u w:val="single" w:color="auto"/>
          <w:color w:val="auto"/>
        </w:rPr>
        <w:t>Section 3.3(a)(iii)</w:t>
      </w:r>
      <w:r>
        <w:rPr>
          <w:rFonts w:ascii="Arial" w:cs="Arial" w:eastAsia="Arial" w:hAnsi="Arial"/>
          <w:sz w:val="19"/>
          <w:szCs w:val="19"/>
          <w:color w:val="auto"/>
        </w:rPr>
        <w:t>;</w:t>
      </w:r>
    </w:p>
    <w:p>
      <w:pPr>
        <w:spacing w:after="0" w:line="369" w:lineRule="exact"/>
        <w:rPr>
          <w:sz w:val="20"/>
          <w:szCs w:val="20"/>
          <w:color w:val="auto"/>
        </w:rPr>
      </w:pPr>
    </w:p>
    <w:p>
      <w:pPr>
        <w:ind w:left="1720" w:hanging="427"/>
        <w:spacing w:after="0"/>
        <w:tabs>
          <w:tab w:leader="none" w:pos="17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Subordinated</w:t>
      </w:r>
    </w:p>
    <w:p>
      <w:pPr>
        <w:spacing w:after="0" w:line="92" w:lineRule="exact"/>
        <w:rPr>
          <w:rFonts w:ascii="Arial" w:cs="Arial" w:eastAsia="Arial" w:hAnsi="Arial"/>
          <w:sz w:val="19"/>
          <w:szCs w:val="19"/>
          <w:color w:val="auto"/>
        </w:rPr>
      </w:pPr>
    </w:p>
    <w:p>
      <w:pPr>
        <w:ind w:right="580"/>
        <w:spacing w:after="0" w:line="302" w:lineRule="auto"/>
        <w:rPr>
          <w:rFonts w:ascii="Arial" w:cs="Arial" w:eastAsia="Arial" w:hAnsi="Arial"/>
          <w:sz w:val="19"/>
          <w:szCs w:val="19"/>
          <w:color w:val="auto"/>
        </w:rPr>
      </w:pPr>
      <w:r>
        <w:rPr>
          <w:rFonts w:ascii="Arial" w:cs="Arial" w:eastAsia="Arial" w:hAnsi="Arial"/>
          <w:sz w:val="22"/>
          <w:szCs w:val="22"/>
          <w:color w:val="auto"/>
        </w:rPr>
        <w:t>Indebtedness made by exchange for, or out of the proceeds of the substantially concurrent sale of, Indebtedness of the Company or any Restricted Subsidiary;</w:t>
      </w:r>
    </w:p>
    <w:p>
      <w:pPr>
        <w:spacing w:after="0" w:line="389" w:lineRule="exact"/>
        <w:rPr>
          <w:rFonts w:ascii="Arial" w:cs="Arial" w:eastAsia="Arial" w:hAnsi="Arial"/>
          <w:sz w:val="19"/>
          <w:szCs w:val="19"/>
          <w:color w:val="auto"/>
        </w:rPr>
      </w:pPr>
    </w:p>
    <w:p>
      <w:pPr>
        <w:ind w:left="1720" w:hanging="427"/>
        <w:spacing w:after="0"/>
        <w:tabs>
          <w:tab w:leader="none" w:pos="17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Preferred Stock</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of the Company or a Restricted Subsidiary made by exchange for or out of the proceeds of the substantially concurrent sale of Preferred Stock of the Company or a Restricted Subsidiary, as the case may be;</w:t>
      </w:r>
    </w:p>
    <w:p>
      <w:pPr>
        <w:spacing w:after="0" w:line="389" w:lineRule="exact"/>
        <w:rPr>
          <w:rFonts w:ascii="Arial" w:cs="Arial" w:eastAsia="Arial" w:hAnsi="Arial"/>
          <w:sz w:val="19"/>
          <w:szCs w:val="19"/>
          <w:color w:val="auto"/>
        </w:rPr>
      </w:pPr>
    </w:p>
    <w:p>
      <w:pPr>
        <w:ind w:right="340" w:firstLine="1293"/>
        <w:spacing w:after="0" w:line="315" w:lineRule="auto"/>
        <w:tabs>
          <w:tab w:leader="none" w:pos="172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purchase, repurchase, redemption, defeasance or other acquisition or retirement of Subordinated Indebtedness or Disqualified Stock or Preferred Stock of a Restricted Subsidiary:</w:t>
      </w:r>
    </w:p>
    <w:p>
      <w:pPr>
        <w:spacing w:after="0" w:line="375" w:lineRule="exact"/>
        <w:rPr>
          <w:rFonts w:ascii="Arial" w:cs="Arial" w:eastAsia="Arial" w:hAnsi="Arial"/>
          <w:sz w:val="22"/>
          <w:szCs w:val="22"/>
          <w:color w:val="auto"/>
        </w:rPr>
      </w:pPr>
    </w:p>
    <w:p>
      <w:pPr>
        <w:ind w:left="2420" w:hanging="479"/>
        <w:spacing w:after="0"/>
        <w:tabs>
          <w:tab w:leader="none" w:pos="24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from Net Available Cash to the extent permitted under </w:t>
      </w:r>
      <w:r>
        <w:rPr>
          <w:rFonts w:ascii="Arial" w:cs="Arial" w:eastAsia="Arial" w:hAnsi="Arial"/>
          <w:sz w:val="22"/>
          <w:szCs w:val="22"/>
          <w:u w:val="single" w:color="auto"/>
          <w:color w:val="auto"/>
        </w:rPr>
        <w:t>Section 3.5</w:t>
      </w:r>
      <w:r>
        <w:rPr>
          <w:rFonts w:ascii="Arial" w:cs="Arial" w:eastAsia="Arial" w:hAnsi="Arial"/>
          <w:sz w:val="22"/>
          <w:szCs w:val="22"/>
          <w:color w:val="auto"/>
        </w:rPr>
        <w:t>;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following the occurrence of a Change of Control (or other similar event described therein as a</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“change of control”), but only if the Company shall have first complied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348" w:lineRule="exact"/>
        <w:rPr>
          <w:rFonts w:ascii="Arial" w:cs="Arial" w:eastAsia="Arial" w:hAnsi="Arial"/>
          <w:sz w:val="19"/>
          <w:szCs w:val="19"/>
          <w:color w:val="auto"/>
        </w:rPr>
      </w:pPr>
    </w:p>
    <w:p>
      <w:pPr>
        <w:ind w:left="2400" w:hanging="459"/>
        <w:spacing w:after="0"/>
        <w:tabs>
          <w:tab w:leader="none" w:pos="240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consisting of Acquired Indebtedness (other than Indebtedness Incurred (A) to provide all or any</w:t>
      </w:r>
    </w:p>
    <w:p>
      <w:pPr>
        <w:spacing w:after="0" w:line="92" w:lineRule="exact"/>
        <w:rPr>
          <w:rFonts w:ascii="Arial" w:cs="Arial" w:eastAsia="Arial" w:hAnsi="Arial"/>
          <w:sz w:val="19"/>
          <w:szCs w:val="19"/>
          <w:color w:val="auto"/>
        </w:rPr>
      </w:pPr>
    </w:p>
    <w:p>
      <w:pPr>
        <w:jc w:val="both"/>
        <w:ind w:right="200"/>
        <w:spacing w:after="0" w:line="292" w:lineRule="auto"/>
        <w:rPr>
          <w:rFonts w:ascii="Arial" w:cs="Arial" w:eastAsia="Arial" w:hAnsi="Arial"/>
          <w:sz w:val="19"/>
          <w:szCs w:val="19"/>
          <w:color w:val="auto"/>
        </w:rPr>
      </w:pPr>
      <w:r>
        <w:rPr>
          <w:rFonts w:ascii="Arial" w:cs="Arial" w:eastAsia="Arial" w:hAnsi="Arial"/>
          <w:sz w:val="22"/>
          <w:szCs w:val="22"/>
          <w:color w:val="auto"/>
        </w:rPr>
        <w:t>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0740"/>
          </w:cols>
          <w:pgMar w:left="900" w:top="1077" w:right="259" w:bottom="1440" w:gutter="0" w:footer="0" w:header="0"/>
        </w:sectPr>
      </w:pPr>
    </w:p>
    <w:bookmarkStart w:id="132" w:name="page133"/>
    <w:bookmarkEnd w:id="132"/>
    <w:p>
      <w:pPr>
        <w:ind w:left="2380" w:hanging="427"/>
        <w:spacing w:after="0"/>
        <w:tabs>
          <w:tab w:leader="none" w:pos="23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 Restricted Payment to pay for the repurchase, redemption or other acquisition or retirement for value</w:t>
      </w:r>
    </w:p>
    <w:p>
      <w:pPr>
        <w:spacing w:after="0" w:line="92" w:lineRule="exact"/>
        <w:rPr>
          <w:rFonts w:ascii="Arial" w:cs="Arial" w:eastAsia="Arial" w:hAnsi="Arial"/>
          <w:sz w:val="19"/>
          <w:szCs w:val="19"/>
          <w:color w:val="auto"/>
        </w:rPr>
      </w:pPr>
    </w:p>
    <w:p>
      <w:pPr>
        <w:ind w:left="660" w:right="4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of Capital Stock (other than Disqualified Stock) or equity appreciation rights of the Company or of any Parent Entity or Restricted Subsidiary held by any future, present or former employee, director or consultant of the Company, any of its Subsidiaries or of any Parent Entity (or permitted transferees, assigns, estates, trusts or heirs of such employee, director or consultant) either pursuant to any management equity plan or stock option plan or any other management or employee benefit plan or agreement or upon the termination of such employee, director or consultant’s employment or directorship;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aggregate Restricted Payments made under this clause (6) do not exceed $10.0 million in any fiscal year (with unused amounts in any fiscal year being carried over to succeeding fiscal years subject to a maximum of $25.0 million in any fiscal year);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amount in any fiscal year may be increased by an amount not to exceed:</w:t>
      </w:r>
    </w:p>
    <w:p>
      <w:pPr>
        <w:spacing w:after="0" w:line="398" w:lineRule="exact"/>
        <w:rPr>
          <w:rFonts w:ascii="Arial" w:cs="Arial" w:eastAsia="Arial" w:hAnsi="Arial"/>
          <w:sz w:val="19"/>
          <w:szCs w:val="19"/>
          <w:color w:val="auto"/>
        </w:rPr>
      </w:pPr>
    </w:p>
    <w:p>
      <w:pPr>
        <w:ind w:left="3080" w:hanging="479"/>
        <w:spacing w:after="0"/>
        <w:tabs>
          <w:tab w:leader="none" w:pos="308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cash proceeds from the sale of Capital Stock (other than Disqualified Stock or Designated</w:t>
      </w:r>
    </w:p>
    <w:p>
      <w:pPr>
        <w:spacing w:after="0" w:line="92" w:lineRule="exact"/>
        <w:rPr>
          <w:rFonts w:ascii="Arial" w:cs="Arial" w:eastAsia="Arial" w:hAnsi="Arial"/>
          <w:sz w:val="19"/>
          <w:szCs w:val="19"/>
          <w:color w:val="auto"/>
        </w:rPr>
      </w:pPr>
    </w:p>
    <w:p>
      <w:pPr>
        <w:ind w:left="660" w:right="2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Preferred Stock or Excluded Contributions) or equity appreciation rights or the exercise of options or warrants or other rights to purchase or acquire Capital Stock of the Company and, to the extent contributed to the capital of the Company (other than through the issuance of Disqualified Stock or Designated Preferred Stock or an Excluded Contribution), Capital Stock or equity appreciation rights or the exercise of options or warrants or other rights to purchase or acquire Capital Stock of any Parent Entity, in each case to employees, directors or consultants of the Company, any of its Subsidiaries or any Parent Entity that occurred after the Issue Date, to the extent the cash proceeds from the sale of such Capital Stock have not otherwise been applied to the payment of Restricted Payments by virtue of </w:t>
      </w:r>
      <w:r>
        <w:rPr>
          <w:rFonts w:ascii="Arial" w:cs="Arial" w:eastAsia="Arial" w:hAnsi="Arial"/>
          <w:sz w:val="19"/>
          <w:szCs w:val="19"/>
          <w:u w:val="single" w:color="auto"/>
          <w:color w:val="auto"/>
        </w:rPr>
        <w:t>Section 3.3(a)(iii)</w:t>
      </w:r>
      <w:r>
        <w:rPr>
          <w:rFonts w:ascii="Arial" w:cs="Arial" w:eastAsia="Arial" w:hAnsi="Arial"/>
          <w:sz w:val="19"/>
          <w:szCs w:val="19"/>
          <w:color w:val="auto"/>
        </w:rPr>
        <w:t>; plus</w:t>
      </w:r>
    </w:p>
    <w:p>
      <w:pPr>
        <w:spacing w:after="0" w:line="370" w:lineRule="exact"/>
        <w:rPr>
          <w:rFonts w:ascii="Arial" w:cs="Arial" w:eastAsia="Arial" w:hAnsi="Arial"/>
          <w:sz w:val="19"/>
          <w:szCs w:val="19"/>
          <w:color w:val="auto"/>
        </w:rPr>
      </w:pPr>
    </w:p>
    <w:p>
      <w:pPr>
        <w:ind w:left="660" w:firstLine="1941"/>
        <w:spacing w:after="0" w:line="315" w:lineRule="auto"/>
        <w:tabs>
          <w:tab w:leader="none" w:pos="3073"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cash proceeds of key man life insurance policies received by the Company and its Restricted Subsidiaries after the Issue Date; less</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amount of any Restricted Payments made in previous calendar years pursuant to clauses (A)</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(B) of this clause (6);</w:t>
      </w:r>
    </w:p>
    <w:p>
      <w:pPr>
        <w:spacing w:after="0" w:line="200" w:lineRule="exact"/>
        <w:rPr>
          <w:sz w:val="20"/>
          <w:szCs w:val="20"/>
          <w:color w:val="auto"/>
        </w:rPr>
      </w:pPr>
    </w:p>
    <w:p>
      <w:pPr>
        <w:spacing w:after="0" w:line="276" w:lineRule="exact"/>
        <w:rPr>
          <w:sz w:val="20"/>
          <w:szCs w:val="20"/>
          <w:color w:val="auto"/>
        </w:rPr>
      </w:pPr>
    </w:p>
    <w:p>
      <w:pPr>
        <w:ind w:right="20"/>
        <w:spacing w:after="0" w:line="306"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cancellation of Indebtedness owing to the Company or any Restricted Subsidiary from any future, present or former members of management, directors, employees or consultants of the Company, or any Parent Entity or Restricted Subsidiaries in connection with a repurchase of Capital Stock of the Company or any Parent Entity will not be deemed to constitute a Restricted Payment for purposes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any other provision of this Indenture;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00"/>
          </w:cols>
          <w:pgMar w:left="240" w:top="1077" w:right="259" w:bottom="1440" w:gutter="0" w:footer="0" w:header="0"/>
        </w:sectPr>
      </w:pPr>
    </w:p>
    <w:bookmarkStart w:id="133" w:name="page134"/>
    <w:bookmarkEnd w:id="133"/>
    <w:p>
      <w:pPr>
        <w:ind w:left="1300"/>
        <w:spacing w:after="0"/>
        <w:tabs>
          <w:tab w:leader="none" w:pos="170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the declaration and payment of dividends on Disqualified Stock or Preferred Stock of a Restricted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276" w:lineRule="exact"/>
        <w:rPr>
          <w:sz w:val="20"/>
          <w:szCs w:val="20"/>
          <w:color w:val="auto"/>
        </w:rPr>
      </w:pPr>
    </w:p>
    <w:p>
      <w:pPr>
        <w:ind w:left="1720" w:hanging="427"/>
        <w:spacing w:after="0"/>
        <w:tabs>
          <w:tab w:leader="none" w:pos="17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purchases, repurchases, redemptions, defeasances or other acquisitions or retirements of Capital Stock</w:t>
      </w:r>
    </w:p>
    <w:p>
      <w:pPr>
        <w:spacing w:after="0" w:line="92" w:lineRule="exact"/>
        <w:rPr>
          <w:rFonts w:ascii="Arial" w:cs="Arial" w:eastAsia="Arial" w:hAnsi="Arial"/>
          <w:sz w:val="19"/>
          <w:szCs w:val="19"/>
          <w:color w:val="auto"/>
        </w:rPr>
      </w:pPr>
    </w:p>
    <w:p>
      <w:pPr>
        <w:ind w:right="720"/>
        <w:spacing w:after="0" w:line="387" w:lineRule="auto"/>
        <w:rPr>
          <w:rFonts w:ascii="Arial" w:cs="Arial" w:eastAsia="Arial" w:hAnsi="Arial"/>
          <w:sz w:val="19"/>
          <w:szCs w:val="19"/>
          <w:color w:val="auto"/>
        </w:rPr>
      </w:pPr>
      <w:r>
        <w:rPr>
          <w:rFonts w:ascii="Arial" w:cs="Arial" w:eastAsia="Arial" w:hAnsi="Arial"/>
          <w:sz w:val="19"/>
          <w:szCs w:val="19"/>
          <w:color w:val="auto"/>
        </w:rPr>
        <w:t>deemed to occur upon the exercise of stock options, warrants or other rights in respect thereof if such Capital Stock represents (i) a portion of the exercise price thereof or (ii) withholding incurred in connection with such exercise;</w:t>
      </w:r>
    </w:p>
    <w:p>
      <w:pPr>
        <w:spacing w:after="0" w:line="321" w:lineRule="exact"/>
        <w:rPr>
          <w:rFonts w:ascii="Arial" w:cs="Arial" w:eastAsia="Arial" w:hAnsi="Arial"/>
          <w:sz w:val="19"/>
          <w:szCs w:val="19"/>
          <w:color w:val="auto"/>
        </w:rPr>
      </w:pPr>
    </w:p>
    <w:p>
      <w:pPr>
        <w:ind w:right="200" w:firstLine="1293"/>
        <w:spacing w:after="0" w:line="315" w:lineRule="auto"/>
        <w:tabs>
          <w:tab w:leader="none" w:pos="172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dividends, loans, advances or distributions to any Parent Entity or other payments by the Company or any Restricted Subsidiary in amounts equal to (without duplication):</w:t>
      </w:r>
    </w:p>
    <w:p>
      <w:pPr>
        <w:spacing w:after="0" w:line="375" w:lineRule="exact"/>
        <w:rPr>
          <w:rFonts w:ascii="Arial" w:cs="Arial" w:eastAsia="Arial" w:hAnsi="Arial"/>
          <w:sz w:val="22"/>
          <w:szCs w:val="22"/>
          <w:color w:val="auto"/>
        </w:rPr>
      </w:pPr>
    </w:p>
    <w:p>
      <w:pPr>
        <w:ind w:right="580" w:firstLine="1941"/>
        <w:spacing w:after="0" w:line="315" w:lineRule="auto"/>
        <w:tabs>
          <w:tab w:leader="none" w:pos="242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amounts required for any Parent Entity to make payments pursuant to any tax sharing agreement or to pay any Parent Entity Expenses or any Related Taxes; or</w:t>
      </w:r>
    </w:p>
    <w:p>
      <w:pPr>
        <w:spacing w:after="0" w:line="375" w:lineRule="exact"/>
        <w:rPr>
          <w:rFonts w:ascii="Arial" w:cs="Arial" w:eastAsia="Arial" w:hAnsi="Arial"/>
          <w:sz w:val="22"/>
          <w:szCs w:val="22"/>
          <w:color w:val="auto"/>
        </w:rPr>
      </w:pPr>
    </w:p>
    <w:p>
      <w:pPr>
        <w:ind w:right="200" w:firstLine="1941"/>
        <w:spacing w:after="0" w:line="315" w:lineRule="auto"/>
        <w:tabs>
          <w:tab w:leader="none" w:pos="241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amounts constituting or to be used for purposes of making payments to the extent specified in clauses (6) and (24) of the definition of “Permitted Investments”;</w:t>
      </w:r>
    </w:p>
    <w:p>
      <w:pPr>
        <w:spacing w:after="0" w:line="375" w:lineRule="exact"/>
        <w:rPr>
          <w:rFonts w:ascii="Arial" w:cs="Arial" w:eastAsia="Arial" w:hAnsi="Arial"/>
          <w:sz w:val="22"/>
          <w:szCs w:val="22"/>
          <w:color w:val="auto"/>
        </w:rPr>
      </w:pPr>
    </w:p>
    <w:p>
      <w:pPr>
        <w:ind w:left="1840" w:hanging="547"/>
        <w:spacing w:after="0"/>
        <w:tabs>
          <w:tab w:leader="none" w:pos="18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payment by the Company of, or loans, advances, dividends or distributions by the Company to any</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Parent Entity to pay, dividends on or purchase or repurchase the common stock or equity of such Parent Entity an amount not to exceed in any fiscal year the greater of $75.0 million and 0.5% of Total Assets;</w:t>
      </w:r>
    </w:p>
    <w:p>
      <w:pPr>
        <w:spacing w:after="0" w:line="389" w:lineRule="exact"/>
        <w:rPr>
          <w:rFonts w:ascii="Arial" w:cs="Arial" w:eastAsia="Arial" w:hAnsi="Arial"/>
          <w:sz w:val="19"/>
          <w:szCs w:val="19"/>
          <w:color w:val="auto"/>
        </w:rPr>
      </w:pPr>
    </w:p>
    <w:p>
      <w:pPr>
        <w:ind w:left="1820" w:hanging="527"/>
        <w:spacing w:after="0"/>
        <w:tabs>
          <w:tab w:leader="none" w:pos="18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payments by the Company, or loans, advances, dividends or distributions to any Parent Entity to make</w:t>
      </w:r>
    </w:p>
    <w:p>
      <w:pPr>
        <w:spacing w:after="0" w:line="92" w:lineRule="exact"/>
        <w:rPr>
          <w:rFonts w:ascii="Arial" w:cs="Arial" w:eastAsia="Arial" w:hAnsi="Arial"/>
          <w:sz w:val="19"/>
          <w:szCs w:val="19"/>
          <w:color w:val="auto"/>
        </w:rPr>
      </w:pPr>
    </w:p>
    <w:p>
      <w:pPr>
        <w:ind w:right="12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payments, to holders of Capital Stock of the Company or any Parent Entity in lieu of the issuance of fractional shares of such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such payment, loan, advance, dividend or distribution shall not be for the purpose of evading any limitation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otherwise to facilitate any dividend or other return of capital to the holders of such Capital Stock (as determined in good faith by the Board of Directors);</w:t>
      </w:r>
    </w:p>
    <w:p>
      <w:pPr>
        <w:spacing w:after="0" w:line="389" w:lineRule="exact"/>
        <w:rPr>
          <w:rFonts w:ascii="Arial" w:cs="Arial" w:eastAsia="Arial" w:hAnsi="Arial"/>
          <w:sz w:val="19"/>
          <w:szCs w:val="19"/>
          <w:color w:val="auto"/>
        </w:rPr>
      </w:pPr>
    </w:p>
    <w:p>
      <w:pPr>
        <w:ind w:left="1840" w:hanging="547"/>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Restricted Payments that are made with Excluded Contributions;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47"/>
        <w:spacing w:after="0"/>
        <w:tabs>
          <w:tab w:leader="none" w:pos="18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 the declaration and payment of dividends on Designated Preferred Stock of the Company issued</w:t>
      </w:r>
    </w:p>
    <w:p>
      <w:pPr>
        <w:spacing w:after="0" w:line="92" w:lineRule="exact"/>
        <w:rPr>
          <w:rFonts w:ascii="Arial" w:cs="Arial" w:eastAsia="Arial" w:hAnsi="Arial"/>
          <w:sz w:val="19"/>
          <w:szCs w:val="19"/>
          <w:color w:val="auto"/>
        </w:rPr>
      </w:pPr>
    </w:p>
    <w:p>
      <w:pPr>
        <w:jc w:val="both"/>
        <w:ind w:right="1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after the Issue Date; and (ii) the declaration and payment of dividends on Refunding Capital Stock that is Preferred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case of clause (i), the amount of all dividends declared or paid pursuant to this clause shall not exceed the Net Cash Proceeds received by the Company</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0700"/>
          </w:cols>
          <w:pgMar w:left="900" w:top="1077" w:right="299" w:bottom="1440" w:gutter="0" w:footer="0" w:header="0"/>
        </w:sectPr>
      </w:pPr>
    </w:p>
    <w:bookmarkStart w:id="134" w:name="page135"/>
    <w:bookmarkEnd w:id="134"/>
    <w:p>
      <w:pPr>
        <w:ind w:left="660" w:right="40"/>
        <w:spacing w:after="0" w:line="338" w:lineRule="auto"/>
        <w:rPr>
          <w:sz w:val="20"/>
          <w:szCs w:val="20"/>
          <w:color w:val="auto"/>
        </w:rPr>
      </w:pPr>
      <w:r>
        <w:rPr>
          <w:rFonts w:ascii="Arial" w:cs="Arial" w:eastAsia="Arial" w:hAnsi="Arial"/>
          <w:sz w:val="19"/>
          <w:szCs w:val="19"/>
          <w:color w:val="auto"/>
        </w:rPr>
        <w:t xml:space="preserve">or the aggregate amount contributed in cash to the equity (other than through the issuance of Disqualified Stock or an Excluded Contribution of the Company), from the issuance or sale of such Designated Preferred Stock; </w:t>
      </w:r>
      <w:r>
        <w:rPr>
          <w:rFonts w:ascii="Arial" w:cs="Arial" w:eastAsia="Arial" w:hAnsi="Arial"/>
          <w:sz w:val="19"/>
          <w:szCs w:val="19"/>
          <w:u w:val="single" w:color="auto"/>
          <w:color w:val="auto"/>
        </w:rPr>
        <w:t>provided further</w:t>
      </w:r>
      <w:r>
        <w:rPr>
          <w:rFonts w:ascii="Arial" w:cs="Arial" w:eastAsia="Arial" w:hAnsi="Arial"/>
          <w:sz w:val="19"/>
          <w:szCs w:val="19"/>
          <w:color w:val="auto"/>
        </w:rPr>
        <w:t>, in the case of clauses (i) and (ii), that for the most recently ended four fiscal quarters for which internal financial statements are available immediately preceding the date of issuance of such Designated Preferred Stock or declaration of such dividends on such Refunding Capital Stock, after giving effect to such payment on a pro forma basis the Fixed Charge Coverage Ratio for the Company and its Restricted Subsidiaries is at least 2.00 to 1.00;</w:t>
      </w:r>
    </w:p>
    <w:p>
      <w:pPr>
        <w:spacing w:after="0" w:line="369" w:lineRule="exact"/>
        <w:rPr>
          <w:sz w:val="20"/>
          <w:szCs w:val="20"/>
          <w:color w:val="auto"/>
        </w:rPr>
      </w:pPr>
    </w:p>
    <w:p>
      <w:pPr>
        <w:ind w:left="660" w:right="280" w:firstLine="1293"/>
        <w:spacing w:after="0" w:line="315" w:lineRule="auto"/>
        <w:tabs>
          <w:tab w:leader="none" w:pos="249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dividends or other distributions of Capital Stock or other securities of, or Indebtedness owed to, the Company or a Restricted Subsidiary by, Unrestricted Subsidiaries;</w:t>
      </w:r>
    </w:p>
    <w:p>
      <w:pPr>
        <w:spacing w:after="0" w:line="375" w:lineRule="exact"/>
        <w:rPr>
          <w:rFonts w:ascii="Arial" w:cs="Arial" w:eastAsia="Arial" w:hAnsi="Arial"/>
          <w:sz w:val="22"/>
          <w:szCs w:val="22"/>
          <w:color w:val="auto"/>
        </w:rPr>
      </w:pPr>
    </w:p>
    <w:p>
      <w:pPr>
        <w:ind w:left="2500" w:hanging="547"/>
        <w:spacing w:after="0"/>
        <w:tabs>
          <w:tab w:leader="none" w:pos="25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distributions or payments of Special Purpose Financing Fees, sales contributions and other transfers of</w:t>
      </w:r>
    </w:p>
    <w:p>
      <w:pPr>
        <w:spacing w:after="0" w:line="92" w:lineRule="exact"/>
        <w:rPr>
          <w:rFonts w:ascii="Arial" w:cs="Arial" w:eastAsia="Arial" w:hAnsi="Arial"/>
          <w:sz w:val="19"/>
          <w:szCs w:val="19"/>
          <w:color w:val="auto"/>
        </w:rPr>
      </w:pPr>
    </w:p>
    <w:p>
      <w:pPr>
        <w:ind w:left="660" w:right="80"/>
        <w:spacing w:after="0" w:line="302" w:lineRule="auto"/>
        <w:rPr>
          <w:rFonts w:ascii="Arial" w:cs="Arial" w:eastAsia="Arial" w:hAnsi="Arial"/>
          <w:sz w:val="19"/>
          <w:szCs w:val="19"/>
          <w:color w:val="auto"/>
        </w:rPr>
      </w:pPr>
      <w:r>
        <w:rPr>
          <w:rFonts w:ascii="Arial" w:cs="Arial" w:eastAsia="Arial" w:hAnsi="Arial"/>
          <w:sz w:val="22"/>
          <w:szCs w:val="22"/>
          <w:color w:val="auto"/>
        </w:rPr>
        <w:t>receivables and purchases of receivables pursuant to a securitization repurchase obligation, in each case in connection with a Special Purpose Financing;</w:t>
      </w:r>
    </w:p>
    <w:p>
      <w:pPr>
        <w:spacing w:after="0" w:line="389" w:lineRule="exact"/>
        <w:rPr>
          <w:rFonts w:ascii="Arial" w:cs="Arial" w:eastAsia="Arial" w:hAnsi="Arial"/>
          <w:sz w:val="19"/>
          <w:szCs w:val="19"/>
          <w:color w:val="auto"/>
        </w:rPr>
      </w:pPr>
    </w:p>
    <w:p>
      <w:pPr>
        <w:ind w:left="2500" w:hanging="547"/>
        <w:spacing w:after="0"/>
        <w:tabs>
          <w:tab w:leader="none" w:pos="25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Restricted Payment made in connection with the Transactions and any costs and expenses</w:t>
      </w:r>
    </w:p>
    <w:p>
      <w:pPr>
        <w:spacing w:after="0" w:line="92" w:lineRule="exact"/>
        <w:rPr>
          <w:rFonts w:ascii="Arial" w:cs="Arial" w:eastAsia="Arial" w:hAnsi="Arial"/>
          <w:sz w:val="19"/>
          <w:szCs w:val="19"/>
          <w:color w:val="auto"/>
        </w:rPr>
      </w:pPr>
    </w:p>
    <w:p>
      <w:pPr>
        <w:ind w:left="660" w:right="60"/>
        <w:spacing w:after="0" w:line="292" w:lineRule="auto"/>
        <w:rPr>
          <w:rFonts w:ascii="Arial" w:cs="Arial" w:eastAsia="Arial" w:hAnsi="Arial"/>
          <w:sz w:val="19"/>
          <w:szCs w:val="19"/>
          <w:color w:val="auto"/>
        </w:rPr>
      </w:pPr>
      <w:r>
        <w:rPr>
          <w:rFonts w:ascii="Arial" w:cs="Arial" w:eastAsia="Arial" w:hAnsi="Arial"/>
          <w:sz w:val="22"/>
          <w:szCs w:val="22"/>
          <w:color w:val="auto"/>
        </w:rPr>
        <w:t>(including all legal, accounting and other professional fees and expenses) related thereto or used to fund amounts owed to Affiliates in connection with the Transactions (including dividends to any Parent Entity of the Company to permit payment by such Parent Entity of such amounts);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500" w:hanging="547"/>
        <w:spacing w:after="0"/>
        <w:tabs>
          <w:tab w:leader="none" w:pos="25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 Restricted Payments (including loans or advances) in an aggregate amount outstanding at the time</w:t>
      </w:r>
    </w:p>
    <w:p>
      <w:pPr>
        <w:spacing w:after="0" w:line="92" w:lineRule="exact"/>
        <w:rPr>
          <w:rFonts w:ascii="Arial" w:cs="Arial" w:eastAsia="Arial" w:hAnsi="Arial"/>
          <w:sz w:val="19"/>
          <w:szCs w:val="19"/>
          <w:color w:val="auto"/>
        </w:rPr>
      </w:pPr>
    </w:p>
    <w:p>
      <w:pPr>
        <w:ind w:left="660" w:right="140"/>
        <w:spacing w:after="0" w:line="288" w:lineRule="auto"/>
        <w:rPr>
          <w:rFonts w:ascii="Arial" w:cs="Arial" w:eastAsia="Arial" w:hAnsi="Arial"/>
          <w:sz w:val="19"/>
          <w:szCs w:val="19"/>
          <w:color w:val="auto"/>
        </w:rPr>
      </w:pPr>
      <w:r>
        <w:rPr>
          <w:rFonts w:ascii="Arial" w:cs="Arial" w:eastAsia="Arial" w:hAnsi="Arial"/>
          <w:sz w:val="22"/>
          <w:szCs w:val="22"/>
          <w:color w:val="auto"/>
        </w:rPr>
        <w:t>made not to exceed the greater of $250.0 million and 1.5% of Total Assets at such time, and (ii) so long as no Default or Event of Default has occurred and is continuing (or would result therefrom) any Restricted Payments, so long as, after giving pro forma effect to the payment of any such Restricted Payment, the Consolidated Total Leverage Ratio shall be no greater than 4.0 to 1.00;</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500" w:hanging="547"/>
        <w:spacing w:after="0"/>
        <w:tabs>
          <w:tab w:leader="none" w:pos="25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mandatory redemptions of Disqualified Stock issued as a Restricted Payment or as consideration for a</w:t>
      </w:r>
    </w:p>
    <w:p>
      <w:pPr>
        <w:spacing w:after="0" w:line="92" w:lineRule="exact"/>
        <w:rPr>
          <w:rFonts w:ascii="Arial" w:cs="Arial" w:eastAsia="Arial" w:hAnsi="Arial"/>
          <w:sz w:val="19"/>
          <w:szCs w:val="19"/>
          <w:color w:val="auto"/>
        </w:rPr>
      </w:pPr>
    </w:p>
    <w:p>
      <w:pPr>
        <w:ind w:left="660" w:right="5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Permitted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redemptions are no greater than the amount that constituted a Restricted Payment or Permitted Investment; and</w:t>
      </w:r>
    </w:p>
    <w:p>
      <w:pPr>
        <w:spacing w:after="0" w:line="389" w:lineRule="exact"/>
        <w:rPr>
          <w:rFonts w:ascii="Arial" w:cs="Arial" w:eastAsia="Arial" w:hAnsi="Arial"/>
          <w:sz w:val="19"/>
          <w:szCs w:val="19"/>
          <w:color w:val="auto"/>
        </w:rPr>
      </w:pPr>
    </w:p>
    <w:p>
      <w:pPr>
        <w:ind w:left="660" w:right="40" w:firstLine="1293"/>
        <w:spacing w:after="0" w:line="315" w:lineRule="auto"/>
        <w:tabs>
          <w:tab w:leader="none" w:pos="249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distributions by a Special Purpose Entity to its partners pursuant to a financing arrangement solely out of the cash flows of such Special Purpose Entity.</w:t>
      </w:r>
    </w:p>
    <w:p>
      <w:pPr>
        <w:spacing w:after="0" w:line="376" w:lineRule="exact"/>
        <w:rPr>
          <w:sz w:val="20"/>
          <w:szCs w:val="20"/>
          <w:color w:val="auto"/>
        </w:rPr>
      </w:pPr>
    </w:p>
    <w:p>
      <w:pPr>
        <w:ind w:right="200" w:firstLine="648"/>
        <w:spacing w:after="0" w:line="302" w:lineRule="auto"/>
        <w:rPr>
          <w:sz w:val="20"/>
          <w:szCs w:val="20"/>
          <w:color w:val="auto"/>
        </w:rPr>
      </w:pPr>
      <w:r>
        <w:rPr>
          <w:rFonts w:ascii="Arial" w:cs="Arial" w:eastAsia="Arial" w:hAnsi="Arial"/>
          <w:sz w:val="22"/>
          <w:szCs w:val="22"/>
          <w:color w:val="auto"/>
        </w:rPr>
        <w:t xml:space="preserve">For purposes of determining compliance with this </w:t>
      </w:r>
      <w:r>
        <w:rPr>
          <w:rFonts w:ascii="Arial" w:cs="Arial" w:eastAsia="Arial" w:hAnsi="Arial"/>
          <w:sz w:val="22"/>
          <w:szCs w:val="22"/>
          <w:u w:val="single" w:color="auto"/>
          <w:color w:val="auto"/>
        </w:rPr>
        <w:t>Section 3.3</w:t>
      </w:r>
      <w:r>
        <w:rPr>
          <w:rFonts w:ascii="Arial" w:cs="Arial" w:eastAsia="Arial" w:hAnsi="Arial"/>
          <w:sz w:val="22"/>
          <w:szCs w:val="22"/>
          <w:color w:val="auto"/>
        </w:rPr>
        <w:t>, in the event that a Restricted Payment meets the criteria of more than one of the categories of Permitted Payments</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360"/>
          </w:cols>
          <w:pgMar w:left="240" w:top="1077" w:right="299" w:bottom="1440" w:gutter="0" w:footer="0" w:header="0"/>
        </w:sectPr>
      </w:pPr>
    </w:p>
    <w:bookmarkStart w:id="135" w:name="page136"/>
    <w:bookmarkEnd w:id="135"/>
    <w:p>
      <w:pPr>
        <w:ind w:right="520"/>
        <w:spacing w:after="0" w:line="292" w:lineRule="auto"/>
        <w:rPr>
          <w:sz w:val="20"/>
          <w:szCs w:val="20"/>
          <w:color w:val="auto"/>
        </w:rPr>
      </w:pPr>
      <w:r>
        <w:rPr>
          <w:rFonts w:ascii="Arial" w:cs="Arial" w:eastAsia="Arial" w:hAnsi="Arial"/>
          <w:sz w:val="22"/>
          <w:szCs w:val="22"/>
          <w:color w:val="auto"/>
        </w:rPr>
        <w:t xml:space="preserve">described in clauses (1) through (19) above, or is permitted pursuant to paragraph (a) of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the Company will be entitled to classify such Restricted Payment (or portion thereof) on the date of its payment or later reclassify such Restricted Payment (or portion thereof) in any manner that complies with this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18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Limitation on Sales of Assets and Subsidiary Stock</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Company shall not, and shall not permit any of its Restricted Subsidiaries to, make any Asset Disposition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Company or such Restricted Subsidiary, as the case may be, receives consideration (including by</w:t>
      </w:r>
    </w:p>
    <w:p>
      <w:pPr>
        <w:spacing w:after="0" w:line="92" w:lineRule="exact"/>
        <w:rPr>
          <w:rFonts w:ascii="Arial" w:cs="Arial" w:eastAsia="Arial" w:hAnsi="Arial"/>
          <w:sz w:val="19"/>
          <w:szCs w:val="19"/>
          <w:color w:val="auto"/>
        </w:rPr>
      </w:pPr>
    </w:p>
    <w:p>
      <w:pPr>
        <w:ind w:left="660" w:right="40"/>
        <w:spacing w:after="0" w:line="306" w:lineRule="auto"/>
        <w:rPr>
          <w:rFonts w:ascii="Arial" w:cs="Arial" w:eastAsia="Arial" w:hAnsi="Arial"/>
          <w:sz w:val="19"/>
          <w:szCs w:val="19"/>
          <w:color w:val="auto"/>
        </w:rPr>
      </w:pPr>
      <w:r>
        <w:rPr>
          <w:rFonts w:ascii="Arial" w:cs="Arial" w:eastAsia="Arial" w:hAnsi="Arial"/>
          <w:sz w:val="21"/>
          <w:szCs w:val="21"/>
          <w:color w:val="auto"/>
        </w:rPr>
        <w:t>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any such Asset Disposition, or series of related Asset Dispositions (except to the extent the Asset</w:t>
      </w:r>
    </w:p>
    <w:p>
      <w:pPr>
        <w:spacing w:after="0" w:line="92" w:lineRule="exact"/>
        <w:rPr>
          <w:rFonts w:ascii="Arial" w:cs="Arial" w:eastAsia="Arial" w:hAnsi="Arial"/>
          <w:sz w:val="19"/>
          <w:szCs w:val="19"/>
          <w:color w:val="auto"/>
        </w:rPr>
      </w:pPr>
    </w:p>
    <w:p>
      <w:pPr>
        <w:ind w:left="660" w:right="180"/>
        <w:spacing w:after="0" w:line="301" w:lineRule="auto"/>
        <w:rPr>
          <w:rFonts w:ascii="Arial" w:cs="Arial" w:eastAsia="Arial" w:hAnsi="Arial"/>
          <w:sz w:val="19"/>
          <w:szCs w:val="19"/>
          <w:color w:val="auto"/>
        </w:rPr>
      </w:pPr>
      <w:r>
        <w:rPr>
          <w:rFonts w:ascii="Arial" w:cs="Arial" w:eastAsia="Arial" w:hAnsi="Arial"/>
          <w:sz w:val="21"/>
          <w:szCs w:val="21"/>
          <w:color w:val="auto"/>
        </w:rPr>
        <w:t>Disposition is a Permitted Asset Swap) with a purchase price in excess of $50.0 million, other than in a sale of the Budget Truck Division for fair market value, at least 75% of the consideration from such Asset Disposition (including by way of relief from, or by any other Person assuming responsibility for, any liabilities, contingent or otherwise), together with all other Asset Dispositions since the Issue Date (on a cumulative basis), received by the Company or such Restricted Subsidiary, as the case may be, together with all other Asset Dispositions since the Issue Date (on a cumulative basis) is in the form of cash or Cash Equivalents; and</w:t>
      </w:r>
    </w:p>
    <w:p>
      <w:pPr>
        <w:spacing w:after="0" w:line="397" w:lineRule="exact"/>
        <w:rPr>
          <w:rFonts w:ascii="Arial" w:cs="Arial" w:eastAsia="Arial" w:hAnsi="Arial"/>
          <w:sz w:val="19"/>
          <w:szCs w:val="19"/>
          <w:color w:val="auto"/>
        </w:rPr>
      </w:pPr>
    </w:p>
    <w:p>
      <w:pPr>
        <w:ind w:left="2380" w:hanging="427"/>
        <w:spacing w:after="0"/>
        <w:tabs>
          <w:tab w:leader="none" w:pos="23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 amount equal to 100% of the Net Available Cash from such Asset Disposition is applied: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1077" w:right="239" w:bottom="1440" w:gutter="0" w:footer="0" w:header="0"/>
        </w:sectPr>
      </w:pPr>
    </w:p>
    <w:bookmarkStart w:id="136" w:name="page137"/>
    <w:bookmarkEnd w:id="136"/>
    <w:p>
      <w:pPr>
        <w:ind w:left="3080" w:hanging="479"/>
        <w:spacing w:after="0"/>
        <w:tabs>
          <w:tab w:leader="none" w:pos="308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to the extent the Company or any Restricted Subsidiary, as the case may be, elects (or is</w:t>
      </w:r>
    </w:p>
    <w:p>
      <w:pPr>
        <w:spacing w:after="0" w:line="69" w:lineRule="exact"/>
        <w:rPr>
          <w:rFonts w:ascii="Arial" w:cs="Arial" w:eastAsia="Arial" w:hAnsi="Arial"/>
          <w:sz w:val="21"/>
          <w:szCs w:val="21"/>
          <w:color w:val="auto"/>
        </w:rPr>
      </w:pPr>
    </w:p>
    <w:p>
      <w:pPr>
        <w:ind w:left="660" w:right="20"/>
        <w:spacing w:after="0" w:line="331" w:lineRule="auto"/>
        <w:rPr>
          <w:rFonts w:ascii="Arial" w:cs="Arial" w:eastAsia="Arial" w:hAnsi="Arial"/>
          <w:sz w:val="21"/>
          <w:szCs w:val="21"/>
          <w:color w:val="auto"/>
        </w:rPr>
      </w:pPr>
      <w:r>
        <w:rPr>
          <w:rFonts w:ascii="Arial" w:cs="Arial" w:eastAsia="Arial" w:hAnsi="Arial"/>
          <w:sz w:val="19"/>
          <w:szCs w:val="19"/>
          <w:color w:val="auto"/>
        </w:rPr>
        <w:t xml:space="preserve">required by the terms of any Indebtedness), (i) to prepay, repay or purchase any Indebtedness of a Non-Guarantor, any Indebtedness that is secured by a Lien (in each case, other than Indebtedness owed to the Company or any Restricted Subsidiary) or Indebtedness under the Credit Agreement (or any Refinancing Indebtedness in respect thereof) within 365 days from the later of (A) the date of such Asset Disposition and (B)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prepayment, repayment or purchase of Indebtedness pursuant to this clause (i), the Company or Restricted Subsidiary shall retire such Indebtedness and shall cause the related commitment (if any) to be reduced in an amount equal to the principal amount so prepaid, repaid or purchased or (ii) to prepay, repay or purchase Pari Passu Indebtedness at a price of no more than 100% of the principal amount of such Pari Passu Indebtedness plus accrued and unpaid interest to the date of such prepayment, repayment or purchase;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the Company redeems, repays or repurchases Pari Passu Indebtedness pursuant to this clause (ii), the Company shall equally and ratably reduce Obligations under the Notes as provided under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and/or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0" w:lineRule="exact"/>
        <w:rPr>
          <w:rFonts w:ascii="Arial" w:cs="Arial" w:eastAsia="Arial" w:hAnsi="Arial"/>
          <w:sz w:val="21"/>
          <w:szCs w:val="21"/>
          <w:color w:val="auto"/>
        </w:rPr>
      </w:pPr>
    </w:p>
    <w:p>
      <w:pPr>
        <w:ind w:left="3060" w:hanging="459"/>
        <w:spacing w:after="0"/>
        <w:tabs>
          <w:tab w:leader="none" w:pos="30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to the extent the Company or any Restricted Subsidiary elects, to invest in or commit to invest</w:t>
      </w:r>
    </w:p>
    <w:p>
      <w:pPr>
        <w:spacing w:after="0" w:line="92" w:lineRule="exact"/>
        <w:rPr>
          <w:rFonts w:ascii="Arial" w:cs="Arial" w:eastAsia="Arial" w:hAnsi="Arial"/>
          <w:sz w:val="19"/>
          <w:szCs w:val="19"/>
          <w:color w:val="auto"/>
        </w:rPr>
      </w:pPr>
    </w:p>
    <w:p>
      <w:pPr>
        <w:ind w:left="66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in Additional Assets (including by means of an investment in Additional Assets by a Restricted Subsidiary with Net Available Cash received by the Company or another Restricted Subsidiary) within 365 days from the later of (i) the date of such Asset Disposition and (ii)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binding agreement shall be treated as a permitted application of Net Available Cash from the date of such commitment with the good faith expectation that such Net Available Cash will be applied to satisfy such commitment within 180 days of such commitment;</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 that</w:t>
      </w:r>
      <w:r>
        <w:rPr>
          <w:rFonts w:ascii="Arial" w:cs="Arial" w:eastAsia="Arial" w:hAnsi="Arial"/>
          <w:sz w:val="19"/>
          <w:szCs w:val="19"/>
          <w:color w:val="auto"/>
        </w:rPr>
        <w:t>, pending the final application of the amount of any such Net Available Cash in accordance with clause (A) or clause</w:t>
      </w:r>
    </w:p>
    <w:p>
      <w:pPr>
        <w:spacing w:after="0" w:line="79" w:lineRule="exact"/>
        <w:rPr>
          <w:sz w:val="20"/>
          <w:szCs w:val="20"/>
          <w:color w:val="auto"/>
        </w:rPr>
      </w:pPr>
    </w:p>
    <w:p>
      <w:pPr>
        <w:ind w:right="140" w:firstLine="8"/>
        <w:spacing w:after="0" w:line="302" w:lineRule="auto"/>
        <w:tabs>
          <w:tab w:leader="none" w:pos="34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above, the Company and its Restricted Subsidiaries may temporarily reduce Indebtedness or otherwise use such Net Available Cash in any manner not prohibited by this Indenture.</w:t>
      </w:r>
    </w:p>
    <w:p>
      <w:pPr>
        <w:spacing w:after="0" w:line="349" w:lineRule="exact"/>
        <w:rPr>
          <w:rFonts w:ascii="Arial" w:cs="Arial" w:eastAsia="Arial" w:hAnsi="Arial"/>
          <w:sz w:val="22"/>
          <w:szCs w:val="22"/>
          <w:color w:val="auto"/>
        </w:rPr>
      </w:pPr>
    </w:p>
    <w:p>
      <w:pPr>
        <w:ind w:left="1740" w:hanging="435"/>
        <w:spacing w:after="0"/>
        <w:tabs>
          <w:tab w:leader="none" w:pos="174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amount of any Net Available Cash from Asset Dispositions that is not applied or invested or committed to</w:t>
      </w:r>
    </w:p>
    <w:p>
      <w:pPr>
        <w:spacing w:after="0" w:line="92" w:lineRule="exact"/>
        <w:rPr>
          <w:rFonts w:ascii="Arial" w:cs="Arial" w:eastAsia="Arial" w:hAnsi="Arial"/>
          <w:sz w:val="19"/>
          <w:szCs w:val="19"/>
          <w:color w:val="auto"/>
        </w:rPr>
      </w:pPr>
    </w:p>
    <w:p>
      <w:pPr>
        <w:ind w:right="60"/>
        <w:spacing w:after="0" w:line="302" w:lineRule="auto"/>
        <w:rPr>
          <w:rFonts w:ascii="Arial" w:cs="Arial" w:eastAsia="Arial" w:hAnsi="Arial"/>
          <w:sz w:val="19"/>
          <w:szCs w:val="19"/>
          <w:color w:val="auto"/>
        </w:rPr>
      </w:pPr>
      <w:r>
        <w:rPr>
          <w:rFonts w:ascii="Arial" w:cs="Arial" w:eastAsia="Arial" w:hAnsi="Arial"/>
          <w:sz w:val="22"/>
          <w:szCs w:val="22"/>
          <w:color w:val="auto"/>
        </w:rPr>
        <w:t>be applied or invested as provided in the preceding paragraph will be deemed to constitute “</w:t>
      </w:r>
      <w:r>
        <w:rPr>
          <w:rFonts w:ascii="Arial" w:cs="Arial" w:eastAsia="Arial" w:hAnsi="Arial"/>
          <w:sz w:val="22"/>
          <w:szCs w:val="22"/>
          <w:u w:val="single" w:color="auto"/>
          <w:color w:val="auto"/>
        </w:rPr>
        <w:t>Excess Proceeds</w:t>
      </w:r>
      <w:r>
        <w:rPr>
          <w:rFonts w:ascii="Arial" w:cs="Arial" w:eastAsia="Arial" w:hAnsi="Arial"/>
          <w:sz w:val="22"/>
          <w:szCs w:val="22"/>
          <w:color w:val="auto"/>
        </w:rPr>
        <w:t>” under this Indenture. On the 366th</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00"/>
          </w:cols>
          <w:pgMar w:left="240" w:top="1077" w:right="259" w:bottom="1440" w:gutter="0" w:footer="0" w:header="0"/>
        </w:sectPr>
      </w:pPr>
    </w:p>
    <w:bookmarkStart w:id="137" w:name="page138"/>
    <w:bookmarkEnd w:id="137"/>
    <w:p>
      <w:pPr>
        <w:spacing w:after="0" w:line="330" w:lineRule="auto"/>
        <w:rPr>
          <w:sz w:val="20"/>
          <w:szCs w:val="20"/>
          <w:color w:val="auto"/>
        </w:rPr>
      </w:pPr>
      <w:r>
        <w:rPr>
          <w:rFonts w:ascii="Arial" w:cs="Arial" w:eastAsia="Arial" w:hAnsi="Arial"/>
          <w:sz w:val="19"/>
          <w:szCs w:val="19"/>
          <w:color w:val="auto"/>
        </w:rPr>
        <w:t>day after the later of an Asset Disposition or the receipt of such Net Available Cash, if the aggregate amount of Excess Proceeds under this Indenture exceeds (i) $100.0 million, in the case of a single transaction or a series of related transactions, or (ii) $200.0 million aggregate amount in any fiscal year, the Company shall within 10 Business Days be required to make an offer (“</w:t>
      </w:r>
      <w:r>
        <w:rPr>
          <w:rFonts w:ascii="Arial" w:cs="Arial" w:eastAsia="Arial" w:hAnsi="Arial"/>
          <w:sz w:val="19"/>
          <w:szCs w:val="19"/>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Disposition Offer</w:t>
      </w:r>
      <w:r>
        <w:rPr>
          <w:rFonts w:ascii="Arial" w:cs="Arial" w:eastAsia="Arial" w:hAnsi="Arial"/>
          <w:sz w:val="19"/>
          <w:szCs w:val="19"/>
          <w:color w:val="auto"/>
        </w:rPr>
        <w:t>”) to all Holders of Notes issued under this Indenture and, to the extent the Company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100% of the principal amount of the Notes and Pari Passu Indebtedness, in each case, plus accrued and unpaid interest, if any, to, but not including, the date of purchase, in accordance with the procedures set forth in this Indenture or the agreements governing the Pari Passu Indebtedness, as applicable, and, with respect to the Notes, in minimum denominations of $2,000 and in integral multiples of $1,000 in excess thereof. The Company shall deliver notice of such Asset Disposition Offer electronically or by first-class mail, with a copy to the Trustee, to each Holder of Notes at the address of such Holder appearing in the Notes Register or otherwise in accordance with the procedures of DTC, describing the transaction or transactions that constitute the Asset Disposition and offering to repurchase the Notes for the specified purchase price on the date specified in the notice, which date will be no earlier than 30 days and no later than 60 days from the date such notice is delivered, pursuant to the procedures required by this Indenture and described in such notice. The Company may satisfy the foregoing obligations with respect to any Net Available Cash from an Asset Disposition by making an Asset Disposition Offer with respect to all Net Available Cash prior to the expiration of the relevant 365 days (or such longer period provided above) or with respect to any unapplied Excess Proceeds.</w:t>
      </w:r>
    </w:p>
    <w:p>
      <w:pPr>
        <w:spacing w:after="0" w:line="376" w:lineRule="exact"/>
        <w:rPr>
          <w:sz w:val="20"/>
          <w:szCs w:val="20"/>
          <w:color w:val="auto"/>
        </w:rPr>
      </w:pPr>
    </w:p>
    <w:p>
      <w:pPr>
        <w:ind w:left="1720" w:hanging="415"/>
        <w:spacing w:after="0"/>
        <w:tabs>
          <w:tab w:leader="none" w:pos="172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To the extent that the aggregate amount of Notes and Pari Passu Indebtedness so validly tendered and not</w:t>
      </w:r>
    </w:p>
    <w:p>
      <w:pPr>
        <w:spacing w:after="0" w:line="92" w:lineRule="exact"/>
        <w:rPr>
          <w:rFonts w:ascii="Arial" w:cs="Arial" w:eastAsia="Arial" w:hAnsi="Arial"/>
          <w:sz w:val="19"/>
          <w:szCs w:val="19"/>
          <w:color w:val="auto"/>
        </w:rPr>
      </w:pPr>
    </w:p>
    <w:p>
      <w:pPr>
        <w:ind w:right="20"/>
        <w:spacing w:after="0" w:line="298" w:lineRule="auto"/>
        <w:rPr>
          <w:rFonts w:ascii="Arial" w:cs="Arial" w:eastAsia="Arial" w:hAnsi="Arial"/>
          <w:sz w:val="19"/>
          <w:szCs w:val="19"/>
          <w:color w:val="auto"/>
        </w:rPr>
      </w:pPr>
      <w:r>
        <w:rPr>
          <w:rFonts w:ascii="Arial" w:cs="Arial" w:eastAsia="Arial" w:hAnsi="Arial"/>
          <w:sz w:val="21"/>
          <w:szCs w:val="21"/>
          <w:color w:val="auto"/>
        </w:rPr>
        <w:t>properly withdrawn pursuant to an Asset Disposition Offer is less than the Excess Proceeds, the Company may use any remaining Excess Proceeds for any purpose not prohibited by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provided that no Notes or other Pari Passu Indebtedness will be selected and purchased in an unauthorized denomination. Upon completion of any Asset Disposition Offer, the amount of Excess Proceeds shall be reset at zero. Additionally, the Company may, at its option, make an Asset Disposition Offer using proceeds from any Asset Disposition at any time after the consummation of such Asset Disposition. Upon consummation or expiration of any Asset Disposition Offer, any remaining Net Available Cash shall not be deemed Excess Proceeds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1077"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and the Company may use such Net Available Cash for any purpose not prohibited by this Indenture.</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To the extent that any portion of Net Available Cash payable in respect of the Notes is denominated in a</w:t>
      </w:r>
    </w:p>
    <w:p>
      <w:pPr>
        <w:spacing w:after="0" w:line="69" w:lineRule="exact"/>
        <w:rPr>
          <w:rFonts w:ascii="Arial" w:cs="Arial" w:eastAsia="Arial" w:hAnsi="Arial"/>
          <w:sz w:val="21"/>
          <w:szCs w:val="21"/>
          <w:color w:val="auto"/>
        </w:rPr>
      </w:pPr>
    </w:p>
    <w:p>
      <w:pPr>
        <w:ind w:right="400"/>
        <w:spacing w:after="0" w:line="328" w:lineRule="auto"/>
        <w:rPr>
          <w:rFonts w:ascii="Arial" w:cs="Arial" w:eastAsia="Arial" w:hAnsi="Arial"/>
          <w:sz w:val="21"/>
          <w:szCs w:val="21"/>
          <w:color w:val="auto"/>
        </w:rPr>
      </w:pPr>
      <w:r>
        <w:rPr>
          <w:rFonts w:ascii="Arial" w:cs="Arial" w:eastAsia="Arial" w:hAnsi="Arial"/>
          <w:sz w:val="21"/>
          <w:szCs w:val="21"/>
          <w:color w:val="auto"/>
        </w:rPr>
        <w:t>currency other than U.S. dollars, the amount thereof payable in respect of the Notes shall not exceed the net amount of funds in U.S. dollars that is actually received by the Company upon converting such portion into U.S. dollars.</w:t>
      </w:r>
    </w:p>
    <w:p>
      <w:pPr>
        <w:spacing w:after="0" w:line="366" w:lineRule="exact"/>
        <w:rPr>
          <w:rFonts w:ascii="Arial" w:cs="Arial" w:eastAsia="Arial" w:hAnsi="Arial"/>
          <w:sz w:val="21"/>
          <w:szCs w:val="21"/>
          <w:color w:val="auto"/>
        </w:rPr>
      </w:pPr>
    </w:p>
    <w:p>
      <w:pPr>
        <w:ind w:left="1720" w:hanging="415"/>
        <w:spacing w:after="0"/>
        <w:tabs>
          <w:tab w:leader="none" w:pos="17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w:t>
      </w:r>
      <w:r>
        <w:rPr>
          <w:rFonts w:ascii="Arial" w:cs="Arial" w:eastAsia="Arial" w:hAnsi="Arial"/>
          <w:sz w:val="19"/>
          <w:szCs w:val="19"/>
          <w:u w:val="single" w:color="auto"/>
          <w:color w:val="auto"/>
        </w:rPr>
        <w:t>Section 3.5</w:t>
      </w:r>
      <w:r>
        <w:rPr>
          <w:rFonts w:ascii="Arial" w:cs="Arial" w:eastAsia="Arial" w:hAnsi="Arial"/>
          <w:sz w:val="19"/>
          <w:szCs w:val="19"/>
          <w:color w:val="auto"/>
        </w:rPr>
        <w:t>, (i) to the extent that any of or all the Net Available</w:t>
      </w:r>
    </w:p>
    <w:p>
      <w:pPr>
        <w:spacing w:after="0" w:line="92" w:lineRule="exact"/>
        <w:rPr>
          <w:rFonts w:ascii="Arial" w:cs="Arial" w:eastAsia="Arial" w:hAnsi="Arial"/>
          <w:sz w:val="19"/>
          <w:szCs w:val="19"/>
          <w:color w:val="auto"/>
        </w:rPr>
      </w:pPr>
    </w:p>
    <w:p>
      <w:pPr>
        <w:spacing w:after="0" w:line="331" w:lineRule="auto"/>
        <w:rPr>
          <w:rFonts w:ascii="Arial" w:cs="Arial" w:eastAsia="Arial" w:hAnsi="Arial"/>
          <w:sz w:val="19"/>
          <w:szCs w:val="19"/>
          <w:color w:val="auto"/>
        </w:rPr>
      </w:pPr>
      <w:r>
        <w:rPr>
          <w:rFonts w:ascii="Arial" w:cs="Arial" w:eastAsia="Arial" w:hAnsi="Arial"/>
          <w:sz w:val="19"/>
          <w:szCs w:val="19"/>
          <w:color w:val="auto"/>
        </w:rPr>
        <w:t>Cash of any Asset Disposition by a Foreign Subsidiary (a “</w:t>
      </w:r>
      <w:r>
        <w:rPr>
          <w:rFonts w:ascii="Arial" w:cs="Arial" w:eastAsia="Arial" w:hAnsi="Arial"/>
          <w:sz w:val="19"/>
          <w:szCs w:val="19"/>
          <w:u w:val="single" w:color="auto"/>
          <w:color w:val="auto"/>
        </w:rPr>
        <w:t>Foreign Disposition</w:t>
      </w:r>
      <w:r>
        <w:rPr>
          <w:rFonts w:ascii="Arial" w:cs="Arial" w:eastAsia="Arial" w:hAnsi="Arial"/>
          <w:sz w:val="19"/>
          <w:szCs w:val="19"/>
          <w:color w:val="auto"/>
        </w:rPr>
        <w:t xml:space="preserve">”) is prohibited or delayed by applicable local law from being repatriated to the United States, the portion of such Net Available Cash so affected will not be required to be applied in compliance with this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such amounts may be retained by the applicable Foreign Subsidiary so long, but only so long, as the applicable local law will not permit repatriation to the United States (the Company hereby agreeing to cause the applicable Foreign Subsidiary to promptly take all commercially reasonable actions available under the applicable local law to permit such repatriation), and once such repatriation of any of such affected Net Available Cash is permitted under the applicable local law, such repatriation will be promptly effected and such repatriated Net Available Cash will be promptly (and in any event not later than three (3) Business Days after such repatriation) applied (net of additional Taxes payable or reserved against as a result thereof) in compliance with this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(ii) to the extent that the Company has determined in good faith that repatriation of any of or all the Net Available Cash of any Foreign Disposition would have an adverse Tax consequence (which for the avoidance of doubt, includes, but is not limited to, any repatriation whereby doing so the Company, any Restricted Subsidiary, or any of their respective affiliates and/or equity owners would incur a tax liability, including as a result of a dividend or deemed dividend, or a withholding tax, but taking into account any foreign tax credit or benefit received in connection with such repatriation) with respect to such Net Available Cash, the Net Available Cash so affected may be retained by the applicable Foreign Subsidiary.</w:t>
      </w:r>
    </w:p>
    <w:p>
      <w:pPr>
        <w:spacing w:after="0" w:line="373" w:lineRule="exact"/>
        <w:rPr>
          <w:rFonts w:ascii="Arial" w:cs="Arial" w:eastAsia="Arial" w:hAnsi="Arial"/>
          <w:sz w:val="19"/>
          <w:szCs w:val="19"/>
          <w:color w:val="auto"/>
        </w:rPr>
      </w:pPr>
    </w:p>
    <w:p>
      <w:pPr>
        <w:ind w:left="1700" w:hanging="395"/>
        <w:spacing w:after="0"/>
        <w:tabs>
          <w:tab w:leader="none" w:pos="17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For the purposes of </w:t>
      </w:r>
      <w:r>
        <w:rPr>
          <w:rFonts w:ascii="Arial" w:cs="Arial" w:eastAsia="Arial" w:hAnsi="Arial"/>
          <w:sz w:val="22"/>
          <w:szCs w:val="22"/>
          <w:u w:val="single" w:color="auto"/>
          <w:color w:val="auto"/>
        </w:rPr>
        <w:t>Section 3.5(a)(2)</w:t>
      </w:r>
      <w:r>
        <w:rPr>
          <w:rFonts w:ascii="Arial" w:cs="Arial" w:eastAsia="Arial" w:hAnsi="Arial"/>
          <w:sz w:val="22"/>
          <w:szCs w:val="22"/>
          <w:color w:val="auto"/>
        </w:rPr>
        <w:t>, the following will be deemed to be cash:</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the assumption by the transferee of Indebtedness or other liabilities contingent or otherwise of the</w:t>
      </w:r>
    </w:p>
    <w:p>
      <w:pPr>
        <w:spacing w:after="0" w:line="92" w:lineRule="exact"/>
        <w:rPr>
          <w:rFonts w:ascii="Arial" w:cs="Arial" w:eastAsia="Arial" w:hAnsi="Arial"/>
          <w:sz w:val="19"/>
          <w:szCs w:val="19"/>
          <w:color w:val="auto"/>
        </w:rPr>
      </w:pPr>
    </w:p>
    <w:p>
      <w:pPr>
        <w:ind w:left="660" w:right="40"/>
        <w:spacing w:after="0" w:line="292" w:lineRule="auto"/>
        <w:rPr>
          <w:rFonts w:ascii="Arial" w:cs="Arial" w:eastAsia="Arial" w:hAnsi="Arial"/>
          <w:sz w:val="19"/>
          <w:szCs w:val="19"/>
          <w:color w:val="auto"/>
        </w:rPr>
      </w:pPr>
      <w:r>
        <w:rPr>
          <w:rFonts w:ascii="Arial" w:cs="Arial" w:eastAsia="Arial" w:hAnsi="Arial"/>
          <w:sz w:val="22"/>
          <w:szCs w:val="22"/>
          <w:color w:val="auto"/>
        </w:rPr>
        <w:t>Company or a Restricted Subsidiary (other than Subordinated Indebtedness of the Company or a Subsidiary Guarantor) and the release of the Company or such Restricted Subsidiary from all liability on such Indebtedness or other liability in connection with such Asset Disposition;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00"/>
          </w:cols>
          <w:pgMar w:left="240" w:top="1077" w:right="259" w:bottom="1440" w:gutter="0" w:footer="0" w:header="0"/>
        </w:sectPr>
      </w:pPr>
    </w:p>
    <w:bookmarkStart w:id="139" w:name="page140"/>
    <w:bookmarkEnd w:id="139"/>
    <w:p>
      <w:pPr>
        <w:ind w:left="2380" w:hanging="427"/>
        <w:spacing w:after="0"/>
        <w:tabs>
          <w:tab w:leader="none" w:pos="238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securities, notes or other obligations received by the Company or any Restricted Subsidiary of the</w:t>
      </w:r>
    </w:p>
    <w:p>
      <w:pPr>
        <w:spacing w:after="0" w:line="92" w:lineRule="exact"/>
        <w:rPr>
          <w:rFonts w:ascii="Arial" w:cs="Arial" w:eastAsia="Arial" w:hAnsi="Arial"/>
          <w:sz w:val="19"/>
          <w:szCs w:val="19"/>
          <w:color w:val="auto"/>
        </w:rPr>
      </w:pPr>
    </w:p>
    <w:p>
      <w:pPr>
        <w:ind w:left="660" w:right="980"/>
        <w:spacing w:after="0" w:line="302" w:lineRule="auto"/>
        <w:rPr>
          <w:rFonts w:ascii="Arial" w:cs="Arial" w:eastAsia="Arial" w:hAnsi="Arial"/>
          <w:sz w:val="19"/>
          <w:szCs w:val="19"/>
          <w:color w:val="auto"/>
        </w:rPr>
      </w:pPr>
      <w:r>
        <w:rPr>
          <w:rFonts w:ascii="Arial" w:cs="Arial" w:eastAsia="Arial" w:hAnsi="Arial"/>
          <w:sz w:val="22"/>
          <w:szCs w:val="22"/>
          <w:color w:val="auto"/>
        </w:rPr>
        <w:t>Company from the transferee that are converted by the Company or such Restricted Subsidiary into cash or Cash Equivalents within 180 days following the closing of such Asset Disposition;</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Indebtedness of any Restricted Subsidiary that is no longer a Restricted Subsidiary as a result of such</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Asset Disposition, to the extent that the Company and each other Restricted Subsidiary are released from any Guarantee of payment of such Indebtedness in connection with such Asset Disposition;</w:t>
      </w:r>
    </w:p>
    <w:p>
      <w:pPr>
        <w:spacing w:after="0" w:line="389" w:lineRule="exact"/>
        <w:rPr>
          <w:rFonts w:ascii="Arial" w:cs="Arial" w:eastAsia="Arial" w:hAnsi="Arial"/>
          <w:sz w:val="19"/>
          <w:szCs w:val="19"/>
          <w:color w:val="auto"/>
        </w:rPr>
      </w:pPr>
    </w:p>
    <w:p>
      <w:pPr>
        <w:ind w:left="660" w:firstLine="1293"/>
        <w:spacing w:after="0" w:line="315" w:lineRule="auto"/>
        <w:tabs>
          <w:tab w:leader="none" w:pos="2389" w:val="left"/>
        </w:tabs>
        <w:numPr>
          <w:ilvl w:val="1"/>
          <w:numId w:val="155"/>
        </w:numPr>
        <w:rPr>
          <w:rFonts w:ascii="Arial" w:cs="Arial" w:eastAsia="Arial" w:hAnsi="Arial"/>
          <w:sz w:val="22"/>
          <w:szCs w:val="22"/>
          <w:color w:val="auto"/>
        </w:rPr>
      </w:pPr>
      <w:r>
        <w:rPr>
          <w:rFonts w:ascii="Arial" w:cs="Arial" w:eastAsia="Arial" w:hAnsi="Arial"/>
          <w:sz w:val="22"/>
          <w:szCs w:val="22"/>
          <w:color w:val="auto"/>
        </w:rPr>
        <w:t>consideration consisting of Indebtedness of the Company or any Restricted Subsidiary received after the Issue Date from Persons who are not the Company or any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any Designated Non-Cash Consideration received by the Company or any Restricted Subsidiary in such</w:t>
      </w:r>
    </w:p>
    <w:p>
      <w:pPr>
        <w:spacing w:after="0" w:line="92" w:lineRule="exact"/>
        <w:rPr>
          <w:rFonts w:ascii="Arial" w:cs="Arial" w:eastAsia="Arial" w:hAnsi="Arial"/>
          <w:sz w:val="19"/>
          <w:szCs w:val="19"/>
          <w:color w:val="auto"/>
        </w:rPr>
      </w:pPr>
    </w:p>
    <w:p>
      <w:pPr>
        <w:ind w:left="660" w:right="4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Asset Dispositions having an aggregate fair market value, taken together with all other Designated Non-Cash Consideration received pursuant to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that is at that time outstanding, not to exceed the greater of $300.0 million and 1.75% of Total Assets (with the fair market value of each item of Designated Non-Cash Consideration being measured at the time received and without giving effect to subsequent changes in value).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shall comply, to the extent applicable, with the requirements of Rule 14e-1 under the Exchange</w:t>
      </w:r>
    </w:p>
    <w:p>
      <w:pPr>
        <w:spacing w:after="0" w:line="92" w:lineRule="exact"/>
        <w:rPr>
          <w:rFonts w:ascii="Arial" w:cs="Arial" w:eastAsia="Arial" w:hAnsi="Arial"/>
          <w:sz w:val="19"/>
          <w:szCs w:val="19"/>
          <w:color w:val="auto"/>
        </w:rPr>
      </w:pPr>
    </w:p>
    <w:p>
      <w:pPr>
        <w:ind w:right="180"/>
        <w:spacing w:after="0" w:line="346" w:lineRule="auto"/>
        <w:rPr>
          <w:rFonts w:ascii="Arial" w:cs="Arial" w:eastAsia="Arial" w:hAnsi="Arial"/>
          <w:sz w:val="19"/>
          <w:szCs w:val="19"/>
          <w:color w:val="auto"/>
        </w:rPr>
      </w:pPr>
      <w:r>
        <w:rPr>
          <w:rFonts w:ascii="Arial" w:cs="Arial" w:eastAsia="Arial" w:hAnsi="Arial"/>
          <w:sz w:val="19"/>
          <w:szCs w:val="19"/>
          <w:color w:val="auto"/>
        </w:rPr>
        <w:t>Act and any other securities laws, rules and regulations thereunder to the extent such laws or regulations are applicable in connection with the repurchase of Notes pursuant to this covenant. To the extent that the provisions of any securities laws or regulations conflict with the provisions of this Indenture, the Company shall comply with the applicable securities laws, rules and regulations and shall not be deemed to have breached its obligations described in this Indenture by virtue thereof.</w:t>
      </w:r>
    </w:p>
    <w:p>
      <w:pPr>
        <w:spacing w:after="0" w:line="361"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The provisions of this Indenture relative to the Company’s obligation to make an offer to repurchase the Notes as a result of an Asset Disposition may be waived or modified with the written consent of the Holders of a majority in principal amount of the then outstanding Notes.</w:t>
      </w:r>
    </w:p>
    <w:p>
      <w:pPr>
        <w:spacing w:after="0" w:line="400" w:lineRule="exact"/>
        <w:rPr>
          <w:sz w:val="20"/>
          <w:szCs w:val="20"/>
          <w:color w:val="auto"/>
        </w:rPr>
      </w:pPr>
    </w:p>
    <w:p>
      <w:pPr>
        <w:ind w:right="140" w:firstLine="648"/>
        <w:spacing w:after="0" w:line="287" w:lineRule="auto"/>
        <w:rPr>
          <w:sz w:val="20"/>
          <w:szCs w:val="20"/>
          <w:color w:val="auto"/>
        </w:rPr>
      </w:pPr>
      <w:r>
        <w:rPr>
          <w:rFonts w:ascii="Arial" w:cs="Arial" w:eastAsia="Arial" w:hAnsi="Arial"/>
          <w:sz w:val="22"/>
          <w:szCs w:val="22"/>
          <w:color w:val="auto"/>
        </w:rPr>
        <w:t xml:space="preserve">The Credit Agreement may prohibit or limit, and future credit agreements or other agreements to which the Company becomes a party may prohibit or limit, the Company from purchasing any Notes pursuant to this </w:t>
      </w:r>
      <w:r>
        <w:rPr>
          <w:rFonts w:ascii="Arial" w:cs="Arial" w:eastAsia="Arial" w:hAnsi="Arial"/>
          <w:sz w:val="22"/>
          <w:szCs w:val="22"/>
          <w:u w:val="single" w:color="auto"/>
          <w:color w:val="auto"/>
        </w:rPr>
        <w:t>Section 3.5</w:t>
      </w:r>
      <w:r>
        <w:rPr>
          <w:rFonts w:ascii="Arial" w:cs="Arial" w:eastAsia="Arial" w:hAnsi="Arial"/>
          <w:sz w:val="22"/>
          <w:szCs w:val="22"/>
          <w:color w:val="auto"/>
        </w:rPr>
        <w:t>. In the event the Company is prohibited from purchasing the Notes, the Company could seek the consent of its lenders to the purchase of the Notes or could attempt to refinance the borrowings that contain such prohibition. If the Company does not obtain such consent or repay such borrowings, it will remain prohibited from</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00"/>
          </w:cols>
          <w:pgMar w:left="240" w:top="1077" w:right="259" w:bottom="1440" w:gutter="0" w:footer="0" w:header="0"/>
        </w:sectPr>
      </w:pPr>
    </w:p>
    <w:bookmarkStart w:id="140" w:name="page141"/>
    <w:bookmarkEnd w:id="140"/>
    <w:p>
      <w:pPr>
        <w:ind w:right="740"/>
        <w:spacing w:after="0" w:line="302" w:lineRule="auto"/>
        <w:rPr>
          <w:sz w:val="20"/>
          <w:szCs w:val="20"/>
          <w:color w:val="auto"/>
        </w:rPr>
      </w:pPr>
      <w:r>
        <w:rPr>
          <w:rFonts w:ascii="Arial" w:cs="Arial" w:eastAsia="Arial" w:hAnsi="Arial"/>
          <w:sz w:val="22"/>
          <w:szCs w:val="22"/>
          <w:color w:val="auto"/>
        </w:rPr>
        <w:t xml:space="preserve">purchasing the Notes. In such case, the Company’s failure to purchase tendered Notes would constitute an Event of Default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174" w:lineRule="exact"/>
        <w:rPr>
          <w:sz w:val="20"/>
          <w:szCs w:val="20"/>
          <w:color w:val="auto"/>
        </w:rPr>
      </w:pPr>
    </w:p>
    <w:p>
      <w:pPr>
        <w:jc w:val="both"/>
        <w:ind w:right="100" w:firstLine="648"/>
        <w:spacing w:after="0" w:line="364"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Limitation on Liens</w:t>
      </w:r>
      <w:r>
        <w:rPr>
          <w:rFonts w:ascii="Arial" w:cs="Arial" w:eastAsia="Arial" w:hAnsi="Arial"/>
          <w:sz w:val="19"/>
          <w:szCs w:val="19"/>
          <w:color w:val="auto"/>
        </w:rPr>
        <w:t>. The Company shall not, and shall not permit any Subsidiary Guarantor to, directly or indirectly, create, Incur or permit to exist any Lien (except Permitted Liens) (each, an “</w:t>
      </w:r>
      <w:r>
        <w:rPr>
          <w:rFonts w:ascii="Arial" w:cs="Arial" w:eastAsia="Arial" w:hAnsi="Arial"/>
          <w:sz w:val="19"/>
          <w:szCs w:val="19"/>
          <w:u w:val="single" w:color="auto"/>
          <w:color w:val="auto"/>
        </w:rPr>
        <w:t>Initial Lien</w:t>
      </w:r>
      <w:r>
        <w:rPr>
          <w:rFonts w:ascii="Arial" w:cs="Arial" w:eastAsia="Arial" w:hAnsi="Arial"/>
          <w:sz w:val="19"/>
          <w:szCs w:val="19"/>
          <w:color w:val="auto"/>
        </w:rPr>
        <w:t>”) that secures obligations under any Indebtedness or any related guarantee, on any asset or property of the Company or any Subsidiary Guarantor, unless:</w:t>
      </w:r>
    </w:p>
    <w:p>
      <w:pPr>
        <w:spacing w:after="0" w:line="343" w:lineRule="exact"/>
        <w:rPr>
          <w:sz w:val="20"/>
          <w:szCs w:val="20"/>
          <w:color w:val="auto"/>
        </w:rPr>
      </w:pPr>
    </w:p>
    <w:p>
      <w:pPr>
        <w:ind w:left="660" w:right="160" w:firstLine="1293"/>
        <w:spacing w:after="0" w:line="341" w:lineRule="auto"/>
        <w:tabs>
          <w:tab w:leader="none" w:pos="2389" w:val="left"/>
        </w:tabs>
        <w:numPr>
          <w:ilvl w:val="0"/>
          <w:numId w:val="157"/>
        </w:numPr>
        <w:rPr>
          <w:rFonts w:ascii="Arial" w:cs="Arial" w:eastAsia="Arial" w:hAnsi="Arial"/>
          <w:sz w:val="21"/>
          <w:szCs w:val="21"/>
          <w:color w:val="auto"/>
        </w:rPr>
      </w:pPr>
      <w:r>
        <w:rPr>
          <w:rFonts w:ascii="Arial" w:cs="Arial" w:eastAsia="Arial" w:hAnsi="Arial"/>
          <w:sz w:val="21"/>
          <w:szCs w:val="21"/>
          <w:color w:val="auto"/>
        </w:rPr>
        <w:t>in the case of Liens securing Subordinated Indebtedness, the Notes and related Guarantees are secured by a Lien on such property, assets or proceeds that is senior in priority to such Liens; or</w:t>
      </w:r>
    </w:p>
    <w:p>
      <w:pPr>
        <w:spacing w:after="0" w:line="353" w:lineRule="exact"/>
        <w:rPr>
          <w:rFonts w:ascii="Arial" w:cs="Arial" w:eastAsia="Arial" w:hAnsi="Arial"/>
          <w:sz w:val="21"/>
          <w:szCs w:val="21"/>
          <w:color w:val="auto"/>
        </w:rPr>
      </w:pPr>
    </w:p>
    <w:p>
      <w:pPr>
        <w:ind w:left="2380" w:hanging="427"/>
        <w:spacing w:after="0"/>
        <w:tabs>
          <w:tab w:leader="none" w:pos="23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all other cases, the Notes or the Subsidiary Guarantees are equally and ratably secured.</w:t>
      </w:r>
    </w:p>
    <w:p>
      <w:pPr>
        <w:spacing w:after="0" w:line="200" w:lineRule="exact"/>
        <w:rPr>
          <w:sz w:val="20"/>
          <w:szCs w:val="20"/>
          <w:color w:val="auto"/>
        </w:rPr>
      </w:pPr>
    </w:p>
    <w:p>
      <w:pPr>
        <w:spacing w:after="0" w:line="290" w:lineRule="exact"/>
        <w:rPr>
          <w:sz w:val="20"/>
          <w:szCs w:val="20"/>
          <w:color w:val="auto"/>
        </w:rPr>
      </w:pPr>
    </w:p>
    <w:p>
      <w:pPr>
        <w:ind w:right="80" w:firstLine="648"/>
        <w:spacing w:after="0" w:line="338" w:lineRule="auto"/>
        <w:rPr>
          <w:sz w:val="20"/>
          <w:szCs w:val="20"/>
          <w:color w:val="auto"/>
        </w:rPr>
      </w:pPr>
      <w:r>
        <w:rPr>
          <w:rFonts w:ascii="Arial" w:cs="Arial" w:eastAsia="Arial" w:hAnsi="Arial"/>
          <w:sz w:val="19"/>
          <w:szCs w:val="19"/>
          <w:color w:val="auto"/>
        </w:rPr>
        <w:t>Any Lien created for the benefit of the Holders of the Notes pursuant to the preceding sentence shall provide by its terms that such Lien shall be automatically and unconditionally released and discharged upon (i) the release and discharge of the Initial Lien or (ii) any sale, exchange or transfer (other than a transfer constituting a transfer of all or substantially all of the assets of the Company that is governed by the covenant described under “Merger and Consolidation”) to any Person other than the Company or a Subsidiary Guarantor of the property or assets secured by such Initial Lien, or of all of the Capital Stock held by the Company or any Subsidiary Guarantor in, or all or substantially all the assets of, any Subsidiary Guarantor creating such Initial Lien.</w:t>
      </w:r>
    </w:p>
    <w:p>
      <w:pPr>
        <w:spacing w:after="0" w:line="369"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2"/>
          <w:szCs w:val="22"/>
          <w:u w:val="single" w:color="auto"/>
          <w:color w:val="auto"/>
        </w:rPr>
        <w:t>Increased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9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Limitation on Subsidiary Guarantees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Company shall not permit any of its Wholly Owned Domestic Subsidiaries that are Restricted Subsidiaries</w:t>
      </w:r>
    </w:p>
    <w:p>
      <w:pPr>
        <w:spacing w:after="0" w:line="92" w:lineRule="exact"/>
        <w:rPr>
          <w:rFonts w:ascii="Arial" w:cs="Arial" w:eastAsia="Arial" w:hAnsi="Arial"/>
          <w:sz w:val="19"/>
          <w:szCs w:val="19"/>
          <w:color w:val="auto"/>
        </w:rPr>
      </w:pPr>
    </w:p>
    <w:p>
      <w:pPr>
        <w:ind w:right="60"/>
        <w:spacing w:after="0" w:line="302" w:lineRule="auto"/>
        <w:rPr>
          <w:rFonts w:ascii="Arial" w:cs="Arial" w:eastAsia="Arial" w:hAnsi="Arial"/>
          <w:sz w:val="19"/>
          <w:szCs w:val="19"/>
          <w:color w:val="auto"/>
        </w:rPr>
      </w:pPr>
      <w:r>
        <w:rPr>
          <w:rFonts w:ascii="Arial" w:cs="Arial" w:eastAsia="Arial" w:hAnsi="Arial"/>
          <w:sz w:val="22"/>
          <w:szCs w:val="22"/>
          <w:color w:val="auto"/>
        </w:rPr>
        <w:t>(and non-Wholly Owned Domestic Subsidiaries if such non-Wholly Owned Domestic Subsidiaries guarantee, or are a co-issuer of, other capital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00"/>
          </w:cols>
          <w:pgMar w:left="240" w:top="1077" w:right="259" w:bottom="1440" w:gutter="0" w:footer="0" w:header="0"/>
        </w:sectPr>
      </w:pPr>
    </w:p>
    <w:bookmarkStart w:id="141" w:name="page142"/>
    <w:bookmarkEnd w:id="141"/>
    <w:p>
      <w:pPr>
        <w:jc w:val="both"/>
        <w:ind w:right="280"/>
        <w:spacing w:after="0" w:line="311" w:lineRule="auto"/>
        <w:rPr>
          <w:sz w:val="20"/>
          <w:szCs w:val="20"/>
          <w:color w:val="auto"/>
        </w:rPr>
      </w:pPr>
      <w:r>
        <w:rPr>
          <w:rFonts w:ascii="Arial" w:cs="Arial" w:eastAsia="Arial" w:hAnsi="Arial"/>
          <w:sz w:val="21"/>
          <w:szCs w:val="21"/>
          <w:color w:val="auto"/>
        </w:rPr>
        <w:t>markets debt securities of the Company or any Restricted Subsidiary or guarantee all or a portion of, or are a co-borrower under, the Credit Agreement), other than a Subsidiary Guarantor, to Guarantee the payment of, assume, or in any other manner become liable with respect to any Indebtedness under the Credit Agreement, in each case, unless:</w:t>
      </w:r>
    </w:p>
    <w:p>
      <w:pPr>
        <w:spacing w:after="0" w:line="385" w:lineRule="exact"/>
        <w:rPr>
          <w:sz w:val="20"/>
          <w:szCs w:val="20"/>
          <w:color w:val="auto"/>
        </w:rPr>
      </w:pPr>
    </w:p>
    <w:p>
      <w:pPr>
        <w:ind w:left="660" w:right="640" w:firstLine="1293"/>
        <w:spacing w:after="0" w:line="315" w:lineRule="auto"/>
        <w:tabs>
          <w:tab w:leader="none" w:pos="238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such Restricted Subsidiary within 60 days executes and delivers a supplemental indenture to this Indenture providing for a senior Guarantee by such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such Restricted Subsidiary waives and will not in any manner whatsoever claim or take the benefit or</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advantage of, any rights of reimbursement, indemnity or subrogation or any other rights against the Company or any other Restricted Subsidiary as a result of any payment by such Restricted Subsidiary under its Subsidiary Guarantee until payment in full of Obligations under this Indenture;</w:t>
      </w:r>
    </w:p>
    <w:p>
      <w:pPr>
        <w:spacing w:after="0" w:line="400" w:lineRule="exact"/>
        <w:rPr>
          <w:sz w:val="20"/>
          <w:szCs w:val="20"/>
          <w:color w:val="auto"/>
        </w:rPr>
      </w:pPr>
    </w:p>
    <w:p>
      <w:pPr>
        <w:spacing w:after="0" w:line="288"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3.7</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be applicable (i) to any guarantee of any Restricted Subsidiary that existed at the time such</w:t>
      </w:r>
      <w:r>
        <w:rPr>
          <w:rFonts w:ascii="Arial" w:cs="Arial" w:eastAsia="Arial" w:hAnsi="Arial"/>
          <w:sz w:val="22"/>
          <w:szCs w:val="22"/>
          <w:i w:val="1"/>
          <w:iCs w:val="1"/>
          <w:color w:val="auto"/>
        </w:rPr>
        <w:t xml:space="preserve"> </w:t>
      </w:r>
      <w:r>
        <w:rPr>
          <w:rFonts w:ascii="Arial" w:cs="Arial" w:eastAsia="Arial" w:hAnsi="Arial"/>
          <w:sz w:val="22"/>
          <w:szCs w:val="22"/>
          <w:color w:val="auto"/>
        </w:rPr>
        <w:t>Person became a Restricted Subsidiary and was not incurred in connection with, or in contemplation of, such Person becoming a Restricted Subsidiary, or (ii) in the event that the Guarantee of the Company’s obligations under the Notes or this Indenture by such Subsidiary would not be permitted under applicable law.</w:t>
      </w:r>
    </w:p>
    <w:p>
      <w:pPr>
        <w:spacing w:after="0" w:line="366" w:lineRule="exact"/>
        <w:rPr>
          <w:sz w:val="20"/>
          <w:szCs w:val="20"/>
          <w:color w:val="auto"/>
        </w:rPr>
      </w:pPr>
    </w:p>
    <w:p>
      <w:pPr>
        <w:ind w:left="1740" w:hanging="435"/>
        <w:spacing w:after="0"/>
        <w:tabs>
          <w:tab w:leader="none" w:pos="174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Company may elect, in its sole discretion, to cause any Subsidiary that is not otherwise required to be a</w:t>
      </w:r>
    </w:p>
    <w:p>
      <w:pPr>
        <w:spacing w:after="0" w:line="92" w:lineRule="exact"/>
        <w:rPr>
          <w:rFonts w:ascii="Arial" w:cs="Arial" w:eastAsia="Arial" w:hAnsi="Arial"/>
          <w:sz w:val="19"/>
          <w:szCs w:val="19"/>
          <w:color w:val="auto"/>
        </w:rPr>
      </w:pPr>
    </w:p>
    <w:p>
      <w:pPr>
        <w:ind w:right="2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Subsidiary Guarantor to become a Subsidiary Guarantor, in which case, such Subsidiary shall not be required to comply with the 60-day period described in </w:t>
      </w:r>
      <w:r>
        <w:rPr>
          <w:rFonts w:ascii="Arial" w:cs="Arial" w:eastAsia="Arial" w:hAnsi="Arial"/>
          <w:sz w:val="22"/>
          <w:szCs w:val="22"/>
          <w:u w:val="single" w:color="auto"/>
          <w:color w:val="auto"/>
        </w:rPr>
        <w:t>Section 3.7(a)</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any Subsidiary Guarantor becomes an Immaterial Subsidiary, the Company shall have the right, by execution</w:t>
      </w:r>
    </w:p>
    <w:p>
      <w:pPr>
        <w:spacing w:after="0" w:line="92" w:lineRule="exact"/>
        <w:rPr>
          <w:rFonts w:ascii="Arial" w:cs="Arial" w:eastAsia="Arial" w:hAnsi="Arial"/>
          <w:sz w:val="19"/>
          <w:szCs w:val="19"/>
          <w:color w:val="auto"/>
        </w:rPr>
      </w:pPr>
    </w:p>
    <w:p>
      <w:pPr>
        <w:ind w:right="40"/>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and delivery of a supplemental indenture to the Trustee, to cause such Immaterial Subsidiary to cease to be a Subsidiary Guarantor, subject to the requirement described in the first paragraph above that such Subsidiary shall be required to become a Subsidiary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such Immaterial Subsidiary shall not be permitted to Subsidiary Guarantee the Credit Agreement, unless it again becomes a Subsidiary Guarantor.</w:t>
      </w:r>
    </w:p>
    <w:p>
      <w:pPr>
        <w:spacing w:after="0" w:line="19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380"/>
          </w:cols>
          <w:pgMar w:left="240" w:top="1077" w:right="279" w:bottom="1440" w:gutter="0" w:footer="0" w:header="0"/>
        </w:sectPr>
      </w:pPr>
    </w:p>
    <w:bookmarkStart w:id="142" w:name="page143"/>
    <w:bookmarkEnd w:id="142"/>
    <w:p>
      <w:pPr>
        <w:ind w:left="1720" w:hanging="415"/>
        <w:spacing w:after="0"/>
        <w:tabs>
          <w:tab w:leader="none" w:pos="17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 Change of Control Repurchase Event occurs, unless the Company has previously or concurrently delivered</w:t>
      </w:r>
    </w:p>
    <w:p>
      <w:pPr>
        <w:spacing w:after="0" w:line="92" w:lineRule="exact"/>
        <w:rPr>
          <w:rFonts w:ascii="Arial" w:cs="Arial" w:eastAsia="Arial" w:hAnsi="Arial"/>
          <w:sz w:val="19"/>
          <w:szCs w:val="19"/>
          <w:color w:val="auto"/>
        </w:rPr>
      </w:pPr>
    </w:p>
    <w:p>
      <w:pPr>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a redemption notice with respect to all the outstanding Notes as described in </w:t>
      </w:r>
      <w:r>
        <w:rPr>
          <w:rFonts w:ascii="Arial" w:cs="Arial" w:eastAsia="Arial" w:hAnsi="Arial"/>
          <w:sz w:val="19"/>
          <w:szCs w:val="19"/>
          <w:u w:val="single" w:color="auto"/>
          <w:color w:val="auto"/>
        </w:rPr>
        <w:t>Section 5.7</w:t>
      </w:r>
      <w:r>
        <w:rPr>
          <w:rFonts w:ascii="Arial" w:cs="Arial" w:eastAsia="Arial" w:hAnsi="Arial"/>
          <w:sz w:val="19"/>
          <w:szCs w:val="19"/>
          <w:color w:val="auto"/>
        </w:rPr>
        <w:t>, the Company shall make an offer to purchase all of the Notes pursuant to the offer described below (a “</w:t>
      </w:r>
      <w:r>
        <w:rPr>
          <w:rFonts w:ascii="Arial" w:cs="Arial" w:eastAsia="Arial" w:hAnsi="Arial"/>
          <w:sz w:val="19"/>
          <w:szCs w:val="19"/>
          <w:u w:val="single" w:color="auto"/>
          <w:color w:val="auto"/>
        </w:rPr>
        <w:t>Change of Control Offer</w:t>
      </w:r>
      <w:r>
        <w:rPr>
          <w:rFonts w:ascii="Arial" w:cs="Arial" w:eastAsia="Arial" w:hAnsi="Arial"/>
          <w:sz w:val="19"/>
          <w:szCs w:val="19"/>
          <w:color w:val="auto"/>
        </w:rPr>
        <w:t>”) at a price in cash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(the “</w:t>
      </w:r>
      <w:r>
        <w:rPr>
          <w:rFonts w:ascii="Arial" w:cs="Arial" w:eastAsia="Arial" w:hAnsi="Arial"/>
          <w:sz w:val="19"/>
          <w:szCs w:val="19"/>
          <w:u w:val="single" w:color="auto"/>
          <w:color w:val="auto"/>
        </w:rPr>
        <w:t>Change of Control Payment</w:t>
      </w:r>
      <w:r>
        <w:rPr>
          <w:rFonts w:ascii="Arial" w:cs="Arial" w:eastAsia="Arial" w:hAnsi="Arial"/>
          <w:sz w:val="19"/>
          <w:szCs w:val="19"/>
          <w:color w:val="auto"/>
        </w:rPr>
        <w:t>”). Within 30 days following any Change of Control Repurchase Event, the Company will deliver notice of such Change of Control Offer electronically or by first-class mail, with a copy to the Trustee, to each Holder of Notes at the address of such Holder appearing in the Notes Register or otherwise in accordance with the procedures of DTC, with the following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will comply, to the extent applicable, with the requirements of Rule 14e-1 under the Exchange Act and any other securities laws, rules and regulations thereunder to the extent such laws, rules or regulations are applicable in connection with the repurchase of Notes pursuant to a Change of Control Offer, and to the extent that the provisions of any securities laws, rules or regulations conflict with the provisions of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the Company shall comply with such laws and regulations and shall not be deemed to have breached its obligations under this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ind w:left="2380" w:hanging="427"/>
        <w:spacing w:after="0"/>
        <w:tabs>
          <w:tab w:leader="none" w:pos="238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that a Change of Control Offer is being made pursuant to this </w:t>
      </w:r>
      <w:r>
        <w:rPr>
          <w:rFonts w:ascii="Arial" w:cs="Arial" w:eastAsia="Arial" w:hAnsi="Arial"/>
          <w:sz w:val="19"/>
          <w:szCs w:val="19"/>
          <w:u w:val="single" w:color="auto"/>
          <w:color w:val="auto"/>
        </w:rPr>
        <w:t>Section 3.9</w:t>
      </w:r>
      <w:r>
        <w:rPr>
          <w:rFonts w:ascii="Arial" w:cs="Arial" w:eastAsia="Arial" w:hAnsi="Arial"/>
          <w:sz w:val="19"/>
          <w:szCs w:val="19"/>
          <w:color w:val="auto"/>
        </w:rPr>
        <w:t>, and that all Notes properly</w:t>
      </w:r>
    </w:p>
    <w:p>
      <w:pPr>
        <w:spacing w:after="0" w:line="92" w:lineRule="exact"/>
        <w:rPr>
          <w:rFonts w:ascii="Arial" w:cs="Arial" w:eastAsia="Arial" w:hAnsi="Arial"/>
          <w:sz w:val="19"/>
          <w:szCs w:val="19"/>
          <w:color w:val="auto"/>
        </w:rPr>
      </w:pPr>
    </w:p>
    <w:p>
      <w:pPr>
        <w:ind w:left="660" w:right="840"/>
        <w:spacing w:after="0" w:line="302" w:lineRule="auto"/>
        <w:rPr>
          <w:rFonts w:ascii="Arial" w:cs="Arial" w:eastAsia="Arial" w:hAnsi="Arial"/>
          <w:sz w:val="19"/>
          <w:szCs w:val="19"/>
          <w:color w:val="auto"/>
        </w:rPr>
      </w:pPr>
      <w:r>
        <w:rPr>
          <w:rFonts w:ascii="Arial" w:cs="Arial" w:eastAsia="Arial" w:hAnsi="Arial"/>
          <w:sz w:val="22"/>
          <w:szCs w:val="22"/>
          <w:color w:val="auto"/>
        </w:rPr>
        <w:t>tendered and not validly withdrawn pursuant to such Change of Control Offer will be accepted for payment by the Company;</w:t>
      </w:r>
    </w:p>
    <w:p>
      <w:pPr>
        <w:spacing w:after="0" w:line="389" w:lineRule="exact"/>
        <w:rPr>
          <w:rFonts w:ascii="Arial" w:cs="Arial" w:eastAsia="Arial" w:hAnsi="Arial"/>
          <w:sz w:val="19"/>
          <w:szCs w:val="19"/>
          <w:color w:val="auto"/>
        </w:rPr>
      </w:pPr>
    </w:p>
    <w:p>
      <w:pPr>
        <w:ind w:left="660" w:right="240" w:firstLine="1293"/>
        <w:spacing w:after="0" w:line="315" w:lineRule="auto"/>
        <w:tabs>
          <w:tab w:leader="none" w:pos="2389"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purchase price and the purchase date, which will be no earlier than 30 days nor later than 60 days from the date such notice is delivered (the “</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that any Note not properly tendered or validly withdrawn will remain outstanding and continue to</w:t>
      </w:r>
    </w:p>
    <w:p>
      <w:pPr>
        <w:spacing w:after="0" w:line="6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accrue interest;</w:t>
      </w: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jc w:val="both"/>
        <w:ind w:left="660" w:right="60" w:firstLine="1293"/>
        <w:spacing w:after="0" w:line="402" w:lineRule="auto"/>
        <w:tabs>
          <w:tab w:leader="none" w:pos="238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that unless the Company defaults in the payment of the Change of Control Payment, all Notes accepted for payment pursuant to the Change of Control Offer will cease to accrue interest, on the Change of Control Payment Date;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that Holders electing to have any Notes purchased pursuant to a Change of Control Offer will be</w:t>
      </w:r>
    </w:p>
    <w:p>
      <w:pPr>
        <w:spacing w:after="0" w:line="69" w:lineRule="exact"/>
        <w:rPr>
          <w:rFonts w:ascii="Arial" w:cs="Arial" w:eastAsia="Arial" w:hAnsi="Arial"/>
          <w:sz w:val="21"/>
          <w:szCs w:val="21"/>
          <w:color w:val="auto"/>
        </w:rPr>
      </w:pPr>
    </w:p>
    <w:p>
      <w:pPr>
        <w:jc w:val="both"/>
        <w:ind w:left="660" w:right="20"/>
        <w:spacing w:after="0" w:line="292" w:lineRule="auto"/>
        <w:rPr>
          <w:rFonts w:ascii="Arial" w:cs="Arial" w:eastAsia="Arial" w:hAnsi="Arial"/>
          <w:sz w:val="21"/>
          <w:szCs w:val="21"/>
          <w:color w:val="auto"/>
        </w:rPr>
      </w:pPr>
      <w:r>
        <w:rPr>
          <w:rFonts w:ascii="Arial" w:cs="Arial" w:eastAsia="Arial" w:hAnsi="Arial"/>
          <w:sz w:val="22"/>
          <w:szCs w:val="22"/>
          <w:color w:val="auto"/>
        </w:rPr>
        <w:t>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360"/>
          </w:cols>
          <w:pgMar w:left="240" w:top="1077" w:right="299" w:bottom="1440" w:gutter="0" w:footer="0" w:header="0"/>
        </w:sectPr>
      </w:pPr>
    </w:p>
    <w:bookmarkStart w:id="143" w:name="page144"/>
    <w:bookmarkEnd w:id="143"/>
    <w:p>
      <w:pPr>
        <w:ind w:left="2380" w:hanging="427"/>
        <w:spacing w:after="0"/>
        <w:tabs>
          <w:tab w:leader="none" w:pos="23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that Holders will be entitled to withdraw their tendered Notes and their election to require the Company</w:t>
      </w:r>
    </w:p>
    <w:p>
      <w:pPr>
        <w:spacing w:after="0" w:line="92" w:lineRule="exact"/>
        <w:rPr>
          <w:rFonts w:ascii="Arial" w:cs="Arial" w:eastAsia="Arial" w:hAnsi="Arial"/>
          <w:sz w:val="19"/>
          <w:szCs w:val="19"/>
          <w:color w:val="auto"/>
        </w:rPr>
      </w:pPr>
    </w:p>
    <w:p>
      <w:pPr>
        <w:ind w:left="660" w:right="2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to purchase such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Paying Agent receives, not later than the close of business on the second Business Day prior to the expiration date of the Change of Control Offer,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will be issued new Notes and such new</w:t>
      </w:r>
    </w:p>
    <w:p>
      <w:pPr>
        <w:spacing w:after="0" w:line="92" w:lineRule="exact"/>
        <w:rPr>
          <w:rFonts w:ascii="Arial" w:cs="Arial" w:eastAsia="Arial" w:hAnsi="Arial"/>
          <w:sz w:val="19"/>
          <w:szCs w:val="19"/>
          <w:color w:val="auto"/>
        </w:rPr>
      </w:pPr>
    </w:p>
    <w:p>
      <w:pPr>
        <w:ind w:left="660" w:right="280"/>
        <w:spacing w:after="0" w:line="328" w:lineRule="auto"/>
        <w:rPr>
          <w:rFonts w:ascii="Arial" w:cs="Arial" w:eastAsia="Arial" w:hAnsi="Arial"/>
          <w:sz w:val="19"/>
          <w:szCs w:val="19"/>
          <w:color w:val="auto"/>
        </w:rPr>
      </w:pPr>
      <w:r>
        <w:rPr>
          <w:rFonts w:ascii="Arial" w:cs="Arial" w:eastAsia="Arial" w:hAnsi="Arial"/>
          <w:sz w:val="21"/>
          <w:szCs w:val="21"/>
          <w:color w:val="auto"/>
        </w:rPr>
        <w:t>Notes will be equal in principal amount to the unpurchased portion of the Notes surrendered. The unpurchased portion of the Notes must be equal to at least $2,000 or any integral multiple of $1,000 in excess of $2,000;</w:t>
      </w:r>
    </w:p>
    <w:p>
      <w:pPr>
        <w:spacing w:after="0" w:line="366" w:lineRule="exact"/>
        <w:rPr>
          <w:rFonts w:ascii="Arial" w:cs="Arial" w:eastAsia="Arial" w:hAnsi="Arial"/>
          <w:sz w:val="19"/>
          <w:szCs w:val="19"/>
          <w:color w:val="auto"/>
        </w:rPr>
      </w:pPr>
    </w:p>
    <w:p>
      <w:pPr>
        <w:ind w:left="660" w:right="400" w:firstLine="1293"/>
        <w:spacing w:after="0" w:line="315" w:lineRule="auto"/>
        <w:tabs>
          <w:tab w:leader="none" w:pos="238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if such notice is delivered prior to the occurrence of a Change of Control, stating that the Change of Control Offer is conditional on the occurrence of such Change of Control;</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describing the transaction or transactions that constitute the Change of Control Repurchase Event;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2500" w:hanging="547"/>
        <w:spacing w:after="0"/>
        <w:tabs>
          <w:tab w:leader="none" w:pos="25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the other instructions, as determined by the Company, consistent with this </w:t>
      </w:r>
      <w:r>
        <w:rPr>
          <w:rFonts w:ascii="Arial" w:cs="Arial" w:eastAsia="Arial" w:hAnsi="Arial"/>
          <w:sz w:val="19"/>
          <w:szCs w:val="19"/>
          <w:u w:val="single" w:color="auto"/>
          <w:color w:val="auto"/>
        </w:rPr>
        <w:t>Section 3.9</w:t>
      </w:r>
      <w:r>
        <w:rPr>
          <w:rFonts w:ascii="Arial" w:cs="Arial" w:eastAsia="Arial" w:hAnsi="Arial"/>
          <w:sz w:val="19"/>
          <w:szCs w:val="19"/>
          <w:color w:val="auto"/>
        </w:rPr>
        <w:t>, that a Holder</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must follow.</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The Paying Agent will promptly mail to each Holder so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new Note will be in a minimum principal amount of $2,000 or an integral multiple of $1,000 in excess thereof. The Company will publicly announce the results of the Change of Control Offer on or as soon as practicable after the Change of Control Payment Date.</w:t>
      </w:r>
    </w:p>
    <w:p>
      <w:pPr>
        <w:spacing w:after="0" w:line="366"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If the Change of Control Payment Date is on or after an interest record date and on or before the related interest payment date, any accrued and unpaid interest and Additional Interest, if any, will be paid on the relevant interest payment date to the Person in whose name a Note is registered at the close of business on such record date.</w:t>
      </w:r>
    </w:p>
    <w:p>
      <w:pPr>
        <w:spacing w:after="0" w:line="385" w:lineRule="exact"/>
        <w:rPr>
          <w:sz w:val="20"/>
          <w:szCs w:val="20"/>
          <w:color w:val="auto"/>
        </w:rPr>
      </w:pPr>
    </w:p>
    <w:p>
      <w:pPr>
        <w:ind w:left="1740" w:hanging="435"/>
        <w:spacing w:after="0"/>
        <w:tabs>
          <w:tab w:leader="none" w:pos="17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will, to the extent permitted by law:</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accept for payment all Notes issued by it or portions thereof properly tendered pursuant to the Change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Control Offer;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00"/>
          </w:cols>
          <w:pgMar w:left="240" w:top="1077" w:right="259" w:bottom="1440" w:gutter="0" w:footer="0" w:header="0"/>
        </w:sectPr>
      </w:pPr>
    </w:p>
    <w:bookmarkStart w:id="144" w:name="page145"/>
    <w:bookmarkEnd w:id="144"/>
    <w:p>
      <w:pPr>
        <w:ind w:left="660" w:right="140" w:firstLine="1293"/>
        <w:spacing w:after="0" w:line="315" w:lineRule="auto"/>
        <w:tabs>
          <w:tab w:leader="none" w:pos="2389" w:val="left"/>
        </w:tabs>
        <w:numPr>
          <w:ilvl w:val="1"/>
          <w:numId w:val="164"/>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aggregate Change of Control Payment in respect of all Notes or portions thereof so tendered;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deliver, or cause to be delivered, to the Registrar for cancellation the Notes so accepted together with an</w:t>
      </w:r>
    </w:p>
    <w:p>
      <w:pPr>
        <w:spacing w:after="0" w:line="92" w:lineRule="exact"/>
        <w:rPr>
          <w:rFonts w:ascii="Arial" w:cs="Arial" w:eastAsia="Arial" w:hAnsi="Arial"/>
          <w:sz w:val="19"/>
          <w:szCs w:val="19"/>
          <w:color w:val="auto"/>
        </w:rPr>
      </w:pPr>
    </w:p>
    <w:p>
      <w:pPr>
        <w:ind w:left="660" w:right="280"/>
        <w:spacing w:after="0" w:line="302" w:lineRule="auto"/>
        <w:rPr>
          <w:rFonts w:ascii="Arial" w:cs="Arial" w:eastAsia="Arial" w:hAnsi="Arial"/>
          <w:sz w:val="19"/>
          <w:szCs w:val="19"/>
          <w:color w:val="auto"/>
        </w:rPr>
      </w:pPr>
      <w:r>
        <w:rPr>
          <w:rFonts w:ascii="Arial" w:cs="Arial" w:eastAsia="Arial" w:hAnsi="Arial"/>
          <w:sz w:val="22"/>
          <w:szCs w:val="22"/>
          <w:color w:val="auto"/>
        </w:rPr>
        <w:t>Officer’s Certificate to the Trustee stating that such Notes or portions thereof have been tendered to and purchased by the Company.</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Company will not be required to make a Change of Control Offer following a Change of Control</w:t>
      </w:r>
    </w:p>
    <w:p>
      <w:pPr>
        <w:spacing w:after="0" w:line="57" w:lineRule="exact"/>
        <w:rPr>
          <w:rFonts w:ascii="Arial" w:cs="Arial" w:eastAsia="Arial" w:hAnsi="Arial"/>
          <w:sz w:val="22"/>
          <w:szCs w:val="22"/>
          <w:color w:val="auto"/>
        </w:rPr>
      </w:pPr>
    </w:p>
    <w:p>
      <w:pPr>
        <w:ind w:right="240"/>
        <w:spacing w:after="0" w:line="335" w:lineRule="auto"/>
        <w:rPr>
          <w:rFonts w:ascii="Arial" w:cs="Arial" w:eastAsia="Arial" w:hAnsi="Arial"/>
          <w:sz w:val="22"/>
          <w:szCs w:val="22"/>
          <w:color w:val="auto"/>
        </w:rPr>
      </w:pPr>
      <w:r>
        <w:rPr>
          <w:rFonts w:ascii="Arial" w:cs="Arial" w:eastAsia="Arial" w:hAnsi="Arial"/>
          <w:sz w:val="19"/>
          <w:szCs w:val="19"/>
          <w:color w:val="auto"/>
        </w:rPr>
        <w:t xml:space="preserve">Repurchase Event if (1)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 or (2) a notice of redemption of all outstanding Notes has been given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unless and until there is a default in the payment of the redemption price on the applicable redemption date or the redemption is not consummated due to the failure of a condition precedent contained in the applicable redemption notice to be satisfied.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369" w:lineRule="exact"/>
        <w:rPr>
          <w:rFonts w:ascii="Arial" w:cs="Arial" w:eastAsia="Arial" w:hAnsi="Arial"/>
          <w:sz w:val="22"/>
          <w:szCs w:val="22"/>
          <w:color w:val="auto"/>
        </w:rPr>
      </w:pPr>
    </w:p>
    <w:p>
      <w:pPr>
        <w:ind w:left="1740" w:hanging="435"/>
        <w:spacing w:after="0"/>
        <w:tabs>
          <w:tab w:leader="none" w:pos="17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In the event that Holders of not less than 90% of the aggregate principal amount of the outstanding Notes</w:t>
      </w:r>
    </w:p>
    <w:p>
      <w:pPr>
        <w:spacing w:after="0" w:line="92" w:lineRule="exact"/>
        <w:rPr>
          <w:rFonts w:ascii="Arial" w:cs="Arial" w:eastAsia="Arial" w:hAnsi="Arial"/>
          <w:sz w:val="19"/>
          <w:szCs w:val="19"/>
          <w:color w:val="auto"/>
        </w:rPr>
      </w:pPr>
    </w:p>
    <w:p>
      <w:pPr>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accept a Change of Control Offer and the Company purchases all of the Notes held by such Holders, the Company will have the right, upon not less than 30 nor more than 60 days’ prior notice, given not more than 30 days following the purchase pursuant to the Change of Control Offer described in this </w:t>
      </w:r>
      <w:r>
        <w:rPr>
          <w:rFonts w:ascii="Arial" w:cs="Arial" w:eastAsia="Arial" w:hAnsi="Arial"/>
          <w:sz w:val="22"/>
          <w:szCs w:val="22"/>
          <w:u w:val="single" w:color="auto"/>
          <w:color w:val="auto"/>
        </w:rPr>
        <w:t>Section 3.9</w:t>
      </w:r>
      <w:r>
        <w:rPr>
          <w:rFonts w:ascii="Arial" w:cs="Arial" w:eastAsia="Arial" w:hAnsi="Arial"/>
          <w:sz w:val="22"/>
          <w:szCs w:val="22"/>
          <w:color w:val="auto"/>
        </w:rPr>
        <w:t>, to redeem all of the Notes that remain outstanding following such purchase at a redemption price equal to the Change of Control Payment plus, to the extent not included in the Change of Control Payment, accrued and unpaid interest on the notes that remain outstanding, to, but not including, the date of redemption (subject to the right of holders of record on the relevant record date to receive interest due on an interest payment date that is on or prior to the redemption date).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1720" w:hanging="415"/>
        <w:spacing w:after="0"/>
        <w:tabs>
          <w:tab w:leader="none" w:pos="17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While the Notes are in global form and the Company makes an offer to purchase all of the Notes pursuant to the</w:t>
      </w:r>
    </w:p>
    <w:p>
      <w:pPr>
        <w:spacing w:after="0" w:line="92" w:lineRule="exact"/>
        <w:rPr>
          <w:rFonts w:ascii="Arial" w:cs="Arial" w:eastAsia="Arial" w:hAnsi="Arial"/>
          <w:sz w:val="19"/>
          <w:szCs w:val="19"/>
          <w:color w:val="auto"/>
        </w:rPr>
      </w:pPr>
    </w:p>
    <w:p>
      <w:pPr>
        <w:ind w:right="520"/>
        <w:spacing w:after="0" w:line="302" w:lineRule="auto"/>
        <w:rPr>
          <w:rFonts w:ascii="Arial" w:cs="Arial" w:eastAsia="Arial" w:hAnsi="Arial"/>
          <w:sz w:val="19"/>
          <w:szCs w:val="19"/>
          <w:color w:val="auto"/>
        </w:rPr>
      </w:pPr>
      <w:r>
        <w:rPr>
          <w:rFonts w:ascii="Arial" w:cs="Arial" w:eastAsia="Arial" w:hAnsi="Arial"/>
          <w:sz w:val="22"/>
          <w:szCs w:val="22"/>
          <w:color w:val="auto"/>
        </w:rPr>
        <w:t>Change of Control Offer, a Holder may exercise its option to elect for the purchase of the Notes through the facilities of DTC, subject to its rules and regulations.</w:t>
      </w:r>
    </w:p>
    <w:p>
      <w:pPr>
        <w:spacing w:after="0" w:line="389" w:lineRule="exact"/>
        <w:rPr>
          <w:rFonts w:ascii="Arial" w:cs="Arial" w:eastAsia="Arial" w:hAnsi="Arial"/>
          <w:sz w:val="19"/>
          <w:szCs w:val="19"/>
          <w:color w:val="auto"/>
        </w:rPr>
      </w:pPr>
    </w:p>
    <w:p>
      <w:pPr>
        <w:ind w:left="1700" w:hanging="395"/>
        <w:spacing w:after="0"/>
        <w:tabs>
          <w:tab w:leader="none" w:pos="17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will, to the extent lawful:</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1077" w:right="239" w:bottom="1440" w:gutter="0" w:footer="0" w:header="0"/>
        </w:sectPr>
      </w:pPr>
    </w:p>
    <w:bookmarkStart w:id="145" w:name="page146"/>
    <w:bookmarkEnd w:id="145"/>
    <w:p>
      <w:pPr>
        <w:ind w:left="660" w:right="500" w:firstLine="1293"/>
        <w:spacing w:after="0" w:line="315" w:lineRule="auto"/>
        <w:tabs>
          <w:tab w:leader="none" w:pos="238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thereof so tendered; and</w:t>
      </w:r>
    </w:p>
    <w:p>
      <w:pPr>
        <w:spacing w:after="0" w:line="375" w:lineRule="exact"/>
        <w:rPr>
          <w:rFonts w:ascii="Arial" w:cs="Arial" w:eastAsia="Arial" w:hAnsi="Arial"/>
          <w:sz w:val="22"/>
          <w:szCs w:val="22"/>
          <w:color w:val="auto"/>
        </w:rPr>
      </w:pPr>
    </w:p>
    <w:p>
      <w:pPr>
        <w:ind w:left="660" w:right="860" w:firstLine="1293"/>
        <w:spacing w:after="0" w:line="402" w:lineRule="auto"/>
        <w:tabs>
          <w:tab w:leader="none" w:pos="2389" w:val="left"/>
        </w:tabs>
        <w:numPr>
          <w:ilvl w:val="0"/>
          <w:numId w:val="166"/>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so accepted together with an Officer's Certificate stating the aggregate principal amount of Notes or portions thereof being purchased by the Company.</w:t>
      </w:r>
    </w:p>
    <w:p>
      <w:pPr>
        <w:spacing w:after="0" w:line="9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Whether or not the Company is subject to the reporting requirements of Section 13 or 15(d) of the Exchange</w:t>
      </w:r>
    </w:p>
    <w:p>
      <w:pPr>
        <w:spacing w:after="0" w:line="92" w:lineRule="exact"/>
        <w:rPr>
          <w:rFonts w:ascii="Arial" w:cs="Arial" w:eastAsia="Arial" w:hAnsi="Arial"/>
          <w:sz w:val="19"/>
          <w:szCs w:val="19"/>
          <w:color w:val="auto"/>
        </w:rPr>
      </w:pPr>
    </w:p>
    <w:p>
      <w:pPr>
        <w:ind w:right="140"/>
        <w:spacing w:after="0" w:line="292" w:lineRule="auto"/>
        <w:rPr>
          <w:rFonts w:ascii="Arial" w:cs="Arial" w:eastAsia="Arial" w:hAnsi="Arial"/>
          <w:sz w:val="19"/>
          <w:szCs w:val="19"/>
          <w:color w:val="auto"/>
        </w:rPr>
      </w:pPr>
      <w:r>
        <w:rPr>
          <w:rFonts w:ascii="Arial" w:cs="Arial" w:eastAsia="Arial" w:hAnsi="Arial"/>
          <w:sz w:val="22"/>
          <w:szCs w:val="22"/>
          <w:color w:val="auto"/>
        </w:rPr>
        <w:t>Act or otherwise required to report on an annual and quarterly basis on forms provided for such annual and quarterly reporting pursuant to rules and regulations promulgated by the SEC, from and after the Issue Date, the Company will furnish to the Trustee, within 15 days after the time periods specified below: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within 90 days after the end of each fiscal year, all financial information that would be required to be</w:t>
      </w:r>
    </w:p>
    <w:p>
      <w:pPr>
        <w:spacing w:after="0" w:line="92" w:lineRule="exact"/>
        <w:rPr>
          <w:rFonts w:ascii="Arial" w:cs="Arial" w:eastAsia="Arial" w:hAnsi="Arial"/>
          <w:sz w:val="19"/>
          <w:szCs w:val="19"/>
          <w:color w:val="auto"/>
        </w:rPr>
      </w:pPr>
    </w:p>
    <w:p>
      <w:pPr>
        <w:ind w:left="660" w:right="480"/>
        <w:spacing w:after="0" w:line="311" w:lineRule="auto"/>
        <w:rPr>
          <w:rFonts w:ascii="Arial" w:cs="Arial" w:eastAsia="Arial" w:hAnsi="Arial"/>
          <w:sz w:val="19"/>
          <w:szCs w:val="19"/>
          <w:color w:val="auto"/>
        </w:rPr>
      </w:pPr>
      <w:r>
        <w:rPr>
          <w:rFonts w:ascii="Arial" w:cs="Arial" w:eastAsia="Arial" w:hAnsi="Arial"/>
          <w:sz w:val="21"/>
          <w:szCs w:val="21"/>
          <w:color w:val="auto"/>
        </w:rPr>
        <w:t>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all financial</w:t>
      </w:r>
    </w:p>
    <w:p>
      <w:pPr>
        <w:spacing w:after="0" w:line="92" w:lineRule="exact"/>
        <w:rPr>
          <w:rFonts w:ascii="Arial" w:cs="Arial" w:eastAsia="Arial" w:hAnsi="Arial"/>
          <w:sz w:val="19"/>
          <w:szCs w:val="19"/>
          <w:color w:val="auto"/>
        </w:rPr>
      </w:pPr>
    </w:p>
    <w:p>
      <w:pPr>
        <w:ind w:left="660" w:right="420"/>
        <w:spacing w:after="0" w:line="302" w:lineRule="auto"/>
        <w:rPr>
          <w:rFonts w:ascii="Arial" w:cs="Arial" w:eastAsia="Arial" w:hAnsi="Arial"/>
          <w:sz w:val="19"/>
          <w:szCs w:val="19"/>
          <w:color w:val="auto"/>
        </w:rPr>
      </w:pPr>
      <w:r>
        <w:rPr>
          <w:rFonts w:ascii="Arial" w:cs="Arial" w:eastAsia="Arial" w:hAnsi="Arial"/>
          <w:sz w:val="22"/>
          <w:szCs w:val="22"/>
          <w:color w:val="auto"/>
        </w:rPr>
        <w:t>information that would be required to be contained in a quarterly report on Form 10-Q, or any successor or comparable form, file with the SEC;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promptly after the occurrence of any of the following events, all current reports that would be required</w:t>
      </w:r>
    </w:p>
    <w:p>
      <w:pPr>
        <w:spacing w:after="0" w:line="92" w:lineRule="exact"/>
        <w:rPr>
          <w:rFonts w:ascii="Arial" w:cs="Arial" w:eastAsia="Arial" w:hAnsi="Arial"/>
          <w:sz w:val="19"/>
          <w:szCs w:val="19"/>
          <w:color w:val="auto"/>
        </w:rPr>
      </w:pPr>
    </w:p>
    <w:p>
      <w:pPr>
        <w:ind w:left="66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to be filed with the SEC on Form 8-K or any successor or comparable form (if the Company had been a reporting company under Section 15(d)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obligate the Company to (i) make available any information otherwise required to be included on a Form 8¬K regarding the occurrence of any such events if the Company determines in its good faith judgment that such event that would otherwise be required to be disclosed is not material to the Holders of the Notes or the business, assets, operations, financial positions or prospects of the Company and its Restricted Subsidiaries taken as a whole or (ii) make available copies of any agreements, financial statements or other items that would be required to be filed as exhibits to a current report on Form 8-K:</w:t>
      </w:r>
    </w:p>
    <w:p>
      <w:pPr>
        <w:spacing w:after="0" w:line="370" w:lineRule="exact"/>
        <w:rPr>
          <w:rFonts w:ascii="Arial" w:cs="Arial" w:eastAsia="Arial" w:hAnsi="Arial"/>
          <w:sz w:val="19"/>
          <w:szCs w:val="19"/>
          <w:color w:val="auto"/>
        </w:rPr>
      </w:pPr>
    </w:p>
    <w:p>
      <w:pPr>
        <w:ind w:left="3080" w:hanging="479"/>
        <w:spacing w:after="0"/>
        <w:tabs>
          <w:tab w:leader="none" w:pos="308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the entry into or termination of material agreements;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380"/>
          </w:cols>
          <w:pgMar w:left="240" w:top="1077" w:right="279" w:bottom="1440" w:gutter="0" w:footer="0" w:header="0"/>
        </w:sectPr>
      </w:pPr>
    </w:p>
    <w:bookmarkStart w:id="146" w:name="page147"/>
    <w:bookmarkEnd w:id="146"/>
    <w:p>
      <w:pPr>
        <w:ind w:left="3060" w:hanging="459"/>
        <w:spacing w:after="0"/>
        <w:tabs>
          <w:tab w:leader="none" w:pos="30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significant acquisitions or dispositions;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sale of equity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bankruptcy;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incurrence of a direct material financial obligation;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cross-default under direct material financial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 change in the Company’s certifying independent auditor;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appointment or departure of directors or executive officers;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non-reliance on previously issued financial statements;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change of control transactions,</w:t>
      </w:r>
    </w:p>
    <w:p>
      <w:pPr>
        <w:spacing w:after="0" w:line="200" w:lineRule="exact"/>
        <w:rPr>
          <w:sz w:val="20"/>
          <w:szCs w:val="20"/>
          <w:color w:val="auto"/>
        </w:rPr>
      </w:pPr>
    </w:p>
    <w:p>
      <w:pPr>
        <w:spacing w:after="0" w:line="290" w:lineRule="exact"/>
        <w:rPr>
          <w:sz w:val="20"/>
          <w:szCs w:val="20"/>
          <w:color w:val="auto"/>
        </w:rPr>
      </w:pPr>
    </w:p>
    <w:p>
      <w:pPr>
        <w:ind w:firstLine="648"/>
        <w:spacing w:after="0" w:line="330" w:lineRule="auto"/>
        <w:rPr>
          <w:sz w:val="20"/>
          <w:szCs w:val="20"/>
          <w:color w:val="auto"/>
        </w:rPr>
      </w:pPr>
      <w:r>
        <w:rPr>
          <w:rFonts w:ascii="Arial" w:cs="Arial" w:eastAsia="Arial" w:hAnsi="Arial"/>
          <w:sz w:val="19"/>
          <w:szCs w:val="19"/>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(i) comply with Regulation G under the Exchange Act or Item 10(e) of Regulation S-K with respect to any “non-GAAP” financial information contained therein, (ii) provide any information that is not otherwise similar to information currently included in the Offering Memorandum or (iii) provide the type of information contemplated by Rule 3-10 of Regulation S-X with respect to separate financial statements for Guarantors or the Co-Issuer or any financial statements for unconsolidated subsidiaries or 50% or less owned persons contemplated by Rule 3-09 of Regulation S-X or any schedules required by Regulation S-X, or in each cash any successor provisions.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cure shall not otherwise affect the rights of the Holders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if Holders of at least 30% in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00"/>
          </w:cols>
          <w:pgMar w:left="240" w:top="1077" w:right="259" w:bottom="1440" w:gutter="0" w:footer="0" w:header="0"/>
        </w:sectPr>
      </w:pPr>
    </w:p>
    <w:bookmarkStart w:id="147" w:name="page148"/>
    <w:bookmarkEnd w:id="147"/>
    <w:p>
      <w:pPr>
        <w:spacing w:after="0" w:line="292" w:lineRule="auto"/>
        <w:rPr>
          <w:sz w:val="20"/>
          <w:szCs w:val="20"/>
          <w:color w:val="auto"/>
        </w:rPr>
      </w:pPr>
      <w:r>
        <w:rPr>
          <w:rFonts w:ascii="Arial" w:cs="Arial" w:eastAsia="Arial" w:hAnsi="Arial"/>
          <w:sz w:val="22"/>
          <w:szCs w:val="22"/>
          <w:color w:val="auto"/>
        </w:rPr>
        <w:t>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w:t>
      </w:r>
    </w:p>
    <w:p>
      <w:pPr>
        <w:spacing w:after="0" w:line="400" w:lineRule="exact"/>
        <w:rPr>
          <w:sz w:val="20"/>
          <w:szCs w:val="20"/>
          <w:color w:val="auto"/>
        </w:rPr>
      </w:pPr>
    </w:p>
    <w:p>
      <w:pPr>
        <w:ind w:left="1740" w:hanging="435"/>
        <w:spacing w:after="0"/>
        <w:tabs>
          <w:tab w:leader="none" w:pos="174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Delivery of the information, documents and reports described in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to the Trustee is for</w:t>
      </w:r>
    </w:p>
    <w:p>
      <w:pPr>
        <w:spacing w:after="0" w:line="69" w:lineRule="exact"/>
        <w:rPr>
          <w:rFonts w:ascii="Arial" w:cs="Arial" w:eastAsia="Arial" w:hAnsi="Arial"/>
          <w:sz w:val="21"/>
          <w:szCs w:val="21"/>
          <w:color w:val="auto"/>
        </w:rPr>
      </w:pPr>
    </w:p>
    <w:p>
      <w:pPr>
        <w:ind w:right="260"/>
        <w:spacing w:after="0" w:line="288" w:lineRule="auto"/>
        <w:rPr>
          <w:rFonts w:ascii="Arial" w:cs="Arial" w:eastAsia="Arial" w:hAnsi="Arial"/>
          <w:sz w:val="21"/>
          <w:szCs w:val="21"/>
          <w:color w:val="auto"/>
        </w:rPr>
      </w:pPr>
      <w:r>
        <w:rPr>
          <w:rFonts w:ascii="Arial" w:cs="Arial" w:eastAsia="Arial" w:hAnsi="Arial"/>
          <w:sz w:val="22"/>
          <w:szCs w:val="22"/>
          <w:color w:val="auto"/>
        </w:rPr>
        <w:t>informational purposes only, and the Trustee’s receipt of the foregoing shall not constitute constructive notice of any information contained therein, or determinable from information contained therein, including compliance by the Company and its Restricted Subsidiaries with any of our covenants hereunder (as to which the Trustee is entitled to conclusively rely on an Officer’s Certificate).</w:t>
      </w:r>
    </w:p>
    <w:p>
      <w:pPr>
        <w:spacing w:after="0" w:line="200" w:lineRule="exact"/>
        <w:rPr>
          <w:sz w:val="20"/>
          <w:szCs w:val="20"/>
          <w:color w:val="auto"/>
        </w:rPr>
      </w:pPr>
    </w:p>
    <w:p>
      <w:pPr>
        <w:spacing w:after="0" w:line="206" w:lineRule="exact"/>
        <w:rPr>
          <w:sz w:val="20"/>
          <w:szCs w:val="20"/>
          <w:color w:val="auto"/>
        </w:rPr>
      </w:pPr>
    </w:p>
    <w:p>
      <w:pPr>
        <w:ind w:right="80" w:firstLine="648"/>
        <w:spacing w:after="0" w:line="300" w:lineRule="auto"/>
        <w:rPr>
          <w:sz w:val="20"/>
          <w:szCs w:val="20"/>
          <w:color w:val="auto"/>
        </w:rPr>
      </w:pPr>
      <w:r>
        <w:rPr>
          <w:rFonts w:ascii="Arial" w:cs="Arial" w:eastAsia="Arial" w:hAnsi="Arial"/>
          <w:sz w:val="21"/>
          <w:szCs w:val="21"/>
          <w:color w:val="auto"/>
        </w:rPr>
        <w:t xml:space="preserve">Substantially concurrently with the furnishing or making such information available to the Trustee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3.10(a)</w:t>
      </w:r>
      <w:r>
        <w:rPr>
          <w:rFonts w:ascii="Arial" w:cs="Arial" w:eastAsia="Arial" w:hAnsi="Arial"/>
          <w:sz w:val="21"/>
          <w:szCs w:val="21"/>
          <w:color w:val="auto"/>
        </w:rPr>
        <w:t>, the Company shall also post copies of such information required by the immediately preceding paragraph on a website (which may be nonpublic and may be maintained by the Company or a third party) to which access will be given to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market-making financial institutions that are reasonably satisfactory to the Company.</w:t>
      </w:r>
    </w:p>
    <w:p>
      <w:pPr>
        <w:spacing w:after="0" w:line="183" w:lineRule="exact"/>
        <w:rPr>
          <w:sz w:val="20"/>
          <w:szCs w:val="20"/>
          <w:color w:val="auto"/>
        </w:rPr>
      </w:pPr>
    </w:p>
    <w:p>
      <w:pPr>
        <w:ind w:left="1720" w:hanging="415"/>
        <w:spacing w:after="0"/>
        <w:tabs>
          <w:tab w:leader="none" w:pos="172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Notwithstanding any other provision of this Indenture, the sole remedy for an Event of Default relating to the</w:t>
      </w:r>
    </w:p>
    <w:p>
      <w:pPr>
        <w:spacing w:after="0" w:line="92" w:lineRule="exact"/>
        <w:rPr>
          <w:rFonts w:ascii="Arial" w:cs="Arial" w:eastAsia="Arial" w:hAnsi="Arial"/>
          <w:sz w:val="19"/>
          <w:szCs w:val="19"/>
          <w:color w:val="auto"/>
        </w:rPr>
      </w:pPr>
    </w:p>
    <w:p>
      <w:pPr>
        <w:ind w:right="40"/>
        <w:spacing w:after="0" w:line="334" w:lineRule="auto"/>
        <w:rPr>
          <w:rFonts w:ascii="Arial" w:cs="Arial" w:eastAsia="Arial" w:hAnsi="Arial"/>
          <w:sz w:val="19"/>
          <w:szCs w:val="19"/>
          <w:color w:val="auto"/>
        </w:rPr>
      </w:pPr>
      <w:r>
        <w:rPr>
          <w:rFonts w:ascii="Arial" w:cs="Arial" w:eastAsia="Arial" w:hAnsi="Arial"/>
          <w:sz w:val="19"/>
          <w:szCs w:val="19"/>
          <w:color w:val="auto"/>
        </w:rPr>
        <w:t>failure to comply with the reporting obligations described under this covenant, will for the 365 days after the occurrence of such an Event of Default consist exclusively, to the extent permitted by applicable law, of the right to receive additional interest on the principal amount of the Notes at a rate equal to 0.50% per annum (such interest, “</w:t>
      </w:r>
      <w:r>
        <w:rPr>
          <w:rFonts w:ascii="Arial" w:cs="Arial" w:eastAsia="Arial" w:hAnsi="Arial"/>
          <w:sz w:val="19"/>
          <w:szCs w:val="19"/>
          <w:u w:val="single" w:color="auto"/>
          <w:color w:val="auto"/>
        </w:rPr>
        <w:t>Additional Interest</w:t>
      </w:r>
      <w:r>
        <w:rPr>
          <w:rFonts w:ascii="Arial" w:cs="Arial" w:eastAsia="Arial" w:hAnsi="Arial"/>
          <w:sz w:val="19"/>
          <w:szCs w:val="19"/>
          <w:color w:val="auto"/>
        </w:rPr>
        <w:t xml:space="preserve">”). This Additional Interest will be payable in the same manner and subject to the same terms as other interest payable under this Indenture. This Additional Interest will accrue on all outstanding Notes from and including the date on which an Event of Default relating to a failure to comply with the reporting obligations described above under this covenant first occurs to, but excluding, the 365th day thereafter (or such earlier date on which the Event of Default relating to such reporting obligations is cured or waived). If the Event of Default resulting from such failure to comply with the reporting obligations is continuing on such 365th day, such Additional Interest will cease to accrue and the Notes will be subject to the other remedies provided under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to the contrary, if the Company or any Parent Entity of the</w:t>
      </w:r>
    </w:p>
    <w:p>
      <w:pPr>
        <w:spacing w:after="0" w:line="69" w:lineRule="exact"/>
        <w:rPr>
          <w:rFonts w:ascii="Arial" w:cs="Arial" w:eastAsia="Arial" w:hAnsi="Arial"/>
          <w:sz w:val="21"/>
          <w:szCs w:val="21"/>
          <w:color w:val="auto"/>
        </w:rPr>
      </w:pPr>
    </w:p>
    <w:p>
      <w:pPr>
        <w:ind w:right="380"/>
        <w:spacing w:after="0" w:line="302" w:lineRule="auto"/>
        <w:rPr>
          <w:rFonts w:ascii="Arial" w:cs="Arial" w:eastAsia="Arial" w:hAnsi="Arial"/>
          <w:sz w:val="21"/>
          <w:szCs w:val="21"/>
          <w:color w:val="auto"/>
        </w:rPr>
      </w:pPr>
      <w:r>
        <w:rPr>
          <w:rFonts w:ascii="Arial" w:cs="Arial" w:eastAsia="Arial" w:hAnsi="Arial"/>
          <w:sz w:val="22"/>
          <w:szCs w:val="22"/>
          <w:color w:val="auto"/>
        </w:rPr>
        <w:t xml:space="preserve">Company has furnished the Holders of Notes or filed with the SEC the reports described in this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with respect to the Company or any Parent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00"/>
          </w:cols>
          <w:pgMar w:left="240" w:top="1077" w:right="259" w:bottom="1440" w:gutter="0" w:footer="0" w:header="0"/>
        </w:sectPr>
      </w:pPr>
    </w:p>
    <w:bookmarkStart w:id="148" w:name="page149"/>
    <w:bookmarkEnd w:id="148"/>
    <w:p>
      <w:pPr>
        <w:ind w:right="120"/>
        <w:spacing w:after="0" w:line="285" w:lineRule="auto"/>
        <w:rPr>
          <w:sz w:val="20"/>
          <w:szCs w:val="20"/>
          <w:color w:val="auto"/>
        </w:rPr>
      </w:pPr>
      <w:r>
        <w:rPr>
          <w:rFonts w:ascii="Arial" w:cs="Arial" w:eastAsia="Arial" w:hAnsi="Arial"/>
          <w:sz w:val="22"/>
          <w:szCs w:val="22"/>
          <w:color w:val="auto"/>
        </w:rPr>
        <w:t xml:space="preserve">Entity, the Company shall be deemed to be in compliance with the provisions of this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financial information so furnished or filed relates to any Parent Entity, the same is accompanied by consolidating information, that explains in reasonable detail (including selected quantitative metrics) the differences between the information relating to such Parent Entity or Parent Entities, on the one hand, and the information relating to the Company and its Restricted Subsidiaries on a standalone basis, on the other hand. For the avoidance of doubt, the consolidating information referred to in the proviso in the preceding sentence need not be audited;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Trustee shall have no responsibility whatsoever to determine whether such filing has occurred.</w:t>
      </w:r>
    </w:p>
    <w:p>
      <w:pPr>
        <w:spacing w:after="0" w:line="19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301"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Maintenance of Office or Agency</w:t>
      </w:r>
      <w:r>
        <w:rPr>
          <w:rFonts w:ascii="Arial" w:cs="Arial" w:eastAsia="Arial" w:hAnsi="Arial"/>
          <w:sz w:val="21"/>
          <w:szCs w:val="21"/>
          <w:color w:val="auto"/>
        </w:rPr>
        <w:t>. The Issuers will maintain an office or agency where the Notes may be presented or surrendered for payment and where, if applicable, the Notes may be surrendered for registration of transfer or exchange. The corporate trust office of the Trustee, located at Deutsche Bank Trust Company Americas, 60 Wall Street, 16th Floor, MS NYC 60-1630, New York, New York, 10005, shall be such office or agency of the Issuers, unless the Issuers shall designate and maintain some other office or agency for one or more of such purposes. The Issuers will give prompt written notice to the Trustee of any change in the location of any such office or agency. If at any time the Issuers shall fail to maintain any such required office or agency or shall fail to furnish the Trustee with the address thereof, such presentations and surrenders may be made or served at the corporate trust office of the Trustee, and the Issuers hereby appoint the Trustee as its agent to receive all such presentations and surrenders.</w:t>
      </w:r>
    </w:p>
    <w:p>
      <w:pPr>
        <w:spacing w:after="0" w:line="394"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The Issuers may also from time to time designate one or more other offices or agencies where the Notes may be presented or surrendered for any or all such purposes and may from time to time rescind any such designation. The Issuers will give prompt written notice to the Trustee of any such designation or rescission and any change in the location of any such other office or agency.</w:t>
      </w:r>
    </w:p>
    <w:p>
      <w:pPr>
        <w:spacing w:after="0" w:line="1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color w:val="auto"/>
        </w:rPr>
        <w:t>[Reserved].</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jc w:val="both"/>
        <w:ind w:right="460" w:firstLine="648"/>
        <w:spacing w:after="0" w:line="364"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The Issuers shall deliver to the Trustee, within 120 days after the end of each fiscal year of the Company ending after January 1, 2016, an Officer’s Certificate to the effect that to the best knowledge of the signer thereof none of the Issuers is in default in the performance and observance of any of the terms, provisions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00"/>
          </w:cols>
          <w:pgMar w:left="240" w:top="1077" w:right="259" w:bottom="1440" w:gutter="0" w:footer="0" w:header="0"/>
        </w:sectPr>
      </w:pPr>
    </w:p>
    <w:bookmarkStart w:id="149" w:name="page150"/>
    <w:bookmarkEnd w:id="149"/>
    <w:p>
      <w:pPr>
        <w:ind w:right="100"/>
        <w:spacing w:after="0" w:line="288" w:lineRule="auto"/>
        <w:rPr>
          <w:sz w:val="20"/>
          <w:szCs w:val="20"/>
          <w:color w:val="auto"/>
        </w:rPr>
      </w:pPr>
      <w:r>
        <w:rPr>
          <w:rFonts w:ascii="Arial" w:cs="Arial" w:eastAsia="Arial" w:hAnsi="Arial"/>
          <w:sz w:val="22"/>
          <w:szCs w:val="22"/>
          <w:color w:val="auto"/>
        </w:rPr>
        <w:t xml:space="preserve">conditions of this Indenture (without regard to any period of grace or requirement of notice provided hereunder) and, if any of the Issuers shall be in default, specifying all such defaults and the nature and status thereof of which such signer may have knowledge. The individual signing any certificate given by any Person pursuant to this </w:t>
      </w: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shall be the principal executive, financial or accounting Officer of such Person.</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40" w:firstLine="648"/>
        <w:spacing w:after="0" w:line="290"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Statement by Officers as to Default</w:t>
      </w:r>
      <w:r>
        <w:rPr>
          <w:rFonts w:ascii="Arial" w:cs="Arial" w:eastAsia="Arial" w:hAnsi="Arial"/>
          <w:sz w:val="22"/>
          <w:szCs w:val="22"/>
          <w:color w:val="auto"/>
        </w:rPr>
        <w:t xml:space="preserve">. The Company shall deliver to the Trustee, within 30 days after the Company becomes aware of the occurrence of any Event of Default under </w:t>
      </w:r>
      <w:r>
        <w:rPr>
          <w:rFonts w:ascii="Arial" w:cs="Arial" w:eastAsia="Arial" w:hAnsi="Arial"/>
          <w:sz w:val="22"/>
          <w:szCs w:val="22"/>
          <w:u w:val="single" w:color="auto"/>
          <w:color w:val="auto"/>
        </w:rPr>
        <w:t>Sections 6.1(4)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6.1(5)</w:t>
      </w:r>
      <w:r>
        <w:rPr>
          <w:rFonts w:ascii="Arial" w:cs="Arial" w:eastAsia="Arial" w:hAnsi="Arial"/>
          <w:sz w:val="22"/>
          <w:szCs w:val="22"/>
          <w:color w:val="auto"/>
        </w:rPr>
        <w:t xml:space="preserve"> and any event that with the giving of notice or a lapse of time would become an Event of Default under </w:t>
      </w:r>
      <w:r>
        <w:rPr>
          <w:rFonts w:ascii="Arial" w:cs="Arial" w:eastAsia="Arial" w:hAnsi="Arial"/>
          <w:sz w:val="22"/>
          <w:szCs w:val="22"/>
          <w:u w:val="single" w:color="auto"/>
          <w:color w:val="auto"/>
        </w:rPr>
        <w:t>Sections 6.1(3)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6.1(6)</w:t>
      </w:r>
      <w:r>
        <w:rPr>
          <w:rFonts w:ascii="Arial" w:cs="Arial" w:eastAsia="Arial" w:hAnsi="Arial"/>
          <w:sz w:val="22"/>
          <w:szCs w:val="22"/>
          <w:color w:val="auto"/>
        </w:rPr>
        <w:t>, an Officer’s Certificate setting forth the details of such Event of Default or Default, its status and the actions which the Company is taking or proposes to take with respect thereto.</w:t>
      </w:r>
    </w:p>
    <w:p>
      <w:pPr>
        <w:spacing w:after="0" w:line="187"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the covenant described in </w:t>
      </w:r>
      <w:r>
        <w:rPr>
          <w:rFonts w:ascii="Arial" w:cs="Arial" w:eastAsia="Arial" w:hAnsi="Arial"/>
          <w:sz w:val="19"/>
          <w:szCs w:val="19"/>
          <w:u w:val="single" w:color="auto"/>
          <w:color w:val="auto"/>
        </w:rPr>
        <w:t>Section</w:t>
      </w:r>
    </w:p>
    <w:p>
      <w:pPr>
        <w:spacing w:after="0" w:line="2" w:lineRule="exact"/>
        <w:rPr>
          <w:sz w:val="20"/>
          <w:szCs w:val="20"/>
          <w:color w:val="auto"/>
        </w:rPr>
      </w:pPr>
    </w:p>
    <w:p>
      <w:pPr>
        <w:ind w:right="160"/>
        <w:spacing w:after="0" w:line="346" w:lineRule="auto"/>
        <w:rPr>
          <w:sz w:val="20"/>
          <w:szCs w:val="20"/>
          <w:color w:val="auto"/>
        </w:rPr>
      </w:pPr>
      <w:r>
        <w:rPr>
          <w:rFonts w:ascii="Arial" w:cs="Arial" w:eastAsia="Arial" w:hAnsi="Arial"/>
          <w:sz w:val="19"/>
          <w:szCs w:val="19"/>
          <w:u w:val="single" w:color="auto"/>
          <w:color w:val="auto"/>
        </w:rPr>
        <w:t>3.3</w:t>
      </w:r>
      <w:r>
        <w:rPr>
          <w:rFonts w:ascii="Arial" w:cs="Arial" w:eastAsia="Arial" w:hAnsi="Arial"/>
          <w:sz w:val="19"/>
          <w:szCs w:val="19"/>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 Default or the Subsidiary will be a Special Purpose Subsidiary.</w:t>
      </w:r>
    </w:p>
    <w:p>
      <w:pPr>
        <w:spacing w:after="0" w:line="361"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Arial" w:cs="Arial" w:eastAsia="Arial" w:hAnsi="Arial"/>
          <w:sz w:val="21"/>
          <w:szCs w:val="21"/>
          <w:u w:val="single" w:color="auto"/>
          <w:color w:val="auto"/>
        </w:rPr>
        <w:t>Section 3.3</w:t>
      </w:r>
      <w:r>
        <w:rPr>
          <w:rFonts w:ascii="Arial" w:cs="Arial" w:eastAsia="Arial" w:hAnsi="Arial"/>
          <w:sz w:val="21"/>
          <w:szCs w:val="21"/>
          <w:color w:val="auto"/>
        </w:rPr>
        <w:t>.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w:t>
      </w:r>
    </w:p>
    <w:p>
      <w:pPr>
        <w:spacing w:after="0" w:line="393" w:lineRule="exact"/>
        <w:rPr>
          <w:sz w:val="20"/>
          <w:szCs w:val="20"/>
          <w:color w:val="auto"/>
        </w:rPr>
      </w:pPr>
    </w:p>
    <w:p>
      <w:pPr>
        <w:ind w:right="720" w:firstLine="648"/>
        <w:spacing w:after="0" w:line="302" w:lineRule="auto"/>
        <w:rPr>
          <w:sz w:val="20"/>
          <w:szCs w:val="20"/>
          <w:color w:val="auto"/>
        </w:rPr>
      </w:pPr>
      <w:r>
        <w:rPr>
          <w:rFonts w:ascii="Arial" w:cs="Arial" w:eastAsia="Arial" w:hAnsi="Arial"/>
          <w:sz w:val="22"/>
          <w:szCs w:val="22"/>
          <w:color w:val="auto"/>
        </w:rPr>
        <w:t xml:space="preserve">The Company may at any time designate any Unrestricted Subsidiary to be a Restricted Subsidiary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will be deemed to be an incurrence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861" w:right="239" w:bottom="1440" w:gutter="0" w:footer="0" w:header="0"/>
        </w:sectPr>
      </w:pPr>
    </w:p>
    <w:bookmarkStart w:id="150" w:name="page151"/>
    <w:bookmarkEnd w:id="150"/>
    <w:p>
      <w:pPr>
        <w:spacing w:after="0" w:line="306" w:lineRule="auto"/>
        <w:rPr>
          <w:sz w:val="20"/>
          <w:szCs w:val="20"/>
          <w:color w:val="auto"/>
        </w:rPr>
      </w:pPr>
      <w:r>
        <w:rPr>
          <w:rFonts w:ascii="Arial" w:cs="Arial" w:eastAsia="Arial" w:hAnsi="Arial"/>
          <w:sz w:val="21"/>
          <w:szCs w:val="21"/>
          <w:color w:val="auto"/>
        </w:rPr>
        <w:t>of Indebtedness by a Restricted Subsidiary of the Company of any outstanding Indebtedness of such Unrestricted Subsidiary, and such designation will only be permitted if no Default or Event of Default would be in existence following such designation or if the Subsidiary will be a Special Purpose Subsidiary. Any such designation by the Company shall be evidenced to the Trustee by an Officer’s Certificate certifying that such designation complies with the preceding conditions.</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Suspension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If, on any date following the Issue date, (i) the Notes have achieved Investment Grade Status; and (ii) no</w:t>
      </w:r>
    </w:p>
    <w:p>
      <w:pPr>
        <w:spacing w:after="0" w:line="92" w:lineRule="exact"/>
        <w:rPr>
          <w:rFonts w:ascii="Arial" w:cs="Arial" w:eastAsia="Arial" w:hAnsi="Arial"/>
          <w:sz w:val="19"/>
          <w:szCs w:val="19"/>
          <w:color w:val="auto"/>
        </w:rPr>
      </w:pPr>
    </w:p>
    <w:p>
      <w:pPr>
        <w:ind w:right="24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Default or Event of Default has occurred and is continuing under this Indenture, then, beginning on that day and continuing until the Reversion Date (as defined below), the Company and the Restricted Subsidiaries shall not be subject to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Suspended Covenant</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If at any time the Notes cease to have such Investment Grade Status and while the Notes do not have</w:t>
      </w:r>
    </w:p>
    <w:p>
      <w:pPr>
        <w:spacing w:after="0" w:line="69" w:lineRule="exact"/>
        <w:rPr>
          <w:rFonts w:ascii="Arial" w:cs="Arial" w:eastAsia="Arial" w:hAnsi="Arial"/>
          <w:sz w:val="21"/>
          <w:szCs w:val="21"/>
          <w:color w:val="auto"/>
        </w:rPr>
      </w:pPr>
    </w:p>
    <w:p>
      <w:pPr>
        <w:ind w:right="120"/>
        <w:spacing w:after="0" w:line="332" w:lineRule="auto"/>
        <w:rPr>
          <w:rFonts w:ascii="Arial" w:cs="Arial" w:eastAsia="Arial" w:hAnsi="Arial"/>
          <w:sz w:val="21"/>
          <w:szCs w:val="21"/>
          <w:color w:val="auto"/>
        </w:rPr>
      </w:pPr>
      <w:r>
        <w:rPr>
          <w:rFonts w:ascii="Arial" w:cs="Arial" w:eastAsia="Arial" w:hAnsi="Arial"/>
          <w:sz w:val="19"/>
          <w:szCs w:val="19"/>
          <w:color w:val="auto"/>
        </w:rPr>
        <w:t>Investment Grade Status the Company issues new capital markets debt securities with Subsidiary Guarantees, then the Suspended Covenant will thereafter be reinstated as if such covenant had never been suspended (the “</w:t>
      </w:r>
      <w:r>
        <w:rPr>
          <w:rFonts w:ascii="Arial" w:cs="Arial" w:eastAsia="Arial" w:hAnsi="Arial"/>
          <w:sz w:val="19"/>
          <w:szCs w:val="19"/>
          <w:u w:val="single" w:color="auto"/>
          <w:color w:val="auto"/>
        </w:rPr>
        <w:t>Reversion Date</w:t>
      </w:r>
      <w:r>
        <w:rPr>
          <w:rFonts w:ascii="Arial" w:cs="Arial" w:eastAsia="Arial" w:hAnsi="Arial"/>
          <w:sz w:val="19"/>
          <w:szCs w:val="19"/>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 shall no longer be in effect for such time that the Notes maintain an Investment Grade Status);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Default, Event of Default or breach of any kind shall be deemed to exist under this Indenture, the Notes or the Note Guarantees with respect to the Suspended Covenant based on, and none of the Company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Suspended Covenant remained in effect during such period. The period of time between the date of suspension of the covenant and the Reversion Date is referred to as the “</w:t>
      </w:r>
      <w:r>
        <w:rPr>
          <w:rFonts w:ascii="Arial" w:cs="Arial" w:eastAsia="Arial" w:hAnsi="Arial"/>
          <w:sz w:val="19"/>
          <w:szCs w:val="19"/>
          <w:u w:val="single" w:color="auto"/>
          <w:color w:val="auto"/>
        </w:rPr>
        <w:t>Suspension Period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648"/>
        <w:spacing w:after="0" w:line="338" w:lineRule="auto"/>
        <w:rPr>
          <w:sz w:val="20"/>
          <w:szCs w:val="20"/>
          <w:color w:val="auto"/>
        </w:rPr>
      </w:pPr>
      <w:r>
        <w:rPr>
          <w:rFonts w:ascii="Arial" w:cs="Arial" w:eastAsia="Arial" w:hAnsi="Arial"/>
          <w:sz w:val="19"/>
          <w:szCs w:val="19"/>
          <w:color w:val="auto"/>
        </w:rPr>
        <w:t>On the Reversion Date, all Liens Incurred during the Suspension Period will be classified to have been Incurred pursuant to the definition of “Permitted Liens” (to the extent such Liens would be permitted to be Incurred thereunder as of the Reversion Date and after giving effect to Liens Incurred prior to the Suspension Period and outstanding on the Reversion Date). To the extent such Liens would not be so permitted to be Incurred pursuant to the definition of “Permitted Liens,” such Liens will be deemed to have been outstanding on the Issue Date, so that they are classified as permitted under clause (11) of the definition of “Permitted Liens.” During the Suspension Period, any future obligation to grant further Note Guarantees shall be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380"/>
          </w:cols>
          <w:pgMar w:left="240" w:top="1077" w:right="27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suspended. All such further obligation to grant Note Guarantees shall be reinstated upon the Reversion Date.</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The Company shall give the Trustee written notice of the commencement of any Suspension Period promptly, and in any event not later than five Business Days after the commencement thereof. In the absence of such notice, the Company shall give the Trustee written notice of the termination of any Suspension Period not later than five Business Days after the occurrence thereof. After any such notice of the termination of any Suspension Period, the Trustee shall assume the Suspended Covenants apply and are in full force and effect.</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820"/>
        <w:spacing w:after="0" w:line="302" w:lineRule="auto"/>
        <w:rPr>
          <w:rFonts w:ascii="Arial" w:cs="Arial" w:eastAsia="Arial" w:hAnsi="Arial"/>
          <w:sz w:val="19"/>
          <w:szCs w:val="19"/>
          <w:color w:val="auto"/>
        </w:rPr>
      </w:pPr>
      <w:r>
        <w:rPr>
          <w:rFonts w:ascii="Arial" w:cs="Arial" w:eastAsia="Arial" w:hAnsi="Arial"/>
          <w:sz w:val="22"/>
          <w:szCs w:val="22"/>
          <w:color w:val="auto"/>
        </w:rPr>
        <w:t>of the ratings of the Notes and shall have no duty to notify Holders if the Notes achieve Investment Grade Status or of the occurrence of a Reversion Date.</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Termination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If, on any date following the Issue date, the Notes have achieved Investment Grade Status; and (ii) no Default</w:t>
      </w:r>
    </w:p>
    <w:p>
      <w:pPr>
        <w:spacing w:after="0" w:line="92" w:lineRule="exact"/>
        <w:rPr>
          <w:rFonts w:ascii="Arial" w:cs="Arial" w:eastAsia="Arial" w:hAnsi="Arial"/>
          <w:sz w:val="19"/>
          <w:szCs w:val="19"/>
          <w:color w:val="auto"/>
        </w:rPr>
      </w:pPr>
    </w:p>
    <w:p>
      <w:pPr>
        <w:ind w:right="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or Event of Default has occurred and is continuing under this Indenture, then, beginning on that day, the Company and its Restricted Subsidiaries will permanently no longer be subject to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and clause (3) of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Terminated Covenants</w:t>
      </w:r>
      <w:r>
        <w:rPr>
          <w:rFonts w:ascii="Arial" w:cs="Arial" w:eastAsia="Arial" w:hAnsi="Arial"/>
          <w:sz w:val="22"/>
          <w:szCs w:val="22"/>
          <w:color w:val="auto"/>
        </w:rPr>
        <w:t>”).</w:t>
      </w:r>
    </w:p>
    <w:p>
      <w:pPr>
        <w:spacing w:after="0" w:line="400"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Following the achievement of Investment Grade Status, notwithstanding that the Notes may cease to have such Investment Grade Status or a Default or Event of Default may occur, the Terminated Covenants will be inapplicable to the parties to this Indenture and have no further force and effect.</w:t>
      </w:r>
    </w:p>
    <w:p>
      <w:pPr>
        <w:spacing w:after="0" w:line="400" w:lineRule="exact"/>
        <w:rPr>
          <w:sz w:val="20"/>
          <w:szCs w:val="20"/>
          <w:color w:val="auto"/>
        </w:rPr>
      </w:pPr>
    </w:p>
    <w:p>
      <w:pPr>
        <w:ind w:left="1740" w:hanging="435"/>
        <w:spacing w:after="0"/>
        <w:tabs>
          <w:tab w:leader="none" w:pos="17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of the ratings of the Notes and shall have no duty to notify Holders if the Notes achieve Investment Grade Status, and shall assume the Terminated Covenants are in effect until it is notified in writing that the Notes have achieved Investment Grade Status.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IV</w:t>
      </w:r>
    </w:p>
    <w:p>
      <w:pPr>
        <w:spacing w:after="0" w:line="200" w:lineRule="exact"/>
        <w:rPr>
          <w:sz w:val="20"/>
          <w:szCs w:val="20"/>
          <w:color w:val="auto"/>
        </w:rPr>
      </w:pPr>
    </w:p>
    <w:p>
      <w:pPr>
        <w:spacing w:after="0" w:line="276" w:lineRule="exact"/>
        <w:rPr>
          <w:sz w:val="20"/>
          <w:szCs w:val="20"/>
          <w:color w:val="auto"/>
        </w:rPr>
      </w:pPr>
    </w:p>
    <w:p>
      <w:pPr>
        <w:ind w:left="3320"/>
        <w:spacing w:after="0"/>
        <w:rPr>
          <w:sz w:val="20"/>
          <w:szCs w:val="20"/>
          <w:color w:val="auto"/>
        </w:rPr>
      </w:pPr>
      <w:r>
        <w:rPr>
          <w:rFonts w:ascii="Arial" w:cs="Arial" w:eastAsia="Arial" w:hAnsi="Arial"/>
          <w:sz w:val="22"/>
          <w:szCs w:val="22"/>
          <w:b w:val="1"/>
          <w:bCs w:val="1"/>
          <w:u w:val="single" w:color="auto"/>
          <w:color w:val="auto"/>
        </w:rPr>
        <w:t>SUCCESSOR COMPANY; SUCCESSOR PERSON</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Merger and Consolidation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firstLine="1305"/>
        <w:spacing w:after="0" w:line="315" w:lineRule="auto"/>
        <w:tabs>
          <w:tab w:leader="none" w:pos="171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Company will not consolidate with or merge with or into or convey, transfer or lease all or substantially all its assets to, any Person, unless: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340"/>
          </w:cols>
          <w:pgMar w:left="240" w:top="1077" w:right="319" w:bottom="1440" w:gutter="0" w:footer="0" w:header="0"/>
        </w:sectPr>
      </w:pPr>
    </w:p>
    <w:bookmarkStart w:id="152" w:name="page153"/>
    <w:bookmarkEnd w:id="152"/>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resulting, surviving or transferee Person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will be a Person organized and</w:t>
      </w:r>
    </w:p>
    <w:p>
      <w:pPr>
        <w:spacing w:after="0" w:line="92" w:lineRule="exact"/>
        <w:rPr>
          <w:rFonts w:ascii="Arial" w:cs="Arial" w:eastAsia="Arial" w:hAnsi="Arial"/>
          <w:sz w:val="19"/>
          <w:szCs w:val="19"/>
          <w:color w:val="auto"/>
        </w:rPr>
      </w:pPr>
    </w:p>
    <w:p>
      <w:pPr>
        <w:ind w:left="660" w:right="40"/>
        <w:spacing w:after="0" w:line="306" w:lineRule="auto"/>
        <w:rPr>
          <w:rFonts w:ascii="Arial" w:cs="Arial" w:eastAsia="Arial" w:hAnsi="Arial"/>
          <w:sz w:val="19"/>
          <w:szCs w:val="19"/>
          <w:color w:val="auto"/>
        </w:rPr>
      </w:pPr>
      <w:r>
        <w:rPr>
          <w:rFonts w:ascii="Arial" w:cs="Arial" w:eastAsia="Arial" w:hAnsi="Arial"/>
          <w:sz w:val="21"/>
          <w:szCs w:val="21"/>
          <w:color w:val="auto"/>
        </w:rPr>
        <w:t>existing under the laws of the United States of America, any State of the United States or the District of Columbia and the Successor Company (if not the Company) will expressly assume, via a supplemental indenture, all the obligations of the Company under the Notes and this Indenture and if such Successor Company is not a corporation, a co-obligor of the Notes is a corporation organized or existing under such laws;</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(and treating any Indebtedness that becomes an</w:t>
      </w:r>
    </w:p>
    <w:p>
      <w:pPr>
        <w:spacing w:after="0" w:line="92" w:lineRule="exact"/>
        <w:rPr>
          <w:rFonts w:ascii="Arial" w:cs="Arial" w:eastAsia="Arial" w:hAnsi="Arial"/>
          <w:sz w:val="19"/>
          <w:szCs w:val="19"/>
          <w:color w:val="auto"/>
        </w:rPr>
      </w:pPr>
    </w:p>
    <w:p>
      <w:pPr>
        <w:ind w:left="660" w:right="60"/>
        <w:spacing w:after="0" w:line="311" w:lineRule="auto"/>
        <w:rPr>
          <w:rFonts w:ascii="Arial" w:cs="Arial" w:eastAsia="Arial" w:hAnsi="Arial"/>
          <w:sz w:val="19"/>
          <w:szCs w:val="19"/>
          <w:color w:val="auto"/>
        </w:rPr>
      </w:pPr>
      <w:r>
        <w:rPr>
          <w:rFonts w:ascii="Arial" w:cs="Arial" w:eastAsia="Arial" w:hAnsi="Arial"/>
          <w:sz w:val="21"/>
          <w:szCs w:val="21"/>
          <w:color w:val="auto"/>
        </w:rPr>
        <w:t>obligation of the applicable Successor Company or any Subsidiary of the applicable Successor Company as a result of such transaction as having been Incurred by the applicable Successor Company or such Subsidiary at the time of such transaction), no Default or Event of Default shall have occurred and be continuing;</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either (a) the Fixed Charge Coverage Ratio for the</w:t>
      </w:r>
    </w:p>
    <w:p>
      <w:pPr>
        <w:spacing w:after="0" w:line="92" w:lineRule="exact"/>
        <w:rPr>
          <w:rFonts w:ascii="Arial" w:cs="Arial" w:eastAsia="Arial" w:hAnsi="Arial"/>
          <w:sz w:val="19"/>
          <w:szCs w:val="19"/>
          <w:color w:val="auto"/>
        </w:rPr>
      </w:pPr>
    </w:p>
    <w:p>
      <w:pPr>
        <w:jc w:val="both"/>
        <w:ind w:left="660" w:right="560"/>
        <w:spacing w:after="0" w:line="292" w:lineRule="auto"/>
        <w:rPr>
          <w:rFonts w:ascii="Arial" w:cs="Arial" w:eastAsia="Arial" w:hAnsi="Arial"/>
          <w:sz w:val="19"/>
          <w:szCs w:val="19"/>
          <w:color w:val="auto"/>
        </w:rPr>
      </w:pPr>
      <w:r>
        <w:rPr>
          <w:rFonts w:ascii="Arial" w:cs="Arial" w:eastAsia="Arial" w:hAnsi="Arial"/>
          <w:sz w:val="22"/>
          <w:szCs w:val="22"/>
          <w:color w:val="auto"/>
        </w:rPr>
        <w:t>applicable Successor Company is at least 2.00 to 1.00 or (b) the Fixed Charge Coverage Ratio of the Company (or, if applicable, the Successor Company thereto) would not be lower than it was immediately prior to giving effect to such transaction;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each applicable Subsidiary Guarantor (other than (a) any Subsidiary Guarantor that will be released</w:t>
      </w:r>
    </w:p>
    <w:p>
      <w:pPr>
        <w:spacing w:after="0" w:line="92" w:lineRule="exact"/>
        <w:rPr>
          <w:rFonts w:ascii="Arial" w:cs="Arial" w:eastAsia="Arial" w:hAnsi="Arial"/>
          <w:sz w:val="19"/>
          <w:szCs w:val="19"/>
          <w:color w:val="auto"/>
        </w:rPr>
      </w:pPr>
    </w:p>
    <w:p>
      <w:pPr>
        <w:ind w:left="660" w:right="240"/>
        <w:spacing w:after="0" w:line="288" w:lineRule="auto"/>
        <w:rPr>
          <w:rFonts w:ascii="Arial" w:cs="Arial" w:eastAsia="Arial" w:hAnsi="Arial"/>
          <w:sz w:val="19"/>
          <w:szCs w:val="19"/>
          <w:color w:val="auto"/>
        </w:rPr>
      </w:pPr>
      <w:r>
        <w:rPr>
          <w:rFonts w:ascii="Arial" w:cs="Arial" w:eastAsia="Arial" w:hAnsi="Arial"/>
          <w:sz w:val="22"/>
          <w:szCs w:val="22"/>
          <w:color w:val="auto"/>
        </w:rPr>
        <w:t>from its obligations under its Subsidiary Guarantee in connection with such transaction and (b) any party to any such consolidation or merger) shall have delivered a supplemental indenture or other document or instrument, confirming its Subsidiary Guarantee (other than any Subsidiary Guarantee that will be discharged or terminated in connection with such transaction); and</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w:t>
      </w:r>
    </w:p>
    <w:p>
      <w:pPr>
        <w:spacing w:after="0" w:line="92" w:lineRule="exact"/>
        <w:rPr>
          <w:rFonts w:ascii="Arial" w:cs="Arial" w:eastAsia="Arial" w:hAnsi="Arial"/>
          <w:sz w:val="19"/>
          <w:szCs w:val="19"/>
          <w:color w:val="auto"/>
        </w:rPr>
      </w:pPr>
    </w:p>
    <w:p>
      <w:pPr>
        <w:ind w:left="66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each stating that such consolidation, merger or transfer and such supplemental indenture (if any) comply with this Indenture and an Opinion of Counsel stating that such supplemental indenture (if any) have been duly authorized, executed and delivered and are a legal, valid and binding agreement enforceable against the applicable Successor Company (in each case, in form satisfactory to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giving an Opinion of Counsel, counsel may rely on an Officer’s Certificate as to any matters of fact, including as to satisfaction of clauses (2) and (3) above.</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4.1</w:t>
      </w:r>
      <w:r>
        <w:rPr>
          <w:rFonts w:ascii="Arial" w:cs="Arial" w:eastAsia="Arial" w:hAnsi="Arial"/>
          <w:sz w:val="19"/>
          <w:szCs w:val="19"/>
          <w:color w:val="auto"/>
        </w:rPr>
        <w:t>, the sale, lease, conveyance, assignment, transfer, or other disposition of all or</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substantially all of the properties and assets of one or more Subsidiaries of the Company, which properties and assets, if held by the Company instead of</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380"/>
          </w:cols>
          <w:pgMar w:left="240" w:top="1077" w:right="279" w:bottom="1440" w:gutter="0" w:footer="0" w:header="0"/>
        </w:sectPr>
      </w:pPr>
    </w:p>
    <w:bookmarkStart w:id="153" w:name="page154"/>
    <w:bookmarkEnd w:id="153"/>
    <w:p>
      <w:pPr>
        <w:ind w:right="40"/>
        <w:spacing w:after="0" w:line="328" w:lineRule="auto"/>
        <w:rPr>
          <w:sz w:val="20"/>
          <w:szCs w:val="20"/>
          <w:color w:val="auto"/>
        </w:rPr>
      </w:pPr>
      <w:r>
        <w:rPr>
          <w:rFonts w:ascii="Arial" w:cs="Arial" w:eastAsia="Arial" w:hAnsi="Arial"/>
          <w:sz w:val="21"/>
          <w:szCs w:val="21"/>
          <w:color w:val="auto"/>
        </w:rPr>
        <w:t>such Subsidiaries, would constitute all or substantially all of the properties and assets of the Company on a consolidated basis, shall be deemed to be the transfer of all or substantially all of the properties and assets of the Company.</w:t>
      </w:r>
    </w:p>
    <w:p>
      <w:pPr>
        <w:spacing w:after="0" w:line="366" w:lineRule="exact"/>
        <w:rPr>
          <w:sz w:val="20"/>
          <w:szCs w:val="20"/>
          <w:color w:val="auto"/>
        </w:rPr>
      </w:pPr>
    </w:p>
    <w:p>
      <w:pPr>
        <w:ind w:left="1720" w:hanging="415"/>
        <w:spacing w:after="0"/>
        <w:tabs>
          <w:tab w:leader="none" w:pos="172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Successor Company will succeed to, and be substituted for, and may exercise every right and power of, the</w:t>
      </w:r>
    </w:p>
    <w:p>
      <w:pPr>
        <w:spacing w:after="0" w:line="92" w:lineRule="exact"/>
        <w:rPr>
          <w:rFonts w:ascii="Arial" w:cs="Arial" w:eastAsia="Arial" w:hAnsi="Arial"/>
          <w:sz w:val="19"/>
          <w:szCs w:val="19"/>
          <w:color w:val="auto"/>
        </w:rPr>
      </w:pPr>
    </w:p>
    <w:p>
      <w:pPr>
        <w:ind w:right="280"/>
        <w:spacing w:after="0" w:line="302" w:lineRule="auto"/>
        <w:rPr>
          <w:rFonts w:ascii="Arial" w:cs="Arial" w:eastAsia="Arial" w:hAnsi="Arial"/>
          <w:sz w:val="19"/>
          <w:szCs w:val="19"/>
          <w:color w:val="auto"/>
        </w:rPr>
      </w:pPr>
      <w:r>
        <w:rPr>
          <w:rFonts w:ascii="Arial" w:cs="Arial" w:eastAsia="Arial" w:hAnsi="Arial"/>
          <w:sz w:val="22"/>
          <w:szCs w:val="22"/>
          <w:color w:val="auto"/>
        </w:rPr>
        <w:t>Company under the Notes or the Indenture but in the case of a lease of all or substantially all its assets, the predecessor company will not be released from its obligations under the Notes or the Indenture.</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Notwithstanding the preceding clauses (a)(2), (a)(3) and (a)(5) (which do not apply to transactions referred to in</w:t>
      </w:r>
    </w:p>
    <w:p>
      <w:pPr>
        <w:spacing w:after="0" w:line="92" w:lineRule="exact"/>
        <w:rPr>
          <w:rFonts w:ascii="Arial" w:cs="Arial" w:eastAsia="Arial" w:hAnsi="Arial"/>
          <w:sz w:val="19"/>
          <w:szCs w:val="19"/>
          <w:color w:val="auto"/>
        </w:rPr>
      </w:pPr>
    </w:p>
    <w:p>
      <w:pPr>
        <w:ind w:right="100"/>
        <w:spacing w:after="0" w:line="338" w:lineRule="auto"/>
        <w:rPr>
          <w:rFonts w:ascii="Arial" w:cs="Arial" w:eastAsia="Arial" w:hAnsi="Arial"/>
          <w:sz w:val="19"/>
          <w:szCs w:val="19"/>
          <w:color w:val="auto"/>
        </w:rPr>
      </w:pPr>
      <w:r>
        <w:rPr>
          <w:rFonts w:ascii="Arial" w:cs="Arial" w:eastAsia="Arial" w:hAnsi="Arial"/>
          <w:sz w:val="19"/>
          <w:szCs w:val="19"/>
          <w:color w:val="auto"/>
        </w:rPr>
        <w:t>this sentence), (a) any Restricted Subsidiary of the Company may consolidate or otherwise combine with or merge into or transfer all or part of its properties and assets to the Company; and (b) any Restricted Subsidiary may consolidate or otherwise combine with or merge into or transfer all or part of its properties and assets to any other Restricted Subsidiary. Notwithstanding the preceding clauses (2) and (3) (which do not apply to the transactions referred to in this sentence), the Company may consolidate or otherwise combine with or merge into an Affiliate incorporated or organized for the purpose of changing the legal domicile of the Company, reincorporating the Company in another jurisdiction, or changing the legal form of the Company.</w:t>
      </w:r>
    </w:p>
    <w:p>
      <w:pPr>
        <w:spacing w:after="0" w:line="368" w:lineRule="exact"/>
        <w:rPr>
          <w:rFonts w:ascii="Arial" w:cs="Arial" w:eastAsia="Arial" w:hAnsi="Arial"/>
          <w:sz w:val="19"/>
          <w:szCs w:val="19"/>
          <w:color w:val="auto"/>
        </w:rPr>
      </w:pPr>
    </w:p>
    <w:p>
      <w:pPr>
        <w:ind w:right="80" w:firstLine="1305"/>
        <w:spacing w:after="0" w:line="315" w:lineRule="auto"/>
        <w:tabs>
          <w:tab w:leader="none" w:pos="171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The foregoing provisions (other than the requirements of clause (a)(2) of this </w:t>
      </w:r>
      <w:r>
        <w:rPr>
          <w:rFonts w:ascii="Arial" w:cs="Arial" w:eastAsia="Arial" w:hAnsi="Arial"/>
          <w:sz w:val="22"/>
          <w:szCs w:val="22"/>
          <w:u w:val="single" w:color="auto"/>
          <w:color w:val="auto"/>
        </w:rPr>
        <w:t>Section 4.1</w:t>
      </w:r>
      <w:r>
        <w:rPr>
          <w:rFonts w:ascii="Arial" w:cs="Arial" w:eastAsia="Arial" w:hAnsi="Arial"/>
          <w:sz w:val="22"/>
          <w:szCs w:val="22"/>
          <w:color w:val="auto"/>
        </w:rPr>
        <w:t>) shall not apply to the creation of a new Subsidiary as a Restricted Subsidiary of the Company.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266" w:lineRule="exact"/>
        <w:rPr>
          <w:sz w:val="20"/>
          <w:szCs w:val="20"/>
          <w:color w:val="auto"/>
        </w:rPr>
      </w:pPr>
    </w:p>
    <w:p>
      <w:pPr>
        <w:ind w:right="200" w:firstLine="648"/>
        <w:spacing w:after="0" w:line="29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Notices to Trustee</w:t>
      </w:r>
      <w:r>
        <w:rPr>
          <w:rFonts w:ascii="Arial" w:cs="Arial" w:eastAsia="Arial" w:hAnsi="Arial"/>
          <w:sz w:val="22"/>
          <w:szCs w:val="22"/>
          <w:color w:val="auto"/>
        </w:rPr>
        <w:t xml:space="preserve">. If the Company elects to redeem Notes pursuant to the optional redemption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hereof, it must furnish to the Trustee and the Paying Agent, at least 30 days but not more than 60 days before a redemption date, an Officer’s Certificate setting forth:</w:t>
      </w:r>
    </w:p>
    <w:p>
      <w:pPr>
        <w:spacing w:after="0" w:line="395" w:lineRule="exact"/>
        <w:rPr>
          <w:sz w:val="20"/>
          <w:szCs w:val="20"/>
          <w:color w:val="auto"/>
        </w:rPr>
      </w:pPr>
    </w:p>
    <w:p>
      <w:pPr>
        <w:ind w:left="2380" w:hanging="427"/>
        <w:spacing w:after="0"/>
        <w:tabs>
          <w:tab w:leader="none" w:pos="23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1077" w:right="239" w:bottom="1440" w:gutter="0" w:footer="0" w:header="0"/>
        </w:sectPr>
      </w:pPr>
    </w:p>
    <w:bookmarkStart w:id="154" w:name="page155"/>
    <w:bookmarkEnd w:id="154"/>
    <w:p>
      <w:pPr>
        <w:ind w:right="60" w:firstLine="648"/>
        <w:spacing w:after="0" w:line="304"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Selection of Notes To Be Redeemed or Purchased</w:t>
      </w:r>
      <w:r>
        <w:rPr>
          <w:rFonts w:ascii="Arial" w:cs="Arial" w:eastAsia="Arial" w:hAnsi="Arial"/>
          <w:sz w:val="21"/>
          <w:szCs w:val="21"/>
          <w:color w:val="auto"/>
        </w:rPr>
        <w:t xml:space="preserve">. If less than all of the Notes are to be redeemed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or purchased in an Asset Disposition Offer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or a redemption pursuant to </w:t>
      </w:r>
      <w:r>
        <w:rPr>
          <w:rFonts w:ascii="Arial" w:cs="Arial" w:eastAsia="Arial" w:hAnsi="Arial"/>
          <w:sz w:val="21"/>
          <w:szCs w:val="21"/>
          <w:u w:val="single" w:color="auto"/>
          <w:color w:val="auto"/>
        </w:rPr>
        <w:t>Section 5.8</w:t>
      </w:r>
      <w:r>
        <w:rPr>
          <w:rFonts w:ascii="Arial" w:cs="Arial" w:eastAsia="Arial" w:hAnsi="Arial"/>
          <w:sz w:val="21"/>
          <w:szCs w:val="21"/>
          <w:color w:val="auto"/>
        </w:rPr>
        <w:t>, the Registrar will select Notes for redemption or purchase (a) if the Notes are in global form in accordance with the applicable procedures of DTC, and an appropriate notation shall be made on such Notes to decrease the principal amount thereof to equal the unredeemed portion thereof (b) if the Notes are in definitive form, on a pro rata basis (subject to adjustments to maintain the authorized Notes denomination requirements) except:</w:t>
      </w:r>
    </w:p>
    <w:p>
      <w:pPr>
        <w:spacing w:after="0" w:line="393" w:lineRule="exact"/>
        <w:rPr>
          <w:sz w:val="20"/>
          <w:szCs w:val="20"/>
          <w:color w:val="auto"/>
        </w:rPr>
      </w:pPr>
    </w:p>
    <w:p>
      <w:pPr>
        <w:ind w:left="660" w:right="200" w:firstLine="1293"/>
        <w:spacing w:after="0" w:line="315" w:lineRule="auto"/>
        <w:tabs>
          <w:tab w:leader="none" w:pos="2389"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otherwise required by law.</w:t>
      </w:r>
    </w:p>
    <w:p>
      <w:pPr>
        <w:spacing w:after="0" w:line="200" w:lineRule="exact"/>
        <w:rPr>
          <w:sz w:val="20"/>
          <w:szCs w:val="20"/>
          <w:color w:val="auto"/>
        </w:rPr>
      </w:pPr>
    </w:p>
    <w:p>
      <w:pPr>
        <w:spacing w:after="0" w:line="290" w:lineRule="exact"/>
        <w:rPr>
          <w:sz w:val="20"/>
          <w:szCs w:val="20"/>
          <w:color w:val="auto"/>
        </w:rPr>
      </w:pPr>
    </w:p>
    <w:p>
      <w:pPr>
        <w:ind w:right="40" w:firstLine="648"/>
        <w:spacing w:after="0" w:line="288" w:lineRule="auto"/>
        <w:rPr>
          <w:sz w:val="20"/>
          <w:szCs w:val="20"/>
          <w:color w:val="auto"/>
        </w:rPr>
      </w:pPr>
      <w:r>
        <w:rPr>
          <w:rFonts w:ascii="Arial" w:cs="Arial" w:eastAsia="Arial" w:hAnsi="Arial"/>
          <w:sz w:val="22"/>
          <w:szCs w:val="22"/>
          <w:color w:val="auto"/>
        </w:rPr>
        <w:t>No Notes in an unauthorized denomination of $2,000 in aggregate principal amount or less shall be redeemed in part. In the event of partial redemption, the particular Notes to be redeemed or purchased will be selected, unless otherwise provided herein, not less than 30 nor more than 60 days prior to the redemption or purchase date by the Trustee from the outstanding Notes not previously called for redemption or purchase.</w:t>
      </w:r>
    </w:p>
    <w:p>
      <w:pPr>
        <w:spacing w:after="0" w:line="200" w:lineRule="exact"/>
        <w:rPr>
          <w:sz w:val="20"/>
          <w:szCs w:val="20"/>
          <w:color w:val="auto"/>
        </w:rPr>
      </w:pPr>
    </w:p>
    <w:p>
      <w:pPr>
        <w:spacing w:after="0" w:line="206"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$2,000 or whole multiples of $1,000;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53"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Notice of Redemption</w:t>
      </w:r>
      <w:r>
        <w:rPr>
          <w:rFonts w:ascii="Arial" w:cs="Arial" w:eastAsia="Arial" w:hAnsi="Arial"/>
          <w:sz w:val="22"/>
          <w:szCs w:val="22"/>
          <w:color w:val="auto"/>
        </w:rPr>
        <w:t>. At least 30 days but not more than 60 days before a redemption date, the Company will send or cause to be sent, by electronic delivery or by first class mail postage prepaid, a notice of redemption to each Holder whose Notes are to be redeemed at the address of such Holder appearing in the Notes Register or otherwise in accordance with the procedures of DTC.</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will identify the Notes (including the CUSIP or ISIN number) to be redeemed and will state:</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redemption date;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380"/>
          </w:cols>
          <w:pgMar w:left="240" w:top="861" w:right="279" w:bottom="1440" w:gutter="0" w:footer="0" w:header="0"/>
        </w:sectPr>
      </w:pPr>
    </w:p>
    <w:bookmarkStart w:id="155" w:name="page156"/>
    <w:bookmarkEnd w:id="155"/>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if any Note is being redeemed in part, the portion of the principal amount of such Note to be redeemed</w:t>
      </w:r>
    </w:p>
    <w:p>
      <w:pPr>
        <w:spacing w:after="0" w:line="92" w:lineRule="exact"/>
        <w:rPr>
          <w:rFonts w:ascii="Arial" w:cs="Arial" w:eastAsia="Arial" w:hAnsi="Arial"/>
          <w:sz w:val="19"/>
          <w:szCs w:val="19"/>
          <w:color w:val="auto"/>
        </w:rPr>
      </w:pPr>
    </w:p>
    <w:p>
      <w:pPr>
        <w:ind w:left="660" w:right="540"/>
        <w:spacing w:after="0" w:line="302" w:lineRule="auto"/>
        <w:rPr>
          <w:rFonts w:ascii="Arial" w:cs="Arial" w:eastAsia="Arial" w:hAnsi="Arial"/>
          <w:sz w:val="19"/>
          <w:szCs w:val="19"/>
          <w:color w:val="auto"/>
        </w:rPr>
      </w:pPr>
      <w:r>
        <w:rPr>
          <w:rFonts w:ascii="Arial" w:cs="Arial" w:eastAsia="Arial" w:hAnsi="Arial"/>
          <w:sz w:val="22"/>
          <w:szCs w:val="22"/>
          <w:color w:val="auto"/>
        </w:rPr>
        <w:t>and that, after the redemption date upon surrender of such Note, a new Note or Notes in principal amount equal to the unredeemed portion will be issued upon cancellation of the original Note;</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that Notes called for redemption must be surrendered to the Paying Agent to collect the redemption</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price;</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firstLine="1293"/>
        <w:spacing w:after="0" w:line="315" w:lineRule="auto"/>
        <w:tabs>
          <w:tab w:leader="none" w:pos="238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that, unless the Company defaults in making such redemption payment, interest and Additional Interest, if any, on Notes called for redemption ceases to accrue on and after the redemption date;</w:t>
      </w:r>
    </w:p>
    <w:p>
      <w:pPr>
        <w:spacing w:after="0" w:line="375" w:lineRule="exact"/>
        <w:rPr>
          <w:rFonts w:ascii="Arial" w:cs="Arial" w:eastAsia="Arial" w:hAnsi="Arial"/>
          <w:sz w:val="22"/>
          <w:szCs w:val="22"/>
          <w:color w:val="auto"/>
        </w:rPr>
      </w:pPr>
    </w:p>
    <w:p>
      <w:pPr>
        <w:ind w:left="660" w:right="540" w:firstLine="1293"/>
        <w:spacing w:after="0" w:line="315" w:lineRule="auto"/>
        <w:tabs>
          <w:tab w:leader="none" w:pos="238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375" w:lineRule="exact"/>
        <w:rPr>
          <w:rFonts w:ascii="Arial" w:cs="Arial" w:eastAsia="Arial" w:hAnsi="Arial"/>
          <w:sz w:val="22"/>
          <w:szCs w:val="22"/>
          <w:color w:val="auto"/>
        </w:rPr>
      </w:pPr>
    </w:p>
    <w:p>
      <w:pPr>
        <w:ind w:left="660" w:right="220" w:firstLine="1293"/>
        <w:spacing w:after="0" w:line="315" w:lineRule="auto"/>
        <w:tabs>
          <w:tab w:leader="none" w:pos="238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376" w:lineRule="exact"/>
        <w:rPr>
          <w:sz w:val="20"/>
          <w:szCs w:val="20"/>
          <w:color w:val="auto"/>
        </w:rPr>
      </w:pPr>
    </w:p>
    <w:p>
      <w:pPr>
        <w:ind w:right="60" w:firstLine="648"/>
        <w:spacing w:after="0" w:line="306" w:lineRule="auto"/>
        <w:rPr>
          <w:sz w:val="20"/>
          <w:szCs w:val="20"/>
          <w:color w:val="auto"/>
        </w:rPr>
      </w:pPr>
      <w:r>
        <w:rPr>
          <w:rFonts w:ascii="Arial" w:cs="Arial" w:eastAsia="Arial" w:hAnsi="Arial"/>
          <w:sz w:val="21"/>
          <w:szCs w:val="21"/>
          <w:color w:val="auto"/>
        </w:rPr>
        <w:t xml:space="preserve">At Company’s request, the Trustee will give the notice of redemption in the Company’s name and at its expense;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has delivered to the Trustee, at least 40 days prior to the redemption date (or such shorter period as the Trustee may agree), an Officer’s Certificate requesting that the Trustee give such notice and setting forth the information to be stated in such notice as provided in the preceding paragraph.</w:t>
      </w:r>
    </w:p>
    <w:p>
      <w:pPr>
        <w:spacing w:after="0" w:line="173"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 xml:space="preserve">. Except as provided for herein, once notice of redemption is sent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Notes called for redemption become irrevocably due and payable on the redemption date at the redemption price. Notice of any redemption of the Notes in connection with a corporate transaction (including an Equity Offering, an incurrence of Indebtedness or a Change of Control) may, at the Company’s discretion, be given prior to the completion thereof and any redemption or notice of redemption may, at the Company’s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Company’s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360"/>
          </w:cols>
          <w:pgMar w:left="240" w:top="1077" w:right="299" w:bottom="1440" w:gutter="0" w:footer="0" w:header="0"/>
        </w:sectPr>
      </w:pPr>
    </w:p>
    <w:bookmarkStart w:id="156" w:name="page157"/>
    <w:bookmarkEnd w:id="156"/>
    <w:p>
      <w:pPr>
        <w:ind w:right="120"/>
        <w:spacing w:after="0" w:line="302" w:lineRule="auto"/>
        <w:rPr>
          <w:sz w:val="20"/>
          <w:szCs w:val="20"/>
          <w:color w:val="auto"/>
        </w:rPr>
      </w:pPr>
      <w:r>
        <w:rPr>
          <w:rFonts w:ascii="Arial" w:cs="Arial" w:eastAsia="Arial" w:hAnsi="Arial"/>
          <w:sz w:val="22"/>
          <w:szCs w:val="22"/>
          <w:color w:val="auto"/>
        </w:rPr>
        <w:t>date as so delayed. In addition, the Company may provide in such notice that payment of the redemption price and performance of the Company’s obligations with respect to such redemption may be performed by another Person.</w:t>
      </w:r>
    </w:p>
    <w:p>
      <w:pPr>
        <w:spacing w:after="0" w:line="174" w:lineRule="exact"/>
        <w:rPr>
          <w:sz w:val="20"/>
          <w:szCs w:val="20"/>
          <w:color w:val="auto"/>
        </w:rPr>
      </w:pPr>
    </w:p>
    <w:p>
      <w:pPr>
        <w:ind w:firstLine="648"/>
        <w:spacing w:after="0" w:line="304"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Deposit of Redemption or Purchase Price</w:t>
      </w:r>
      <w:r>
        <w:rPr>
          <w:rFonts w:ascii="Arial" w:cs="Arial" w:eastAsia="Arial" w:hAnsi="Arial"/>
          <w:sz w:val="21"/>
          <w:szCs w:val="21"/>
          <w:color w:val="auto"/>
        </w:rPr>
        <w:t>. Prior to 12:00 p.m. New York Time on the redemption or purchase date, the Company will deposit with the Trustee or with the Paying Agent money sufficient to pay the redemption or purchase price of, and accrued interest and Additional Interest,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Interest, if any, on, all Notes to be redeemed or purchased.</w:t>
      </w:r>
    </w:p>
    <w:p>
      <w:pPr>
        <w:spacing w:after="0" w:line="393" w:lineRule="exact"/>
        <w:rPr>
          <w:sz w:val="20"/>
          <w:szCs w:val="20"/>
          <w:color w:val="auto"/>
        </w:rPr>
      </w:pPr>
    </w:p>
    <w:p>
      <w:pPr>
        <w:ind w:right="40" w:firstLine="648"/>
        <w:spacing w:after="0" w:line="334" w:lineRule="auto"/>
        <w:rPr>
          <w:sz w:val="20"/>
          <w:szCs w:val="20"/>
          <w:color w:val="auto"/>
        </w:rPr>
      </w:pPr>
      <w:r>
        <w:rPr>
          <w:rFonts w:ascii="Arial" w:cs="Arial" w:eastAsia="Arial" w:hAnsi="Arial"/>
          <w:sz w:val="19"/>
          <w:szCs w:val="19"/>
          <w:color w:val="auto"/>
        </w:rPr>
        <w:t xml:space="preserve">If the Company complies with the provisions of the preceding paragraph, on and after the redemption or purchase date, interest and Additional Interest, if any,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the Company delivers global notes to the Trustee for cancellation on a date that is after the record date and on or before the next interest payment date, then interest shall be paid in accordance with the procedures of DTC.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51" w:lineRule="exact"/>
        <w:rPr>
          <w:sz w:val="20"/>
          <w:szCs w:val="20"/>
          <w:color w:val="auto"/>
        </w:rPr>
      </w:pPr>
    </w:p>
    <w:p>
      <w:pPr>
        <w:ind w:right="20" w:firstLine="648"/>
        <w:spacing w:after="0" w:line="290"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Notes Redeemed or Purchased in Part</w:t>
      </w:r>
      <w:r>
        <w:rPr>
          <w:rFonts w:ascii="Arial" w:cs="Arial" w:eastAsia="Arial" w:hAnsi="Arial"/>
          <w:sz w:val="22"/>
          <w:szCs w:val="22"/>
          <w:color w:val="auto"/>
        </w:rPr>
        <w:t xml:space="preserve">. Upon surrender of a Note that is redeemed or purchased in part, in the case of Definitive Notes the Company will issue and, upon receipt of an Issuer Order, the Trustee will authenticate for the Holder at the expense of the Company a new Note equal in principal amount to the unredeemed or unpurchased portion of the Note surrendered; </w:t>
      </w:r>
      <w:r>
        <w:rPr>
          <w:rFonts w:ascii="Arial" w:cs="Arial" w:eastAsia="Arial" w:hAnsi="Arial"/>
          <w:sz w:val="22"/>
          <w:szCs w:val="22"/>
          <w:u w:val="single" w:color="auto"/>
          <w:color w:val="auto"/>
        </w:rPr>
        <w:t>provided</w:t>
      </w:r>
      <w:r>
        <w:rPr>
          <w:rFonts w:ascii="Arial" w:cs="Arial" w:eastAsia="Arial" w:hAnsi="Arial"/>
          <w:sz w:val="22"/>
          <w:szCs w:val="22"/>
          <w:color w:val="auto"/>
        </w:rPr>
        <w:t>, that each such new Note will be in a minimum principal amount of $2,000 or integral multiple of $1,000 in excess thereof.</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At any time prior to April 1, 2019, the Company may redeem the Notes in whole or in part, at its option, upon</w:t>
      </w:r>
    </w:p>
    <w:p>
      <w:pPr>
        <w:spacing w:after="0" w:line="92" w:lineRule="exact"/>
        <w:rPr>
          <w:rFonts w:ascii="Arial" w:cs="Arial" w:eastAsia="Arial" w:hAnsi="Arial"/>
          <w:sz w:val="19"/>
          <w:szCs w:val="19"/>
          <w:color w:val="auto"/>
        </w:rPr>
      </w:pPr>
    </w:p>
    <w:p>
      <w:pPr>
        <w:ind w:right="320"/>
        <w:spacing w:after="0" w:line="387" w:lineRule="auto"/>
        <w:rPr>
          <w:rFonts w:ascii="Arial" w:cs="Arial" w:eastAsia="Arial" w:hAnsi="Arial"/>
          <w:sz w:val="19"/>
          <w:szCs w:val="19"/>
          <w:color w:val="auto"/>
        </w:rPr>
      </w:pPr>
      <w:r>
        <w:rPr>
          <w:rFonts w:ascii="Arial" w:cs="Arial" w:eastAsia="Arial" w:hAnsi="Arial"/>
          <w:sz w:val="19"/>
          <w:szCs w:val="19"/>
          <w:color w:val="auto"/>
        </w:rPr>
        <w:t>not less than 30 nor more than 60 days’ prior notice by electronic delivery or first class mail, postage prepaid, with a copy to the Trustee, to each Holder of Notes to the address of such Holder appearing in the Notes Register, at a redemption price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00"/>
          </w:cols>
          <w:pgMar w:left="240" w:top="861" w:right="259" w:bottom="1440" w:gutter="0" w:footer="0" w:header="0"/>
        </w:sectPr>
      </w:pPr>
    </w:p>
    <w:bookmarkStart w:id="157" w:name="page158"/>
    <w:bookmarkEnd w:id="157"/>
    <w:p>
      <w:pPr>
        <w:ind w:right="120"/>
        <w:spacing w:after="0" w:line="288" w:lineRule="auto"/>
        <w:rPr>
          <w:sz w:val="20"/>
          <w:szCs w:val="20"/>
          <w:color w:val="auto"/>
        </w:rPr>
      </w:pPr>
      <w:r>
        <w:rPr>
          <w:rFonts w:ascii="Arial" w:cs="Arial" w:eastAsia="Arial" w:hAnsi="Arial"/>
          <w:sz w:val="22"/>
          <w:szCs w:val="22"/>
          <w:color w:val="auto"/>
        </w:rPr>
        <w:t>(expressed as percentages of principal amount of the Notes to be redeemed) equal to 100.000% of the principal amount of Notes redeemed plus the relevant Applicable Premium as of, and accrued and unpaid interest and Additional Interest, if any, to but excluding the date of redemption (the “</w:t>
      </w:r>
      <w:r>
        <w:rPr>
          <w:rFonts w:ascii="Arial" w:cs="Arial" w:eastAsia="Arial" w:hAnsi="Arial"/>
          <w:sz w:val="22"/>
          <w:szCs w:val="22"/>
          <w:u w:val="single" w:color="auto"/>
          <w:color w:val="auto"/>
        </w:rPr>
        <w:t>Redemption Date</w:t>
      </w:r>
      <w:r>
        <w:rPr>
          <w:rFonts w:ascii="Arial" w:cs="Arial" w:eastAsia="Arial" w:hAnsi="Arial"/>
          <w:sz w:val="22"/>
          <w:szCs w:val="22"/>
          <w:color w:val="auto"/>
        </w:rPr>
        <w:t>”), subject to the rights of holders of the Notes on the relevant record date to receive interest due on the relevant interest payment date.</w:t>
      </w:r>
    </w:p>
    <w:p>
      <w:pPr>
        <w:spacing w:after="0" w:line="200" w:lineRule="exact"/>
        <w:rPr>
          <w:sz w:val="20"/>
          <w:szCs w:val="20"/>
          <w:color w:val="auto"/>
        </w:rPr>
      </w:pPr>
    </w:p>
    <w:p>
      <w:pPr>
        <w:spacing w:after="0" w:line="206" w:lineRule="exact"/>
        <w:rPr>
          <w:sz w:val="20"/>
          <w:szCs w:val="20"/>
          <w:color w:val="auto"/>
        </w:rPr>
      </w:pPr>
    </w:p>
    <w:p>
      <w:pPr>
        <w:ind w:left="1740" w:hanging="435"/>
        <w:spacing w:after="0"/>
        <w:tabs>
          <w:tab w:leader="none" w:pos="174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At any time and from time to time prior to April 1, 2019, the Company may, at its option, upon not less than 30</w:t>
      </w:r>
    </w:p>
    <w:p>
      <w:pPr>
        <w:spacing w:after="0" w:line="92" w:lineRule="exact"/>
        <w:rPr>
          <w:rFonts w:ascii="Arial" w:cs="Arial" w:eastAsia="Arial" w:hAnsi="Arial"/>
          <w:sz w:val="19"/>
          <w:szCs w:val="19"/>
          <w:color w:val="auto"/>
        </w:rPr>
      </w:pPr>
    </w:p>
    <w:p>
      <w:pPr>
        <w:ind w:right="20"/>
        <w:spacing w:after="0" w:line="332" w:lineRule="auto"/>
        <w:rPr>
          <w:rFonts w:ascii="Arial" w:cs="Arial" w:eastAsia="Arial" w:hAnsi="Arial"/>
          <w:sz w:val="19"/>
          <w:szCs w:val="19"/>
          <w:color w:val="auto"/>
        </w:rPr>
      </w:pPr>
      <w:r>
        <w:rPr>
          <w:rFonts w:ascii="Arial" w:cs="Arial" w:eastAsia="Arial" w:hAnsi="Arial"/>
          <w:sz w:val="19"/>
          <w:szCs w:val="19"/>
          <w:color w:val="auto"/>
        </w:rPr>
        <w:t xml:space="preserve">nor more than 60 days’ prior notice by electronic delivery or first class mail, postage prepaid, with a copy to the Trustee, to each Holder of Notes to the address of such Holder appearing in the Notes Register, redeem up to 40% of the original aggregate principal amount of Notes (including Additional Notes) issued under this Indenture at a redemption price (expressed as percentages of principal amount of the Notes to be redeemed) equal to 106.375% of the aggregate principal amount thereof, plus accrued and unpaid interest to but excluding the applicable Redemption Date, subject to the right of Holders of record of the Notes on the relevant record date to receive interest due on the relevant interest payment date, with the Net Cash Proceeds received by the Company of one or more Equity Offerings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less than 50% of the original aggregate principal amount of Notes initially issued under this Indenture remains outstanding immediately after the occurrence of each such redemption (excluding Notes held by the Company or any of its Restricted Subsidiaries);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such redemption occurs not later than 180 days after the date of closing of the related Equity Offering. The Trustee shall select the Notes to be purchased in the manner described under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5.6</w:t>
      </w:r>
      <w:r>
        <w:rPr>
          <w:rFonts w:ascii="Arial" w:cs="Arial" w:eastAsia="Arial" w:hAnsi="Arial"/>
          <w:sz w:val="19"/>
          <w:szCs w:val="19"/>
          <w:color w:val="auto"/>
        </w:rPr>
        <w:t>.</w:t>
      </w:r>
    </w:p>
    <w:p>
      <w:pPr>
        <w:spacing w:after="0" w:line="375" w:lineRule="exact"/>
        <w:rPr>
          <w:rFonts w:ascii="Arial" w:cs="Arial" w:eastAsia="Arial" w:hAnsi="Arial"/>
          <w:sz w:val="19"/>
          <w:szCs w:val="19"/>
          <w:color w:val="auto"/>
        </w:rPr>
      </w:pPr>
    </w:p>
    <w:p>
      <w:pPr>
        <w:ind w:right="260" w:firstLine="1305"/>
        <w:spacing w:after="0" w:line="315" w:lineRule="auto"/>
        <w:tabs>
          <w:tab w:leader="none" w:pos="17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Except pursuant to clauses (a) and (b) of this </w:t>
      </w:r>
      <w:r>
        <w:rPr>
          <w:rFonts w:ascii="Arial" w:cs="Arial" w:eastAsia="Arial" w:hAnsi="Arial"/>
          <w:sz w:val="22"/>
          <w:szCs w:val="22"/>
          <w:u w:val="single" w:color="auto"/>
          <w:color w:val="auto"/>
        </w:rPr>
        <w:t>Section 5.7</w:t>
      </w:r>
      <w:r>
        <w:rPr>
          <w:rFonts w:ascii="Arial" w:cs="Arial" w:eastAsia="Arial" w:hAnsi="Arial"/>
          <w:sz w:val="22"/>
          <w:szCs w:val="22"/>
          <w:color w:val="auto"/>
        </w:rPr>
        <w:t>, the Notes will not be redeemable at the Company’s option prior to April 1, 2019.</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At any time and from time to time on or after April 1, 2019, the Company may redeem the Notes, in whole or</w:t>
      </w:r>
    </w:p>
    <w:p>
      <w:pPr>
        <w:spacing w:after="0" w:line="92" w:lineRule="exact"/>
        <w:rPr>
          <w:rFonts w:ascii="Arial" w:cs="Arial" w:eastAsia="Arial" w:hAnsi="Arial"/>
          <w:sz w:val="19"/>
          <w:szCs w:val="19"/>
          <w:color w:val="auto"/>
        </w:rPr>
      </w:pPr>
    </w:p>
    <w:p>
      <w:pPr>
        <w:spacing w:after="0" w:line="338" w:lineRule="auto"/>
        <w:rPr>
          <w:rFonts w:ascii="Arial" w:cs="Arial" w:eastAsia="Arial" w:hAnsi="Arial"/>
          <w:sz w:val="19"/>
          <w:szCs w:val="19"/>
          <w:color w:val="auto"/>
        </w:rPr>
      </w:pPr>
      <w:r>
        <w:rPr>
          <w:rFonts w:ascii="Arial" w:cs="Arial" w:eastAsia="Arial" w:hAnsi="Arial"/>
          <w:sz w:val="19"/>
          <w:szCs w:val="19"/>
          <w:color w:val="auto"/>
        </w:rPr>
        <w:t>in part, upon not less than 30 nor more than 60 days’ prior notice by electronic delivery or first class mail, postage prepaid, with a copy to the Trustee to each Holder of Notes to the address of such Holder appearing in the Notes Register at the redemption prices (expressed as percentages of principal amount of the Notes to be redeemed) set forth in the table below, plus accrued and unpaid interest and Additional Interest, if any, to but excluding the applicable Redemption Date, subject to the right of Holders of record of the Notes on the relevant record date to receive interest due on the relevant interest payment date, if redeemed during the twelve-month period beginning on April 1 of each of the years indicated in the table below: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00"/>
          </w:cols>
          <w:pgMar w:left="240" w:top="1077" w:right="259" w:bottom="1440" w:gutter="0" w:footer="0" w:header="0"/>
        </w:sectPr>
      </w:pPr>
    </w:p>
    <w:bookmarkStart w:id="158" w:name="page159"/>
    <w:bookmarkEnd w:id="158"/>
    <w:tbl>
      <w:tblPr>
        <w:tblLayout w:type="fixed"/>
        <w:tblInd w:w="900" w:type="dxa"/>
        <w:tblCellMar>
          <w:top w:w="0" w:type="dxa"/>
          <w:left w:w="0" w:type="dxa"/>
          <w:bottom w:w="0" w:type="dxa"/>
          <w:right w:w="0" w:type="dxa"/>
        </w:tblCellMar>
      </w:tblPr>
      <w:tr>
        <w:trPr>
          <w:trHeight w:val="28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Period</w:t>
            </w:r>
          </w:p>
        </w:tc>
        <w:tc>
          <w:tcPr>
            <w:tcW w:w="520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Percentage</w:t>
            </w:r>
          </w:p>
        </w:tc>
      </w:tr>
      <w:tr>
        <w:trPr>
          <w:trHeight w:val="280"/>
        </w:trPr>
        <w:tc>
          <w:tcPr>
            <w:tcW w:w="3000" w:type="dxa"/>
            <w:vAlign w:val="bottom"/>
          </w:tcPr>
          <w:p>
            <w:pPr>
              <w:ind w:left="20"/>
              <w:spacing w:after="0"/>
              <w:rPr>
                <w:sz w:val="20"/>
                <w:szCs w:val="20"/>
                <w:color w:val="auto"/>
              </w:rPr>
            </w:pPr>
            <w:r>
              <w:rPr>
                <w:rFonts w:ascii="Arial" w:cs="Arial" w:eastAsia="Arial" w:hAnsi="Arial"/>
                <w:sz w:val="22"/>
                <w:szCs w:val="22"/>
                <w:color w:val="auto"/>
              </w:rPr>
              <w:t>2019</w:t>
            </w:r>
          </w:p>
        </w:tc>
        <w:tc>
          <w:tcPr>
            <w:tcW w:w="5200" w:type="dxa"/>
            <w:vAlign w:val="bottom"/>
          </w:tcPr>
          <w:p>
            <w:pPr>
              <w:ind w:left="1300"/>
              <w:spacing w:after="0"/>
              <w:rPr>
                <w:sz w:val="20"/>
                <w:szCs w:val="20"/>
                <w:color w:val="auto"/>
              </w:rPr>
            </w:pPr>
            <w:r>
              <w:rPr>
                <w:rFonts w:ascii="Arial" w:cs="Arial" w:eastAsia="Arial" w:hAnsi="Arial"/>
                <w:sz w:val="22"/>
                <w:szCs w:val="22"/>
                <w:color w:val="auto"/>
              </w:rPr>
              <w:t>104.781%</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2020</w:t>
            </w:r>
          </w:p>
        </w:tc>
        <w:tc>
          <w:tcPr>
            <w:tcW w:w="5200" w:type="dxa"/>
            <w:vAlign w:val="bottom"/>
          </w:tcPr>
          <w:p>
            <w:pPr>
              <w:ind w:left="1300"/>
              <w:spacing w:after="0"/>
              <w:rPr>
                <w:sz w:val="20"/>
                <w:szCs w:val="20"/>
                <w:color w:val="auto"/>
              </w:rPr>
            </w:pPr>
            <w:r>
              <w:rPr>
                <w:rFonts w:ascii="Arial" w:cs="Arial" w:eastAsia="Arial" w:hAnsi="Arial"/>
                <w:sz w:val="22"/>
                <w:szCs w:val="22"/>
                <w:color w:val="auto"/>
              </w:rPr>
              <w:t>103.188%</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2021</w:t>
            </w:r>
          </w:p>
        </w:tc>
        <w:tc>
          <w:tcPr>
            <w:tcW w:w="5200" w:type="dxa"/>
            <w:vAlign w:val="bottom"/>
          </w:tcPr>
          <w:p>
            <w:pPr>
              <w:ind w:left="1300"/>
              <w:spacing w:after="0"/>
              <w:rPr>
                <w:sz w:val="20"/>
                <w:szCs w:val="20"/>
                <w:color w:val="auto"/>
              </w:rPr>
            </w:pPr>
            <w:r>
              <w:rPr>
                <w:rFonts w:ascii="Arial" w:cs="Arial" w:eastAsia="Arial" w:hAnsi="Arial"/>
                <w:sz w:val="22"/>
                <w:szCs w:val="22"/>
                <w:color w:val="auto"/>
              </w:rPr>
              <w:t>101.594%</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2022 and thereafter</w:t>
            </w:r>
          </w:p>
        </w:tc>
        <w:tc>
          <w:tcPr>
            <w:tcW w:w="5200" w:type="dxa"/>
            <w:vAlign w:val="bottom"/>
          </w:tcPr>
          <w:p>
            <w:pPr>
              <w:ind w:left="130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95" w:lineRule="exact"/>
        <w:rPr>
          <w:sz w:val="20"/>
          <w:szCs w:val="20"/>
          <w:color w:val="auto"/>
        </w:rPr>
      </w:pPr>
    </w:p>
    <w:p>
      <w:pPr>
        <w:ind w:right="100" w:firstLine="1305"/>
        <w:spacing w:after="0" w:line="315" w:lineRule="auto"/>
        <w:tabs>
          <w:tab w:leader="none" w:pos="171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Unless the Company defaults in the payment of the redemption price, interest will cease to accrue on the Notes or portions thereof called for redemption on the applicable Redemption Date.</w:t>
      </w:r>
    </w:p>
    <w:p>
      <w:pPr>
        <w:spacing w:after="0" w:line="375" w:lineRule="exact"/>
        <w:rPr>
          <w:rFonts w:ascii="Arial" w:cs="Arial" w:eastAsia="Arial" w:hAnsi="Arial"/>
          <w:sz w:val="22"/>
          <w:szCs w:val="22"/>
          <w:color w:val="auto"/>
        </w:rPr>
      </w:pPr>
    </w:p>
    <w:p>
      <w:pPr>
        <w:ind w:left="1700" w:hanging="395"/>
        <w:spacing w:after="0"/>
        <w:tabs>
          <w:tab w:leader="none" w:pos="17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Notwithstanding the foregoing, in connection with any tender offer for the Notes, including a Change of Control</w:t>
      </w:r>
    </w:p>
    <w:p>
      <w:pPr>
        <w:spacing w:after="0" w:line="92" w:lineRule="exact"/>
        <w:rPr>
          <w:rFonts w:ascii="Arial" w:cs="Arial" w:eastAsia="Arial" w:hAnsi="Arial"/>
          <w:sz w:val="19"/>
          <w:szCs w:val="19"/>
          <w:color w:val="auto"/>
        </w:rPr>
      </w:pPr>
    </w:p>
    <w:p>
      <w:pPr>
        <w:ind w:right="100"/>
        <w:spacing w:after="0" w:line="300" w:lineRule="auto"/>
        <w:rPr>
          <w:rFonts w:ascii="Arial" w:cs="Arial" w:eastAsia="Arial" w:hAnsi="Arial"/>
          <w:sz w:val="19"/>
          <w:szCs w:val="19"/>
          <w:color w:val="auto"/>
        </w:rPr>
      </w:pPr>
      <w:r>
        <w:rPr>
          <w:rFonts w:ascii="Arial" w:cs="Arial" w:eastAsia="Arial" w:hAnsi="Arial"/>
          <w:sz w:val="21"/>
          <w:szCs w:val="21"/>
          <w:color w:val="auto"/>
        </w:rPr>
        <w:t>Offer or Asset Disposition Offer, if Holders of not less than 90% in aggregate principal amount of the outstanding Notes validly tender and do not withdraw such Notes in such tender offer and the Company, or any third party making a such tender offer in lieu of the Company, purchases all of the Notes validly tendered and not withdrawn by such Holders, the Company or such third party will have the right upon not less than 30 nor more than 60 days’ prior notice, given not more than 30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Redemption Date.</w:t>
      </w:r>
    </w:p>
    <w:p>
      <w:pPr>
        <w:spacing w:after="0" w:line="399" w:lineRule="exact"/>
        <w:rPr>
          <w:rFonts w:ascii="Arial" w:cs="Arial" w:eastAsia="Arial" w:hAnsi="Arial"/>
          <w:sz w:val="19"/>
          <w:szCs w:val="19"/>
          <w:color w:val="auto"/>
        </w:rPr>
      </w:pPr>
    </w:p>
    <w:p>
      <w:pPr>
        <w:ind w:left="1740" w:hanging="435"/>
        <w:spacing w:after="0"/>
        <w:tabs>
          <w:tab w:leader="none" w:pos="17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Any redemption pursuant to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be made pursuant to the provisions of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5.6</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Mandatory Redemption</w:t>
      </w:r>
      <w:r>
        <w:rPr>
          <w:rFonts w:ascii="Arial" w:cs="Arial" w:eastAsia="Arial" w:hAnsi="Arial"/>
          <w:sz w:val="22"/>
          <w:szCs w:val="22"/>
          <w:color w:val="auto"/>
        </w:rPr>
        <w:t xml:space="preserve">. The Company is not required to make mandatory redemption or sinking fund payments with respect to the Notes;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 however</w:t>
      </w:r>
      <w:r>
        <w:rPr>
          <w:rFonts w:ascii="Arial" w:cs="Arial" w:eastAsia="Arial" w:hAnsi="Arial"/>
          <w:sz w:val="22"/>
          <w:szCs w:val="22"/>
          <w:color w:val="auto"/>
        </w:rPr>
        <w:t xml:space="preserve">, that under certain circumstances, the Company may be required to offer to purchase Notes under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 The Company may at any time and from time to time purchase Notes in the open market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DEFAULTS AND REMEDIES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5560" w:right="980" w:hanging="3607"/>
        <w:spacing w:after="0" w:line="750" w:lineRule="auto"/>
        <w:tabs>
          <w:tab w:leader="none" w:pos="238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default in any payment of interest on any Note when due and payable, continued for 30 days; 112</w:t>
      </w:r>
    </w:p>
    <w:p>
      <w:pPr>
        <w:sectPr>
          <w:pgSz w:w="11900" w:h="16838" w:orient="portrait"/>
          <w:cols w:equalWidth="0" w:num="1">
            <w:col w:w="11420"/>
          </w:cols>
          <w:pgMar w:left="240" w:top="996" w:right="239" w:bottom="1440" w:gutter="0" w:footer="0" w:header="0"/>
        </w:sectPr>
      </w:pPr>
    </w:p>
    <w:bookmarkStart w:id="159" w:name="page160"/>
    <w:bookmarkEnd w:id="159"/>
    <w:p>
      <w:pPr>
        <w:ind w:left="2380" w:hanging="427"/>
        <w:spacing w:after="0"/>
        <w:tabs>
          <w:tab w:leader="none" w:pos="238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default in the payment of the principal amount of or premium, if any, on any Note issued under this</w:t>
      </w:r>
    </w:p>
    <w:p>
      <w:pPr>
        <w:spacing w:after="0" w:line="92" w:lineRule="exact"/>
        <w:rPr>
          <w:rFonts w:ascii="Arial" w:cs="Arial" w:eastAsia="Arial" w:hAnsi="Arial"/>
          <w:sz w:val="19"/>
          <w:szCs w:val="19"/>
          <w:color w:val="auto"/>
        </w:rPr>
      </w:pPr>
    </w:p>
    <w:p>
      <w:pPr>
        <w:ind w:left="660" w:right="740"/>
        <w:spacing w:after="0" w:line="302" w:lineRule="auto"/>
        <w:rPr>
          <w:rFonts w:ascii="Arial" w:cs="Arial" w:eastAsia="Arial" w:hAnsi="Arial"/>
          <w:sz w:val="19"/>
          <w:szCs w:val="19"/>
          <w:color w:val="auto"/>
        </w:rPr>
      </w:pPr>
      <w:r>
        <w:rPr>
          <w:rFonts w:ascii="Arial" w:cs="Arial" w:eastAsia="Arial" w:hAnsi="Arial"/>
          <w:sz w:val="22"/>
          <w:szCs w:val="22"/>
          <w:color w:val="auto"/>
        </w:rPr>
        <w:t>Indenture when due at its Stated Maturity, upon optional redemption, upon required repurchase, upon declaration or otherwise;</w:t>
      </w:r>
    </w:p>
    <w:p>
      <w:pPr>
        <w:spacing w:after="0" w:line="389" w:lineRule="exact"/>
        <w:rPr>
          <w:rFonts w:ascii="Arial" w:cs="Arial" w:eastAsia="Arial" w:hAnsi="Arial"/>
          <w:sz w:val="19"/>
          <w:szCs w:val="19"/>
          <w:color w:val="auto"/>
        </w:rPr>
      </w:pPr>
    </w:p>
    <w:p>
      <w:pPr>
        <w:ind w:left="660" w:right="100" w:firstLine="1293"/>
        <w:spacing w:after="0" w:line="402" w:lineRule="auto"/>
        <w:tabs>
          <w:tab w:leader="none" w:pos="2389" w:val="left"/>
        </w:tabs>
        <w:numPr>
          <w:ilvl w:val="0"/>
          <w:numId w:val="186"/>
        </w:numPr>
        <w:rPr>
          <w:rFonts w:ascii="Arial" w:cs="Arial" w:eastAsia="Arial" w:hAnsi="Arial"/>
          <w:sz w:val="19"/>
          <w:szCs w:val="19"/>
          <w:color w:val="auto"/>
        </w:rPr>
      </w:pPr>
      <w:r>
        <w:rPr>
          <w:rFonts w:ascii="Arial" w:cs="Arial" w:eastAsia="Arial" w:hAnsi="Arial"/>
          <w:sz w:val="19"/>
          <w:szCs w:val="19"/>
          <w:color w:val="auto"/>
        </w:rPr>
        <w:t>failure to comply for 60 days after written notice by the Trustee on behalf of the Holders or by the Holders of 30% in principal amount of the outstanding Notes with any agreement or obligation contained in this Indenture;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may be secured or evidenced any Indebtedness for money borrowed by the Company or any of its Restricted Subsidiaries (or the payment of which is Guaranteed by the Company any of its Restricted Subsidiaries) other than Indebtedness owed to the Company or a Restricted Subsidiary whether such Indebtedness or Guarantee now exists, or is created after the date hereof, which default: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660" w:right="380" w:firstLine="1941"/>
        <w:spacing w:after="0" w:line="402" w:lineRule="auto"/>
        <w:tabs>
          <w:tab w:leader="none" w:pos="3085" w:val="left"/>
        </w:tabs>
        <w:numPr>
          <w:ilvl w:val="1"/>
          <w:numId w:val="186"/>
        </w:numPr>
        <w:rPr>
          <w:rFonts w:ascii="Arial" w:cs="Arial" w:eastAsia="Arial" w:hAnsi="Arial"/>
          <w:sz w:val="19"/>
          <w:szCs w:val="19"/>
          <w:color w:val="auto"/>
        </w:rPr>
      </w:pPr>
      <w:r>
        <w:rPr>
          <w:rFonts w:ascii="Arial" w:cs="Arial" w:eastAsia="Arial" w:hAnsi="Arial"/>
          <w:sz w:val="19"/>
          <w:szCs w:val="19"/>
          <w:color w:val="auto"/>
        </w:rPr>
        <w:t>is caused by a failure to pay principal of such Indebtedness, at its stated final maturity (after giving effect to any applicable grace periods) provided in such Indebtedness (“</w:t>
      </w:r>
      <w:r>
        <w:rPr>
          <w:rFonts w:ascii="Arial" w:cs="Arial" w:eastAsia="Arial" w:hAnsi="Arial"/>
          <w:sz w:val="19"/>
          <w:szCs w:val="19"/>
          <w:u w:val="single" w:color="auto"/>
          <w:color w:val="auto"/>
        </w:rPr>
        <w:t>payment default</w:t>
      </w:r>
      <w:r>
        <w:rPr>
          <w:rFonts w:ascii="Arial" w:cs="Arial" w:eastAsia="Arial" w:hAnsi="Arial"/>
          <w:sz w:val="19"/>
          <w:szCs w:val="19"/>
          <w:color w:val="auto"/>
        </w:rPr>
        <w:t>”); or</w:t>
      </w:r>
    </w:p>
    <w:p>
      <w:pPr>
        <w:spacing w:after="0" w:line="307" w:lineRule="exact"/>
        <w:rPr>
          <w:rFonts w:ascii="Arial" w:cs="Arial" w:eastAsia="Arial" w:hAnsi="Arial"/>
          <w:sz w:val="19"/>
          <w:szCs w:val="19"/>
          <w:color w:val="auto"/>
        </w:rPr>
      </w:pPr>
    </w:p>
    <w:p>
      <w:pPr>
        <w:ind w:left="3060" w:hanging="459"/>
        <w:spacing w:after="0"/>
        <w:tabs>
          <w:tab w:leader="none" w:pos="306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results in the acceleration of such Indebtedness prior to its stated final maturity (the “</w:t>
      </w:r>
      <w:r>
        <w:rPr>
          <w:rFonts w:ascii="Arial" w:cs="Arial" w:eastAsia="Arial" w:hAnsi="Arial"/>
          <w:sz w:val="19"/>
          <w:szCs w:val="19"/>
          <w:u w:val="single" w:color="auto"/>
          <w:color w:val="auto"/>
        </w:rPr>
        <w:t>cross</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acceleration provision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46" w:lineRule="auto"/>
        <w:rPr>
          <w:sz w:val="20"/>
          <w:szCs w:val="20"/>
          <w:color w:val="auto"/>
        </w:rPr>
      </w:pPr>
      <w:r>
        <w:rPr>
          <w:rFonts w:ascii="Arial" w:cs="Arial" w:eastAsia="Arial" w:hAnsi="Arial"/>
          <w:sz w:val="19"/>
          <w:szCs w:val="19"/>
          <w:color w:val="auto"/>
        </w:rPr>
        <w:t xml:space="preserve">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be deemed to occur with respect to any such accelerated Indebtedness that is paid or otherwise acquired or retired within 30 days after such acceleration;</w:t>
      </w:r>
    </w:p>
    <w:p>
      <w:pPr>
        <w:spacing w:after="0" w:line="361" w:lineRule="exact"/>
        <w:rPr>
          <w:sz w:val="20"/>
          <w:szCs w:val="20"/>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failure by the Company or any Significant Subsidiary (or group of Restricted Subsidiaries that together</w:t>
      </w:r>
    </w:p>
    <w:p>
      <w:pPr>
        <w:spacing w:after="0" w:line="92" w:lineRule="exact"/>
        <w:rPr>
          <w:rFonts w:ascii="Arial" w:cs="Arial" w:eastAsia="Arial" w:hAnsi="Arial"/>
          <w:sz w:val="19"/>
          <w:szCs w:val="19"/>
          <w:color w:val="auto"/>
        </w:rPr>
      </w:pPr>
    </w:p>
    <w:p>
      <w:pPr>
        <w:ind w:left="660" w:right="20"/>
        <w:spacing w:after="0" w:line="338" w:lineRule="auto"/>
        <w:rPr>
          <w:rFonts w:ascii="Arial" w:cs="Arial" w:eastAsia="Arial" w:hAnsi="Arial"/>
          <w:sz w:val="19"/>
          <w:szCs w:val="19"/>
          <w:color w:val="auto"/>
        </w:rPr>
      </w:pPr>
      <w:r>
        <w:rPr>
          <w:rFonts w:ascii="Arial" w:cs="Arial" w:eastAsia="Arial" w:hAnsi="Arial"/>
          <w:sz w:val="19"/>
          <w:szCs w:val="19"/>
          <w:color w:val="auto"/>
        </w:rPr>
        <w:t>(as of the latest audited consolidated financial statements for the Company and its Restricted Subsidiaries) would constitute a Significant Subsidiary), to pay final judgments aggregating in excess of $100.0 million other than to the extent any judgments are covered by indemnities provided by, or insurance policies issued by, reputable and creditworthy companies, which final judgments remain unpaid, undischarged and unstayed for a period of more than 90 days after such judgment becomes final, and in the event such judgment is covered by insurance, an enforcement proceeding has been commenced by any creditor upon such judgment or decree which is not promptly stayed (the “</w:t>
      </w:r>
      <w:r>
        <w:rPr>
          <w:rFonts w:ascii="Arial" w:cs="Arial" w:eastAsia="Arial" w:hAnsi="Arial"/>
          <w:sz w:val="19"/>
          <w:szCs w:val="19"/>
          <w:u w:val="single" w:color="auto"/>
          <w:color w:val="auto"/>
        </w:rPr>
        <w:t>judgment default provision</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ind w:left="660" w:right="40" w:firstLine="1293"/>
        <w:spacing w:after="0" w:line="315" w:lineRule="auto"/>
        <w:tabs>
          <w:tab w:leader="none" w:pos="238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any Subsidiary Guarantee of the Notes by a Subsidiary Guarantor that is a Significant Subsidiary ceases to be in full force and effect, other than (1) 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00"/>
          </w:cols>
          <w:pgMar w:left="240" w:top="1077" w:right="259" w:bottom="1440" w:gutter="0" w:footer="0" w:header="0"/>
        </w:sectPr>
      </w:pPr>
    </w:p>
    <w:bookmarkStart w:id="160" w:name="page161"/>
    <w:bookmarkEnd w:id="160"/>
    <w:p>
      <w:pPr>
        <w:ind w:right="80"/>
        <w:spacing w:after="0" w:line="285" w:lineRule="auto"/>
        <w:rPr>
          <w:sz w:val="20"/>
          <w:szCs w:val="20"/>
          <w:color w:val="auto"/>
        </w:rPr>
      </w:pPr>
      <w:r>
        <w:rPr>
          <w:rFonts w:ascii="Arial" w:cs="Arial" w:eastAsia="Arial" w:hAnsi="Arial"/>
          <w:sz w:val="22"/>
          <w:szCs w:val="22"/>
          <w:color w:val="auto"/>
        </w:rPr>
        <w:t>accordance with the terms of this Indenture, (2) a Subsidiary Guarantor that is a Significant Subsidiary denies or disaffirms its obligations under its Subsidiary Guarantee of the Notes, other than in accordance with the terms of this Indenture or upon release of such Subsidiary Guarantee in accordance with this Indenture or (3) in connection with the bankruptcy of a Subsidiary Guarantor that is a Significant Subsidiary, so long as the aggregate assets of such Subsidiary Guarantor and any other Subsidiary Guarantor whose Subsidiary Guarantee ceased or ceases to be in full force as a result of a bankruptcy are less than $100.0 million;</w:t>
      </w:r>
    </w:p>
    <w:p>
      <w:pPr>
        <w:spacing w:after="0" w:line="200" w:lineRule="exact"/>
        <w:rPr>
          <w:sz w:val="20"/>
          <w:szCs w:val="20"/>
          <w:color w:val="auto"/>
        </w:rPr>
      </w:pPr>
    </w:p>
    <w:p>
      <w:pPr>
        <w:spacing w:after="0" w:line="212" w:lineRule="exact"/>
        <w:rPr>
          <w:sz w:val="20"/>
          <w:szCs w:val="20"/>
          <w:color w:val="auto"/>
        </w:rPr>
      </w:pPr>
    </w:p>
    <w:p>
      <w:pPr>
        <w:ind w:left="1720" w:hanging="427"/>
        <w:spacing w:after="0"/>
        <w:tabs>
          <w:tab w:leader="none" w:pos="17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Company or any Significant Subsidiary or any group of Restricted Subsidiaries that, taken together</w:t>
      </w:r>
    </w:p>
    <w:p>
      <w:pPr>
        <w:spacing w:after="0" w:line="92" w:lineRule="exact"/>
        <w:rPr>
          <w:rFonts w:ascii="Arial" w:cs="Arial" w:eastAsia="Arial" w:hAnsi="Arial"/>
          <w:sz w:val="19"/>
          <w:szCs w:val="19"/>
          <w:color w:val="auto"/>
        </w:rPr>
      </w:pPr>
    </w:p>
    <w:p>
      <w:pPr>
        <w:ind w:right="700"/>
        <w:spacing w:after="0" w:line="302" w:lineRule="auto"/>
        <w:rPr>
          <w:rFonts w:ascii="Arial" w:cs="Arial" w:eastAsia="Arial" w:hAnsi="Arial"/>
          <w:sz w:val="19"/>
          <w:szCs w:val="19"/>
          <w:color w:val="auto"/>
        </w:rPr>
      </w:pPr>
      <w:r>
        <w:rPr>
          <w:rFonts w:ascii="Arial" w:cs="Arial" w:eastAsia="Arial" w:hAnsi="Arial"/>
          <w:sz w:val="22"/>
          <w:szCs w:val="22"/>
          <w:color w:val="auto"/>
        </w:rPr>
        <w:t>as of the latest audited consolidated financial statements for the Company, would constitute a Significant Subsidiary pursuant to or within the meaning of any Bankruptcy Law:</w:t>
      </w:r>
    </w:p>
    <w:p>
      <w:pPr>
        <w:spacing w:after="0" w:line="389" w:lineRule="exact"/>
        <w:rPr>
          <w:rFonts w:ascii="Arial" w:cs="Arial" w:eastAsia="Arial" w:hAnsi="Arial"/>
          <w:sz w:val="19"/>
          <w:szCs w:val="19"/>
          <w:color w:val="auto"/>
        </w:rPr>
      </w:pPr>
    </w:p>
    <w:p>
      <w:pPr>
        <w:ind w:left="2420" w:hanging="479"/>
        <w:spacing w:after="0"/>
        <w:tabs>
          <w:tab w:leader="none" w:pos="24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88"/>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 case or proceeding;</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400" w:hanging="459"/>
        <w:spacing w:after="0"/>
        <w:tabs>
          <w:tab w:leader="none" w:pos="24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substantially all of its property;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 or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39"/>
        <w:spacing w:after="0"/>
        <w:tabs>
          <w:tab w:leader="none" w:pos="23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takes any comparable action under any foreign laws relating to insolvency;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20" w:hanging="427"/>
        <w:spacing w:after="0"/>
        <w:tabs>
          <w:tab w:leader="none" w:pos="17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is for relief against the Company or Significant Subsidiary or any group of Restricted</w:t>
      </w:r>
    </w:p>
    <w:p>
      <w:pPr>
        <w:spacing w:after="0" w:line="57" w:lineRule="exact"/>
        <w:rPr>
          <w:rFonts w:ascii="Arial" w:cs="Arial" w:eastAsia="Arial" w:hAnsi="Arial"/>
          <w:sz w:val="22"/>
          <w:szCs w:val="22"/>
          <w:color w:val="auto"/>
        </w:rPr>
      </w:pPr>
    </w:p>
    <w:p>
      <w:pPr>
        <w:spacing w:after="0" w:line="302" w:lineRule="auto"/>
        <w:rPr>
          <w:rFonts w:ascii="Arial" w:cs="Arial" w:eastAsia="Arial" w:hAnsi="Arial"/>
          <w:sz w:val="22"/>
          <w:szCs w:val="22"/>
          <w:color w:val="auto"/>
        </w:rPr>
      </w:pPr>
      <w:r>
        <w:rPr>
          <w:rFonts w:ascii="Arial" w:cs="Arial" w:eastAsia="Arial" w:hAnsi="Arial"/>
          <w:sz w:val="22"/>
          <w:szCs w:val="22"/>
          <w:color w:val="auto"/>
        </w:rPr>
        <w:t>Subsidiaries that, taken together as of the latest audited consolidated financial statements for the Company, would constitute a Significant Subsidiary, in an involuntary case;</w:t>
      </w:r>
    </w:p>
    <w:p>
      <w:pPr>
        <w:spacing w:after="0" w:line="389" w:lineRule="exact"/>
        <w:rPr>
          <w:rFonts w:ascii="Arial" w:cs="Arial" w:eastAsia="Arial" w:hAnsi="Arial"/>
          <w:sz w:val="22"/>
          <w:szCs w:val="22"/>
          <w:color w:val="auto"/>
        </w:rPr>
      </w:pPr>
    </w:p>
    <w:p>
      <w:pPr>
        <w:ind w:left="2400" w:hanging="459"/>
        <w:spacing w:after="0"/>
        <w:tabs>
          <w:tab w:leader="none" w:pos="24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appoints a Custodian of the Company, any Significant Subsidiary or any group of Restricted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Subsidiaries that, taken together as of the latest audited consolidated financial statements for the Company, would constitute a Significant Subsidiary, for substantially all of its property;</w:t>
      </w:r>
    </w:p>
    <w:p>
      <w:pPr>
        <w:spacing w:after="0" w:line="200" w:lineRule="exact"/>
        <w:rPr>
          <w:sz w:val="20"/>
          <w:szCs w:val="20"/>
          <w:color w:val="auto"/>
        </w:rPr>
      </w:pPr>
    </w:p>
    <w:p>
      <w:pPr>
        <w:spacing w:after="0" w:line="21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0720"/>
          </w:cols>
          <w:pgMar w:left="900" w:top="1077" w:right="279" w:bottom="1440" w:gutter="0" w:footer="0" w:header="0"/>
        </w:sectPr>
      </w:pPr>
    </w:p>
    <w:bookmarkStart w:id="161" w:name="page162"/>
    <w:bookmarkEnd w:id="161"/>
    <w:p>
      <w:pPr>
        <w:ind w:left="3060" w:hanging="459"/>
        <w:spacing w:after="0"/>
        <w:tabs>
          <w:tab w:leader="none" w:pos="306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orders the winding up or liquidation of the Company, any Significant Subsidiary or any group of</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that, taken together as of the latest audited consolidated financial statements for the Company, would constitute a Significant Subsidiary; or</w:t>
      </w:r>
    </w:p>
    <w:p>
      <w:pPr>
        <w:spacing w:after="0" w:line="389" w:lineRule="exact"/>
        <w:rPr>
          <w:rFonts w:ascii="Arial" w:cs="Arial" w:eastAsia="Arial" w:hAnsi="Arial"/>
          <w:sz w:val="19"/>
          <w:szCs w:val="19"/>
          <w:color w:val="auto"/>
        </w:rPr>
      </w:pPr>
    </w:p>
    <w:p>
      <w:pPr>
        <w:ind w:left="660" w:right="580" w:firstLine="1941"/>
        <w:spacing w:after="0" w:line="315" w:lineRule="auto"/>
        <w:tabs>
          <w:tab w:leader="none" w:pos="3085"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similar relief is granted under any foreign laws and the order, decree or relief remains unstayed and in effect for 60 consecutive days.</w:t>
      </w:r>
    </w:p>
    <w:p>
      <w:pPr>
        <w:spacing w:after="0" w:line="37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However, a default under clauses (3), (4) or (5)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will not constitute an Event of Default until the Trustee or the Holders of 30% in principal amount of the outstanding Notes notify the Company of the default and, with respect to clauses (3) and (5) the Company does not cure such default within the time specified in clauses (3) or (5), as applicable,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after receipt of such notice.</w:t>
      </w:r>
    </w:p>
    <w:p>
      <w:pPr>
        <w:spacing w:after="0" w:line="190" w:lineRule="exact"/>
        <w:rPr>
          <w:sz w:val="20"/>
          <w:szCs w:val="20"/>
          <w:color w:val="auto"/>
        </w:rPr>
      </w:pPr>
    </w:p>
    <w:p>
      <w:pPr>
        <w:ind w:right="20" w:firstLine="648"/>
        <w:spacing w:after="0" w:line="306"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Acceleration</w:t>
      </w:r>
      <w:r>
        <w:rPr>
          <w:rFonts w:ascii="Arial" w:cs="Arial" w:eastAsia="Arial" w:hAnsi="Arial"/>
          <w:sz w:val="21"/>
          <w:szCs w:val="21"/>
          <w:color w:val="auto"/>
        </w:rPr>
        <w:t xml:space="preserve">. If an Event of Default (other than an Event of Default described in clause (7) or (8)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w:t>
      </w:r>
      <w:r>
        <w:rPr>
          <w:rFonts w:ascii="Arial" w:cs="Arial" w:eastAsia="Arial" w:hAnsi="Arial"/>
          <w:sz w:val="21"/>
          <w:szCs w:val="21"/>
          <w:color w:val="auto"/>
        </w:rPr>
        <w:t xml:space="preserve"> with respect to the Company) occurs and is continuing, the Trustee by notice to the Company or the Holders of at least 30% in principal amount of the outstanding Notes by written notice to the Company and the Trustee, may declare the principal of, premium, if any, and accrued and unpaid interest on all the Notes to be due and payable. Upon such a declaration, such principal, premium and accrued and unpaid interest will be due and payable immediately.</w:t>
      </w:r>
    </w:p>
    <w:p>
      <w:pPr>
        <w:spacing w:after="0" w:line="392" w:lineRule="exact"/>
        <w:rPr>
          <w:sz w:val="20"/>
          <w:szCs w:val="20"/>
          <w:color w:val="auto"/>
        </w:rPr>
      </w:pPr>
    </w:p>
    <w:p>
      <w:pPr>
        <w:ind w:right="40" w:firstLine="648"/>
        <w:spacing w:after="0" w:line="303" w:lineRule="auto"/>
        <w:rPr>
          <w:sz w:val="20"/>
          <w:szCs w:val="20"/>
          <w:color w:val="auto"/>
        </w:rPr>
      </w:pPr>
      <w:r>
        <w:rPr>
          <w:rFonts w:ascii="Arial" w:cs="Arial" w:eastAsia="Arial" w:hAnsi="Arial"/>
          <w:sz w:val="21"/>
          <w:szCs w:val="21"/>
          <w:color w:val="auto"/>
        </w:rPr>
        <w:t xml:space="preserve">In the event of a declaration of acceleration of the Notes because an Event of Default specified in clause (4) of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has occurred and is continuing, the declaration of acceleration of the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in each case, within 30 days after the declaration of acceleration with respect thereto and if:</w:t>
      </w:r>
    </w:p>
    <w:p>
      <w:pPr>
        <w:spacing w:after="0" w:line="393" w:lineRule="exact"/>
        <w:rPr>
          <w:sz w:val="20"/>
          <w:szCs w:val="20"/>
          <w:color w:val="auto"/>
        </w:rPr>
      </w:pPr>
    </w:p>
    <w:p>
      <w:pPr>
        <w:ind w:left="660" w:right="500" w:firstLine="1293"/>
        <w:spacing w:after="0" w:line="315" w:lineRule="auto"/>
        <w:tabs>
          <w:tab w:leader="none" w:pos="238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annulment of the acceleration of the Notes would not conflict with any judgment or decree of a court of competent jurisdiction;</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all existing Events of Default, except nonpayment of principal, premium or interest on the Notes that became due solely because of the acceleration of the Notes, have been cured or waived;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there has been paid or deposited with the Trustee a sum sufficient to pay all amounts due to the Trustee</w:t>
      </w:r>
    </w:p>
    <w:p>
      <w:pPr>
        <w:spacing w:after="0" w:line="92" w:lineRule="exact"/>
        <w:rPr>
          <w:rFonts w:ascii="Arial" w:cs="Arial" w:eastAsia="Arial" w:hAnsi="Arial"/>
          <w:sz w:val="19"/>
          <w:szCs w:val="19"/>
          <w:color w:val="auto"/>
        </w:rPr>
      </w:pPr>
    </w:p>
    <w:p>
      <w:pPr>
        <w:ind w:left="660" w:right="660"/>
        <w:spacing w:after="0" w:line="302" w:lineRule="auto"/>
        <w:rPr>
          <w:rFonts w:ascii="Arial" w:cs="Arial" w:eastAsia="Arial" w:hAnsi="Arial"/>
          <w:sz w:val="19"/>
          <w:szCs w:val="19"/>
          <w:color w:val="auto"/>
        </w:rPr>
      </w:pPr>
      <w:r>
        <w:rPr>
          <w:rFonts w:ascii="Arial" w:cs="Arial" w:eastAsia="Arial" w:hAnsi="Arial"/>
          <w:sz w:val="22"/>
          <w:szCs w:val="22"/>
          <w:color w:val="auto"/>
        </w:rPr>
        <w:t>and reimburse the Trustee for any and all expenses, disbursements and fees incurred by the Trustee, its agents and its counsel, in such capacity, in connection with such acceleration.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1077" w:right="239" w:bottom="1440" w:gutter="0" w:footer="0" w:header="0"/>
        </w:sectPr>
      </w:pPr>
    </w:p>
    <w:bookmarkStart w:id="162" w:name="page163"/>
    <w:bookmarkEnd w:id="162"/>
    <w:p>
      <w:pPr>
        <w:ind w:right="340" w:firstLine="648"/>
        <w:spacing w:after="0" w:line="292" w:lineRule="auto"/>
        <w:rPr>
          <w:sz w:val="20"/>
          <w:szCs w:val="20"/>
          <w:color w:val="auto"/>
        </w:rPr>
      </w:pPr>
      <w:r>
        <w:rPr>
          <w:rFonts w:ascii="Arial" w:cs="Arial" w:eastAsia="Arial" w:hAnsi="Arial"/>
          <w:sz w:val="22"/>
          <w:szCs w:val="22"/>
          <w:color w:val="auto"/>
        </w:rPr>
        <w:t>If an Event of Default described in clause (7) or (8) above with respect to the Company occurs and is continuing, the principal of, premium, if any, and accrued and unpaid interest on all the Notes will become and be immediately due and payable without any declaration or other act on the part of the Trustee or any Holders.</w:t>
      </w:r>
    </w:p>
    <w:p>
      <w:pPr>
        <w:spacing w:after="0" w:line="184" w:lineRule="exact"/>
        <w:rPr>
          <w:sz w:val="20"/>
          <w:szCs w:val="20"/>
          <w:color w:val="auto"/>
        </w:rPr>
      </w:pPr>
    </w:p>
    <w:p>
      <w:pPr>
        <w:ind w:right="20" w:firstLine="648"/>
        <w:spacing w:after="0" w:line="318"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Other Remedies</w:t>
      </w:r>
      <w:r>
        <w:rPr>
          <w:rFonts w:ascii="Arial" w:cs="Arial" w:eastAsia="Arial" w:hAnsi="Arial"/>
          <w:sz w:val="21"/>
          <w:szCs w:val="21"/>
          <w:color w:val="auto"/>
        </w:rPr>
        <w:t>. If an Event of Default occurs and is continuing, the Trustee may pursue any available contractual remedy under this Indenture by proceeding at law or in equity to collect the payment of principal of, or premium, if any, or interest on the Notes or to enforce the performance of any provision of the Notes or this Indenture.</w:t>
      </w:r>
    </w:p>
    <w:p>
      <w:pPr>
        <w:spacing w:after="0" w:line="377"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200" w:lineRule="exact"/>
        <w:rPr>
          <w:sz w:val="20"/>
          <w:szCs w:val="20"/>
          <w:color w:val="auto"/>
        </w:rPr>
      </w:pPr>
    </w:p>
    <w:p>
      <w:pPr>
        <w:spacing w:after="0" w:line="206"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Notwithstanding any other provision of this Indenture, (i) if a Default for a failure to report or failure to deliver a required certificate in connection with another default (the “</w:t>
      </w:r>
      <w:r>
        <w:rPr>
          <w:rFonts w:ascii="Arial" w:cs="Arial" w:eastAsia="Arial" w:hAnsi="Arial"/>
          <w:sz w:val="19"/>
          <w:szCs w:val="19"/>
          <w:u w:val="single" w:color="auto"/>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the covenant entitled “Reports”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55" w:lineRule="exact"/>
        <w:rPr>
          <w:sz w:val="20"/>
          <w:szCs w:val="20"/>
          <w:color w:val="auto"/>
        </w:rPr>
      </w:pPr>
    </w:p>
    <w:p>
      <w:pPr>
        <w:ind w:right="60" w:firstLine="648"/>
        <w:spacing w:after="0" w:line="303"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Waiver of Past Defaults</w:t>
      </w:r>
      <w:r>
        <w:rPr>
          <w:rFonts w:ascii="Arial" w:cs="Arial" w:eastAsia="Arial" w:hAnsi="Arial"/>
          <w:sz w:val="21"/>
          <w:szCs w:val="21"/>
          <w:color w:val="auto"/>
        </w:rPr>
        <w:t>. The Holders of a majority in principal amount of the then outstanding Notes under this Indenture may (a) waive all past or existing Defaults or Events of Default and their consequences under this Indenture (except with respect to nonpayment of principal, premium or interest) and (b) rescind any such acceleration with respect to such Notes and its consequences if (1) rescission would not conflict with any judgment or decree of a court of competent jurisdiction and (2) there has been paid to or deposited with the Trustee a sum sufficient to pay all amounts due to the Trustee under this Indenture and to reimburse the Trustee for any and all fees, expenses and disbursements incurred by the Trustee, its agents and its counsel, in such capacity, in connection with such acceleration.</w:t>
      </w:r>
    </w:p>
    <w:p>
      <w:pPr>
        <w:spacing w:after="0" w:line="175" w:lineRule="exact"/>
        <w:rPr>
          <w:sz w:val="20"/>
          <w:szCs w:val="20"/>
          <w:color w:val="auto"/>
        </w:rPr>
      </w:pPr>
    </w:p>
    <w:p>
      <w:pPr>
        <w:ind w:right="40" w:firstLine="648"/>
        <w:spacing w:after="0" w:line="298"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Control by Majority</w:t>
      </w:r>
      <w:r>
        <w:rPr>
          <w:rFonts w:ascii="Arial" w:cs="Arial" w:eastAsia="Arial" w:hAnsi="Arial"/>
          <w:sz w:val="22"/>
          <w:szCs w:val="22"/>
          <w:color w:val="auto"/>
        </w:rPr>
        <w:t>. The Holders of a majority in principal amount of the outstanding Notes may direct the time, method and place of conducting any proceeding for any remedy available to the Trustee pursuant to this Indenture or of exercising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1077" w:right="239" w:bottom="1440" w:gutter="0" w:footer="0" w:header="0"/>
        </w:sectPr>
      </w:pPr>
    </w:p>
    <w:bookmarkStart w:id="163" w:name="page164"/>
    <w:bookmarkEnd w:id="163"/>
    <w:p>
      <w:pPr>
        <w:spacing w:after="0" w:line="336" w:lineRule="auto"/>
        <w:rPr>
          <w:sz w:val="20"/>
          <w:szCs w:val="20"/>
          <w:color w:val="auto"/>
        </w:rPr>
      </w:pPr>
      <w:r>
        <w:rPr>
          <w:rFonts w:ascii="Arial" w:cs="Arial" w:eastAsia="Arial" w:hAnsi="Arial"/>
          <w:sz w:val="19"/>
          <w:szCs w:val="19"/>
          <w:color w:val="auto"/>
        </w:rPr>
        <w:t xml:space="preserve">any trust or power conferred on the Trustee pursuant to this Indenture. If an Event of Default has occurred and is continuing, the Trustee shall be required in the exercise of its powers to use the degree of care that a prudent person would use in the conduct of his own affairs. However, the Trustee may refuse to follow any direction that conflicts with law or this Indenture or the Notes or, subject to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that the Trustee determines is unduly prejudicial to the rights of other Holders or would involve the Trustee in personal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may take any other action deemed proper by the Trustee that is not inconsistent with such direction. Prior to taking any such action hereunder, the Trustee shall be entitled to indemnification satisfactory to it against all losses and expenses that may be caused by taking or not taking such action.</w:t>
      </w:r>
    </w:p>
    <w:p>
      <w:pPr>
        <w:spacing w:after="0" w:line="15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7.2</w:t>
      </w:r>
      <w:r>
        <w:rPr>
          <w:rFonts w:ascii="Arial" w:cs="Arial" w:eastAsia="Arial" w:hAnsi="Arial"/>
          <w:sz w:val="19"/>
          <w:szCs w:val="19"/>
          <w:color w:val="auto"/>
        </w:rPr>
        <w:t>, no Holder may pursue any remedy with respect to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Notes unless:</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such Holder has previously given the Trustee written notice that an Event of Default is continuing;</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500" w:firstLine="1293"/>
        <w:spacing w:after="0" w:line="315" w:lineRule="auto"/>
        <w:tabs>
          <w:tab w:leader="none" w:pos="23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Holders of at least 30% in principal amount of the outstanding Notes have requested in writing the Trustee to pursue the remedy;</w:t>
      </w:r>
    </w:p>
    <w:p>
      <w:pPr>
        <w:spacing w:after="0" w:line="375" w:lineRule="exact"/>
        <w:rPr>
          <w:rFonts w:ascii="Arial" w:cs="Arial" w:eastAsia="Arial" w:hAnsi="Arial"/>
          <w:sz w:val="22"/>
          <w:szCs w:val="22"/>
          <w:color w:val="auto"/>
        </w:rPr>
      </w:pPr>
    </w:p>
    <w:p>
      <w:pPr>
        <w:ind w:left="660" w:right="640" w:firstLine="1293"/>
        <w:spacing w:after="0" w:line="315" w:lineRule="auto"/>
        <w:tabs>
          <w:tab w:leader="none" w:pos="23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such Holders have offered in writing the Trustee security or indemnity satisfactory to the Trustee against any loss, liability or expense;</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written request and the offer of security or indemnity; and</w:t>
      </w:r>
    </w:p>
    <w:p>
      <w:pPr>
        <w:spacing w:after="0" w:line="375" w:lineRule="exact"/>
        <w:rPr>
          <w:rFonts w:ascii="Arial" w:cs="Arial" w:eastAsia="Arial" w:hAnsi="Arial"/>
          <w:sz w:val="22"/>
          <w:szCs w:val="22"/>
          <w:color w:val="auto"/>
        </w:rPr>
      </w:pPr>
    </w:p>
    <w:p>
      <w:pPr>
        <w:ind w:left="660" w:right="440" w:firstLine="1293"/>
        <w:spacing w:after="0" w:line="402" w:lineRule="auto"/>
        <w:tabs>
          <w:tab w:leader="none" w:pos="2389"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Notes have not given the Trustee a written direction that, in the opinion of the Trustee, is inconsistent with such request within such 60-day period.</w:t>
      </w:r>
    </w:p>
    <w:p>
      <w:pPr>
        <w:spacing w:after="0" w:line="9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w:t>
      </w:r>
      <w:r>
        <w:rPr>
          <w:rFonts w:ascii="Arial" w:cs="Arial" w:eastAsia="Arial" w:hAnsi="Arial"/>
          <w:sz w:val="19"/>
          <w:szCs w:val="19"/>
          <w:color w:val="auto"/>
        </w:rPr>
        <w:t>Reserved].</w:t>
      </w:r>
    </w:p>
    <w:p>
      <w:pPr>
        <w:spacing w:after="0" w:line="274"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Collection Suit by Trustee</w:t>
      </w:r>
      <w:r>
        <w:rPr>
          <w:rFonts w:ascii="Arial" w:cs="Arial" w:eastAsia="Arial" w:hAnsi="Arial"/>
          <w:sz w:val="22"/>
          <w:szCs w:val="22"/>
          <w:color w:val="auto"/>
        </w:rPr>
        <w:t xml:space="preserve">. If an Event of Default specified in clauses (1) or (2)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occurs and is continuing, the Trustee may recover judgment in its own name and as trustee of an express trust against the Company for the whole amount then due and owing (together with interest and Additional Interest, if any, on any unpaid interest to the extent lawful) and the amounts provided for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187" w:lineRule="exact"/>
        <w:rPr>
          <w:sz w:val="20"/>
          <w:szCs w:val="20"/>
          <w:color w:val="auto"/>
        </w:rPr>
      </w:pPr>
    </w:p>
    <w:p>
      <w:pPr>
        <w:ind w:right="500" w:firstLine="648"/>
        <w:spacing w:after="0" w:line="298"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Trustee May File Proofs of Claim</w:t>
      </w:r>
      <w:r>
        <w:rPr>
          <w:rFonts w:ascii="Arial" w:cs="Arial" w:eastAsia="Arial" w:hAnsi="Arial"/>
          <w:sz w:val="22"/>
          <w:szCs w:val="22"/>
          <w:color w:val="auto"/>
        </w:rPr>
        <w:t>. The Trustee may file such proofs of claim and other papers or documents as may be necessary or advisable in order to have the claims of the Trustee (including any claim for the reasonable compensation, expenses,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00"/>
          </w:cols>
          <w:pgMar w:left="240" w:top="861" w:right="259" w:bottom="1440" w:gutter="0" w:footer="0" w:header="0"/>
        </w:sectPr>
      </w:pPr>
    </w:p>
    <w:bookmarkStart w:id="164" w:name="page165"/>
    <w:bookmarkEnd w:id="164"/>
    <w:p>
      <w:pPr>
        <w:spacing w:after="0" w:line="299" w:lineRule="auto"/>
        <w:rPr>
          <w:sz w:val="20"/>
          <w:szCs w:val="20"/>
          <w:color w:val="auto"/>
        </w:rPr>
      </w:pPr>
      <w:r>
        <w:rPr>
          <w:rFonts w:ascii="Arial" w:cs="Arial" w:eastAsia="Arial" w:hAnsi="Arial"/>
          <w:sz w:val="21"/>
          <w:szCs w:val="21"/>
          <w:color w:val="auto"/>
        </w:rPr>
        <w:t xml:space="preserve">disbursements and advances of the Trustee,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respective agents and its respective counsel, and any other amounts due the Trustee under </w:t>
      </w:r>
      <w:r>
        <w:rPr>
          <w:rFonts w:ascii="Arial" w:cs="Arial" w:eastAsia="Arial" w:hAnsi="Arial"/>
          <w:sz w:val="21"/>
          <w:szCs w:val="21"/>
          <w:u w:val="single" w:color="auto"/>
          <w:color w:val="auto"/>
        </w:rPr>
        <w:t>Section 7.7</w:t>
      </w:r>
      <w:r>
        <w:rPr>
          <w:rFonts w:ascii="Arial" w:cs="Arial" w:eastAsia="Arial" w:hAnsi="Arial"/>
          <w:sz w:val="21"/>
          <w:szCs w:val="21"/>
          <w:color w:val="auto"/>
        </w:rPr>
        <w:t>.</w:t>
      </w:r>
    </w:p>
    <w:p>
      <w:pPr>
        <w:spacing w:after="0" w:line="200" w:lineRule="exact"/>
        <w:rPr>
          <w:sz w:val="20"/>
          <w:szCs w:val="20"/>
          <w:color w:val="auto"/>
        </w:rPr>
      </w:pPr>
    </w:p>
    <w:p>
      <w:pPr>
        <w:spacing w:after="0" w:line="202" w:lineRule="exact"/>
        <w:rPr>
          <w:sz w:val="20"/>
          <w:szCs w:val="20"/>
          <w:color w:val="auto"/>
        </w:rPr>
      </w:pPr>
    </w:p>
    <w:p>
      <w:pPr>
        <w:ind w:right="200" w:firstLine="648"/>
        <w:spacing w:after="0" w:line="357" w:lineRule="auto"/>
        <w:rPr>
          <w:sz w:val="20"/>
          <w:szCs w:val="20"/>
          <w:color w:val="auto"/>
        </w:rPr>
      </w:pPr>
      <w:r>
        <w:rPr>
          <w:rFonts w:ascii="Arial" w:cs="Arial" w:eastAsia="Arial" w:hAnsi="Arial"/>
          <w:sz w:val="19"/>
          <w:szCs w:val="19"/>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Priorities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20" w:firstLine="1305"/>
        <w:spacing w:after="0" w:line="315" w:lineRule="auto"/>
        <w:tabs>
          <w:tab w:leader="none" w:pos="171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the Trustee collects any money or property pursuant to this Article VI, it shall pay out the money or property in the following order:</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FIRST: to the Trustee for amounts due to them under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THIRD: to the Company, or to the extent the Trustee collects any amount for any Guarantor, to such Guarantor.</w:t>
      </w:r>
    </w:p>
    <w:p>
      <w:pPr>
        <w:spacing w:after="0" w:line="200" w:lineRule="exact"/>
        <w:rPr>
          <w:sz w:val="20"/>
          <w:szCs w:val="20"/>
          <w:color w:val="auto"/>
        </w:rPr>
      </w:pPr>
    </w:p>
    <w:p>
      <w:pPr>
        <w:spacing w:after="0" w:line="288" w:lineRule="exact"/>
        <w:rPr>
          <w:sz w:val="20"/>
          <w:szCs w:val="20"/>
          <w:color w:val="auto"/>
        </w:rPr>
      </w:pPr>
    </w:p>
    <w:p>
      <w:pPr>
        <w:ind w:left="1740" w:hanging="435"/>
        <w:spacing w:after="0"/>
        <w:tabs>
          <w:tab w:leader="none" w:pos="17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Trustee may fix a record date and payment date for any payment to Holders pursuant to this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At least 15 days before such record date, the Company shall send or cause to be sent to each Holder and the Trustee a notice that states the record date, the payment date and amount to be paid.</w:t>
      </w:r>
    </w:p>
    <w:p>
      <w:pPr>
        <w:spacing w:after="0" w:line="174" w:lineRule="exact"/>
        <w:rPr>
          <w:sz w:val="20"/>
          <w:szCs w:val="20"/>
          <w:color w:val="auto"/>
        </w:rPr>
      </w:pPr>
    </w:p>
    <w:p>
      <w:pPr>
        <w:jc w:val="both"/>
        <w:ind w:right="200" w:firstLine="648"/>
        <w:spacing w:after="0" w:line="36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320"/>
          </w:cols>
          <w:pgMar w:left="240" w:top="861" w:right="339" w:bottom="1440" w:gutter="0" w:footer="0" w:header="0"/>
        </w:sectPr>
      </w:pPr>
    </w:p>
    <w:bookmarkStart w:id="165" w:name="page166"/>
    <w:bookmarkEnd w:id="165"/>
    <w:p>
      <w:pPr>
        <w:jc w:val="both"/>
        <w:ind w:right="220"/>
        <w:spacing w:after="0" w:line="311" w:lineRule="auto"/>
        <w:rPr>
          <w:sz w:val="20"/>
          <w:szCs w:val="20"/>
          <w:color w:val="auto"/>
        </w:rPr>
      </w:pPr>
      <w:r>
        <w:rPr>
          <w:rFonts w:ascii="Arial" w:cs="Arial" w:eastAsia="Arial" w:hAnsi="Arial"/>
          <w:sz w:val="21"/>
          <w:szCs w:val="21"/>
          <w:color w:val="auto"/>
        </w:rPr>
        <w:t xml:space="preserve">costs, including reasonable attorneys’ fees and expenses, against any party litigant in the suit, having due regard to the merits and good faith of the claims or defenses made by the party litigant. This </w:t>
      </w:r>
      <w:r>
        <w:rPr>
          <w:rFonts w:ascii="Arial" w:cs="Arial" w:eastAsia="Arial" w:hAnsi="Arial"/>
          <w:sz w:val="21"/>
          <w:szCs w:val="21"/>
          <w:u w:val="single" w:color="auto"/>
          <w:color w:val="auto"/>
        </w:rPr>
        <w:t>Section 6.11</w:t>
      </w:r>
      <w:r>
        <w:rPr>
          <w:rFonts w:ascii="Arial" w:cs="Arial" w:eastAsia="Arial" w:hAnsi="Arial"/>
          <w:sz w:val="21"/>
          <w:szCs w:val="21"/>
          <w:color w:val="auto"/>
        </w:rPr>
        <w:t xml:space="preserve"> does not apply to a suit by the Trustee, a suit by the Company or a suit by Holders of more than 10% in outstanding principal amount of the Notes.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TRUSTEE</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the rights and powers vested in</w:t>
      </w:r>
    </w:p>
    <w:p>
      <w:pPr>
        <w:spacing w:after="0" w:line="92" w:lineRule="exact"/>
        <w:rPr>
          <w:rFonts w:ascii="Arial" w:cs="Arial" w:eastAsia="Arial" w:hAnsi="Arial"/>
          <w:sz w:val="19"/>
          <w:szCs w:val="19"/>
          <w:color w:val="auto"/>
        </w:rPr>
      </w:pPr>
    </w:p>
    <w:p>
      <w:pPr>
        <w:ind w:right="380"/>
        <w:spacing w:after="0" w:line="302" w:lineRule="auto"/>
        <w:rPr>
          <w:rFonts w:ascii="Arial" w:cs="Arial" w:eastAsia="Arial" w:hAnsi="Arial"/>
          <w:sz w:val="19"/>
          <w:szCs w:val="19"/>
          <w:color w:val="auto"/>
        </w:rPr>
      </w:pPr>
      <w:r>
        <w:rPr>
          <w:rFonts w:ascii="Arial" w:cs="Arial" w:eastAsia="Arial" w:hAnsi="Arial"/>
          <w:sz w:val="22"/>
          <w:szCs w:val="22"/>
          <w:color w:val="auto"/>
        </w:rPr>
        <w:t>it by this Indenture and use the same degree of care and skill in its exercise as a prudent Person would exercise or use under the circumstances in the conduct of such Person’s own affairs.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00" w:firstLine="1293"/>
        <w:spacing w:after="0" w:line="402" w:lineRule="auto"/>
        <w:tabs>
          <w:tab w:leader="none" w:pos="2389" w:val="left"/>
        </w:tabs>
        <w:numPr>
          <w:ilvl w:val="1"/>
          <w:numId w:val="194"/>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w:t>
      </w:r>
    </w:p>
    <w:p>
      <w:pPr>
        <w:spacing w:after="0" w:line="92" w:lineRule="exact"/>
        <w:rPr>
          <w:rFonts w:ascii="Arial" w:cs="Arial" w:eastAsia="Arial" w:hAnsi="Arial"/>
          <w:sz w:val="19"/>
          <w:szCs w:val="19"/>
          <w:color w:val="auto"/>
        </w:rPr>
      </w:pPr>
    </w:p>
    <w:p>
      <w:pPr>
        <w:ind w:left="660" w:right="60"/>
        <w:spacing w:after="0" w:line="285" w:lineRule="auto"/>
        <w:rPr>
          <w:rFonts w:ascii="Arial" w:cs="Arial" w:eastAsia="Arial" w:hAnsi="Arial"/>
          <w:sz w:val="19"/>
          <w:szCs w:val="19"/>
          <w:color w:val="auto"/>
        </w:rPr>
      </w:pPr>
      <w:r>
        <w:rPr>
          <w:rFonts w:ascii="Arial" w:cs="Arial" w:eastAsia="Arial" w:hAnsi="Arial"/>
          <w:sz w:val="22"/>
          <w:szCs w:val="22"/>
          <w:color w:val="auto"/>
        </w:rPr>
        <w:t>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300" w:firstLine="1305"/>
        <w:spacing w:after="0" w:line="315" w:lineRule="auto"/>
        <w:tabs>
          <w:tab w:leader="none" w:pos="171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grossly negligent action, its own grossly negligent failure to act or its own willful misconduct, except that: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 xml:space="preserve">this paragraph does not limit the effect of paragraph (b)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40" w:firstLine="1293"/>
        <w:spacing w:after="0" w:line="341" w:lineRule="auto"/>
        <w:tabs>
          <w:tab w:leader="none" w:pos="2389" w:val="left"/>
        </w:tabs>
        <w:numPr>
          <w:ilvl w:val="1"/>
          <w:numId w:val="194"/>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grossly negligent in ascertaining the pertinent facts;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00"/>
          </w:cols>
          <w:pgMar w:left="240" w:top="861" w:right="259" w:bottom="1440" w:gutter="0" w:footer="0" w:header="0"/>
        </w:sectPr>
      </w:pPr>
    </w:p>
    <w:bookmarkStart w:id="166" w:name="page167"/>
    <w:bookmarkEnd w:id="166"/>
    <w:p>
      <w:pPr>
        <w:ind w:left="660" w:right="740" w:firstLine="1293"/>
        <w:spacing w:after="0" w:line="315" w:lineRule="auto"/>
        <w:tabs>
          <w:tab w:leader="none" w:pos="2389" w:val="left"/>
        </w:tabs>
        <w:numPr>
          <w:ilvl w:val="1"/>
          <w:numId w:val="195"/>
        </w:numPr>
        <w:rPr>
          <w:rFonts w:ascii="Arial" w:cs="Arial" w:eastAsia="Arial" w:hAnsi="Arial"/>
          <w:sz w:val="22"/>
          <w:szCs w:val="22"/>
          <w:color w:val="auto"/>
        </w:rPr>
      </w:pPr>
      <w:r>
        <w:rPr>
          <w:rFonts w:ascii="Arial" w:cs="Arial" w:eastAsia="Arial" w:hAnsi="Arial"/>
          <w:sz w:val="22"/>
          <w:szCs w:val="22"/>
          <w:color w:val="auto"/>
        </w:rPr>
        <w:t xml:space="preserve">the Trustee shall not be liable with respect to any action it takes or omits to take in good faith in accordance with a direction received by it pursuant to </w:t>
      </w:r>
      <w:r>
        <w:rPr>
          <w:rFonts w:ascii="Arial" w:cs="Arial" w:eastAsia="Arial" w:hAnsi="Arial"/>
          <w:sz w:val="22"/>
          <w:szCs w:val="22"/>
          <w:u w:val="single" w:color="auto"/>
          <w:color w:val="auto"/>
        </w:rPr>
        <w:t>Section 6.5</w:t>
      </w:r>
      <w:r>
        <w:rPr>
          <w:rFonts w:ascii="Arial" w:cs="Arial" w:eastAsia="Arial" w:hAnsi="Arial"/>
          <w:sz w:val="22"/>
          <w:szCs w:val="22"/>
          <w:color w:val="auto"/>
        </w:rPr>
        <w:t>;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No provision of this Indenture or the Notes shall require the Trustee to expend or risk its own funds or</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paragraphs (a), (b) and (c)</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right="520" w:firstLine="1305"/>
        <w:spacing w:after="0" w:line="315" w:lineRule="auto"/>
        <w:tabs>
          <w:tab w:leader="none" w:pos="171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Company.</w:t>
      </w:r>
    </w:p>
    <w:p>
      <w:pPr>
        <w:spacing w:after="0" w:line="375" w:lineRule="exact"/>
        <w:rPr>
          <w:rFonts w:ascii="Arial" w:cs="Arial" w:eastAsia="Arial" w:hAnsi="Arial"/>
          <w:sz w:val="22"/>
          <w:szCs w:val="22"/>
          <w:color w:val="auto"/>
        </w:rPr>
      </w:pPr>
    </w:p>
    <w:p>
      <w:pPr>
        <w:ind w:left="1700" w:hanging="395"/>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Money held in trust by the Trustee need not be segregated from other funds except to the extent required by law.</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right="240" w:firstLine="1305"/>
        <w:spacing w:after="0" w:line="315" w:lineRule="auto"/>
        <w:tabs>
          <w:tab w:leader="none" w:pos="172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7.1</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Trustee may conclusively rely on and shall be fully protected in acting or refraining from acting upon any</w:t>
      </w:r>
    </w:p>
    <w:p>
      <w:pPr>
        <w:spacing w:after="0" w:line="92" w:lineRule="exact"/>
        <w:rPr>
          <w:rFonts w:ascii="Arial" w:cs="Arial" w:eastAsia="Arial" w:hAnsi="Arial"/>
          <w:sz w:val="19"/>
          <w:szCs w:val="19"/>
          <w:color w:val="auto"/>
        </w:rPr>
      </w:pPr>
    </w:p>
    <w:p>
      <w:pPr>
        <w:ind w:right="220"/>
        <w:spacing w:after="0" w:line="341" w:lineRule="auto"/>
        <w:rPr>
          <w:rFonts w:ascii="Arial" w:cs="Arial" w:eastAsia="Arial" w:hAnsi="Arial"/>
          <w:sz w:val="19"/>
          <w:szCs w:val="19"/>
          <w:color w:val="auto"/>
        </w:rPr>
      </w:pPr>
      <w:r>
        <w:rPr>
          <w:rFonts w:ascii="Arial" w:cs="Arial" w:eastAsia="Arial" w:hAnsi="Arial"/>
          <w:sz w:val="19"/>
          <w:szCs w:val="19"/>
          <w:color w:val="auto"/>
        </w:rPr>
        <w:t>resolution, certificate, statement, instrument, opinion, report, notice, request, direction, consent, order or other paper or document (whether in its original or 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and/or an Opinion of</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Counsel. The Trustee shall not be liable for any action it takes or omits to take in good faith in reliance on an Officer’s Certificate or Opinion of Counsel.</w:t>
      </w:r>
    </w:p>
    <w:p>
      <w:pPr>
        <w:spacing w:after="0" w:line="389" w:lineRule="exact"/>
        <w:rPr>
          <w:rFonts w:ascii="Arial" w:cs="Arial" w:eastAsia="Arial" w:hAnsi="Arial"/>
          <w:sz w:val="19"/>
          <w:szCs w:val="19"/>
          <w:color w:val="auto"/>
        </w:rPr>
      </w:pPr>
    </w:p>
    <w:p>
      <w:pPr>
        <w:ind w:firstLine="1305"/>
        <w:spacing w:after="0" w:line="315" w:lineRule="auto"/>
        <w:tabs>
          <w:tab w:leader="none" w:pos="171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Trustee may execute any of the trusts and powers hereunder or perform any duties hereunder either directly by or through its attorneys and agents and shall not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00"/>
          </w:cols>
          <w:pgMar w:left="240" w:top="1077" w:right="25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be responsible for the misconduct or negligence of any agent or attorney appointed with due care by it hereunder.</w:t>
      </w:r>
    </w:p>
    <w:p>
      <w:pPr>
        <w:spacing w:after="0" w:line="200" w:lineRule="exact"/>
        <w:rPr>
          <w:sz w:val="20"/>
          <w:szCs w:val="20"/>
          <w:color w:val="auto"/>
        </w:rPr>
      </w:pPr>
    </w:p>
    <w:p>
      <w:pPr>
        <w:spacing w:after="0" w:line="276" w:lineRule="exact"/>
        <w:rPr>
          <w:sz w:val="20"/>
          <w:szCs w:val="20"/>
          <w:color w:val="auto"/>
        </w:rPr>
      </w:pPr>
    </w:p>
    <w:p>
      <w:pPr>
        <w:ind w:right="580" w:firstLine="1305"/>
        <w:spacing w:after="0" w:line="315" w:lineRule="auto"/>
        <w:tabs>
          <w:tab w:leader="none" w:pos="172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375" w:lineRule="exact"/>
        <w:rPr>
          <w:rFonts w:ascii="Arial" w:cs="Arial" w:eastAsia="Arial" w:hAnsi="Arial"/>
          <w:sz w:val="22"/>
          <w:szCs w:val="22"/>
          <w:color w:val="auto"/>
        </w:rPr>
      </w:pPr>
    </w:p>
    <w:p>
      <w:pPr>
        <w:ind w:left="1720" w:hanging="415"/>
        <w:spacing w:after="0"/>
        <w:tabs>
          <w:tab w:leader="none" w:pos="17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the advice or opinion of counsel relating to this</w:t>
      </w:r>
    </w:p>
    <w:p>
      <w:pPr>
        <w:spacing w:after="0" w:line="92" w:lineRule="exact"/>
        <w:rPr>
          <w:rFonts w:ascii="Arial" w:cs="Arial" w:eastAsia="Arial" w:hAnsi="Arial"/>
          <w:sz w:val="19"/>
          <w:szCs w:val="19"/>
          <w:color w:val="auto"/>
        </w:rPr>
      </w:pPr>
    </w:p>
    <w:p>
      <w:pPr>
        <w:ind w:right="140"/>
        <w:spacing w:after="0" w:line="387" w:lineRule="auto"/>
        <w:rPr>
          <w:rFonts w:ascii="Arial" w:cs="Arial" w:eastAsia="Arial" w:hAnsi="Arial"/>
          <w:sz w:val="19"/>
          <w:szCs w:val="19"/>
          <w:color w:val="auto"/>
        </w:rPr>
      </w:pPr>
      <w:r>
        <w:rPr>
          <w:rFonts w:ascii="Arial" w:cs="Arial" w:eastAsia="Arial" w:hAnsi="Arial"/>
          <w:sz w:val="19"/>
          <w:szCs w:val="19"/>
          <w:color w:val="auto"/>
        </w:rPr>
        <w:t>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321" w:lineRule="exact"/>
        <w:rPr>
          <w:rFonts w:ascii="Arial" w:cs="Arial" w:eastAsia="Arial" w:hAnsi="Arial"/>
          <w:sz w:val="19"/>
          <w:szCs w:val="19"/>
          <w:color w:val="auto"/>
        </w:rPr>
      </w:pPr>
    </w:p>
    <w:p>
      <w:pPr>
        <w:ind w:left="1700" w:hanging="395"/>
        <w:spacing w:after="0"/>
        <w:tabs>
          <w:tab w:leader="none" w:pos="17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Trustee shall not be charged with knowledge of any Default or Event of Default with respect to the Notes</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unless either (1) with respect to any payment default a Responsible Officer of the Trustee has actual knowledge of such Default or Event of Default or (2) a written notice of such Default or Event of Default shall have been given to a Responsible Officer of the Trustee at the corporate trust office of the Trustee specified in </w:t>
      </w:r>
      <w:r>
        <w:rPr>
          <w:rFonts w:ascii="Arial" w:cs="Arial" w:eastAsia="Arial" w:hAnsi="Arial"/>
          <w:sz w:val="19"/>
          <w:szCs w:val="19"/>
          <w:u w:val="single" w:color="auto"/>
          <w:color w:val="auto"/>
        </w:rPr>
        <w:t>Section 3.12</w:t>
      </w:r>
      <w:r>
        <w:rPr>
          <w:rFonts w:ascii="Arial" w:cs="Arial" w:eastAsia="Arial" w:hAnsi="Arial"/>
          <w:sz w:val="19"/>
          <w:szCs w:val="19"/>
          <w:color w:val="auto"/>
        </w:rPr>
        <w:t>, and such notice references the Notes and this Indenture.</w:t>
      </w:r>
    </w:p>
    <w:p>
      <w:pPr>
        <w:spacing w:after="0" w:line="348" w:lineRule="exact"/>
        <w:rPr>
          <w:rFonts w:ascii="Arial" w:cs="Arial" w:eastAsia="Arial" w:hAnsi="Arial"/>
          <w:sz w:val="19"/>
          <w:szCs w:val="19"/>
          <w:color w:val="auto"/>
        </w:rPr>
      </w:pPr>
    </w:p>
    <w:p>
      <w:pPr>
        <w:ind w:left="1740" w:hanging="435"/>
        <w:spacing w:after="0"/>
        <w:tabs>
          <w:tab w:leader="none" w:pos="17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w:t>
      </w:r>
    </w:p>
    <w:p>
      <w:pPr>
        <w:spacing w:after="0" w:line="92" w:lineRule="exact"/>
        <w:rPr>
          <w:rFonts w:ascii="Arial" w:cs="Arial" w:eastAsia="Arial" w:hAnsi="Arial"/>
          <w:sz w:val="19"/>
          <w:szCs w:val="19"/>
          <w:color w:val="auto"/>
        </w:rPr>
      </w:pPr>
    </w:p>
    <w:p>
      <w:pPr>
        <w:ind w:right="740"/>
        <w:spacing w:after="0" w:line="302" w:lineRule="auto"/>
        <w:rPr>
          <w:rFonts w:ascii="Arial" w:cs="Arial" w:eastAsia="Arial" w:hAnsi="Arial"/>
          <w:sz w:val="19"/>
          <w:szCs w:val="19"/>
          <w:color w:val="auto"/>
        </w:rPr>
      </w:pPr>
      <w:r>
        <w:rPr>
          <w:rFonts w:ascii="Arial" w:cs="Arial" w:eastAsia="Arial" w:hAnsi="Arial"/>
          <w:sz w:val="22"/>
          <w:szCs w:val="22"/>
          <w:color w:val="auto"/>
        </w:rPr>
        <w:t>its right to be indemnified, are extended to, and shall be enforceable by, the Trustee, each agent, custodian and other Person employed to act hereunder.</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or</w:t>
      </w:r>
    </w:p>
    <w:p>
      <w:pPr>
        <w:spacing w:after="0" w:line="92" w:lineRule="exact"/>
        <w:rPr>
          <w:rFonts w:ascii="Arial" w:cs="Arial" w:eastAsia="Arial" w:hAnsi="Arial"/>
          <w:sz w:val="19"/>
          <w:szCs w:val="19"/>
          <w:color w:val="auto"/>
        </w:rPr>
      </w:pPr>
    </w:p>
    <w:p>
      <w:pPr>
        <w:ind w:right="140"/>
        <w:spacing w:after="0" w:line="292" w:lineRule="auto"/>
        <w:rPr>
          <w:rFonts w:ascii="Arial" w:cs="Arial" w:eastAsia="Arial" w:hAnsi="Arial"/>
          <w:sz w:val="19"/>
          <w:szCs w:val="19"/>
          <w:color w:val="auto"/>
        </w:rPr>
      </w:pPr>
      <w:r>
        <w:rPr>
          <w:rFonts w:ascii="Arial" w:cs="Arial" w:eastAsia="Arial" w:hAnsi="Arial"/>
          <w:sz w:val="22"/>
          <w:szCs w:val="22"/>
          <w:color w:val="auto"/>
        </w:rPr>
        <w:t>the Notes at the request or direction of any of the Holders pursuant to the provisions of this Indenture, unless such Holders shall have offered to the Trustee indemnity or security reasonably satisfactory to the Trustee against any loss, liability or expense which may be incurred therein or thereby.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100" w:firstLine="1305"/>
        <w:spacing w:after="0" w:line="315" w:lineRule="auto"/>
        <w:tabs>
          <w:tab w:leader="none" w:pos="16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any fact or matter unless such fact or matter is known to a Responsible Officer of the Trustee.</w:t>
      </w:r>
    </w:p>
    <w:p>
      <w:pPr>
        <w:spacing w:after="0" w:line="375" w:lineRule="exact"/>
        <w:rPr>
          <w:rFonts w:ascii="Arial" w:cs="Arial" w:eastAsia="Arial" w:hAnsi="Arial"/>
          <w:sz w:val="22"/>
          <w:szCs w:val="22"/>
          <w:color w:val="auto"/>
        </w:rPr>
      </w:pPr>
    </w:p>
    <w:p>
      <w:pPr>
        <w:ind w:left="1680" w:hanging="375"/>
        <w:spacing w:after="0"/>
        <w:tabs>
          <w:tab w:leader="none" w:pos="168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Whenever in the administration of this Indenture or the Notes the Trustee shall deem it desirable that a matter be</w:t>
      </w:r>
    </w:p>
    <w:p>
      <w:pPr>
        <w:spacing w:after="0" w:line="92" w:lineRule="exact"/>
        <w:rPr>
          <w:rFonts w:ascii="Arial" w:cs="Arial" w:eastAsia="Arial" w:hAnsi="Arial"/>
          <w:sz w:val="19"/>
          <w:szCs w:val="19"/>
          <w:color w:val="auto"/>
        </w:rPr>
      </w:pPr>
    </w:p>
    <w:p>
      <w:pPr>
        <w:ind w:right="240"/>
        <w:spacing w:after="0" w:line="292" w:lineRule="auto"/>
        <w:rPr>
          <w:rFonts w:ascii="Arial" w:cs="Arial" w:eastAsia="Arial" w:hAnsi="Arial"/>
          <w:sz w:val="19"/>
          <w:szCs w:val="19"/>
          <w:color w:val="auto"/>
        </w:rPr>
      </w:pPr>
      <w:r>
        <w:rPr>
          <w:rFonts w:ascii="Arial" w:cs="Arial" w:eastAsia="Arial" w:hAnsi="Arial"/>
          <w:sz w:val="22"/>
          <w:szCs w:val="22"/>
          <w:color w:val="auto"/>
        </w:rPr>
        <w:t>proved or established prior to taking, suffering or omitting any action hereunder or thereunder, the Trustee (unless other evidence be herein specifically prescribed) may, in the absence of negligence or willful misconduct on its part, conclusively rely upon an Officer’s Certificate.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w:t>
      </w:r>
    </w:p>
    <w:p>
      <w:pPr>
        <w:spacing w:after="0" w:line="92" w:lineRule="exact"/>
        <w:rPr>
          <w:rFonts w:ascii="Arial" w:cs="Arial" w:eastAsia="Arial" w:hAnsi="Arial"/>
          <w:sz w:val="19"/>
          <w:szCs w:val="19"/>
          <w:color w:val="auto"/>
        </w:rPr>
      </w:pPr>
    </w:p>
    <w:p>
      <w:pPr>
        <w:ind w:right="640"/>
        <w:spacing w:after="0" w:line="302" w:lineRule="auto"/>
        <w:rPr>
          <w:rFonts w:ascii="Arial" w:cs="Arial" w:eastAsia="Arial" w:hAnsi="Arial"/>
          <w:sz w:val="19"/>
          <w:szCs w:val="19"/>
          <w:color w:val="auto"/>
        </w:rPr>
      </w:pPr>
      <w:r>
        <w:rPr>
          <w:rFonts w:ascii="Arial" w:cs="Arial" w:eastAsia="Arial" w:hAnsi="Arial"/>
          <w:sz w:val="22"/>
          <w:szCs w:val="22"/>
          <w:color w:val="auto"/>
        </w:rPr>
        <w:t>certificate, statement, instrument, report, notice, request, direction, consent, order, bond, debenture, coupon or other paper or document, but the Trustee,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1077" w:right="239" w:bottom="1440" w:gutter="0" w:footer="0" w:header="0"/>
        </w:sectPr>
      </w:pPr>
    </w:p>
    <w:bookmarkStart w:id="168" w:name="page169"/>
    <w:bookmarkEnd w:id="168"/>
    <w:p>
      <w:pPr>
        <w:ind w:right="120"/>
        <w:spacing w:after="0" w:line="346" w:lineRule="auto"/>
        <w:rPr>
          <w:sz w:val="20"/>
          <w:szCs w:val="20"/>
          <w:color w:val="auto"/>
        </w:rPr>
      </w:pPr>
      <w:r>
        <w:rPr>
          <w:rFonts w:ascii="Arial" w:cs="Arial" w:eastAsia="Arial" w:hAnsi="Arial"/>
          <w:sz w:val="19"/>
          <w:szCs w:val="19"/>
          <w:color w:val="auto"/>
        </w:rPr>
        <w:t>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w:t>
      </w:r>
    </w:p>
    <w:p>
      <w:pPr>
        <w:spacing w:after="0" w:line="361" w:lineRule="exact"/>
        <w:rPr>
          <w:sz w:val="20"/>
          <w:szCs w:val="20"/>
          <w:color w:val="auto"/>
        </w:rPr>
      </w:pPr>
    </w:p>
    <w:p>
      <w:pPr>
        <w:ind w:left="1680" w:hanging="375"/>
        <w:spacing w:after="0"/>
        <w:tabs>
          <w:tab w:leader="none" w:pos="168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duties hereunder.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jc w:val="both"/>
        <w:ind w:right="780" w:firstLine="1305"/>
        <w:spacing w:after="0" w:line="402" w:lineRule="auto"/>
        <w:tabs>
          <w:tab w:leader="none" w:pos="178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may request that the Company delivers an Officer’s Certificate setting forth the names of individuals and/or titles of officers authorized at such time to take specified actions pursuant to this Indenture or the Notes.</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no event shall the Trustee be liable to any Person for special, punitive, indirect, consequential or incidental</w:t>
      </w:r>
    </w:p>
    <w:p>
      <w:pPr>
        <w:spacing w:after="0" w:line="92" w:lineRule="exact"/>
        <w:rPr>
          <w:rFonts w:ascii="Arial" w:cs="Arial" w:eastAsia="Arial" w:hAnsi="Arial"/>
          <w:sz w:val="19"/>
          <w:szCs w:val="19"/>
          <w:color w:val="auto"/>
        </w:rPr>
      </w:pPr>
    </w:p>
    <w:p>
      <w:pPr>
        <w:ind w:right="580"/>
        <w:spacing w:after="0" w:line="302" w:lineRule="auto"/>
        <w:rPr>
          <w:rFonts w:ascii="Arial" w:cs="Arial" w:eastAsia="Arial" w:hAnsi="Arial"/>
          <w:sz w:val="19"/>
          <w:szCs w:val="19"/>
          <w:color w:val="auto"/>
        </w:rPr>
      </w:pPr>
      <w:r>
        <w:rPr>
          <w:rFonts w:ascii="Arial" w:cs="Arial" w:eastAsia="Arial" w:hAnsi="Arial"/>
          <w:sz w:val="22"/>
          <w:szCs w:val="22"/>
          <w:color w:val="auto"/>
        </w:rPr>
        <w:t>loss or damage of any kind whatsoever (including, but not limited to, lost profits), even if the Trustee has been advised of the likelihood of such loss or damage.</w:t>
      </w:r>
    </w:p>
    <w:p>
      <w:pPr>
        <w:spacing w:after="0" w:line="389" w:lineRule="exact"/>
        <w:rPr>
          <w:rFonts w:ascii="Arial" w:cs="Arial" w:eastAsia="Arial" w:hAnsi="Arial"/>
          <w:sz w:val="19"/>
          <w:szCs w:val="19"/>
          <w:color w:val="auto"/>
        </w:rPr>
      </w:pPr>
    </w:p>
    <w:p>
      <w:pPr>
        <w:ind w:right="460" w:firstLine="1305"/>
        <w:spacing w:after="0" w:line="315" w:lineRule="auto"/>
        <w:tabs>
          <w:tab w:leader="none" w:pos="172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shall be sufficient if signed by one Officer of the Company.</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may employ a custodian, agent, nominee or delegate to transact or concur in transacting any</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business and to do or concur in doing any acts required to be done by the Trustee (including the receipt and payment of money) and shall not be responsible for the gross misconduct or gross negligence of any such agent appointed with due care.</w:t>
      </w:r>
    </w:p>
    <w:p>
      <w:pPr>
        <w:spacing w:after="0" w:line="321" w:lineRule="exact"/>
        <w:rPr>
          <w:rFonts w:ascii="Arial" w:cs="Arial" w:eastAsia="Arial" w:hAnsi="Arial"/>
          <w:sz w:val="19"/>
          <w:szCs w:val="19"/>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shall not be responsible or liable for the computation of any interest payments or redemption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amounts.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700" w:hanging="395"/>
        <w:spacing w:after="0"/>
        <w:tabs>
          <w:tab w:leader="none" w:pos="17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permissive rights of the Trustee enumerated herein shall not be construed as duties.</w:t>
      </w:r>
    </w:p>
    <w:p>
      <w:pPr>
        <w:spacing w:after="0" w:line="274" w:lineRule="exact"/>
        <w:rPr>
          <w:sz w:val="20"/>
          <w:szCs w:val="20"/>
          <w:color w:val="auto"/>
        </w:rPr>
      </w:pPr>
    </w:p>
    <w:p>
      <w:pPr>
        <w:ind w:right="40" w:firstLine="648"/>
        <w:spacing w:after="0" w:line="351"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Individual Rights of Trustee</w:t>
      </w:r>
      <w:r>
        <w:rPr>
          <w:rFonts w:ascii="Arial" w:cs="Arial" w:eastAsia="Arial" w:hAnsi="Arial"/>
          <w:sz w:val="19"/>
          <w:szCs w:val="19"/>
          <w:color w:val="auto"/>
        </w:rPr>
        <w:t xml:space="preserve">. The Trustee in its individual or any other capacity may become the owner or pledgee of Notes and may otherwise deal with the Company, the Guarantors or their Affiliates with the same rights it would have if it were not Trustee. Any Paying Agent, Registrar, co-registrar or co-paying agent may do the same with like rights. However, the Trustee must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In addition, the Trustee shall be permitted to engage in transactions with the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00"/>
          </w:cols>
          <w:pgMar w:left="240" w:top="1077" w:right="259" w:bottom="1440" w:gutter="0" w:footer="0" w:header="0"/>
        </w:sectPr>
      </w:pPr>
    </w:p>
    <w:bookmarkStart w:id="169" w:name="page170"/>
    <w:bookmarkEnd w:id="169"/>
    <w:p>
      <w:pPr>
        <w:ind w:firstLine="648"/>
        <w:spacing w:after="0" w:line="288"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 The Trustee shall not be responsible for and makes no representation as to the validity or adequacy of this Indenture or the Notes, shall not be accountable for the Company’s use of the proceeds from the sale of the Notes, shall not be responsible for the use or application of any money received by any Paying Agent other than the Trustee or any money paid to the Company pursuant to the terms of this Indenture and shall not be responsible for any statement of the Company in this Indenture or in any document issued in connection with the sale of the Notes or in the Notes other than the Trustee’s certificate of authentication.</w:t>
      </w:r>
    </w:p>
    <w:p>
      <w:pPr>
        <w:spacing w:after="0" w:line="191" w:lineRule="exact"/>
        <w:rPr>
          <w:sz w:val="20"/>
          <w:szCs w:val="20"/>
          <w:color w:val="auto"/>
        </w:rPr>
      </w:pPr>
    </w:p>
    <w:p>
      <w:pPr>
        <w:jc w:val="both"/>
        <w:ind w:right="200" w:firstLine="648"/>
        <w:spacing w:after="0" w:line="351"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Notice of Defaults</w:t>
      </w:r>
      <w:r>
        <w:rPr>
          <w:rFonts w:ascii="Arial" w:cs="Arial" w:eastAsia="Arial" w:hAnsi="Arial"/>
          <w:sz w:val="19"/>
          <w:szCs w:val="19"/>
          <w:color w:val="auto"/>
        </w:rPr>
        <w:t>. If a Default occurs and is continuing and if a Responsible Officer is informed of such occurrence by the Company, the Trustee shall give notice of the Default to the Holders within 60 days after being notified by the Company. Except in the case of a Default in payment of principal of, or premium, if any, or interest on any Note, the Trustee may withhold the notice if and so long it in good faith determines that withholding the notice is in the interests of Holders.</w:t>
      </w:r>
    </w:p>
    <w:p>
      <w:pPr>
        <w:spacing w:after="0" w:line="14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31"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 xml:space="preserve">. The Company shall pay to the Trustee from time to time compensation for its services hereunder and under the Notes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Company shall indemnify the Trustee and its respective officers, directors, employees, representatives and agents from and against any and all loss, liability, damages, claims or expense, including taxes (other than taxes based upon the income of the Trustee) (including reasonable attorneys’ and agents’ fees and expenses) incurred by it without willful misconduct or gross negligence, as determined by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19"/>
          <w:szCs w:val="19"/>
          <w:u w:val="single" w:color="auto"/>
          <w:color w:val="auto"/>
        </w:rPr>
        <w:t>Section 7.7</w:t>
      </w:r>
      <w:r>
        <w:rPr>
          <w:rFonts w:ascii="Arial" w:cs="Arial" w:eastAsia="Arial" w:hAnsi="Arial"/>
          <w:sz w:val="19"/>
          <w:szCs w:val="19"/>
          <w:color w:val="auto"/>
        </w:rPr>
        <w:t>) and the Notes and of defending itself against any claims (whether asserted by any Holder, the Company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one separate counsel and the Company shall pay the fees and expenses of such counsel.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00"/>
          </w:cols>
          <w:pgMar w:left="240" w:top="861" w:right="259" w:bottom="1440" w:gutter="0" w:footer="0" w:header="0"/>
        </w:sectPr>
      </w:pPr>
    </w:p>
    <w:bookmarkStart w:id="170" w:name="page171"/>
    <w:bookmarkEnd w:id="170"/>
    <w:p>
      <w:pPr>
        <w:ind w:right="380" w:firstLine="648"/>
        <w:spacing w:after="0" w:line="287" w:lineRule="auto"/>
        <w:rPr>
          <w:sz w:val="20"/>
          <w:szCs w:val="20"/>
          <w:color w:val="auto"/>
        </w:rPr>
      </w:pPr>
      <w:r>
        <w:rPr>
          <w:rFonts w:ascii="Arial" w:cs="Arial" w:eastAsia="Arial" w:hAnsi="Arial"/>
          <w:sz w:val="22"/>
          <w:szCs w:val="22"/>
          <w:color w:val="auto"/>
        </w:rPr>
        <w:t xml:space="preserve">To secure the Company’s payment obligations in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of the appointment of any successor Trustee. The Trustee’s right to receive payment of any amounts due under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not be subordinate to any other liability or Indebtedness of the Company.</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87" w:lineRule="auto"/>
        <w:rPr>
          <w:sz w:val="20"/>
          <w:szCs w:val="20"/>
          <w:color w:val="auto"/>
        </w:rPr>
      </w:pPr>
      <w:r>
        <w:rPr>
          <w:rFonts w:ascii="Arial" w:cs="Arial" w:eastAsia="Arial" w:hAnsi="Arial"/>
          <w:sz w:val="22"/>
          <w:szCs w:val="22"/>
          <w:color w:val="auto"/>
        </w:rPr>
        <w:t xml:space="preserve">The Company’s payment and other obligations pursuant to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survive the discharge of this Indenture and any resignation or removal of the Trustee under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22"/>
          <w:szCs w:val="22"/>
          <w:u w:val="single" w:color="auto"/>
          <w:color w:val="auto"/>
        </w:rPr>
        <w:t>Section 6.1</w:t>
      </w:r>
      <w:r>
        <w:rPr>
          <w:rFonts w:ascii="Arial" w:cs="Arial" w:eastAsia="Arial" w:hAnsi="Arial"/>
          <w:sz w:val="22"/>
          <w:szCs w:val="22"/>
          <w:color w:val="auto"/>
        </w:rPr>
        <w:t>, the expenses (including the reasonable fees and expenses of its counsel) are intended to constitute expenses of administration under any Bankruptcy Law.</w:t>
      </w:r>
    </w:p>
    <w:p>
      <w:pPr>
        <w:spacing w:after="0" w:line="189" w:lineRule="exact"/>
        <w:rPr>
          <w:sz w:val="20"/>
          <w:szCs w:val="20"/>
          <w:color w:val="auto"/>
        </w:rPr>
      </w:pPr>
    </w:p>
    <w:p>
      <w:pPr>
        <w:ind w:right="140" w:firstLine="648"/>
        <w:spacing w:after="0" w:line="290"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 The Trustee may resign at any time by so notifying the Company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Company’s written consent, which consent will not be unreasonably withheld. The Company shall remove the Trustee if:</w:t>
      </w:r>
    </w:p>
    <w:p>
      <w:pPr>
        <w:spacing w:after="0" w:line="200" w:lineRule="exact"/>
        <w:rPr>
          <w:sz w:val="20"/>
          <w:szCs w:val="20"/>
          <w:color w:val="auto"/>
        </w:rPr>
      </w:pPr>
    </w:p>
    <w:p>
      <w:pPr>
        <w:spacing w:after="0" w:line="203" w:lineRule="exact"/>
        <w:rPr>
          <w:sz w:val="20"/>
          <w:szCs w:val="20"/>
          <w:color w:val="auto"/>
        </w:rPr>
      </w:pPr>
    </w:p>
    <w:p>
      <w:pPr>
        <w:ind w:left="2380" w:hanging="427"/>
        <w:spacing w:after="0"/>
        <w:tabs>
          <w:tab w:leader="none" w:pos="23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the Trustee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Trustee is adjudged bankrupt or insolvent;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Trustee otherwise becomes incapable of acting.</w:t>
      </w:r>
    </w:p>
    <w:p>
      <w:pPr>
        <w:spacing w:after="0" w:line="200" w:lineRule="exact"/>
        <w:rPr>
          <w:sz w:val="20"/>
          <w:szCs w:val="20"/>
          <w:color w:val="auto"/>
        </w:rPr>
      </w:pPr>
    </w:p>
    <w:p>
      <w:pPr>
        <w:spacing w:after="0" w:line="290"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If the Trustee resigns or is removed by the Company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Company shall promptly appoint a successor Trustee.</w:t>
      </w:r>
    </w:p>
    <w:p>
      <w:pPr>
        <w:spacing w:after="0" w:line="200" w:lineRule="exact"/>
        <w:rPr>
          <w:sz w:val="20"/>
          <w:szCs w:val="20"/>
          <w:color w:val="auto"/>
        </w:rPr>
      </w:pPr>
    </w:p>
    <w:p>
      <w:pPr>
        <w:spacing w:after="0" w:line="206" w:lineRule="exact"/>
        <w:rPr>
          <w:sz w:val="20"/>
          <w:szCs w:val="20"/>
          <w:color w:val="auto"/>
        </w:rPr>
      </w:pPr>
    </w:p>
    <w:p>
      <w:pPr>
        <w:ind w:right="80" w:firstLine="648"/>
        <w:spacing w:after="0" w:line="306" w:lineRule="auto"/>
        <w:rPr>
          <w:sz w:val="20"/>
          <w:szCs w:val="20"/>
          <w:color w:val="auto"/>
        </w:rPr>
      </w:pPr>
      <w:r>
        <w:rPr>
          <w:rFonts w:ascii="Arial" w:cs="Arial" w:eastAsia="Arial" w:hAnsi="Arial"/>
          <w:sz w:val="21"/>
          <w:szCs w:val="21"/>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Company, promptly transfer all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1077" w:right="239" w:bottom="1440" w:gutter="0" w:footer="0" w:header="0"/>
        </w:sectPr>
      </w:pPr>
    </w:p>
    <w:bookmarkStart w:id="171" w:name="page172"/>
    <w:bookmarkEnd w:id="171"/>
    <w:p>
      <w:pPr>
        <w:ind w:right="40"/>
        <w:spacing w:after="0" w:line="302" w:lineRule="auto"/>
        <w:rPr>
          <w:sz w:val="20"/>
          <w:szCs w:val="20"/>
          <w:color w:val="auto"/>
        </w:rPr>
      </w:pPr>
      <w:r>
        <w:rPr>
          <w:rFonts w:ascii="Arial" w:cs="Arial" w:eastAsia="Arial" w:hAnsi="Arial"/>
          <w:sz w:val="22"/>
          <w:szCs w:val="22"/>
          <w:color w:val="auto"/>
        </w:rPr>
        <w:t xml:space="preserve">property held by it as Trustee to the successor Trustee, subject to the lien provided for in </w:t>
      </w:r>
      <w:r>
        <w:rPr>
          <w:rFonts w:ascii="Arial" w:cs="Arial" w:eastAsia="Arial" w:hAnsi="Arial"/>
          <w:sz w:val="22"/>
          <w:szCs w:val="22"/>
          <w:u w:val="single" w:color="auto"/>
          <w:color w:val="auto"/>
        </w:rPr>
        <w:t>Section 7.7</w:t>
      </w:r>
      <w:r>
        <w:rPr>
          <w:rFonts w:ascii="Arial" w:cs="Arial" w:eastAsia="Arial" w:hAnsi="Arial"/>
          <w:sz w:val="22"/>
          <w:szCs w:val="22"/>
          <w:color w:val="auto"/>
        </w:rPr>
        <w:t>, and the recognition thereof by the successor Trustee.</w:t>
      </w:r>
    </w:p>
    <w:p>
      <w:pPr>
        <w:spacing w:after="0" w:line="39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If a successor Trustee does not take office within 60 days after the retiring Trustee resigns or is removed, the retiring Trustee or the Holders of at least 10% in principal amount of the Notes may petition, at the Company’s expense, any court of competent jurisdiction for the appointment of a successor Trustee.</w:t>
      </w:r>
    </w:p>
    <w:p>
      <w:pPr>
        <w:spacing w:after="0" w:line="400"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 xml:space="preserve">If the Trustee fails to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any Holder, who has been a bona fide holder of a Note for at least six months, may petition any court of competent jurisdiction for the removal of the Trustee and the appointment of a successor Trustee.</w:t>
      </w:r>
    </w:p>
    <w:p>
      <w:pPr>
        <w:spacing w:after="0" w:line="322"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Notwithstanding the replacement of the Trustee pursuant to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the Company’s obligations under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continue for the benefit of the retiring Trustee. The predecessor Trustee shall have no liability for any action or inaction of any successor Trustee.</w:t>
      </w:r>
    </w:p>
    <w:p>
      <w:pPr>
        <w:spacing w:after="0" w:line="184" w:lineRule="exact"/>
        <w:rPr>
          <w:sz w:val="20"/>
          <w:szCs w:val="20"/>
          <w:color w:val="auto"/>
        </w:rPr>
      </w:pPr>
    </w:p>
    <w:p>
      <w:pPr>
        <w:ind w:right="280" w:firstLine="648"/>
        <w:spacing w:after="0" w:line="318"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Successor Trustee by Merger</w:t>
      </w:r>
      <w:r>
        <w:rPr>
          <w:rFonts w:ascii="Arial" w:cs="Arial" w:eastAsia="Arial" w:hAnsi="Arial"/>
          <w:sz w:val="21"/>
          <w:szCs w:val="21"/>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377" w:lineRule="exact"/>
        <w:rPr>
          <w:sz w:val="20"/>
          <w:szCs w:val="20"/>
          <w:color w:val="auto"/>
        </w:rPr>
      </w:pPr>
    </w:p>
    <w:p>
      <w:pPr>
        <w:ind w:right="120" w:firstLine="648"/>
        <w:spacing w:after="0" w:line="336" w:lineRule="auto"/>
        <w:rPr>
          <w:sz w:val="20"/>
          <w:szCs w:val="20"/>
          <w:color w:val="auto"/>
        </w:rPr>
      </w:pPr>
      <w:r>
        <w:rPr>
          <w:rFonts w:ascii="Arial" w:cs="Arial" w:eastAsia="Arial" w:hAnsi="Arial"/>
          <w:sz w:val="19"/>
          <w:szCs w:val="19"/>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adopt the certificate of authentication of any predecessor Trustee or authenticate Notes in the name of any predecessor Trustee shall only apply to its successor or successors by merger, consolidation or conversion.</w:t>
      </w:r>
    </w:p>
    <w:p>
      <w:pPr>
        <w:spacing w:after="0" w:line="155" w:lineRule="exact"/>
        <w:rPr>
          <w:sz w:val="20"/>
          <w:szCs w:val="20"/>
          <w:color w:val="auto"/>
        </w:rPr>
      </w:pPr>
    </w:p>
    <w:p>
      <w:pPr>
        <w:ind w:right="120" w:firstLine="648"/>
        <w:spacing w:after="0" w:line="315"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rPr>
        <w:t>. The Trustee shall have a combined capital and surplus of at least $50 million as set forth in its most recent published annual report of condition.</w:t>
      </w:r>
    </w:p>
    <w:p>
      <w:pPr>
        <w:spacing w:after="0" w:line="16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140" w:firstLine="648"/>
        <w:spacing w:after="0" w:line="298"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Trustee’s Application for Instruction from the Company</w:t>
      </w:r>
      <w:r>
        <w:rPr>
          <w:rFonts w:ascii="Arial" w:cs="Arial" w:eastAsia="Arial" w:hAnsi="Arial"/>
          <w:sz w:val="22"/>
          <w:szCs w:val="22"/>
          <w:color w:val="auto"/>
        </w:rPr>
        <w:t>. Any application by the Trustee for written instructions from the Company may, at the option of the Trustee, set forth in writing any action proposed to be taken or omitted by the Trustee under this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1077" w:right="239" w:bottom="1440" w:gutter="0" w:footer="0" w:header="0"/>
        </w:sectPr>
      </w:pPr>
    </w:p>
    <w:bookmarkStart w:id="172" w:name="page173"/>
    <w:bookmarkEnd w:id="172"/>
    <w:p>
      <w:pPr>
        <w:jc w:val="both"/>
        <w:ind w:right="40"/>
        <w:spacing w:after="0" w:line="338" w:lineRule="auto"/>
        <w:rPr>
          <w:sz w:val="20"/>
          <w:szCs w:val="20"/>
          <w:color w:val="auto"/>
        </w:rPr>
      </w:pPr>
      <w:r>
        <w:rPr>
          <w:rFonts w:ascii="Arial" w:cs="Arial" w:eastAsia="Arial" w:hAnsi="Arial"/>
          <w:sz w:val="19"/>
          <w:szCs w:val="19"/>
          <w:color w:val="auto"/>
        </w:rPr>
        <w:t>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LEGAL DEFEASANCE AND COVENANT DEFEASANCE</w:t>
      </w:r>
    </w:p>
    <w:p>
      <w:pPr>
        <w:spacing w:after="0" w:line="266" w:lineRule="exact"/>
        <w:rPr>
          <w:sz w:val="20"/>
          <w:szCs w:val="20"/>
          <w:color w:val="auto"/>
        </w:rPr>
      </w:pPr>
    </w:p>
    <w:p>
      <w:pPr>
        <w:ind w:right="120" w:firstLine="648"/>
        <w:spacing w:after="0" w:line="298"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Option To Effect Legal Defeasance or Covenant Defeasance; Defeasance</w:t>
      </w:r>
      <w:r>
        <w:rPr>
          <w:rFonts w:ascii="Arial" w:cs="Arial" w:eastAsia="Arial" w:hAnsi="Arial"/>
          <w:sz w:val="22"/>
          <w:szCs w:val="22"/>
          <w:color w:val="auto"/>
        </w:rPr>
        <w:t xml:space="preserve">. The Company may, at its option and at any time, elect to have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 be applied to all outstanding Notes upon compliance with the conditions set forth below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Legal Defeasance and Discharge</w:t>
      </w:r>
      <w:r>
        <w:rPr>
          <w:rFonts w:ascii="Arial" w:cs="Arial" w:eastAsia="Arial" w:hAnsi="Arial"/>
          <w:sz w:val="19"/>
          <w:szCs w:val="19"/>
          <w:color w:val="auto"/>
        </w:rPr>
        <w:t xml:space="preserve">. Upon the Company’s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the Issuers and each of the Guarantors will,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be deemed to have been discharged from their obligations with respect to all outstanding Notes (including the Guarantees) on the date the conditions set forth below are satisfied (hereinafter, “</w:t>
      </w:r>
      <w:r>
        <w:rPr>
          <w:rFonts w:ascii="Arial" w:cs="Arial" w:eastAsia="Arial" w:hAnsi="Arial"/>
          <w:sz w:val="19"/>
          <w:szCs w:val="19"/>
          <w:u w:val="single" w:color="auto"/>
          <w:color w:val="auto"/>
        </w:rPr>
        <w:t>Legal Defeasance</w:t>
      </w:r>
      <w:r>
        <w:rPr>
          <w:rFonts w:ascii="Arial" w:cs="Arial" w:eastAsia="Arial" w:hAnsi="Arial"/>
          <w:sz w:val="19"/>
          <w:szCs w:val="19"/>
          <w:color w:val="auto"/>
        </w:rPr>
        <w:t xml:space="preserve">”). For this purpose, Legal Defeasance means that the Company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hereof and the other Sections of this Indenture referred to in clauses (1) and (2) below, and to have satisfied all of their other obligations under such Notes, the Guarantees and this Indenture (and the Trustee, on written demand of and at the expense of the Company, shall execute such instruments reasonably requested by the Company acknowledging the same) and to have cured all then existing Events of Default, except for the following provisions which will survive until otherwise terminated or discharged hereunder:</w:t>
      </w:r>
    </w:p>
    <w:p>
      <w:pPr>
        <w:spacing w:after="0" w:line="369" w:lineRule="exact"/>
        <w:rPr>
          <w:sz w:val="20"/>
          <w:szCs w:val="20"/>
          <w:color w:val="auto"/>
        </w:rPr>
      </w:pPr>
    </w:p>
    <w:p>
      <w:pPr>
        <w:ind w:left="2380" w:hanging="427"/>
        <w:spacing w:after="0"/>
        <w:tabs>
          <w:tab w:leader="none" w:pos="238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rights of Holders of Notes issued under this Indenture to receive payments in respect of the principal</w:t>
      </w:r>
    </w:p>
    <w:p>
      <w:pPr>
        <w:spacing w:after="0" w:line="92" w:lineRule="exact"/>
        <w:rPr>
          <w:rFonts w:ascii="Arial" w:cs="Arial" w:eastAsia="Arial" w:hAnsi="Arial"/>
          <w:sz w:val="19"/>
          <w:szCs w:val="19"/>
          <w:color w:val="auto"/>
        </w:rPr>
      </w:pPr>
    </w:p>
    <w:p>
      <w:pPr>
        <w:ind w:left="660" w:right="1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premium, if any, and interest and Additional Interest, if any, on the Notes when such payments are due solely out of the trust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w:t>
      </w:r>
    </w:p>
    <w:p>
      <w:pPr>
        <w:spacing w:after="0" w:line="389" w:lineRule="exact"/>
        <w:rPr>
          <w:rFonts w:ascii="Arial" w:cs="Arial" w:eastAsia="Arial" w:hAnsi="Arial"/>
          <w:sz w:val="19"/>
          <w:szCs w:val="19"/>
          <w:color w:val="auto"/>
        </w:rPr>
      </w:pPr>
    </w:p>
    <w:p>
      <w:pPr>
        <w:ind w:left="660" w:right="480" w:firstLine="1293"/>
        <w:spacing w:after="0" w:line="315" w:lineRule="auto"/>
        <w:tabs>
          <w:tab w:leader="none" w:pos="238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the Company’s obligations with respect to the Notes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concerning issuing temporary Notes, registration of such Notes, mutilated,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00"/>
          </w:cols>
          <w:pgMar w:left="240" w:top="861" w:right="259" w:bottom="1440" w:gutter="0" w:footer="0" w:header="0"/>
        </w:sectPr>
      </w:pPr>
    </w:p>
    <w:bookmarkStart w:id="173" w:name="page174"/>
    <w:bookmarkEnd w:id="173"/>
    <w:p>
      <w:pPr>
        <w:ind w:left="660" w:right="60"/>
        <w:spacing w:after="0" w:line="302" w:lineRule="auto"/>
        <w:rPr>
          <w:sz w:val="20"/>
          <w:szCs w:val="20"/>
          <w:color w:val="auto"/>
        </w:rPr>
      </w:pPr>
      <w:r>
        <w:rPr>
          <w:rFonts w:ascii="Arial" w:cs="Arial" w:eastAsia="Arial" w:hAnsi="Arial"/>
          <w:sz w:val="22"/>
          <w:szCs w:val="22"/>
          <w:color w:val="auto"/>
        </w:rPr>
        <w:t xml:space="preserve">destroyed, lost or stolen Notes and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hereof concerning the maintenance of an office or agency for payment and money for security payments held in trust;</w:t>
      </w:r>
    </w:p>
    <w:p>
      <w:pPr>
        <w:spacing w:after="0" w:line="390" w:lineRule="exact"/>
        <w:rPr>
          <w:sz w:val="20"/>
          <w:szCs w:val="20"/>
          <w:color w:val="auto"/>
        </w:rPr>
      </w:pPr>
    </w:p>
    <w:p>
      <w:pPr>
        <w:ind w:left="660" w:right="540" w:firstLine="1293"/>
        <w:spacing w:after="0" w:line="315" w:lineRule="auto"/>
        <w:tabs>
          <w:tab w:leader="none" w:pos="238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 the Company’s or Guarantors’ obligations in connection therewith;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provisions relating to Legal Defeasance.</w:t>
      </w:r>
    </w:p>
    <w:p>
      <w:pPr>
        <w:spacing w:after="0" w:line="274"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Company’s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the Company and each of the Guarantors will,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be released from each of their obligations under the covenants contained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Section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hereof with respect to the outstanding Notes on and after the date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are satisfied (hereinafter,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but, except as specified above, the remainder of this Indenture and such Notes and Guarantees will be unaffected thereby. In addition, upon the Company’s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Sections 6.1(3)</w:t>
      </w:r>
      <w:r>
        <w:rPr>
          <w:rFonts w:ascii="Arial" w:cs="Arial" w:eastAsia="Arial" w:hAnsi="Arial"/>
          <w:sz w:val="19"/>
          <w:szCs w:val="19"/>
          <w:color w:val="auto"/>
        </w:rPr>
        <w:t xml:space="preserve"> (other than with respect to </w:t>
      </w:r>
      <w:r>
        <w:rPr>
          <w:rFonts w:ascii="Arial" w:cs="Arial" w:eastAsia="Arial" w:hAnsi="Arial"/>
          <w:sz w:val="19"/>
          <w:szCs w:val="19"/>
          <w:u w:val="single" w:color="auto"/>
          <w:color w:val="auto"/>
        </w:rPr>
        <w:t>Sections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w:t>
      </w:r>
      <w:r>
        <w:rPr>
          <w:rFonts w:ascii="Arial" w:cs="Arial" w:eastAsia="Arial" w:hAnsi="Arial"/>
          <w:sz w:val="19"/>
          <w:szCs w:val="19"/>
          <w:u w:val="single" w:color="auto"/>
          <w:color w:val="auto"/>
        </w:rPr>
        <w:t>6.1(5)</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6.1(8)</w:t>
      </w:r>
      <w:r>
        <w:rPr>
          <w:rFonts w:ascii="Arial" w:cs="Arial" w:eastAsia="Arial" w:hAnsi="Arial"/>
          <w:sz w:val="19"/>
          <w:szCs w:val="19"/>
          <w:color w:val="auto"/>
        </w:rPr>
        <w:t xml:space="preserve"> hereof shall not constitute Events of Default.</w:t>
      </w:r>
    </w:p>
    <w:p>
      <w:pPr>
        <w:spacing w:after="0" w:line="200" w:lineRule="exact"/>
        <w:rPr>
          <w:sz w:val="20"/>
          <w:szCs w:val="20"/>
          <w:color w:val="auto"/>
        </w:rPr>
      </w:pPr>
    </w:p>
    <w:p>
      <w:pPr>
        <w:spacing w:after="0" w:line="263" w:lineRule="exact"/>
        <w:rPr>
          <w:sz w:val="20"/>
          <w:szCs w:val="20"/>
          <w:color w:val="auto"/>
        </w:rPr>
      </w:pPr>
    </w:p>
    <w:p>
      <w:pPr>
        <w:ind w:right="340" w:firstLine="648"/>
        <w:spacing w:after="0" w:line="315"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Conditions to Legal or Covenant Defeasance</w:t>
      </w:r>
      <w:r>
        <w:rPr>
          <w:rFonts w:ascii="Arial" w:cs="Arial" w:eastAsia="Arial" w:hAnsi="Arial"/>
          <w:sz w:val="22"/>
          <w:szCs w:val="22"/>
          <w:color w:val="auto"/>
        </w:rPr>
        <w:t xml:space="preserve">. In order to exercise either Legal Defeasance or Covenant Defeasance under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w:t>
      </w:r>
    </w:p>
    <w:p>
      <w:pPr>
        <w:spacing w:after="0" w:line="376" w:lineRule="exact"/>
        <w:rPr>
          <w:sz w:val="20"/>
          <w:szCs w:val="20"/>
          <w:color w:val="auto"/>
        </w:rPr>
      </w:pPr>
    </w:p>
    <w:p>
      <w:pPr>
        <w:ind w:left="2380" w:hanging="427"/>
        <w:spacing w:after="0"/>
        <w:tabs>
          <w:tab w:leader="none" w:pos="238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Company must irrevocably deposit with the Paying Agent, in trust, for the benefit of the Holders,</w:t>
      </w:r>
    </w:p>
    <w:p>
      <w:pPr>
        <w:spacing w:after="0" w:line="92" w:lineRule="exact"/>
        <w:rPr>
          <w:rFonts w:ascii="Arial" w:cs="Arial" w:eastAsia="Arial" w:hAnsi="Arial"/>
          <w:sz w:val="19"/>
          <w:szCs w:val="19"/>
          <w:color w:val="auto"/>
        </w:rPr>
      </w:pPr>
    </w:p>
    <w:p>
      <w:pPr>
        <w:ind w:left="660" w:right="220"/>
        <w:spacing w:after="0" w:line="311" w:lineRule="auto"/>
        <w:rPr>
          <w:rFonts w:ascii="Arial" w:cs="Arial" w:eastAsia="Arial" w:hAnsi="Arial"/>
          <w:sz w:val="19"/>
          <w:szCs w:val="19"/>
          <w:color w:val="auto"/>
        </w:rPr>
      </w:pPr>
      <w:r>
        <w:rPr>
          <w:rFonts w:ascii="Arial" w:cs="Arial" w:eastAsia="Arial" w:hAnsi="Arial"/>
          <w:sz w:val="21"/>
          <w:szCs w:val="21"/>
          <w:color w:val="auto"/>
        </w:rPr>
        <w:t>cash in U.S. dollars, U.S. Government Obligations, or a combination thereof, in such amounts as will be sufficient, in the opinion of a nationally recognized firm of independent public accountants, to pay the principal of and premium, if any, interest on the Notes issued under this Indenture on the stated maturity date or on</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340"/>
          </w:cols>
          <w:pgMar w:left="240" w:top="1077" w:right="319" w:bottom="1440" w:gutter="0" w:footer="0" w:header="0"/>
        </w:sectPr>
      </w:pPr>
    </w:p>
    <w:bookmarkStart w:id="174" w:name="page175"/>
    <w:bookmarkEnd w:id="174"/>
    <w:p>
      <w:pPr>
        <w:ind w:left="660" w:right="160"/>
        <w:spacing w:after="0" w:line="302" w:lineRule="auto"/>
        <w:rPr>
          <w:sz w:val="20"/>
          <w:szCs w:val="20"/>
          <w:color w:val="auto"/>
        </w:rPr>
      </w:pPr>
      <w:r>
        <w:rPr>
          <w:rFonts w:ascii="Arial" w:cs="Arial" w:eastAsia="Arial" w:hAnsi="Arial"/>
          <w:sz w:val="22"/>
          <w:szCs w:val="22"/>
          <w:color w:val="auto"/>
        </w:rPr>
        <w:t>the applicable redemption date, as the case may be, and the Company must specify whether such Notes are being defeased to maturity or to a particular redemption date;</w:t>
      </w:r>
    </w:p>
    <w:p>
      <w:pPr>
        <w:spacing w:after="0" w:line="390" w:lineRule="exact"/>
        <w:rPr>
          <w:sz w:val="20"/>
          <w:szCs w:val="20"/>
          <w:color w:val="auto"/>
        </w:rPr>
      </w:pPr>
    </w:p>
    <w:p>
      <w:pPr>
        <w:ind w:left="660" w:right="120" w:firstLine="1293"/>
        <w:spacing w:after="0" w:line="402" w:lineRule="auto"/>
        <w:tabs>
          <w:tab w:leader="none" w:pos="238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in the case of Legal Defeasance the Company shall have delivered to the Trustee and the Paying Agent an Opinion of Counsel in the United States confirming that, subject to customary assumptions and exclusions;</w:t>
      </w:r>
    </w:p>
    <w:p>
      <w:pPr>
        <w:spacing w:after="0" w:line="307" w:lineRule="exact"/>
        <w:rPr>
          <w:rFonts w:ascii="Arial" w:cs="Arial" w:eastAsia="Arial" w:hAnsi="Arial"/>
          <w:sz w:val="19"/>
          <w:szCs w:val="19"/>
          <w:color w:val="auto"/>
        </w:rPr>
      </w:pPr>
    </w:p>
    <w:p>
      <w:pPr>
        <w:ind w:left="660" w:right="520" w:firstLine="1941"/>
        <w:spacing w:after="0" w:line="315" w:lineRule="auto"/>
        <w:tabs>
          <w:tab w:leader="none" w:pos="3085"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Company has received from, or there has been published by, the United States Internal Revenue Service a ruling; or</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since the issuance of such Notes, there has been a change in the applicable U.S. federal income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tax law;</w:t>
      </w:r>
    </w:p>
    <w:p>
      <w:pPr>
        <w:spacing w:after="0" w:line="200" w:lineRule="exact"/>
        <w:rPr>
          <w:sz w:val="20"/>
          <w:szCs w:val="20"/>
          <w:color w:val="auto"/>
        </w:rPr>
      </w:pPr>
    </w:p>
    <w:p>
      <w:pPr>
        <w:spacing w:after="0" w:line="276" w:lineRule="exact"/>
        <w:rPr>
          <w:sz w:val="20"/>
          <w:szCs w:val="20"/>
          <w:color w:val="auto"/>
        </w:rPr>
      </w:pPr>
    </w:p>
    <w:p>
      <w:pPr>
        <w:ind w:firstLine="648"/>
        <w:spacing w:after="0" w:line="346" w:lineRule="auto"/>
        <w:rPr>
          <w:sz w:val="20"/>
          <w:szCs w:val="20"/>
          <w:color w:val="auto"/>
        </w:rPr>
      </w:pPr>
      <w:r>
        <w:rPr>
          <w:rFonts w:ascii="Arial" w:cs="Arial" w:eastAsia="Arial" w:hAnsi="Arial"/>
          <w:sz w:val="19"/>
          <w:szCs w:val="19"/>
          <w:color w:val="auto"/>
        </w:rPr>
        <w:t>in either case to the effect that, and based thereon such Opinion of Counsel in the United States shall confirm that, subject to customary assumptions and exclusions,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361" w:lineRule="exact"/>
        <w:rPr>
          <w:sz w:val="20"/>
          <w:szCs w:val="20"/>
          <w:color w:val="auto"/>
        </w:rPr>
      </w:pPr>
    </w:p>
    <w:p>
      <w:pPr>
        <w:ind w:left="2380" w:hanging="427"/>
        <w:spacing w:after="0"/>
        <w:tabs>
          <w:tab w:leader="none" w:pos="23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in the case of Covenant Defeasance, the Company shall have delivered to the Trustee and Paying Agent</w:t>
      </w:r>
    </w:p>
    <w:p>
      <w:pPr>
        <w:spacing w:after="0" w:line="92" w:lineRule="exact"/>
        <w:rPr>
          <w:rFonts w:ascii="Arial" w:cs="Arial" w:eastAsia="Arial" w:hAnsi="Arial"/>
          <w:sz w:val="19"/>
          <w:szCs w:val="19"/>
          <w:color w:val="auto"/>
        </w:rPr>
      </w:pPr>
    </w:p>
    <w:p>
      <w:pPr>
        <w:ind w:left="660" w:right="180"/>
        <w:spacing w:after="0" w:line="306" w:lineRule="auto"/>
        <w:rPr>
          <w:rFonts w:ascii="Arial" w:cs="Arial" w:eastAsia="Arial" w:hAnsi="Arial"/>
          <w:sz w:val="19"/>
          <w:szCs w:val="19"/>
          <w:color w:val="auto"/>
        </w:rPr>
      </w:pPr>
      <w:r>
        <w:rPr>
          <w:rFonts w:ascii="Arial" w:cs="Arial" w:eastAsia="Arial" w:hAnsi="Arial"/>
          <w:sz w:val="21"/>
          <w:szCs w:val="21"/>
          <w:color w:val="auto"/>
        </w:rPr>
        <w:t>an Opinion of Counsel in the United States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Opinion of Counsel to the effect</w:t>
      </w:r>
    </w:p>
    <w:p>
      <w:pPr>
        <w:spacing w:after="0" w:line="92" w:lineRule="exact"/>
        <w:rPr>
          <w:rFonts w:ascii="Arial" w:cs="Arial" w:eastAsia="Arial" w:hAnsi="Arial"/>
          <w:sz w:val="19"/>
          <w:szCs w:val="19"/>
          <w:color w:val="auto"/>
        </w:rPr>
      </w:pPr>
    </w:p>
    <w:p>
      <w:pPr>
        <w:ind w:left="660" w:right="160"/>
        <w:spacing w:after="0" w:line="288" w:lineRule="auto"/>
        <w:rPr>
          <w:rFonts w:ascii="Arial" w:cs="Arial" w:eastAsia="Arial" w:hAnsi="Arial"/>
          <w:sz w:val="19"/>
          <w:szCs w:val="19"/>
          <w:color w:val="auto"/>
        </w:rPr>
      </w:pPr>
      <w:r>
        <w:rPr>
          <w:rFonts w:ascii="Arial" w:cs="Arial" w:eastAsia="Arial" w:hAnsi="Arial"/>
          <w:sz w:val="22"/>
          <w:szCs w:val="22"/>
          <w:color w:val="auto"/>
        </w:rPr>
        <w:t>that, as of the date of such opinion and subject to customary assumptions and exclusions following the deposit, the trust funds will not be subject to the effect of Sections 547 and 548 of Title 11 of the United States Code, as amended, or any applicable bankruptcy, insolvency, reorganization or similar laws affecting creditors’ rights generally under any applicable U.S. federal or state law;</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stating that</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the deposit was not made by the Company with the intent of defeating, hindering, delaying, defrauding or preferring any creditors of the Company;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00"/>
          </w:cols>
          <w:pgMar w:left="240" w:top="1077" w:right="259" w:bottom="1440" w:gutter="0" w:footer="0" w:header="0"/>
        </w:sectPr>
      </w:pPr>
    </w:p>
    <w:bookmarkStart w:id="175" w:name="page176"/>
    <w:bookmarkEnd w:id="175"/>
    <w:p>
      <w:pPr>
        <w:ind w:left="2380" w:hanging="427"/>
        <w:spacing w:after="0"/>
        <w:tabs>
          <w:tab w:leader="none" w:pos="238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and an</w:t>
      </w:r>
    </w:p>
    <w:p>
      <w:pPr>
        <w:spacing w:after="0" w:line="92" w:lineRule="exact"/>
        <w:rPr>
          <w:rFonts w:ascii="Arial" w:cs="Arial" w:eastAsia="Arial" w:hAnsi="Arial"/>
          <w:sz w:val="19"/>
          <w:szCs w:val="19"/>
          <w:color w:val="auto"/>
        </w:rPr>
      </w:pPr>
    </w:p>
    <w:p>
      <w:pPr>
        <w:jc w:val="both"/>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right="20" w:firstLine="648"/>
        <w:spacing w:after="0" w:line="301"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Deposited Money and U.S. Government Obligations To Be Held in Trust; Other Miscellaneous Provisions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all money and U.S. Government Obligations (including the proceeds thereof) deposited with the Trustee or the Paying Agent (or other qualifying trustee, collectively for purposes of this </w:t>
      </w:r>
      <w:r>
        <w:rPr>
          <w:rFonts w:ascii="Arial" w:cs="Arial" w:eastAsia="Arial" w:hAnsi="Arial"/>
          <w:sz w:val="21"/>
          <w:szCs w:val="21"/>
          <w:u w:val="single" w:color="auto"/>
          <w:color w:val="auto"/>
        </w:rPr>
        <w:t>Section 8.5</w:t>
      </w:r>
      <w:r>
        <w:rPr>
          <w:rFonts w:ascii="Arial" w:cs="Arial" w:eastAsia="Arial" w:hAnsi="Arial"/>
          <w:sz w:val="21"/>
          <w:szCs w:val="21"/>
          <w:color w:val="auto"/>
        </w:rPr>
        <w:t>, the “</w:t>
      </w:r>
      <w:r>
        <w:rPr>
          <w:rFonts w:ascii="Arial" w:cs="Arial" w:eastAsia="Arial" w:hAnsi="Arial"/>
          <w:sz w:val="21"/>
          <w:szCs w:val="21"/>
          <w:u w:val="single" w:color="auto"/>
          <w:color w:val="auto"/>
        </w:rPr>
        <w:t>Trustee</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in respect of the outstanding Notes will be held in trust and applied by the Trustee or the Paying Agent,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400"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The Company will pay and indemnify the Trustee and each Paying Agent against any tax, fee or other charge imposed on or assessed against the cash or U.S. Government Obligations deposited pursuant to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or the principal and interest received in respect thereof other than any such tax, fee or other charge which by law is for the account of the Holders of the outstanding Notes.</w:t>
      </w:r>
    </w:p>
    <w:p>
      <w:pPr>
        <w:spacing w:after="0" w:line="200" w:lineRule="exact"/>
        <w:rPr>
          <w:sz w:val="20"/>
          <w:szCs w:val="20"/>
          <w:color w:val="auto"/>
        </w:rPr>
      </w:pPr>
    </w:p>
    <w:p>
      <w:pPr>
        <w:spacing w:after="0" w:line="206"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contrary, the Trustee or the Paying Agent will deliver or pay to the Company from time to time upon the request of the Company any money or U.S. Government Obligations held by it as provided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which, in the opinion of a nationally recognized firm of independent public accountants expressed in a written certification thereof delivered to the Trustee or the Paying Agent (which may be the opinion delivered under </w:t>
      </w:r>
      <w:r>
        <w:rPr>
          <w:rFonts w:ascii="Arial" w:cs="Arial" w:eastAsia="Arial" w:hAnsi="Arial"/>
          <w:sz w:val="22"/>
          <w:szCs w:val="22"/>
          <w:u w:val="single" w:color="auto"/>
          <w:color w:val="auto"/>
        </w:rPr>
        <w:t>Section 8.4(1)</w:t>
      </w:r>
      <w:r>
        <w:rPr>
          <w:rFonts w:ascii="Arial" w:cs="Arial" w:eastAsia="Arial" w:hAnsi="Arial"/>
          <w:sz w:val="22"/>
          <w:szCs w:val="22"/>
          <w:color w:val="auto"/>
        </w:rPr>
        <w:t xml:space="preserve"> hereof), are in excess of the amount thereof that would then be required to be deposited to effect an equivalent Legal Defeasance or Covenant Defeasance.</w:t>
      </w:r>
    </w:p>
    <w:p>
      <w:pPr>
        <w:spacing w:after="0" w:line="196"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Repayment to the Company</w:t>
      </w:r>
      <w:r>
        <w:rPr>
          <w:rFonts w:ascii="Arial" w:cs="Arial" w:eastAsia="Arial" w:hAnsi="Arial"/>
          <w:sz w:val="19"/>
          <w:szCs w:val="19"/>
          <w:color w:val="auto"/>
        </w:rPr>
        <w:t>. Any money deposited with the Trustee or any Paying Agent, or then held by the Company, in trust for the payment of the principal of, premium or interest on, any Note and remaining unclaimed for two years after such principal, premium or interest has become due and payable shall be paid to the Company on their written request unless an abandoned property law designates another Person or (if then held by the Company) will be discharged from such trust; and the Holder of such Note will thereafter be permitted to look only to the Company for payment thereof unless an abandoned property law designates another Person, and all liability of the Trustee or such Paying Agent with respect to</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380"/>
          </w:cols>
          <w:pgMar w:left="240" w:top="1077" w:right="279" w:bottom="1440" w:gutter="0" w:footer="0" w:header="0"/>
        </w:sectPr>
      </w:pPr>
    </w:p>
    <w:bookmarkStart w:id="176" w:name="page177"/>
    <w:bookmarkEnd w:id="176"/>
    <w:p>
      <w:pPr>
        <w:ind w:right="280"/>
        <w:spacing w:after="0" w:line="303" w:lineRule="auto"/>
        <w:rPr>
          <w:sz w:val="20"/>
          <w:szCs w:val="20"/>
          <w:color w:val="auto"/>
        </w:rPr>
      </w:pPr>
      <w:r>
        <w:rPr>
          <w:rFonts w:ascii="Arial" w:cs="Arial" w:eastAsia="Arial" w:hAnsi="Arial"/>
          <w:sz w:val="21"/>
          <w:szCs w:val="21"/>
          <w:color w:val="auto"/>
        </w:rPr>
        <w:t xml:space="preserve">such trust money, and all liability of the Company as trustee thereof, will thereupon cease;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Trustee, before being required to make any such repayment, shall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77" w:lineRule="exact"/>
        <w:rPr>
          <w:sz w:val="20"/>
          <w:szCs w:val="20"/>
          <w:color w:val="auto"/>
        </w:rPr>
      </w:pPr>
    </w:p>
    <w:p>
      <w:pPr>
        <w:ind w:right="60" w:firstLine="648"/>
        <w:spacing w:after="0" w:line="335"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If the Trustee or Paying Agent is unable to apply any money or U.S. dollars or U.S. Government Obligations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until such time as the Trustee or Paying Agent is permitted to apply all such money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make any payment of principal of, premium, or interest and Additional Interest, if any, on, any Note following the reinstatement of its obligations, the Company will be subrogated to the rights of the Holders of such Notes to receive such payment from the money or U.S. Government Obligations held by the Trustee or Paying Agent.</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IX</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AMENDMENTS</w:t>
      </w:r>
    </w:p>
    <w:p>
      <w:pPr>
        <w:spacing w:after="0" w:line="266" w:lineRule="exact"/>
        <w:rPr>
          <w:sz w:val="20"/>
          <w:szCs w:val="20"/>
          <w:color w:val="auto"/>
        </w:rPr>
      </w:pPr>
    </w:p>
    <w:p>
      <w:pPr>
        <w:ind w:right="140" w:firstLine="648"/>
        <w:spacing w:after="0" w:line="315"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this Indenture, the Company, the Trustee and the other parties hereto may amend or supplement any Note Documents:</w:t>
      </w:r>
    </w:p>
    <w:p>
      <w:pPr>
        <w:spacing w:after="0" w:line="376" w:lineRule="exact"/>
        <w:rPr>
          <w:sz w:val="20"/>
          <w:szCs w:val="20"/>
          <w:color w:val="auto"/>
        </w:rPr>
      </w:pPr>
    </w:p>
    <w:p>
      <w:pPr>
        <w:ind w:left="2380" w:hanging="427"/>
        <w:spacing w:after="0"/>
        <w:tabs>
          <w:tab w:leader="none" w:pos="238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to cure any ambiguity, omission, mistake, defect, error or inconsistency, conform any provision to any</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provision under the heading “Description of the Notes” in the Offering Memorandum or reduce the minimum denomination of the Notes;</w:t>
      </w:r>
    </w:p>
    <w:p>
      <w:pPr>
        <w:spacing w:after="0" w:line="389" w:lineRule="exact"/>
        <w:rPr>
          <w:rFonts w:ascii="Arial" w:cs="Arial" w:eastAsia="Arial" w:hAnsi="Arial"/>
          <w:sz w:val="19"/>
          <w:szCs w:val="19"/>
          <w:color w:val="auto"/>
        </w:rPr>
      </w:pPr>
    </w:p>
    <w:p>
      <w:pPr>
        <w:ind w:left="660" w:right="900" w:firstLine="1293"/>
        <w:spacing w:after="0" w:line="315" w:lineRule="auto"/>
        <w:tabs>
          <w:tab w:leader="none" w:pos="238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to provide for the assumption by a successor Person of the obligations of the Company or any Subsidiary Guarantor under any Note Document;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380"/>
          </w:cols>
          <w:pgMar w:left="240" w:top="861" w:right="279" w:bottom="1440" w:gutter="0" w:footer="0" w:header="0"/>
        </w:sectPr>
      </w:pPr>
    </w:p>
    <w:bookmarkStart w:id="177" w:name="page178"/>
    <w:bookmarkEnd w:id="177"/>
    <w:p>
      <w:pPr>
        <w:ind w:left="660" w:right="400" w:firstLine="1293"/>
        <w:spacing w:after="0" w:line="315" w:lineRule="auto"/>
        <w:tabs>
          <w:tab w:leader="none" w:pos="238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to add to the covenants or provide for a Guarantee for the benefit of the Holders or to surrender any right or power conferred upon the Company or any Restricted Subsidiary;</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to make any change that does not adversely affect the rights of any Holder in any material respect;</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1100" w:firstLine="1293"/>
        <w:spacing w:after="0" w:line="315" w:lineRule="auto"/>
        <w:tabs>
          <w:tab w:leader="none" w:pos="238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at the Company’s election, comply with any requirement of the SEC in connection with the qualification of this Indenture under the TIA, if such qualification is required;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make such provisions as necessary (as determined in good faith by the Company) for the issuance of</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Additional Notes;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27"/>
        <w:spacing w:after="0"/>
        <w:tabs>
          <w:tab w:leader="none" w:pos="23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to add Guarantees with respect to the Notes, to add security to or for the benefit of the Notes, or to</w:t>
      </w:r>
    </w:p>
    <w:p>
      <w:pPr>
        <w:spacing w:after="0" w:line="92" w:lineRule="exact"/>
        <w:rPr>
          <w:rFonts w:ascii="Arial" w:cs="Arial" w:eastAsia="Arial" w:hAnsi="Arial"/>
          <w:sz w:val="19"/>
          <w:szCs w:val="19"/>
          <w:color w:val="auto"/>
        </w:rPr>
      </w:pPr>
    </w:p>
    <w:p>
      <w:pPr>
        <w:ind w:left="660" w:right="280"/>
        <w:spacing w:after="0" w:line="328" w:lineRule="auto"/>
        <w:rPr>
          <w:rFonts w:ascii="Arial" w:cs="Arial" w:eastAsia="Arial" w:hAnsi="Arial"/>
          <w:sz w:val="19"/>
          <w:szCs w:val="19"/>
          <w:color w:val="auto"/>
        </w:rPr>
      </w:pPr>
      <w:r>
        <w:rPr>
          <w:rFonts w:ascii="Arial" w:cs="Arial" w:eastAsia="Arial" w:hAnsi="Arial"/>
          <w:sz w:val="21"/>
          <w:szCs w:val="21"/>
          <w:color w:val="auto"/>
        </w:rPr>
        <w:t>confirm and evidence the release, termination, discharge or retaking of any Guarantee or Lien with respect to or securing the Notes when such release, termination, discharge or retaking is provided for under this Indenture;</w:t>
      </w:r>
    </w:p>
    <w:p>
      <w:pPr>
        <w:spacing w:after="0" w:line="366" w:lineRule="exact"/>
        <w:rPr>
          <w:rFonts w:ascii="Arial" w:cs="Arial" w:eastAsia="Arial" w:hAnsi="Arial"/>
          <w:sz w:val="19"/>
          <w:szCs w:val="19"/>
          <w:color w:val="auto"/>
        </w:rPr>
      </w:pPr>
    </w:p>
    <w:p>
      <w:pPr>
        <w:ind w:left="660" w:right="40" w:firstLine="1293"/>
        <w:spacing w:after="0" w:line="402" w:lineRule="auto"/>
        <w:tabs>
          <w:tab w:leader="none" w:pos="238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to evidence and provide for the acceptance and appointment under this Indenture of a successor Trustee pursuant to the requirements hereof or to provide for the accession by the Trustee to any Note Document; or</w:t>
      </w:r>
    </w:p>
    <w:p>
      <w:pPr>
        <w:spacing w:after="0" w:line="307" w:lineRule="exact"/>
        <w:rPr>
          <w:rFonts w:ascii="Arial" w:cs="Arial" w:eastAsia="Arial" w:hAnsi="Arial"/>
          <w:sz w:val="19"/>
          <w:szCs w:val="19"/>
          <w:color w:val="auto"/>
        </w:rPr>
      </w:pPr>
    </w:p>
    <w:p>
      <w:pPr>
        <w:ind w:left="2500" w:hanging="547"/>
        <w:spacing w:after="0"/>
        <w:tabs>
          <w:tab w:leader="none" w:pos="25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to make any amendment to the provisions of this Indenture relating to the transfer and legending of</w:t>
      </w:r>
    </w:p>
    <w:p>
      <w:pPr>
        <w:spacing w:after="0" w:line="92" w:lineRule="exact"/>
        <w:rPr>
          <w:rFonts w:ascii="Arial" w:cs="Arial" w:eastAsia="Arial" w:hAnsi="Arial"/>
          <w:sz w:val="19"/>
          <w:szCs w:val="19"/>
          <w:color w:val="auto"/>
        </w:rPr>
      </w:pPr>
    </w:p>
    <w:p>
      <w:pPr>
        <w:ind w:left="660" w:right="8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Notes as permitted by this Indenture, including, without limitation, to facilitate the issuance and administration of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compliance with this Indenture as so amended would not result in Notes being transferred in violation of the Securities Act or any applicable securities law and (ii) such amendment does not adversely affect the rights of Holders to transfer Notes in any material respect.</w:t>
      </w:r>
    </w:p>
    <w:p>
      <w:pPr>
        <w:spacing w:after="0" w:line="200" w:lineRule="exact"/>
        <w:rPr>
          <w:sz w:val="20"/>
          <w:szCs w:val="20"/>
          <w:color w:val="auto"/>
        </w:rPr>
      </w:pPr>
    </w:p>
    <w:p>
      <w:pPr>
        <w:spacing w:after="0" w:line="206"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upon the request of the Company, and upon receipt by the Trustee of the documents described in </w:t>
      </w:r>
      <w:r>
        <w:rPr>
          <w:rFonts w:ascii="Arial" w:cs="Arial" w:eastAsia="Arial" w:hAnsi="Arial"/>
          <w:sz w:val="22"/>
          <w:szCs w:val="22"/>
          <w:u w:val="single" w:color="auto"/>
          <w:color w:val="auto"/>
        </w:rPr>
        <w:t>Sections 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12.6</w:t>
      </w:r>
      <w:r>
        <w:rPr>
          <w:rFonts w:ascii="Arial" w:cs="Arial" w:eastAsia="Arial" w:hAnsi="Arial"/>
          <w:sz w:val="22"/>
          <w:szCs w:val="22"/>
          <w:color w:val="auto"/>
        </w:rPr>
        <w:t xml:space="preserve"> hereof, the Trustee will join with the Company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89" w:lineRule="exact"/>
        <w:rPr>
          <w:sz w:val="20"/>
          <w:szCs w:val="20"/>
          <w:color w:val="auto"/>
        </w:rPr>
      </w:pPr>
    </w:p>
    <w:p>
      <w:pPr>
        <w:ind w:right="180" w:firstLine="648"/>
        <w:spacing w:after="0" w:line="298"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With Consent of Holders</w:t>
      </w:r>
      <w:r>
        <w:rPr>
          <w:rFonts w:ascii="Arial" w:cs="Arial" w:eastAsia="Arial" w:hAnsi="Arial"/>
          <w:sz w:val="22"/>
          <w:szCs w:val="22"/>
          <w:color w:val="auto"/>
        </w:rPr>
        <w:t xml:space="preserve">. Except as provided below in this </w:t>
      </w:r>
      <w:r>
        <w:rPr>
          <w:rFonts w:ascii="Arial" w:cs="Arial" w:eastAsia="Arial" w:hAnsi="Arial"/>
          <w:sz w:val="22"/>
          <w:szCs w:val="22"/>
          <w:u w:val="single" w:color="auto"/>
          <w:color w:val="auto"/>
        </w:rPr>
        <w:t>Section 9.2</w:t>
      </w:r>
      <w:r>
        <w:rPr>
          <w:rFonts w:ascii="Arial" w:cs="Arial" w:eastAsia="Arial" w:hAnsi="Arial"/>
          <w:sz w:val="22"/>
          <w:szCs w:val="22"/>
          <w:color w:val="auto"/>
        </w:rPr>
        <w:t>, the Company, the Guarantors and the Trustee may amend, supplement or otherwise modify this Indenture, any Guarantee and the Notes issued hereunder with the consent of the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380"/>
          </w:cols>
          <w:pgMar w:left="240" w:top="1077" w:right="279" w:bottom="1440" w:gutter="0" w:footer="0" w:header="0"/>
        </w:sectPr>
      </w:pPr>
    </w:p>
    <w:bookmarkStart w:id="178" w:name="page179"/>
    <w:bookmarkEnd w:id="178"/>
    <w:p>
      <w:pPr>
        <w:spacing w:after="0" w:line="335" w:lineRule="auto"/>
        <w:rPr>
          <w:sz w:val="20"/>
          <w:szCs w:val="20"/>
          <w:color w:val="auto"/>
        </w:rPr>
      </w:pPr>
      <w:r>
        <w:rPr>
          <w:rFonts w:ascii="Arial" w:cs="Arial" w:eastAsia="Arial" w:hAnsi="Arial"/>
          <w:sz w:val="19"/>
          <w:szCs w:val="19"/>
          <w:color w:val="auto"/>
        </w:rPr>
        <w:t xml:space="preserve">Holders of a majority in aggregate principal amount of the Notes then outstanding and issued under this Indenture (including consents obtained in connection with a purchase of, or tender offer or exchange offer for, Notes) and, subject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any existing Default or Event of Default (other than a Default or Event of Default in the payment of the principal of, premium, if any, or interest, if any, on the Notes, except a payment default resulting from an acceleration that has been rescinded) or compliance with any provision of this Indenture, the Notes and the Guarantees may be waived with the consent of the Holders of a majority in aggregate principal amount of the Notes then outstanding issued under this Indenture (including consents obtained in connection with a purchase of, or tender offer or exchange offer for, Notes).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hereof and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hereof shall determine which Notes are considered to be “outstanding” for the purposes of this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369"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Upon the request of the Company, and upon the filing with the Trustee of evidence of the consent of the Holders of Notes as aforesaid, and upon receipt by the Trustee of the documents described in </w:t>
      </w:r>
      <w:r>
        <w:rPr>
          <w:rFonts w:ascii="Arial" w:cs="Arial" w:eastAsia="Arial" w:hAnsi="Arial"/>
          <w:sz w:val="19"/>
          <w:szCs w:val="19"/>
          <w:u w:val="single" w:color="auto"/>
          <w:color w:val="auto"/>
        </w:rPr>
        <w:t>Sections 9.6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12.6</w:t>
      </w:r>
      <w:r>
        <w:rPr>
          <w:rFonts w:ascii="Arial" w:cs="Arial" w:eastAsia="Arial" w:hAnsi="Arial"/>
          <w:sz w:val="19"/>
          <w:szCs w:val="19"/>
          <w:color w:val="auto"/>
        </w:rPr>
        <w:t xml:space="preserve"> hereof, the Trustee will join with the Company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36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Without the consent of each Holder of Notes affected, an amendment or waiver may not, with respect to any Notes held by a non-consenting Holder:</w:t>
      </w:r>
    </w:p>
    <w:p>
      <w:pPr>
        <w:spacing w:after="0" w:line="390" w:lineRule="exact"/>
        <w:rPr>
          <w:sz w:val="20"/>
          <w:szCs w:val="20"/>
          <w:color w:val="auto"/>
        </w:rPr>
      </w:pPr>
    </w:p>
    <w:p>
      <w:pPr>
        <w:ind w:left="2380" w:hanging="427"/>
        <w:spacing w:after="0"/>
        <w:tabs>
          <w:tab w:leader="none" w:pos="23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reduce the principal amount of such Notes whose Holders must consent to an amendment;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00" w:firstLine="1293"/>
        <w:spacing w:after="0" w:line="315" w:lineRule="auto"/>
        <w:tabs>
          <w:tab w:leader="none" w:pos="238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reduce the stated rate of or extend the stated time for payment of interest on any such Note (other than provisions relating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reduce the principal of or extend the Stated Maturity of any such Note;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00" w:firstLine="1293"/>
        <w:spacing w:after="0" w:line="315" w:lineRule="auto"/>
        <w:tabs>
          <w:tab w:leader="none" w:pos="238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reduce the premium payable upon the redemption of any such Note or change the time at which any such Note may be redeemed, in each case as set forth in </w:t>
      </w:r>
      <w:r>
        <w:rPr>
          <w:rFonts w:ascii="Arial" w:cs="Arial" w:eastAsia="Arial" w:hAnsi="Arial"/>
          <w:sz w:val="22"/>
          <w:szCs w:val="22"/>
          <w:u w:val="single" w:color="auto"/>
          <w:color w:val="auto"/>
        </w:rPr>
        <w:t>Section 5.7</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make any such Note payable in money other than that stated in such Note;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impair the right entitling any Holder to receive payment of principal of and interest on such Holder’s Notes on or after the due dates therefor;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420"/>
          </w:cols>
          <w:pgMar w:left="240" w:top="861" w:right="239" w:bottom="1440" w:gutter="0" w:footer="0" w:header="0"/>
        </w:sectPr>
      </w:pPr>
    </w:p>
    <w:bookmarkStart w:id="179" w:name="page180"/>
    <w:bookmarkEnd w:id="179"/>
    <w:p>
      <w:pPr>
        <w:ind w:left="2380" w:hanging="427"/>
        <w:spacing w:after="0"/>
        <w:tabs>
          <w:tab w:leader="none" w:pos="23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waive a Default or Event of Default with respect to the nonpayment of principal, premium or interest</w:t>
      </w:r>
    </w:p>
    <w:p>
      <w:pPr>
        <w:spacing w:after="0" w:line="92" w:lineRule="exact"/>
        <w:rPr>
          <w:rFonts w:ascii="Arial" w:cs="Arial" w:eastAsia="Arial" w:hAnsi="Arial"/>
          <w:sz w:val="19"/>
          <w:szCs w:val="19"/>
          <w:color w:val="auto"/>
        </w:rPr>
      </w:pPr>
    </w:p>
    <w:p>
      <w:pPr>
        <w:ind w:left="660" w:right="480"/>
        <w:spacing w:after="0" w:line="328" w:lineRule="auto"/>
        <w:rPr>
          <w:rFonts w:ascii="Arial" w:cs="Arial" w:eastAsia="Arial" w:hAnsi="Arial"/>
          <w:sz w:val="19"/>
          <w:szCs w:val="19"/>
          <w:color w:val="auto"/>
        </w:rPr>
      </w:pPr>
      <w:r>
        <w:rPr>
          <w:rFonts w:ascii="Arial" w:cs="Arial" w:eastAsia="Arial" w:hAnsi="Arial"/>
          <w:sz w:val="21"/>
          <w:szCs w:val="21"/>
          <w:color w:val="auto"/>
        </w:rPr>
        <w:t>(except pursuant to a rescission of acceleration of the Notes by the Holders of at least a majority in aggregate principal amount of such Notes and a waiver of the payment default that resulted from such acceleration); or</w:t>
      </w:r>
    </w:p>
    <w:p>
      <w:pPr>
        <w:spacing w:after="0" w:line="366" w:lineRule="exact"/>
        <w:rPr>
          <w:rFonts w:ascii="Arial" w:cs="Arial" w:eastAsia="Arial" w:hAnsi="Arial"/>
          <w:sz w:val="19"/>
          <w:szCs w:val="19"/>
          <w:color w:val="auto"/>
        </w:rPr>
      </w:pPr>
    </w:p>
    <w:p>
      <w:pPr>
        <w:ind w:left="2380" w:hanging="427"/>
        <w:spacing w:after="0"/>
        <w:tabs>
          <w:tab w:leader="none" w:pos="23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make any change in the amendment or waiver provisions which require the Holders’ consent described</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22"/>
          <w:szCs w:val="22"/>
          <w:color w:val="auto"/>
        </w:rPr>
        <w:t>It shall not be necessary for the consent of the Holders under this Indenture to approve the particular form of any proposed amendment, but it shall be sufficient if such consent approves the substance thereof. A consent to any amendment or waiver under this Indenture by any Holder of the Notes given in connection with a tender of such Holder’s Notes will not be rendered invalid by such tender.</w:t>
      </w:r>
    </w:p>
    <w:p>
      <w:pPr>
        <w:spacing w:after="0" w:line="200" w:lineRule="exact"/>
        <w:rPr>
          <w:sz w:val="20"/>
          <w:szCs w:val="20"/>
          <w:color w:val="auto"/>
        </w:rPr>
      </w:pPr>
    </w:p>
    <w:p>
      <w:pPr>
        <w:spacing w:after="0" w:line="206" w:lineRule="exact"/>
        <w:rPr>
          <w:sz w:val="20"/>
          <w:szCs w:val="20"/>
          <w:color w:val="auto"/>
        </w:rPr>
      </w:pPr>
    </w:p>
    <w:p>
      <w:pPr>
        <w:jc w:val="both"/>
        <w:ind w:right="240" w:firstLine="648"/>
        <w:spacing w:after="0" w:line="292" w:lineRule="auto"/>
        <w:rPr>
          <w:sz w:val="20"/>
          <w:szCs w:val="20"/>
          <w:color w:val="auto"/>
        </w:rPr>
      </w:pPr>
      <w:r>
        <w:rPr>
          <w:rFonts w:ascii="Arial" w:cs="Arial" w:eastAsia="Arial" w:hAnsi="Arial"/>
          <w:sz w:val="22"/>
          <w:szCs w:val="22"/>
          <w:color w:val="auto"/>
        </w:rPr>
        <w:t xml:space="preserve">After an amendment or supplement under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becomes effective, the Company shall mail to Holders a notice briefly describing such amendment or supplement. The failure to give such notice to all Holders, or any defect therein, shall not impair or affect the validity of an amendment or supplement.</w:t>
      </w:r>
    </w:p>
    <w:p>
      <w:pPr>
        <w:spacing w:after="0" w:line="18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Revocation and Effect of Consents and Waivers</w:t>
      </w:r>
      <w:r>
        <w:rPr>
          <w:rFonts w:ascii="Arial" w:cs="Arial" w:eastAsia="Arial" w:hAnsi="Arial"/>
          <w:sz w:val="21"/>
          <w:szCs w:val="21"/>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391" w:lineRule="exact"/>
        <w:rPr>
          <w:sz w:val="20"/>
          <w:szCs w:val="20"/>
          <w:color w:val="auto"/>
        </w:rPr>
      </w:pPr>
    </w:p>
    <w:p>
      <w:pPr>
        <w:ind w:right="320" w:firstLine="648"/>
        <w:spacing w:after="0" w:line="338"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380"/>
          </w:cols>
          <w:pgMar w:left="240" w:top="1077" w:right="279" w:bottom="1440" w:gutter="0" w:footer="0" w:header="0"/>
        </w:sectPr>
      </w:pPr>
    </w:p>
    <w:bookmarkStart w:id="180" w:name="page181"/>
    <w:bookmarkEnd w:id="180"/>
    <w:p>
      <w:pPr>
        <w:ind w:right="340" w:firstLine="648"/>
        <w:spacing w:after="0" w:line="364"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Notation on or Exchange of Notes</w:t>
      </w:r>
      <w:r>
        <w:rPr>
          <w:rFonts w:ascii="Arial" w:cs="Arial" w:eastAsia="Arial" w:hAnsi="Arial"/>
          <w:sz w:val="19"/>
          <w:szCs w:val="19"/>
          <w:color w:val="auto"/>
        </w:rPr>
        <w:t>. The Trustee may place an appropriate notation about an amendment, supplement or waiver on any Note thereafter authenticated. The Company in exchange for all Notes may issue and the Trustee shall, upon receipt of an Issuer Order, authenticate new Notes that reflect the amendment, supplement or waiver.</w:t>
      </w:r>
    </w:p>
    <w:p>
      <w:pPr>
        <w:spacing w:after="0" w:line="343" w:lineRule="exact"/>
        <w:rPr>
          <w:sz w:val="20"/>
          <w:szCs w:val="20"/>
          <w:color w:val="auto"/>
        </w:rPr>
      </w:pPr>
    </w:p>
    <w:p>
      <w:pPr>
        <w:ind w:right="52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will not affect the validity and effect of such amendment, supplement or waiver.</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SECTION 9.6 </w:t>
      </w:r>
      <w:r>
        <w:rPr>
          <w:rFonts w:ascii="Arial" w:cs="Arial" w:eastAsia="Arial" w:hAnsi="Arial"/>
          <w:sz w:val="22"/>
          <w:szCs w:val="22"/>
          <w:u w:val="single" w:color="auto"/>
          <w:color w:val="auto"/>
        </w:rPr>
        <w:t>Trustee Signs Amendments</w:t>
      </w:r>
      <w:r>
        <w:rPr>
          <w:rFonts w:ascii="Arial" w:cs="Arial" w:eastAsia="Arial" w:hAnsi="Arial"/>
          <w:sz w:val="22"/>
          <w:szCs w:val="22"/>
          <w:color w:val="auto"/>
        </w:rPr>
        <w:t xml:space="preserve">. The Trustee shall sign any amended or supplemental indenture authorized pursuant to this Article IX if the amendment or supplement does not adversely affect the rights, duties, liabilities or immunities of the Trustee. In executing any amended or supplemental indenture, the Trustee will be entitled to receive and (subject to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hereof) shall be fully protected in conclusively relying upon, in addition to the documents required by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hereof, an Officer’s Certificate and an Opinion of Counsel to the effect that stating that the execution of such amended or supplemental indenture is authorized or permitted by this Indenture and is valid, binding and enforceable against the Company in accordance with its terms.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GUARANTEE</w:t>
      </w:r>
    </w:p>
    <w:p>
      <w:pPr>
        <w:spacing w:after="0" w:line="266" w:lineRule="exact"/>
        <w:rPr>
          <w:sz w:val="20"/>
          <w:szCs w:val="20"/>
          <w:color w:val="auto"/>
        </w:rPr>
      </w:pPr>
    </w:p>
    <w:p>
      <w:pPr>
        <w:ind w:right="40" w:firstLine="648"/>
        <w:spacing w:after="0" w:line="299"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Guarantee</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Guarantor hereby fully, unconditionally and irrevocably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Issuers under this Indenture (including without limitation interest accruing after the filing of any petition in bankruptcy, or the commencement of any insolvency, reorganization or like proceeding, relating to the Issuers or any Guarantor whether or not a claim for post-filing or Post-Petition Interest is allowed in such proceeding and the obligations under </w:t>
      </w:r>
      <w:r>
        <w:rPr>
          <w:rFonts w:ascii="Arial" w:cs="Arial" w:eastAsia="Arial" w:hAnsi="Arial"/>
          <w:sz w:val="21"/>
          <w:szCs w:val="21"/>
          <w:u w:val="single" w:color="auto"/>
          <w:color w:val="auto"/>
        </w:rPr>
        <w:t>Section 7.7</w:t>
      </w:r>
      <w:r>
        <w:rPr>
          <w:rFonts w:ascii="Arial" w:cs="Arial" w:eastAsia="Arial" w:hAnsi="Arial"/>
          <w:sz w:val="21"/>
          <w:szCs w:val="21"/>
          <w:color w:val="auto"/>
        </w:rPr>
        <w:t>) (all the foregoing being hereinafter collectively called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420"/>
          </w:cols>
          <w:pgMar w:left="240" w:top="861" w:right="239" w:bottom="1440" w:gutter="0" w:footer="0" w:header="0"/>
        </w:sectPr>
      </w:pPr>
    </w:p>
    <w:bookmarkStart w:id="181" w:name="page182"/>
    <w:bookmarkEnd w:id="181"/>
    <w:p>
      <w:pPr>
        <w:ind w:right="140" w:firstLine="648"/>
        <w:spacing w:after="0" w:line="302" w:lineRule="auto"/>
        <w:rPr>
          <w:sz w:val="20"/>
          <w:szCs w:val="20"/>
          <w:color w:val="auto"/>
        </w:rPr>
      </w:pPr>
      <w:r>
        <w:rPr>
          <w:rFonts w:ascii="Arial" w:cs="Arial" w:eastAsia="Arial" w:hAnsi="Arial"/>
          <w:sz w:val="22"/>
          <w:szCs w:val="22"/>
          <w:color w:val="auto"/>
        </w:rPr>
        <w:t xml:space="preserve">To evidence its Guarantee set forth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each Guarantor hereby agrees that this Indenture shall be executed on behalf of such Guarantor by an Officer of such Guarantor.</w:t>
      </w:r>
    </w:p>
    <w:p>
      <w:pPr>
        <w:spacing w:after="0" w:line="390" w:lineRule="exact"/>
        <w:rPr>
          <w:sz w:val="20"/>
          <w:szCs w:val="20"/>
          <w:color w:val="auto"/>
        </w:rPr>
      </w:pPr>
    </w:p>
    <w:p>
      <w:pPr>
        <w:ind w:right="940" w:firstLine="648"/>
        <w:spacing w:after="0" w:line="328" w:lineRule="auto"/>
        <w:rPr>
          <w:sz w:val="20"/>
          <w:szCs w:val="20"/>
          <w:color w:val="auto"/>
        </w:rPr>
      </w:pPr>
      <w:r>
        <w:rPr>
          <w:rFonts w:ascii="Arial" w:cs="Arial" w:eastAsia="Arial" w:hAnsi="Arial"/>
          <w:sz w:val="21"/>
          <w:szCs w:val="21"/>
          <w:color w:val="auto"/>
        </w:rPr>
        <w:t xml:space="preserve">Each Guarantor hereby agrees that its Guarantee set forth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shall remain in full force and effect notwithstanding the absence of the endorsement of any notation of such Guarantee on the Notes.</w:t>
      </w:r>
    </w:p>
    <w:p>
      <w:pPr>
        <w:spacing w:after="0" w:line="3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If an Officer whose signature is on this Indenture no longer holds that office at the time the Trustee authenticates the Note, the Guarantee shall be valid nevertheless.</w:t>
      </w:r>
    </w:p>
    <w:p>
      <w:pPr>
        <w:spacing w:after="0" w:line="390" w:lineRule="exact"/>
        <w:rPr>
          <w:sz w:val="20"/>
          <w:szCs w:val="20"/>
          <w:color w:val="auto"/>
        </w:rPr>
      </w:pPr>
    </w:p>
    <w:p>
      <w:pPr>
        <w:ind w:right="760" w:firstLine="648"/>
        <w:spacing w:after="0" w:line="292" w:lineRule="auto"/>
        <w:rPr>
          <w:sz w:val="20"/>
          <w:szCs w:val="20"/>
          <w:color w:val="auto"/>
        </w:rPr>
      </w:pPr>
      <w:r>
        <w:rPr>
          <w:rFonts w:ascii="Arial" w:cs="Arial" w:eastAsia="Arial" w:hAnsi="Arial"/>
          <w:sz w:val="22"/>
          <w:szCs w:val="22"/>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notwithstanding any extension or renewal of any Guaranteed Obligation.</w:t>
      </w:r>
    </w:p>
    <w:p>
      <w:pPr>
        <w:spacing w:after="0" w:line="400"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400"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400"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Issuers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w:t>
      </w:r>
    </w:p>
    <w:p>
      <w:pPr>
        <w:spacing w:after="0" w:line="3" w:lineRule="exact"/>
        <w:rPr>
          <w:sz w:val="20"/>
          <w:szCs w:val="20"/>
          <w:color w:val="auto"/>
        </w:rPr>
      </w:pPr>
    </w:p>
    <w:p>
      <w:pPr>
        <w:ind w:firstLine="8"/>
        <w:spacing w:after="0" w:line="292" w:lineRule="auto"/>
        <w:tabs>
          <w:tab w:leader="none" w:pos="29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failure of any Holder to exercise any right or remedy against any other Guarantor; (f) any change in the ownership of the Issuers; (g) any default, failure or delay, willful or otherwise, in the performance of the Guaranteed Obligations, or (h) any other act or thing or omission or delay to do any other act or thing which may or might in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380"/>
          </w:cols>
          <w:pgMar w:left="240" w:top="1077" w:right="279" w:bottom="1440" w:gutter="0" w:footer="0" w:header="0"/>
        </w:sectPr>
      </w:pPr>
    </w:p>
    <w:bookmarkStart w:id="182" w:name="page183"/>
    <w:bookmarkEnd w:id="182"/>
    <w:p>
      <w:pPr>
        <w:spacing w:after="0" w:line="302" w:lineRule="auto"/>
        <w:rPr>
          <w:sz w:val="20"/>
          <w:szCs w:val="20"/>
          <w:color w:val="auto"/>
        </w:rPr>
      </w:pPr>
      <w:r>
        <w:rPr>
          <w:rFonts w:ascii="Arial" w:cs="Arial" w:eastAsia="Arial" w:hAnsi="Arial"/>
          <w:sz w:val="22"/>
          <w:szCs w:val="22"/>
          <w:color w:val="auto"/>
        </w:rPr>
        <w:t>any manner or to any extent vary the risk of any Guarantor or would otherwise operate as a discharge of such Guarantor as a matter of law or equity.</w:t>
      </w:r>
    </w:p>
    <w:p>
      <w:pPr>
        <w:spacing w:after="0" w:line="390" w:lineRule="exact"/>
        <w:rPr>
          <w:sz w:val="20"/>
          <w:szCs w:val="20"/>
          <w:color w:val="auto"/>
        </w:rPr>
      </w:pPr>
    </w:p>
    <w:p>
      <w:pPr>
        <w:ind w:right="80" w:firstLine="648"/>
        <w:spacing w:after="0" w:line="285" w:lineRule="auto"/>
        <w:rPr>
          <w:sz w:val="20"/>
          <w:szCs w:val="20"/>
          <w:color w:val="auto"/>
        </w:rPr>
      </w:pPr>
      <w:r>
        <w:rPr>
          <w:rFonts w:ascii="Arial" w:cs="Arial" w:eastAsia="Arial" w:hAnsi="Arial"/>
          <w:sz w:val="22"/>
          <w:szCs w:val="22"/>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 Each Guarantor further agrees that its Guarantee herein shall continue to be effective or be reinstated, as the case may be, if at any time payment, or any part thereof, of principal of, premium, if any, interest and Additional Interest, if any, on any of the Guaranteed Obligations is rescinded or must otherwise be restored by any Holder upon the bankruptcy or reorganization of the Issuers or otherwise.</w:t>
      </w:r>
    </w:p>
    <w:p>
      <w:pPr>
        <w:spacing w:after="0" w:line="200" w:lineRule="exact"/>
        <w:rPr>
          <w:sz w:val="20"/>
          <w:szCs w:val="20"/>
          <w:color w:val="auto"/>
        </w:rPr>
      </w:pPr>
    </w:p>
    <w:p>
      <w:pPr>
        <w:spacing w:after="0" w:line="212" w:lineRule="exact"/>
        <w:rPr>
          <w:sz w:val="20"/>
          <w:szCs w:val="20"/>
          <w:color w:val="auto"/>
        </w:rPr>
      </w:pPr>
    </w:p>
    <w:p>
      <w:pPr>
        <w:ind w:right="20" w:firstLine="648"/>
        <w:spacing w:after="0" w:line="299" w:lineRule="auto"/>
        <w:rPr>
          <w:sz w:val="20"/>
          <w:szCs w:val="20"/>
          <w:color w:val="auto"/>
        </w:rPr>
      </w:pPr>
      <w:r>
        <w:rPr>
          <w:rFonts w:ascii="Arial" w:cs="Arial" w:eastAsia="Arial" w:hAnsi="Arial"/>
          <w:sz w:val="21"/>
          <w:szCs w:val="21"/>
          <w:color w:val="auto"/>
        </w:rPr>
        <w:t>In furtherance of the foregoing and not in limitation of any other right which any Holder has at law or in equity against any Guarantor by virtue hereof, upon the failure of the Issuers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on such Guaranteed Obligations then due and owing (but only to the extent not prohibited by law) (including interest accruing after the filing of any petition in bankruptcy or the commencement of any insolvency, reorganization or like proceeding relating to the Issuers or any Guarantor whether or not a claim for post-filing or Post-Petition Interest is allowed in such proceeding).</w:t>
      </w:r>
    </w:p>
    <w:p>
      <w:pPr>
        <w:spacing w:after="0" w:line="399"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200" w:lineRule="exact"/>
        <w:rPr>
          <w:sz w:val="20"/>
          <w:szCs w:val="20"/>
          <w:color w:val="auto"/>
        </w:rPr>
      </w:pPr>
    </w:p>
    <w:p>
      <w:pPr>
        <w:spacing w:after="0" w:line="212"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Each Guarantor also agrees to pay any and all fees, costs and expenses (including attorneys’ fees and expenses) incurred by the Trustee or the Holders in enforcing any rights under this Section.</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Limitation on Liability; Termination, Release and Discharge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460" w:firstLine="1305"/>
        <w:spacing w:after="0" w:line="315" w:lineRule="auto"/>
        <w:tabs>
          <w:tab w:leader="none" w:pos="171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term or provision of this Indenture to the contrary notwithstanding, the obligations of each Guarantor hereunder will be limited to the maximum amount as will, after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360"/>
          </w:cols>
          <w:pgMar w:left="240" w:top="1077" w:right="299" w:bottom="1440" w:gutter="0" w:footer="0" w:header="0"/>
        </w:sectPr>
      </w:pPr>
    </w:p>
    <w:bookmarkStart w:id="183" w:name="page184"/>
    <w:bookmarkEnd w:id="183"/>
    <w:p>
      <w:pPr>
        <w:spacing w:after="0" w:line="303" w:lineRule="auto"/>
        <w:rPr>
          <w:sz w:val="20"/>
          <w:szCs w:val="20"/>
          <w:color w:val="auto"/>
        </w:rPr>
      </w:pPr>
      <w:r>
        <w:rPr>
          <w:rFonts w:ascii="Arial" w:cs="Arial" w:eastAsia="Arial" w:hAnsi="Arial"/>
          <w:sz w:val="21"/>
          <w:szCs w:val="21"/>
          <w:color w:val="auto"/>
        </w:rPr>
        <w:t>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or state law and not otherwise being void or voidable under any similar laws affecting the rights of creditors generally.</w:t>
      </w:r>
    </w:p>
    <w:p>
      <w:pPr>
        <w:spacing w:after="0" w:line="393" w:lineRule="exact"/>
        <w:rPr>
          <w:sz w:val="20"/>
          <w:szCs w:val="20"/>
          <w:color w:val="auto"/>
        </w:rPr>
      </w:pPr>
    </w:p>
    <w:p>
      <w:pPr>
        <w:ind w:left="1740" w:hanging="435"/>
        <w:spacing w:after="0"/>
        <w:tabs>
          <w:tab w:leader="none" w:pos="17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Any Guarantee of a Guarantor shall terminate upon: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213"/>
        </w:numPr>
        <w:rPr>
          <w:rFonts w:ascii="Arial" w:cs="Arial" w:eastAsia="Arial" w:hAnsi="Arial"/>
          <w:sz w:val="21"/>
          <w:szCs w:val="21"/>
          <w:color w:val="auto"/>
        </w:rPr>
      </w:pPr>
      <w:r>
        <w:rPr>
          <w:rFonts w:ascii="Arial" w:cs="Arial" w:eastAsia="Arial" w:hAnsi="Arial"/>
          <w:sz w:val="21"/>
          <w:szCs w:val="21"/>
          <w:color w:val="auto"/>
        </w:rPr>
        <w:t>a sale or other disposition (including by way of consolidation or merger) of the Capital Stock of</w:t>
      </w:r>
    </w:p>
    <w:p>
      <w:pPr>
        <w:spacing w:after="0" w:line="69" w:lineRule="exact"/>
        <w:rPr>
          <w:rFonts w:ascii="Arial" w:cs="Arial" w:eastAsia="Arial" w:hAnsi="Arial"/>
          <w:sz w:val="21"/>
          <w:szCs w:val="21"/>
          <w:color w:val="auto"/>
        </w:rPr>
      </w:pPr>
    </w:p>
    <w:p>
      <w:pPr>
        <w:ind w:left="660" w:right="100"/>
        <w:spacing w:after="0" w:line="328" w:lineRule="auto"/>
        <w:rPr>
          <w:rFonts w:ascii="Arial" w:cs="Arial" w:eastAsia="Arial" w:hAnsi="Arial"/>
          <w:sz w:val="21"/>
          <w:szCs w:val="21"/>
          <w:color w:val="auto"/>
        </w:rPr>
      </w:pPr>
      <w:r>
        <w:rPr>
          <w:rFonts w:ascii="Arial" w:cs="Arial" w:eastAsia="Arial" w:hAnsi="Arial"/>
          <w:sz w:val="21"/>
          <w:szCs w:val="21"/>
          <w:color w:val="auto"/>
        </w:rPr>
        <w:t>Subsidiary Guarantor or the sale or disposition of all or substantially all the assets of the Subsidiary Guarantor to a Person other than to the Company or a Restricted Subsidiary and as otherwise permitted by this Indenture;</w:t>
      </w:r>
    </w:p>
    <w:p>
      <w:pPr>
        <w:spacing w:after="0" w:line="366" w:lineRule="exact"/>
        <w:rPr>
          <w:rFonts w:ascii="Arial" w:cs="Arial" w:eastAsia="Arial" w:hAnsi="Arial"/>
          <w:sz w:val="21"/>
          <w:szCs w:val="21"/>
          <w:color w:val="auto"/>
        </w:rPr>
      </w:pPr>
    </w:p>
    <w:p>
      <w:pPr>
        <w:ind w:left="660" w:right="600" w:firstLine="1293"/>
        <w:spacing w:after="0" w:line="402" w:lineRule="auto"/>
        <w:tabs>
          <w:tab w:leader="none" w:pos="2389"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designation in accordance with this Indenture of a Subsidiary Guarantor as an Unrestricted Subsidiary or the occurrence of any event after which the Subsidiary Guarantor is no longer a Restricted Subsidiary;</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 xml:space="preserve">defeasance or discharge of the Notes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firstLine="1293"/>
        <w:spacing w:after="0" w:line="402" w:lineRule="auto"/>
        <w:tabs>
          <w:tab w:leader="none" w:pos="2389"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to the extent that such Subsidiary Guarantor is not an Immaterial Subsidiary solely due to the operation of clause (i) of the definition of “Immaterial Subsidiary,” upon the release of the guarantee referred to in such clause; or</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such Guarantor, other than the Indirect Parent, being released of its Guarantee, (x) has been released</w:t>
      </w:r>
    </w:p>
    <w:p>
      <w:pPr>
        <w:spacing w:after="0" w:line="92" w:lineRule="exact"/>
        <w:rPr>
          <w:rFonts w:ascii="Arial" w:cs="Arial" w:eastAsia="Arial" w:hAnsi="Arial"/>
          <w:sz w:val="19"/>
          <w:szCs w:val="19"/>
          <w:color w:val="auto"/>
        </w:rPr>
      </w:pPr>
    </w:p>
    <w:p>
      <w:pPr>
        <w:ind w:left="660" w:right="60"/>
        <w:spacing w:after="0" w:line="300" w:lineRule="auto"/>
        <w:rPr>
          <w:rFonts w:ascii="Arial" w:cs="Arial" w:eastAsia="Arial" w:hAnsi="Arial"/>
          <w:sz w:val="19"/>
          <w:szCs w:val="19"/>
          <w:color w:val="auto"/>
        </w:rPr>
      </w:pPr>
      <w:r>
        <w:rPr>
          <w:rFonts w:ascii="Arial" w:cs="Arial" w:eastAsia="Arial" w:hAnsi="Arial"/>
          <w:sz w:val="21"/>
          <w:szCs w:val="21"/>
          <w:color w:val="auto"/>
        </w:rPr>
        <w:t>from all of (i) its obligations under all of its Guarantees of payment by the Company of any Indebtedness of the Company under the Credit Agreement or (ii) in the case of a Note Guarantee made by a Guarantor (each, an “</w:t>
      </w:r>
      <w:r>
        <w:rPr>
          <w:rFonts w:ascii="Arial" w:cs="Arial" w:eastAsia="Arial" w:hAnsi="Arial"/>
          <w:sz w:val="21"/>
          <w:szCs w:val="21"/>
          <w:u w:val="single" w:color="auto"/>
          <w:color w:val="auto"/>
        </w:rPr>
        <w:t>Other Guarantee</w:t>
      </w:r>
      <w:r>
        <w:rPr>
          <w:rFonts w:ascii="Arial" w:cs="Arial" w:eastAsia="Arial" w:hAnsi="Arial"/>
          <w:sz w:val="21"/>
          <w:szCs w:val="21"/>
          <w:color w:val="auto"/>
        </w:rPr>
        <w:t xml:space="preserve">”) as a result of its guarantee of other Indebtedness of the Company or a Guarantor pursuant to </w:t>
      </w:r>
      <w:r>
        <w:rPr>
          <w:rFonts w:ascii="Arial" w:cs="Arial" w:eastAsia="Arial" w:hAnsi="Arial"/>
          <w:sz w:val="21"/>
          <w:szCs w:val="21"/>
          <w:u w:val="single" w:color="auto"/>
          <w:color w:val="auto"/>
        </w:rPr>
        <w:t>Section 3.7</w:t>
      </w:r>
      <w:r>
        <w:rPr>
          <w:rFonts w:ascii="Arial" w:cs="Arial" w:eastAsia="Arial" w:hAnsi="Arial"/>
          <w:sz w:val="21"/>
          <w:szCs w:val="21"/>
          <w:color w:val="auto"/>
        </w:rPr>
        <w:t>, the relevant Indebtedness, except in the case of (i) or (ii), a release as a result of the repayment in full of the Indebtedness specified in clause (i) or (ii) (it being understood that a release subject to a contingent reinstatement is still considered a release, and if any such Indebtedness of such Guarantor under the Credit Agreement or any Other Guarantee is so reinstated, such Note Guarantee shall also be reinstated);</w:t>
      </w:r>
    </w:p>
    <w:p>
      <w:pPr>
        <w:spacing w:after="0" w:line="399" w:lineRule="exact"/>
        <w:rPr>
          <w:rFonts w:ascii="Arial" w:cs="Arial" w:eastAsia="Arial" w:hAnsi="Arial"/>
          <w:sz w:val="19"/>
          <w:szCs w:val="19"/>
          <w:color w:val="auto"/>
        </w:rPr>
      </w:pPr>
    </w:p>
    <w:p>
      <w:pPr>
        <w:ind w:left="2380" w:hanging="427"/>
        <w:spacing w:after="0"/>
        <w:tabs>
          <w:tab w:leader="none" w:pos="238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in the case of the Subsidiary Guarantees, the achievement of Investment Grade Status by the Notes</w:t>
      </w:r>
    </w:p>
    <w:p>
      <w:pPr>
        <w:spacing w:after="0" w:line="92" w:lineRule="exact"/>
        <w:rPr>
          <w:rFonts w:ascii="Arial" w:cs="Arial" w:eastAsia="Arial" w:hAnsi="Arial"/>
          <w:sz w:val="19"/>
          <w:szCs w:val="19"/>
          <w:color w:val="auto"/>
        </w:rPr>
      </w:pPr>
    </w:p>
    <w:p>
      <w:pPr>
        <w:ind w:left="660" w:right="5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3.22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Note Guarantees shall be reinstated upon the Reversion Date pursuant to </w:t>
      </w:r>
      <w:r>
        <w:rPr>
          <w:rFonts w:ascii="Arial" w:cs="Arial" w:eastAsia="Arial" w:hAnsi="Arial"/>
          <w:sz w:val="22"/>
          <w:szCs w:val="22"/>
          <w:u w:val="single" w:color="auto"/>
          <w:color w:val="auto"/>
        </w:rPr>
        <w:t>Section 3.21</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300"/>
          </w:cols>
          <w:pgMar w:left="240" w:top="1077" w:right="359" w:bottom="1440" w:gutter="0" w:footer="0" w:header="0"/>
        </w:sectPr>
      </w:pPr>
    </w:p>
    <w:bookmarkStart w:id="184" w:name="page185"/>
    <w:bookmarkEnd w:id="184"/>
    <w:p>
      <w:pPr>
        <w:ind w:right="20" w:firstLine="648"/>
        <w:spacing w:after="0" w:line="28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Right of Contribution</w:t>
      </w:r>
      <w:r>
        <w:rPr>
          <w:rFonts w:ascii="Arial" w:cs="Arial" w:eastAsia="Arial" w:hAnsi="Arial"/>
          <w:sz w:val="22"/>
          <w:szCs w:val="22"/>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Issuers or any other Guarantor who has not paid its proportionate share of such payment. The provisions of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91"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made by each Guarantor hereunder, no Guarantor shall be entitled to be subrogated to any of the rights of the Trustee or any Holder against the Issuers or any other Guarantor or any collateral security or guarantee or right of offset held by the Trustee or any Holder for the payment of the Guaranteed Obligations, nor shall any Guarantor seek or be entitled to seek any contribution or reimbursement from the Issuers or any other Guarantor in respect of payments made by such Guarantor hereunder, until all amounts owing to the Trustee and the Holders by the Issuers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SATISFACTION AND DISCHARGE</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Satisfaction and Discharge</w:t>
      </w:r>
      <w:r>
        <w:rPr>
          <w:rFonts w:ascii="Arial" w:cs="Arial" w:eastAsia="Arial" w:hAnsi="Arial"/>
          <w:sz w:val="19"/>
          <w:szCs w:val="19"/>
          <w:color w:val="auto"/>
        </w:rPr>
        <w:t>. This Indenture will be discharged and will cease to be of further effect as to all</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Notes issued hereunder, when:</w:t>
      </w:r>
    </w:p>
    <w:p>
      <w:pPr>
        <w:spacing w:after="0" w:line="200" w:lineRule="exact"/>
        <w:rPr>
          <w:sz w:val="20"/>
          <w:szCs w:val="20"/>
          <w:color w:val="auto"/>
        </w:rPr>
      </w:pPr>
    </w:p>
    <w:p>
      <w:pPr>
        <w:spacing w:after="0" w:line="276" w:lineRule="exact"/>
        <w:rPr>
          <w:sz w:val="20"/>
          <w:szCs w:val="20"/>
          <w:color w:val="auto"/>
        </w:rPr>
      </w:pPr>
    </w:p>
    <w:p>
      <w:pPr>
        <w:ind w:left="1720" w:hanging="415"/>
        <w:spacing w:after="0"/>
        <w:tabs>
          <w:tab w:leader="none" w:pos="172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either: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2"/>
          <w:numId w:val="214"/>
        </w:numPr>
        <w:rPr>
          <w:rFonts w:ascii="Arial" w:cs="Arial" w:eastAsia="Arial" w:hAnsi="Arial"/>
          <w:sz w:val="19"/>
          <w:szCs w:val="19"/>
          <w:color w:val="auto"/>
        </w:rPr>
      </w:pPr>
      <w:r>
        <w:rPr>
          <w:rFonts w:ascii="Arial" w:cs="Arial" w:eastAsia="Arial" w:hAnsi="Arial"/>
          <w:sz w:val="19"/>
          <w:szCs w:val="19"/>
          <w:color w:val="auto"/>
        </w:rPr>
        <w:t>all Notes that have been authenticated and delivered (except lost, stolen or destroyed Notes and Notes</w:t>
      </w:r>
    </w:p>
    <w:p>
      <w:pPr>
        <w:spacing w:after="0" w:line="92" w:lineRule="exact"/>
        <w:rPr>
          <w:rFonts w:ascii="Arial" w:cs="Arial" w:eastAsia="Arial" w:hAnsi="Arial"/>
          <w:sz w:val="19"/>
          <w:szCs w:val="19"/>
          <w:color w:val="auto"/>
        </w:rPr>
      </w:pPr>
    </w:p>
    <w:p>
      <w:pPr>
        <w:ind w:left="660" w:right="300"/>
        <w:spacing w:after="0" w:line="302" w:lineRule="auto"/>
        <w:rPr>
          <w:rFonts w:ascii="Arial" w:cs="Arial" w:eastAsia="Arial" w:hAnsi="Arial"/>
          <w:sz w:val="19"/>
          <w:szCs w:val="19"/>
          <w:color w:val="auto"/>
        </w:rPr>
      </w:pPr>
      <w:r>
        <w:rPr>
          <w:rFonts w:ascii="Arial" w:cs="Arial" w:eastAsia="Arial" w:hAnsi="Arial"/>
          <w:sz w:val="22"/>
          <w:szCs w:val="22"/>
          <w:color w:val="auto"/>
        </w:rPr>
        <w:t>for which provision for payment was previously made and thereafter the funds have been released to the Company) have been delivered to the Trustee for cancellation;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2"/>
          <w:numId w:val="214"/>
        </w:numPr>
        <w:rPr>
          <w:rFonts w:ascii="Arial" w:cs="Arial" w:eastAsia="Arial" w:hAnsi="Arial"/>
          <w:sz w:val="19"/>
          <w:szCs w:val="19"/>
          <w:color w:val="auto"/>
        </w:rPr>
      </w:pPr>
      <w:r>
        <w:rPr>
          <w:rFonts w:ascii="Arial" w:cs="Arial" w:eastAsia="Arial" w:hAnsi="Arial"/>
          <w:sz w:val="19"/>
          <w:szCs w:val="19"/>
          <w:color w:val="auto"/>
        </w:rPr>
        <w:t>all Notes not theretofore delivered to the Trustee for cancellation (i) have become due and payable or</w:t>
      </w:r>
    </w:p>
    <w:p>
      <w:pPr>
        <w:spacing w:after="0" w:line="92" w:lineRule="exact"/>
        <w:rPr>
          <w:rFonts w:ascii="Arial" w:cs="Arial" w:eastAsia="Arial" w:hAnsi="Arial"/>
          <w:sz w:val="19"/>
          <w:szCs w:val="19"/>
          <w:color w:val="auto"/>
        </w:rPr>
      </w:pPr>
    </w:p>
    <w:p>
      <w:pPr>
        <w:ind w:left="660" w:right="140" w:hanging="4"/>
        <w:spacing w:after="0" w:line="302" w:lineRule="auto"/>
        <w:tabs>
          <w:tab w:leader="none" w:pos="97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will become due and payable within one year at their Stated Maturity or (iii) are to be called for redemption within one year under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400"/>
          </w:cols>
          <w:pgMar w:left="240" w:top="861" w:right="259" w:bottom="1440" w:gutter="0" w:footer="0" w:header="0"/>
        </w:sectPr>
      </w:pPr>
    </w:p>
    <w:bookmarkStart w:id="185" w:name="page186"/>
    <w:bookmarkEnd w:id="185"/>
    <w:p>
      <w:pPr>
        <w:ind w:left="660" w:right="640"/>
        <w:spacing w:after="0" w:line="302" w:lineRule="auto"/>
        <w:rPr>
          <w:sz w:val="20"/>
          <w:szCs w:val="20"/>
          <w:color w:val="auto"/>
        </w:rPr>
      </w:pPr>
      <w:r>
        <w:rPr>
          <w:rFonts w:ascii="Arial" w:cs="Arial" w:eastAsia="Arial" w:hAnsi="Arial"/>
          <w:sz w:val="22"/>
          <w:szCs w:val="22"/>
          <w:color w:val="auto"/>
        </w:rPr>
        <w:t>arrangements satisfactory to the Trustee for the giving of notice of redemption by the Trustee, in the name, and at the expense of the Company;</w:t>
      </w:r>
    </w:p>
    <w:p>
      <w:pPr>
        <w:spacing w:after="0" w:line="390" w:lineRule="exact"/>
        <w:rPr>
          <w:sz w:val="20"/>
          <w:szCs w:val="20"/>
          <w:color w:val="auto"/>
        </w:rPr>
      </w:pPr>
    </w:p>
    <w:p>
      <w:pPr>
        <w:jc w:val="center"/>
        <w:ind w:right="260"/>
        <w:spacing w:after="0"/>
        <w:tabs>
          <w:tab w:leader="none" w:pos="1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Company has deposited or caused to be deposited with the Trustee, money in U.S. dollars,</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22"/>
          <w:szCs w:val="22"/>
          <w:color w:val="auto"/>
        </w:rPr>
        <w:t>U.S. Government Obligations, or a combination thereof, as applicable, in such amounts as will be sufficient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200" w:lineRule="exact"/>
        <w:rPr>
          <w:sz w:val="20"/>
          <w:szCs w:val="20"/>
          <w:color w:val="auto"/>
        </w:rPr>
      </w:pPr>
    </w:p>
    <w:p>
      <w:pPr>
        <w:spacing w:after="0" w:line="206" w:lineRule="exact"/>
        <w:rPr>
          <w:sz w:val="20"/>
          <w:szCs w:val="20"/>
          <w:color w:val="auto"/>
        </w:rPr>
      </w:pPr>
    </w:p>
    <w:p>
      <w:pPr>
        <w:ind w:left="1720" w:hanging="415"/>
        <w:spacing w:after="0"/>
        <w:tabs>
          <w:tab w:leader="none" w:pos="172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Company has paid or caused to be paid all sums payable by the Company under this Indenture; and</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Company shall deliver to the Trustee an Officer’s Certificate and an Opinion of Counsel to the effect that all</w:t>
      </w:r>
    </w:p>
    <w:p>
      <w:pPr>
        <w:spacing w:after="0" w:line="92" w:lineRule="exact"/>
        <w:rPr>
          <w:rFonts w:ascii="Arial" w:cs="Arial" w:eastAsia="Arial" w:hAnsi="Arial"/>
          <w:sz w:val="19"/>
          <w:szCs w:val="19"/>
          <w:color w:val="auto"/>
        </w:rPr>
      </w:pPr>
    </w:p>
    <w:p>
      <w:pPr>
        <w:ind w:right="460"/>
        <w:spacing w:after="0" w:line="328" w:lineRule="auto"/>
        <w:rPr>
          <w:rFonts w:ascii="Arial" w:cs="Arial" w:eastAsia="Arial" w:hAnsi="Arial"/>
          <w:sz w:val="19"/>
          <w:szCs w:val="19"/>
          <w:color w:val="auto"/>
        </w:rPr>
      </w:pPr>
      <w:r>
        <w:rPr>
          <w:rFonts w:ascii="Arial" w:cs="Arial" w:eastAsia="Arial" w:hAnsi="Arial"/>
          <w:sz w:val="21"/>
          <w:szCs w:val="21"/>
          <w:color w:val="auto"/>
        </w:rPr>
        <w:t xml:space="preserve">conditions precedent to satisfaction and discharge have been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counsel may rely on an Officer’s Certificate as to matters of fact (including compliance with clauses (a), (b) and (c) in this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366"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 xml:space="preserve">Notwithstanding the satisfaction and discharge of this Indenture, if money has been deposited with the Registrar pursuant to clause (b)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8.6</w:t>
      </w:r>
      <w:r>
        <w:rPr>
          <w:rFonts w:ascii="Arial" w:cs="Arial" w:eastAsia="Arial" w:hAnsi="Arial"/>
          <w:sz w:val="22"/>
          <w:szCs w:val="22"/>
          <w:color w:val="auto"/>
        </w:rPr>
        <w:t xml:space="preserve"> hereof will survive.</w:t>
      </w:r>
    </w:p>
    <w:p>
      <w:pPr>
        <w:spacing w:after="0" w:line="174"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hereof, all money deposited with the Trustee or the Paying Agent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shall be held in trust and applied by it, in accordance with the provisions of the Notes and this Indenture, to the payment, either directly or through any Paying Agent (including the Company acting as their own Paying Agent) as the Trustee may determine, to the Persons entitled thereto, of the principal (and premium) and interest and Additional Interest, if any, for whose payment such money has been deposited with the Trustee or the Paying Agent; but such money need not be segregated from other funds except to the extent required by law.</w:t>
      </w:r>
    </w:p>
    <w:p>
      <w:pPr>
        <w:spacing w:after="0" w:line="366" w:lineRule="exact"/>
        <w:rPr>
          <w:sz w:val="20"/>
          <w:szCs w:val="20"/>
          <w:color w:val="auto"/>
        </w:rPr>
      </w:pPr>
    </w:p>
    <w:p>
      <w:pPr>
        <w:ind w:right="280" w:firstLine="648"/>
        <w:spacing w:after="0" w:line="336" w:lineRule="auto"/>
        <w:rPr>
          <w:sz w:val="20"/>
          <w:szCs w:val="20"/>
          <w:color w:val="auto"/>
        </w:rPr>
      </w:pPr>
      <w:r>
        <w:rPr>
          <w:rFonts w:ascii="Arial" w:cs="Arial" w:eastAsia="Arial" w:hAnsi="Arial"/>
          <w:sz w:val="19"/>
          <w:szCs w:val="19"/>
          <w:color w:val="auto"/>
        </w:rPr>
        <w:t xml:space="preserve">If the Trustee or the Paying Agent is unable to apply any money or U.S. Government Obligations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has made any payment of principal of, or premium or interest on, any Notes because of the reinstatement of its obligations, the Company shall be subrogated to the rights of the Holders of such Notes to receive such payment from the money or U.S. Government Obligations held by the Trustee or the Paying Agent.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420"/>
          </w:cols>
          <w:pgMar w:left="240" w:top="1077" w:right="23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22"/>
          <w:szCs w:val="22"/>
          <w:b w:val="1"/>
          <w:bCs w:val="1"/>
          <w:color w:val="auto"/>
        </w:rPr>
        <w:t>ARTICLE XII</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98"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direction, consent or communication made pursuant to the provisions of this Indenture or the Notes shall be in writing and delivered in person, delivered by commercial courier service, sent by facsimile or mailed by first-class mail, postage prepaid, addressed as follows:</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or to any Guarantor:</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Avis Budget Car Rental, LLC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502-394-1160</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Joshua N. Korff and Brian Hecht</w:t>
      </w:r>
    </w:p>
    <w:p>
      <w:pPr>
        <w:spacing w:after="0" w:line="44" w:lineRule="exact"/>
        <w:rPr>
          <w:sz w:val="20"/>
          <w:szCs w:val="20"/>
          <w:color w:val="auto"/>
        </w:rPr>
      </w:pPr>
    </w:p>
    <w:p>
      <w:pPr>
        <w:ind w:left="1960"/>
        <w:spacing w:after="0"/>
        <w:tabs>
          <w:tab w:leader="none" w:pos="304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212-446-6460</w:t>
      </w:r>
    </w:p>
    <w:p>
      <w:pPr>
        <w:spacing w:after="0" w:line="200" w:lineRule="exact"/>
        <w:rPr>
          <w:sz w:val="20"/>
          <w:szCs w:val="20"/>
          <w:color w:val="auto"/>
        </w:rPr>
      </w:pPr>
    </w:p>
    <w:p>
      <w:pPr>
        <w:spacing w:after="0" w:line="236" w:lineRule="exact"/>
        <w:rPr>
          <w:sz w:val="20"/>
          <w:szCs w:val="20"/>
          <w:color w:val="auto"/>
        </w:rPr>
      </w:pPr>
    </w:p>
    <w:p>
      <w:pPr>
        <w:ind w:left="1300" w:right="20"/>
        <w:spacing w:after="0" w:line="302" w:lineRule="auto"/>
        <w:rPr>
          <w:sz w:val="20"/>
          <w:szCs w:val="20"/>
          <w:color w:val="auto"/>
        </w:rPr>
      </w:pPr>
      <w:r>
        <w:rPr>
          <w:rFonts w:ascii="Arial" w:cs="Arial" w:eastAsia="Arial" w:hAnsi="Arial"/>
          <w:sz w:val="22"/>
          <w:szCs w:val="22"/>
          <w:color w:val="auto"/>
        </w:rPr>
        <w:t>if to the Trustee, at its corporate trust office, which corporate trust office for purposes of this Indenture is at the date hereof located at:</w:t>
      </w:r>
    </w:p>
    <w:p>
      <w:pPr>
        <w:spacing w:after="0" w:line="200" w:lineRule="exact"/>
        <w:rPr>
          <w:sz w:val="20"/>
          <w:szCs w:val="20"/>
          <w:color w:val="auto"/>
        </w:rPr>
      </w:pPr>
    </w:p>
    <w:p>
      <w:pPr>
        <w:spacing w:after="0" w:line="3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16th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NYC60-1630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Corporates Team, Avis Budget Car Rental/Avis Budget Finance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(732) 578-4635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320"/>
          </w:cols>
          <w:pgMar w:left="240" w:top="1071" w:right="339" w:bottom="1440" w:gutter="0" w:footer="0" w:header="0"/>
        </w:sect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140</w:t>
      </w:r>
    </w:p>
    <w:p>
      <w:pPr>
        <w:sectPr>
          <w:pgSz w:w="11900" w:h="16838" w:orient="portrait"/>
          <w:cols w:equalWidth="0" w:num="1">
            <w:col w:w="11320"/>
          </w:cols>
          <w:pgMar w:left="240" w:top="1071" w:right="339" w:bottom="1440" w:gutter="0" w:footer="0" w:header="0"/>
          <w:type w:val="continuous"/>
        </w:sectPr>
      </w:pPr>
    </w:p>
    <w:bookmarkStart w:id="187" w:name="page188"/>
    <w:bookmarkEnd w:id="187"/>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Deutsche Bank National Trust Company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and Agency Services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 Plaza One – 6th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JCY03-0699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Jersey City, NJ 07311-3901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Corporates Team, Avis Budget Car Rental/Avis Budget Finance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(732) 578-4635</w:t>
      </w:r>
    </w:p>
    <w:p>
      <w:pPr>
        <w:spacing w:after="0" w:line="200" w:lineRule="exact"/>
        <w:rPr>
          <w:sz w:val="20"/>
          <w:szCs w:val="20"/>
          <w:color w:val="auto"/>
        </w:rPr>
      </w:pPr>
    </w:p>
    <w:p>
      <w:pPr>
        <w:spacing w:after="0" w:line="231"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The Company or the Trustee by written notice to the other may designate additional or different addresses for subsequent notices or communications.</w:t>
      </w:r>
    </w:p>
    <w:p>
      <w:pPr>
        <w:spacing w:after="0" w:line="390"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All notices to Holders of Notes shall be validly given if electronically delivered or mailed to the Holders at their respective addresses in the Notes Register and shall be sufficiently given if so sent within the time prescribed. Notwithstanding any other provision of this Indenture or any Note, for so long as any Notes are represented by Global Notes and where this Indenture or any Note provides for notice of any event (including any notice of redemption or purchase) to Holders of Notes (whether by mail or otherwise), such notice shall be sufficiently given if given to DTC (or its designee), pursuant to the standing instructions from DTC or its designee, which will give such notices to the Holders of book-entry interests.</w:t>
      </w:r>
    </w:p>
    <w:p>
      <w:pPr>
        <w:spacing w:after="0" w:line="369"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Any notice or communication to the Company, the Guarantors or Holders of Notes shall be deemed to have been given on the date of such publication or, if published more than once on different dates, on the first date on which publication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him if so mailed within the time prescribed.</w:t>
      </w:r>
    </w:p>
    <w:p>
      <w:pPr>
        <w:spacing w:after="0" w:line="366" w:lineRule="exact"/>
        <w:rPr>
          <w:sz w:val="20"/>
          <w:szCs w:val="20"/>
          <w:color w:val="auto"/>
        </w:rPr>
      </w:pPr>
    </w:p>
    <w:p>
      <w:pPr>
        <w:jc w:val="both"/>
        <w:ind w:right="40" w:firstLine="648"/>
        <w:spacing w:after="0" w:line="292" w:lineRule="auto"/>
        <w:rPr>
          <w:sz w:val="20"/>
          <w:szCs w:val="20"/>
          <w:color w:val="auto"/>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98"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rPr>
        <w:t>. Upon any request or application by the Company or any of the Guarantors to the Trustee to take or refrain from taking any action under this Indenture, the Company or such Guarantor, as the case may be, shall furnish to the Trustee: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380"/>
          </w:cols>
          <w:pgMar w:left="240" w:top="1104" w:right="279" w:bottom="1440" w:gutter="0" w:footer="0" w:header="0"/>
        </w:sectPr>
      </w:pPr>
    </w:p>
    <w:bookmarkStart w:id="188" w:name="page189"/>
    <w:bookmarkEnd w:id="188"/>
    <w:p>
      <w:pPr>
        <w:ind w:left="2380" w:hanging="427"/>
        <w:spacing w:after="0"/>
        <w:tabs>
          <w:tab w:leader="none" w:pos="23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an Officer’s Certificate in form satisfactory to the Trustee (which shall include the statements set forth</w:t>
      </w:r>
    </w:p>
    <w:p>
      <w:pPr>
        <w:spacing w:after="0" w:line="92" w:lineRule="exact"/>
        <w:rPr>
          <w:rFonts w:ascii="Arial" w:cs="Arial" w:eastAsia="Arial" w:hAnsi="Arial"/>
          <w:sz w:val="19"/>
          <w:szCs w:val="19"/>
          <w:color w:val="auto"/>
        </w:rPr>
      </w:pPr>
    </w:p>
    <w:p>
      <w:pPr>
        <w:ind w:left="660" w:right="7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the signers, all conditions precedent, if any, provided for in this Indenture relating to the proposed action have been satisfied;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an Opinion of Counsel in form satisfactory to the Trustee (which shall include the statements set forth in</w:t>
      </w:r>
    </w:p>
    <w:p>
      <w:pPr>
        <w:spacing w:after="0" w:line="92" w:lineRule="exact"/>
        <w:rPr>
          <w:rFonts w:ascii="Arial" w:cs="Arial" w:eastAsia="Arial" w:hAnsi="Arial"/>
          <w:sz w:val="19"/>
          <w:szCs w:val="19"/>
          <w:color w:val="auto"/>
        </w:rPr>
      </w:pPr>
    </w:p>
    <w:p>
      <w:pPr>
        <w:ind w:left="660" w:right="320"/>
        <w:spacing w:after="0" w:line="302" w:lineRule="auto"/>
        <w:rPr>
          <w:rFonts w:ascii="Arial" w:cs="Arial" w:eastAsia="Arial" w:hAnsi="Arial"/>
          <w:sz w:val="19"/>
          <w:szCs w:val="19"/>
          <w:color w:val="auto"/>
        </w:rPr>
      </w:pP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such counsel, all such conditions precedent have been satisfied and all covenants have been complied with.</w:t>
      </w:r>
    </w:p>
    <w:p>
      <w:pPr>
        <w:spacing w:after="0" w:line="174" w:lineRule="exact"/>
        <w:rPr>
          <w:sz w:val="20"/>
          <w:szCs w:val="20"/>
          <w:color w:val="auto"/>
        </w:rPr>
      </w:pPr>
    </w:p>
    <w:p>
      <w:pPr>
        <w:ind w:right="20" w:firstLine="648"/>
        <w:spacing w:after="0" w:line="315"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 Each certificate or opinion with respect to compliance with a covenant or condition provided for in this Indenture shall include:</w:t>
      </w:r>
    </w:p>
    <w:p>
      <w:pPr>
        <w:spacing w:after="0" w:line="376" w:lineRule="exact"/>
        <w:rPr>
          <w:sz w:val="20"/>
          <w:szCs w:val="20"/>
          <w:color w:val="auto"/>
        </w:rPr>
      </w:pPr>
    </w:p>
    <w:p>
      <w:pPr>
        <w:ind w:left="2380" w:hanging="427"/>
        <w:spacing w:after="0"/>
        <w:tabs>
          <w:tab w:leader="none" w:pos="238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 statement that the individual making such certificate or opinion has read such covenant or condition;</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820" w:firstLine="1293"/>
        <w:spacing w:after="0" w:line="315" w:lineRule="auto"/>
        <w:tabs>
          <w:tab w:leader="none" w:pos="2389"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 statement that, in the opinion of such individual, he has made such examination or investigation as is</w:t>
      </w:r>
    </w:p>
    <w:p>
      <w:pPr>
        <w:spacing w:after="0" w:line="92" w:lineRule="exact"/>
        <w:rPr>
          <w:rFonts w:ascii="Arial" w:cs="Arial" w:eastAsia="Arial" w:hAnsi="Arial"/>
          <w:sz w:val="19"/>
          <w:szCs w:val="19"/>
          <w:color w:val="auto"/>
        </w:rPr>
      </w:pPr>
    </w:p>
    <w:p>
      <w:pPr>
        <w:ind w:left="660" w:right="100"/>
        <w:spacing w:after="0" w:line="302" w:lineRule="auto"/>
        <w:rPr>
          <w:rFonts w:ascii="Arial" w:cs="Arial" w:eastAsia="Arial" w:hAnsi="Arial"/>
          <w:sz w:val="19"/>
          <w:szCs w:val="19"/>
          <w:color w:val="auto"/>
        </w:rPr>
      </w:pPr>
      <w:r>
        <w:rPr>
          <w:rFonts w:ascii="Arial" w:cs="Arial" w:eastAsia="Arial" w:hAnsi="Arial"/>
          <w:sz w:val="22"/>
          <w:szCs w:val="22"/>
          <w:color w:val="auto"/>
        </w:rPr>
        <w:t>necessary to enable him to express an informed opinion as to whether or not such covenant or condition has been complied with;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individual, such covenant or condition has been</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00" w:lineRule="exact"/>
        <w:rPr>
          <w:sz w:val="20"/>
          <w:szCs w:val="20"/>
          <w:color w:val="auto"/>
        </w:rPr>
      </w:pPr>
    </w:p>
    <w:p>
      <w:pPr>
        <w:spacing w:after="0" w:line="276"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In giving such Opinion of Counsel, counsel may rely as to factual matters on an Officer’s Certificate or on certificates of public officials.</w:t>
      </w:r>
    </w:p>
    <w:p>
      <w:pPr>
        <w:spacing w:after="0" w:line="174"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When Notes Disregarded</w:t>
      </w:r>
      <w:r>
        <w:rPr>
          <w:rFonts w:ascii="Arial" w:cs="Arial" w:eastAsia="Arial" w:hAnsi="Arial"/>
          <w:sz w:val="22"/>
          <w:szCs w:val="22"/>
          <w:color w:val="auto"/>
        </w:rPr>
        <w:t>. In determining whether the Holders of the required aggregate principal amount of Notes have concurred in any direction, waiver or consent, Notes owned by the Company,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400"/>
          </w:cols>
          <w:pgMar w:left="240" w:top="1077" w:right="259" w:bottom="1440" w:gutter="0" w:footer="0" w:header="0"/>
        </w:sectPr>
      </w:pPr>
    </w:p>
    <w:bookmarkStart w:id="189" w:name="page190"/>
    <w:bookmarkEnd w:id="189"/>
    <w:p>
      <w:pPr>
        <w:ind w:firstLine="648"/>
        <w:spacing w:after="0" w:line="341" w:lineRule="auto"/>
        <w:rPr>
          <w:sz w:val="20"/>
          <w:szCs w:val="20"/>
          <w:color w:val="auto"/>
        </w:rPr>
      </w:pPr>
      <w:r>
        <w:rPr>
          <w:rFonts w:ascii="Arial" w:cs="Arial" w:eastAsia="Arial" w:hAnsi="Arial"/>
          <w:sz w:val="21"/>
          <w:szCs w:val="21"/>
          <w:color w:val="auto"/>
        </w:rPr>
        <w:t xml:space="preserve">SECTION 12.7 </w:t>
      </w:r>
      <w:r>
        <w:rPr>
          <w:rFonts w:ascii="Arial" w:cs="Arial" w:eastAsia="Arial" w:hAnsi="Arial"/>
          <w:sz w:val="21"/>
          <w:szCs w:val="21"/>
          <w:u w:val="single" w:color="auto"/>
          <w:color w:val="auto"/>
        </w:rPr>
        <w:t>Rules by Trustee, Paying Agent and Registrar</w:t>
      </w:r>
      <w:r>
        <w:rPr>
          <w:rFonts w:ascii="Arial" w:cs="Arial" w:eastAsia="Arial" w:hAnsi="Arial"/>
          <w:sz w:val="21"/>
          <w:szCs w:val="21"/>
          <w:color w:val="auto"/>
        </w:rPr>
        <w:t>. The Trustee may make reasonable rules for action by, or at meetings of, Holders. The Registrar and the Paying Agent may make reasonable rules for their functions.</w:t>
      </w:r>
    </w:p>
    <w:p>
      <w:pPr>
        <w:spacing w:after="0" w:line="138" w:lineRule="exact"/>
        <w:rPr>
          <w:sz w:val="20"/>
          <w:szCs w:val="20"/>
          <w:color w:val="auto"/>
        </w:rPr>
      </w:pPr>
    </w:p>
    <w:p>
      <w:pPr>
        <w:ind w:right="120" w:firstLine="648"/>
        <w:spacing w:after="0" w:line="290"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Legal Holidays</w:t>
      </w:r>
      <w:r>
        <w:rPr>
          <w:rFonts w:ascii="Arial" w:cs="Arial" w:eastAsia="Arial" w:hAnsi="Arial"/>
          <w:sz w:val="22"/>
          <w:szCs w:val="22"/>
          <w:color w:val="auto"/>
        </w:rPr>
        <w:t>.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 Saturday, a Sunday or other day on which commercial banking institutions are authorized or required to be closed in New York, New York or the state of the place of payment. If a payment date or Redemption Date is a Legal Holiday, payment shall be made on the next succeeding day that is not a Legal Holiday, and no interest shall accrue for the intervening period (unless otherwise required). If a regular record date is a Legal Holiday, the record date shall not be affected.</w:t>
      </w:r>
    </w:p>
    <w:p>
      <w:pPr>
        <w:spacing w:after="0" w:line="187" w:lineRule="exact"/>
        <w:rPr>
          <w:sz w:val="20"/>
          <w:szCs w:val="20"/>
          <w:color w:val="auto"/>
        </w:rPr>
      </w:pPr>
    </w:p>
    <w:p>
      <w:pPr>
        <w:ind w:right="1040" w:firstLine="648"/>
        <w:spacing w:after="0" w:line="341" w:lineRule="auto"/>
        <w:rPr>
          <w:sz w:val="20"/>
          <w:szCs w:val="20"/>
          <w:color w:val="auto"/>
        </w:rPr>
      </w:pPr>
      <w:r>
        <w:rPr>
          <w:rFonts w:ascii="Arial" w:cs="Arial" w:eastAsia="Arial" w:hAnsi="Arial"/>
          <w:sz w:val="21"/>
          <w:szCs w:val="21"/>
          <w:color w:val="auto"/>
        </w:rPr>
        <w:t xml:space="preserve">SECTION 12.9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INDENTURE, THE NOTES AND THE GUARANTEES SHALL BE GOVERNED BY, AND CONSTRUED IN ACCORDANCE WITH, THE LAWS OF THE STATE OF NEW YORK.</w:t>
      </w:r>
    </w:p>
    <w:p>
      <w:pPr>
        <w:spacing w:after="0" w:line="138" w:lineRule="exact"/>
        <w:rPr>
          <w:sz w:val="20"/>
          <w:szCs w:val="20"/>
          <w:color w:val="auto"/>
        </w:rPr>
      </w:pPr>
    </w:p>
    <w:p>
      <w:pPr>
        <w:ind w:right="120" w:firstLine="648"/>
        <w:spacing w:after="0" w:line="334" w:lineRule="auto"/>
        <w:rPr>
          <w:sz w:val="20"/>
          <w:szCs w:val="20"/>
          <w:color w:val="auto"/>
        </w:rPr>
      </w:pPr>
      <w:r>
        <w:rPr>
          <w:rFonts w:ascii="Arial" w:cs="Arial" w:eastAsia="Arial" w:hAnsi="Arial"/>
          <w:sz w:val="19"/>
          <w:szCs w:val="19"/>
          <w:color w:val="auto"/>
        </w:rPr>
        <w:t xml:space="preserve">SECTION 12.10 </w:t>
      </w:r>
      <w:r>
        <w:rPr>
          <w:rFonts w:ascii="Arial" w:cs="Arial" w:eastAsia="Arial" w:hAnsi="Arial"/>
          <w:sz w:val="19"/>
          <w:szCs w:val="19"/>
          <w:u w:val="single" w:color="auto"/>
          <w:color w:val="auto"/>
        </w:rPr>
        <w:t>Jurisdiction</w:t>
      </w:r>
      <w:r>
        <w:rPr>
          <w:rFonts w:ascii="Arial" w:cs="Arial" w:eastAsia="Arial" w:hAnsi="Arial"/>
          <w:sz w:val="19"/>
          <w:szCs w:val="19"/>
          <w:color w:val="auto"/>
        </w:rPr>
        <w:t>. The Company and the Guarantors agree that any suit, action or proceeding against the Company or any Guarantor brought by any Holder, the Trustee arising out of or based upon this Indenture, the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Company and the Guarantors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Company and the Guarantors agree that final judgment in any such suit, action or proceeding brought in such court shall be conclusive and binding upon the Company or the Guarantors, as the case may be, and may be enforced in any court to the jurisdiction of which the Company or the Guarantors, as the case may be, are subject by a suit upon such judgment.</w:t>
      </w:r>
    </w:p>
    <w:p>
      <w:pPr>
        <w:spacing w:after="0" w:line="14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12.11</w:t>
      </w:r>
      <w:r>
        <w:rPr>
          <w:sz w:val="20"/>
          <w:szCs w:val="20"/>
          <w:color w:val="auto"/>
        </w:rPr>
        <w:tab/>
      </w:r>
      <w:r>
        <w:rPr>
          <w:rFonts w:ascii="Arial" w:cs="Arial" w:eastAsia="Arial" w:hAnsi="Arial"/>
          <w:sz w:val="21"/>
          <w:szCs w:val="21"/>
          <w:u w:val="single" w:color="auto"/>
          <w:color w:val="auto"/>
        </w:rPr>
        <w:t>Waivers of Jury Trial</w:t>
      </w:r>
      <w:r>
        <w:rPr>
          <w:rFonts w:ascii="Arial" w:cs="Arial" w:eastAsia="Arial" w:hAnsi="Arial"/>
          <w:sz w:val="21"/>
          <w:szCs w:val="21"/>
          <w:color w:val="auto"/>
        </w:rPr>
        <w:t>.</w:t>
      </w:r>
      <w:r>
        <w:rPr>
          <w:rFonts w:ascii="Arial" w:cs="Arial" w:eastAsia="Arial" w:hAnsi="Arial"/>
          <w:sz w:val="21"/>
          <w:szCs w:val="21"/>
          <w:u w:val="single" w:color="auto"/>
          <w:color w:val="auto"/>
        </w:rPr>
        <w:t xml:space="preserve"> </w:t>
      </w:r>
      <w:r>
        <w:rPr>
          <w:rFonts w:ascii="Arial" w:cs="Arial" w:eastAsia="Arial" w:hAnsi="Arial"/>
          <w:sz w:val="21"/>
          <w:szCs w:val="21"/>
          <w:b w:val="1"/>
          <w:bCs w:val="1"/>
          <w:color w:val="auto"/>
        </w:rPr>
        <w:t>THE COMPANY, THE GUARANTORS AND THE TRUSTEE HEREBY</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22"/>
          <w:szCs w:val="22"/>
          <w:b w:val="1"/>
          <w:bCs w:val="1"/>
          <w:color w:val="auto"/>
        </w:rPr>
        <w:t>IRREVOCABLY AND UNCONDITIONALLY WAIVES, TO THE FULLEST EXTENT PERMITTED BY APPLICABLE LAW, ANY AND ALL RIGHT TO TRIAL BY JURY IN ANY LEGAL ACTION OR PROCEEDING ARISING OUT OF OR RELATING TO THIS INDENTURE, THE NOTES OR THE GUARANTEES AND FOR ANY COUNTERCLAIM THEREIN</w:t>
      </w:r>
      <w:r>
        <w:rPr>
          <w:rFonts w:ascii="Arial" w:cs="Arial" w:eastAsia="Arial" w:hAnsi="Arial"/>
          <w:sz w:val="22"/>
          <w:szCs w:val="22"/>
          <w:color w:val="auto"/>
        </w:rPr>
        <w:t>.</w:t>
      </w:r>
    </w:p>
    <w:p>
      <w:pPr>
        <w:spacing w:after="0" w:line="188" w:lineRule="exact"/>
        <w:rPr>
          <w:sz w:val="20"/>
          <w:szCs w:val="20"/>
          <w:color w:val="auto"/>
        </w:rPr>
      </w:pPr>
    </w:p>
    <w:p>
      <w:pPr>
        <w:ind w:right="80" w:firstLine="648"/>
        <w:spacing w:after="0" w:line="315" w:lineRule="auto"/>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u w:val="single" w:color="auto"/>
          <w:color w:val="auto"/>
        </w:rPr>
        <w:t>USA PATRIOT Act Section 326 Customer Identification Program</w:t>
      </w:r>
      <w:r>
        <w:rPr>
          <w:rFonts w:ascii="Arial" w:cs="Arial" w:eastAsia="Arial" w:hAnsi="Arial"/>
          <w:sz w:val="22"/>
          <w:szCs w:val="22"/>
          <w:color w:val="auto"/>
        </w:rPr>
        <w:t>. The parties hereto acknowledge that in order to help the United States government fight the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320"/>
          </w:cols>
          <w:pgMar w:left="240" w:top="861" w:right="339" w:bottom="1440" w:gutter="0" w:footer="0" w:header="0"/>
        </w:sectPr>
      </w:pPr>
    </w:p>
    <w:bookmarkStart w:id="190" w:name="page191"/>
    <w:bookmarkEnd w:id="190"/>
    <w:p>
      <w:pPr>
        <w:spacing w:after="0" w:line="336" w:lineRule="auto"/>
        <w:rPr>
          <w:sz w:val="20"/>
          <w:szCs w:val="20"/>
          <w:color w:val="auto"/>
        </w:rPr>
      </w:pPr>
      <w:r>
        <w:rPr>
          <w:rFonts w:ascii="Arial" w:cs="Arial" w:eastAsia="Arial" w:hAnsi="Arial"/>
          <w:sz w:val="19"/>
          <w:szCs w:val="19"/>
          <w:color w:val="auto"/>
        </w:rPr>
        <w:t>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parties to this Indenture agree that they will provide to the Trustee such information as it may request, from time to time, in order for the Trustee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55" w:lineRule="exact"/>
        <w:rPr>
          <w:sz w:val="20"/>
          <w:szCs w:val="20"/>
          <w:color w:val="auto"/>
        </w:rPr>
      </w:pPr>
    </w:p>
    <w:p>
      <w:pPr>
        <w:ind w:right="80" w:firstLine="648"/>
        <w:spacing w:after="0" w:line="341"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stockholder or shareholder of the Company or any of its Subsidiaries or Affiliates, or such (other than the Company and the Guarantors), shall have any liability for any obligations of the Company or the Guarantors under the Notes, the Guarantees or this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0" w:lineRule="exact"/>
        <w:rPr>
          <w:sz w:val="20"/>
          <w:szCs w:val="20"/>
          <w:color w:val="auto"/>
        </w:rPr>
      </w:pPr>
    </w:p>
    <w:p>
      <w:pPr>
        <w:ind w:right="340" w:firstLine="648"/>
        <w:spacing w:after="0" w:line="341" w:lineRule="auto"/>
        <w:rPr>
          <w:sz w:val="20"/>
          <w:szCs w:val="20"/>
          <w:color w:val="auto"/>
        </w:rPr>
      </w:pPr>
      <w:r>
        <w:rPr>
          <w:rFonts w:ascii="Arial" w:cs="Arial" w:eastAsia="Arial" w:hAnsi="Arial"/>
          <w:sz w:val="21"/>
          <w:szCs w:val="21"/>
          <w:color w:val="auto"/>
        </w:rPr>
        <w:t xml:space="preserve">SECTION 12.14 </w:t>
      </w:r>
      <w:r>
        <w:rPr>
          <w:rFonts w:ascii="Arial" w:cs="Arial" w:eastAsia="Arial" w:hAnsi="Arial"/>
          <w:sz w:val="21"/>
          <w:szCs w:val="21"/>
          <w:u w:val="single" w:color="auto"/>
          <w:color w:val="auto"/>
        </w:rPr>
        <w:t>Successors</w:t>
      </w:r>
      <w:r>
        <w:rPr>
          <w:rFonts w:ascii="Arial" w:cs="Arial" w:eastAsia="Arial" w:hAnsi="Arial"/>
          <w:sz w:val="21"/>
          <w:szCs w:val="21"/>
          <w:color w:val="auto"/>
        </w:rPr>
        <w:t>. All agreements of the Company and each Guarantor in this Indenture and the Notes shall bind their respective successors. All agreements of the Trustee in this Indenture shall bind its successors.</w:t>
      </w:r>
    </w:p>
    <w:p>
      <w:pPr>
        <w:spacing w:after="0" w:line="138" w:lineRule="exact"/>
        <w:rPr>
          <w:sz w:val="20"/>
          <w:szCs w:val="20"/>
          <w:color w:val="auto"/>
        </w:rPr>
      </w:pPr>
    </w:p>
    <w:p>
      <w:pPr>
        <w:ind w:right="60" w:firstLine="648"/>
        <w:spacing w:after="0" w:line="306" w:lineRule="auto"/>
        <w:rPr>
          <w:sz w:val="20"/>
          <w:szCs w:val="20"/>
          <w:color w:val="auto"/>
        </w:rPr>
      </w:pPr>
      <w:r>
        <w:rPr>
          <w:rFonts w:ascii="Arial" w:cs="Arial" w:eastAsia="Arial" w:hAnsi="Arial"/>
          <w:sz w:val="21"/>
          <w:szCs w:val="21"/>
          <w:color w:val="auto"/>
        </w:rPr>
        <w:t xml:space="preserve">SECTION 12.15 </w:t>
      </w:r>
      <w:r>
        <w:rPr>
          <w:rFonts w:ascii="Arial" w:cs="Arial" w:eastAsia="Arial" w:hAnsi="Arial"/>
          <w:sz w:val="21"/>
          <w:szCs w:val="21"/>
          <w:u w:val="single" w:color="auto"/>
          <w:color w:val="auto"/>
        </w:rPr>
        <w:t>Multiple Originals</w:t>
      </w:r>
      <w:r>
        <w:rPr>
          <w:rFonts w:ascii="Arial" w:cs="Arial" w:eastAsia="Arial" w:hAnsi="Arial"/>
          <w:sz w:val="21"/>
          <w:szCs w:val="21"/>
          <w:color w:val="auto"/>
        </w:rPr>
        <w:t>. 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298"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Table of Contents; Headings</w:t>
      </w:r>
      <w:r>
        <w:rPr>
          <w:rFonts w:ascii="Arial" w:cs="Arial" w:eastAsia="Arial" w:hAnsi="Arial"/>
          <w:sz w:val="22"/>
          <w:szCs w:val="22"/>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360"/>
          </w:cols>
          <w:pgMar w:left="240" w:top="861" w:right="299" w:bottom="1440" w:gutter="0" w:footer="0" w:header="0"/>
        </w:sectPr>
      </w:pPr>
    </w:p>
    <w:bookmarkStart w:id="191" w:name="page192"/>
    <w:bookmarkEnd w:id="191"/>
    <w:p>
      <w:pPr>
        <w:ind w:firstLine="648"/>
        <w:spacing w:after="0" w:line="341"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5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auto"/>
        </w:rPr>
        <w:t>SECTION 12.19</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Indenture or in the Notes shall be invalid, illegal or</w:t>
      </w:r>
    </w:p>
    <w:p>
      <w:pPr>
        <w:spacing w:after="0" w:line="58"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unenforceable, the validity, legality and enforceability of the remaining provisions shall not in any way be affected or impaired thereby.</w:t>
      </w:r>
    </w:p>
    <w:p>
      <w:pPr>
        <w:spacing w:after="0" w:line="16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0980"/>
          </w:cols>
          <w:pgMar w:left="240" w:top="861" w:right="679" w:bottom="1440" w:gutter="0" w:footer="0" w:header="0"/>
        </w:sectPr>
      </w:pPr>
    </w:p>
    <w:bookmarkStart w:id="192" w:name="page193"/>
    <w:bookmarkEnd w:id="192"/>
    <w:p>
      <w:pPr>
        <w:ind w:left="660"/>
        <w:spacing w:after="0"/>
        <w:rPr>
          <w:sz w:val="20"/>
          <w:szCs w:val="20"/>
          <w:color w:val="auto"/>
        </w:rPr>
      </w:pPr>
      <w:r>
        <w:rPr>
          <w:rFonts w:ascii="Arial" w:cs="Arial" w:eastAsia="Arial" w:hAnsi="Arial"/>
          <w:sz w:val="19"/>
          <w:szCs w:val="19"/>
          <w:color w:val="auto"/>
        </w:rPr>
        <w:t>IN WITNESS WHEREOF, the parties have caused this Indenture to be duly executed all as of the date and year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AVIS BUDGET CAR RENTAL, LLC</w:t>
      </w:r>
    </w:p>
    <w:p>
      <w:pPr>
        <w:spacing w:after="0" w:line="368" w:lineRule="exact"/>
        <w:rPr>
          <w:sz w:val="20"/>
          <w:szCs w:val="20"/>
          <w:color w:val="auto"/>
        </w:rPr>
      </w:pPr>
    </w:p>
    <w:tbl>
      <w:tblPr>
        <w:tblLayout w:type="fixed"/>
        <w:tblInd w:w="40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David B. Wyshner</w:t>
            </w:r>
          </w:p>
        </w:tc>
        <w:tc>
          <w:tcPr>
            <w:tcW w:w="0" w:type="dxa"/>
            <w:vAlign w:val="bottom"/>
          </w:tcPr>
          <w:p>
            <w:pPr>
              <w:spacing w:after="0"/>
              <w:rPr>
                <w:sz w:val="1"/>
                <w:szCs w:val="1"/>
                <w:color w:val="auto"/>
              </w:rPr>
            </w:pPr>
          </w:p>
        </w:tc>
      </w:tr>
      <w:tr>
        <w:trPr>
          <w:trHeight w:val="34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David B. Wyshner</w:t>
            </w:r>
          </w:p>
        </w:tc>
        <w:tc>
          <w:tcPr>
            <w:tcW w:w="0" w:type="dxa"/>
            <w:vAlign w:val="bottom"/>
          </w:tcPr>
          <w:p>
            <w:pPr>
              <w:spacing w:after="0"/>
              <w:rPr>
                <w:sz w:val="1"/>
                <w:szCs w:val="1"/>
                <w:color w:val="auto"/>
              </w:rPr>
            </w:pPr>
          </w:p>
        </w:tc>
      </w:tr>
      <w:tr>
        <w:trPr>
          <w:trHeight w:val="590"/>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rPr>
              <w:t>President and Chief Financial</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AVIS BUDGET FINANCE, INC.</w:t>
      </w:r>
    </w:p>
    <w:p>
      <w:pPr>
        <w:spacing w:after="0" w:line="368" w:lineRule="exact"/>
        <w:rPr>
          <w:sz w:val="20"/>
          <w:szCs w:val="20"/>
          <w:color w:val="auto"/>
        </w:rPr>
      </w:pPr>
    </w:p>
    <w:tbl>
      <w:tblPr>
        <w:tblLayout w:type="fixed"/>
        <w:tblInd w:w="40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David B. Wyshner</w:t>
            </w:r>
          </w:p>
        </w:tc>
        <w:tc>
          <w:tcPr>
            <w:tcW w:w="0" w:type="dxa"/>
            <w:vAlign w:val="bottom"/>
          </w:tcPr>
          <w:p>
            <w:pPr>
              <w:spacing w:after="0"/>
              <w:rPr>
                <w:sz w:val="1"/>
                <w:szCs w:val="1"/>
                <w:color w:val="auto"/>
              </w:rPr>
            </w:pPr>
          </w:p>
        </w:tc>
      </w:tr>
      <w:tr>
        <w:trPr>
          <w:trHeight w:val="34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David B. Wyshner</w:t>
            </w:r>
          </w:p>
        </w:tc>
        <w:tc>
          <w:tcPr>
            <w:tcW w:w="0" w:type="dxa"/>
            <w:vAlign w:val="bottom"/>
          </w:tcPr>
          <w:p>
            <w:pPr>
              <w:spacing w:after="0"/>
              <w:rPr>
                <w:sz w:val="1"/>
                <w:szCs w:val="1"/>
                <w:color w:val="auto"/>
              </w:rPr>
            </w:pPr>
          </w:p>
        </w:tc>
      </w:tr>
      <w:tr>
        <w:trPr>
          <w:trHeight w:val="590"/>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rPr>
              <w:t>President and Chief Financial</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AVIS BUDGET GROUP, INC.</w:t>
      </w:r>
    </w:p>
    <w:p>
      <w:pPr>
        <w:spacing w:after="0" w:line="368" w:lineRule="exact"/>
        <w:rPr>
          <w:sz w:val="20"/>
          <w:szCs w:val="20"/>
          <w:color w:val="auto"/>
        </w:rPr>
      </w:pPr>
    </w:p>
    <w:tbl>
      <w:tblPr>
        <w:tblLayout w:type="fixed"/>
        <w:tblInd w:w="40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David B. Wyshner</w:t>
            </w:r>
          </w:p>
        </w:tc>
        <w:tc>
          <w:tcPr>
            <w:tcW w:w="0" w:type="dxa"/>
            <w:vAlign w:val="bottom"/>
          </w:tcPr>
          <w:p>
            <w:pPr>
              <w:spacing w:after="0"/>
              <w:rPr>
                <w:sz w:val="1"/>
                <w:szCs w:val="1"/>
                <w:color w:val="auto"/>
              </w:rPr>
            </w:pPr>
          </w:p>
        </w:tc>
      </w:tr>
      <w:tr>
        <w:trPr>
          <w:trHeight w:val="34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David B. Wyshner</w:t>
            </w:r>
          </w:p>
        </w:tc>
        <w:tc>
          <w:tcPr>
            <w:tcW w:w="0" w:type="dxa"/>
            <w:vAlign w:val="bottom"/>
          </w:tcPr>
          <w:p>
            <w:pPr>
              <w:spacing w:after="0"/>
              <w:rPr>
                <w:sz w:val="1"/>
                <w:szCs w:val="1"/>
                <w:color w:val="auto"/>
              </w:rPr>
            </w:pPr>
          </w:p>
        </w:tc>
      </w:tr>
      <w:tr>
        <w:trPr>
          <w:trHeight w:val="590"/>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rPr>
              <w:t>President and Chief Financial</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AVIS BUDGET HOLDINGS, LLC</w:t>
      </w:r>
    </w:p>
    <w:p>
      <w:pPr>
        <w:ind w:left="4060"/>
        <w:spacing w:after="0" w:line="238" w:lineRule="auto"/>
        <w:rPr>
          <w:sz w:val="20"/>
          <w:szCs w:val="20"/>
          <w:color w:val="auto"/>
        </w:rPr>
      </w:pPr>
      <w:r>
        <w:rPr>
          <w:rFonts w:ascii="Arial" w:cs="Arial" w:eastAsia="Arial" w:hAnsi="Arial"/>
          <w:sz w:val="22"/>
          <w:szCs w:val="22"/>
          <w:color w:val="auto"/>
        </w:rPr>
        <w:t>AB CAR RENTAL SERVICES, INC.</w:t>
      </w:r>
    </w:p>
    <w:p>
      <w:pPr>
        <w:ind w:left="4060"/>
        <w:spacing w:after="0"/>
        <w:rPr>
          <w:sz w:val="20"/>
          <w:szCs w:val="20"/>
          <w:color w:val="auto"/>
        </w:rPr>
      </w:pPr>
      <w:r>
        <w:rPr>
          <w:rFonts w:ascii="Arial" w:cs="Arial" w:eastAsia="Arial" w:hAnsi="Arial"/>
          <w:sz w:val="22"/>
          <w:szCs w:val="22"/>
          <w:color w:val="auto"/>
        </w:rPr>
        <w:t>AVIS CAR RENTAL GROUP, LLC</w:t>
      </w:r>
    </w:p>
    <w:p>
      <w:pPr>
        <w:spacing w:after="0" w:line="26" w:lineRule="exact"/>
        <w:rPr>
          <w:sz w:val="20"/>
          <w:szCs w:val="20"/>
          <w:color w:val="auto"/>
        </w:rPr>
      </w:pPr>
    </w:p>
    <w:tbl>
      <w:tblPr>
        <w:tblLayout w:type="fixed"/>
        <w:tblInd w:w="40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David B. Wyshner</w:t>
            </w:r>
          </w:p>
        </w:tc>
        <w:tc>
          <w:tcPr>
            <w:tcW w:w="0" w:type="dxa"/>
            <w:vAlign w:val="bottom"/>
          </w:tcPr>
          <w:p>
            <w:pPr>
              <w:spacing w:after="0"/>
              <w:rPr>
                <w:sz w:val="1"/>
                <w:szCs w:val="1"/>
                <w:color w:val="auto"/>
              </w:rPr>
            </w:pPr>
          </w:p>
        </w:tc>
      </w:tr>
      <w:tr>
        <w:trPr>
          <w:trHeight w:val="166"/>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David B. Wyshner</w:t>
            </w:r>
          </w:p>
        </w:tc>
        <w:tc>
          <w:tcPr>
            <w:tcW w:w="0" w:type="dxa"/>
            <w:vAlign w:val="bottom"/>
          </w:tcPr>
          <w:p>
            <w:pPr>
              <w:spacing w:after="0"/>
              <w:rPr>
                <w:sz w:val="1"/>
                <w:szCs w:val="1"/>
                <w:color w:val="auto"/>
              </w:rPr>
            </w:pPr>
          </w:p>
        </w:tc>
      </w:tr>
      <w:tr>
        <w:trPr>
          <w:trHeight w:val="41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rPr>
              <w:t>President and Chief Financial</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ectPr>
          <w:pgSz w:w="11900" w:h="16838" w:orient="portrait"/>
          <w:cols w:equalWidth="0" w:num="1">
            <w:col w:w="11380"/>
          </w:cols>
          <w:pgMar w:left="240" w:top="848" w:right="279" w:bottom="1440" w:gutter="0" w:footer="0" w:header="0"/>
        </w:sectPr>
      </w:pPr>
    </w:p>
    <w:bookmarkStart w:id="193" w:name="page194"/>
    <w:bookmarkEnd w:id="193"/>
    <w:p>
      <w:pPr>
        <w:ind w:left="2860"/>
        <w:spacing w:after="0"/>
        <w:rPr>
          <w:sz w:val="20"/>
          <w:szCs w:val="20"/>
          <w:color w:val="auto"/>
        </w:rPr>
      </w:pPr>
      <w:r>
        <w:rPr>
          <w:rFonts w:ascii="Arial" w:cs="Arial" w:eastAsia="Arial" w:hAnsi="Arial"/>
          <w:sz w:val="22"/>
          <w:szCs w:val="22"/>
          <w:color w:val="auto"/>
        </w:rPr>
        <w:t>ARACS LLC</w:t>
      </w:r>
    </w:p>
    <w:p>
      <w:pPr>
        <w:ind w:left="2860"/>
        <w:spacing w:after="0" w:line="238" w:lineRule="auto"/>
        <w:rPr>
          <w:sz w:val="20"/>
          <w:szCs w:val="20"/>
          <w:color w:val="auto"/>
        </w:rPr>
      </w:pPr>
      <w:r>
        <w:rPr>
          <w:rFonts w:ascii="Arial" w:cs="Arial" w:eastAsia="Arial" w:hAnsi="Arial"/>
          <w:sz w:val="22"/>
          <w:szCs w:val="22"/>
          <w:color w:val="auto"/>
        </w:rPr>
        <w:t>AVIS ASIA AND PACIFIC, LLC</w:t>
      </w:r>
    </w:p>
    <w:p>
      <w:pPr>
        <w:ind w:left="2860"/>
        <w:spacing w:after="0" w:line="230" w:lineRule="auto"/>
        <w:rPr>
          <w:sz w:val="20"/>
          <w:szCs w:val="20"/>
          <w:color w:val="auto"/>
        </w:rPr>
      </w:pPr>
      <w:r>
        <w:rPr>
          <w:rFonts w:ascii="Arial" w:cs="Arial" w:eastAsia="Arial" w:hAnsi="Arial"/>
          <w:sz w:val="22"/>
          <w:szCs w:val="22"/>
          <w:color w:val="auto"/>
        </w:rPr>
        <w:t>AVIS CARIBBEAN, LIMITED</w:t>
      </w:r>
    </w:p>
    <w:p>
      <w:pPr>
        <w:ind w:left="2860"/>
        <w:spacing w:after="0" w:line="231" w:lineRule="auto"/>
        <w:rPr>
          <w:sz w:val="20"/>
          <w:szCs w:val="20"/>
          <w:color w:val="auto"/>
        </w:rPr>
      </w:pPr>
      <w:r>
        <w:rPr>
          <w:rFonts w:ascii="Arial" w:cs="Arial" w:eastAsia="Arial" w:hAnsi="Arial"/>
          <w:sz w:val="22"/>
          <w:szCs w:val="22"/>
          <w:color w:val="auto"/>
        </w:rPr>
        <w:t>AVIS ENTERPRISES, INC.</w:t>
      </w:r>
    </w:p>
    <w:p>
      <w:pPr>
        <w:ind w:left="2860"/>
        <w:spacing w:after="0" w:line="231" w:lineRule="auto"/>
        <w:rPr>
          <w:sz w:val="20"/>
          <w:szCs w:val="20"/>
          <w:color w:val="auto"/>
        </w:rPr>
      </w:pPr>
      <w:r>
        <w:rPr>
          <w:rFonts w:ascii="Arial" w:cs="Arial" w:eastAsia="Arial" w:hAnsi="Arial"/>
          <w:sz w:val="22"/>
          <w:szCs w:val="22"/>
          <w:color w:val="auto"/>
        </w:rPr>
        <w:t>AVIS GROUP HOLDINGS, LLC</w:t>
      </w:r>
    </w:p>
    <w:p>
      <w:pPr>
        <w:ind w:left="2860"/>
        <w:spacing w:after="0" w:line="230" w:lineRule="auto"/>
        <w:rPr>
          <w:sz w:val="20"/>
          <w:szCs w:val="20"/>
          <w:color w:val="auto"/>
        </w:rPr>
      </w:pPr>
      <w:r>
        <w:rPr>
          <w:rFonts w:ascii="Arial" w:cs="Arial" w:eastAsia="Arial" w:hAnsi="Arial"/>
          <w:sz w:val="22"/>
          <w:szCs w:val="22"/>
          <w:color w:val="auto"/>
        </w:rPr>
        <w:t>AVIS INTERNATIONAL, LTD.</w:t>
      </w:r>
    </w:p>
    <w:p>
      <w:pPr>
        <w:ind w:left="2860"/>
        <w:spacing w:after="0" w:line="231" w:lineRule="auto"/>
        <w:rPr>
          <w:sz w:val="20"/>
          <w:szCs w:val="20"/>
          <w:color w:val="auto"/>
        </w:rPr>
      </w:pPr>
      <w:r>
        <w:rPr>
          <w:rFonts w:ascii="Arial" w:cs="Arial" w:eastAsia="Arial" w:hAnsi="Arial"/>
          <w:sz w:val="22"/>
          <w:szCs w:val="22"/>
          <w:color w:val="auto"/>
        </w:rPr>
        <w:t>AVIS OPERATIONS, LLC</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AVIS RENT A CAR SYSTEM, LLC</w:t>
      </w:r>
    </w:p>
    <w:p>
      <w:pPr>
        <w:spacing w:after="0" w:line="2"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PF CLAIMS MANAGEMENT, LTD.</w:t>
      </w:r>
    </w:p>
    <w:p>
      <w:pPr>
        <w:ind w:left="2860"/>
        <w:spacing w:after="0" w:line="232" w:lineRule="auto"/>
        <w:rPr>
          <w:sz w:val="20"/>
          <w:szCs w:val="20"/>
          <w:color w:val="auto"/>
        </w:rPr>
      </w:pPr>
      <w:r>
        <w:rPr>
          <w:rFonts w:ascii="Arial" w:cs="Arial" w:eastAsia="Arial" w:hAnsi="Arial"/>
          <w:sz w:val="22"/>
          <w:szCs w:val="22"/>
          <w:color w:val="auto"/>
        </w:rPr>
        <w:t>PR HOLDCO, INC.</w:t>
      </w:r>
    </w:p>
    <w:p>
      <w:pPr>
        <w:ind w:left="2860"/>
        <w:spacing w:after="0"/>
        <w:rPr>
          <w:sz w:val="20"/>
          <w:szCs w:val="20"/>
          <w:color w:val="auto"/>
        </w:rPr>
      </w:pPr>
      <w:r>
        <w:rPr>
          <w:rFonts w:ascii="Arial" w:cs="Arial" w:eastAsia="Arial" w:hAnsi="Arial"/>
          <w:sz w:val="22"/>
          <w:szCs w:val="22"/>
          <w:color w:val="auto"/>
        </w:rPr>
        <w:t>WIZARD CO., INC.</w:t>
      </w:r>
    </w:p>
    <w:p>
      <w:pPr>
        <w:spacing w:after="0" w:line="26"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118745</wp:posOffset>
            </wp:positionV>
            <wp:extent cx="1869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73"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Name:</w:t>
        <w:tab/>
        <w:t>David B. Wyshner</w:t>
      </w:r>
    </w:p>
    <w:p>
      <w:pPr>
        <w:spacing w:after="0" w:line="206"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ectPr>
          <w:pgSz w:w="11900" w:h="16838" w:orient="portrait"/>
          <w:cols w:equalWidth="0" w:num="1">
            <w:col w:w="9019"/>
          </w:cols>
          <w:pgMar w:left="1440" w:top="1253" w:right="1440" w:bottom="1440" w:gutter="0" w:footer="0" w:header="0"/>
        </w:sectPr>
      </w:pPr>
    </w:p>
    <w:bookmarkStart w:id="194" w:name="page195"/>
    <w:bookmarkEnd w:id="194"/>
    <w:p>
      <w:pPr>
        <w:ind w:left="2860"/>
        <w:spacing w:after="0"/>
        <w:rPr>
          <w:sz w:val="20"/>
          <w:szCs w:val="20"/>
          <w:color w:val="auto"/>
        </w:rPr>
      </w:pPr>
      <w:r>
        <w:rPr>
          <w:rFonts w:ascii="Arial" w:cs="Arial" w:eastAsia="Arial" w:hAnsi="Arial"/>
          <w:sz w:val="22"/>
          <w:szCs w:val="22"/>
          <w:color w:val="auto"/>
        </w:rPr>
        <w:t>BGI LEASING, INC.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BUDGET RENT A CAR SYSTEM, INC.</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ZIPCAR, INC.</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David B. Wyshner</w:t>
            </w:r>
          </w:p>
        </w:tc>
        <w:tc>
          <w:tcPr>
            <w:tcW w:w="0" w:type="dxa"/>
            <w:vAlign w:val="bottom"/>
          </w:tcPr>
          <w:p>
            <w:pPr>
              <w:spacing w:after="0"/>
              <w:rPr>
                <w:sz w:val="1"/>
                <w:szCs w:val="1"/>
                <w:color w:val="auto"/>
              </w:rPr>
            </w:pPr>
          </w:p>
        </w:tc>
      </w:tr>
      <w:tr>
        <w:trPr>
          <w:trHeight w:val="34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David B. Wyshner</w:t>
            </w:r>
          </w:p>
        </w:tc>
        <w:tc>
          <w:tcPr>
            <w:tcW w:w="0" w:type="dxa"/>
            <w:vAlign w:val="bottom"/>
          </w:tcPr>
          <w:p>
            <w:pPr>
              <w:spacing w:after="0"/>
              <w:rPr>
                <w:sz w:val="1"/>
                <w:szCs w:val="1"/>
                <w:color w:val="auto"/>
              </w:rPr>
            </w:pPr>
          </w:p>
        </w:tc>
      </w:tr>
      <w:tr>
        <w:trPr>
          <w:trHeight w:val="590"/>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w w:val="90"/>
              </w:rPr>
              <w:t>Senior Executive Vice President,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940" w:type="dxa"/>
            <w:vAlign w:val="bottom"/>
          </w:tcPr>
          <w:p>
            <w:pPr>
              <w:ind w:left="40"/>
              <w:spacing w:after="0" w:line="243" w:lineRule="exact"/>
              <w:rPr>
                <w:sz w:val="20"/>
                <w:szCs w:val="20"/>
                <w:color w:val="auto"/>
              </w:rPr>
            </w:pPr>
            <w:r>
              <w:rPr>
                <w:rFonts w:ascii="Arial" w:cs="Arial" w:eastAsia="Arial" w:hAnsi="Arial"/>
                <w:sz w:val="22"/>
                <w:szCs w:val="22"/>
                <w:color w:val="auto"/>
              </w:rPr>
              <w:t>Chief Financial Officer and</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BUDGET RENT A CAR LICENSOR, LLC</w:t>
      </w:r>
    </w:p>
    <w:p>
      <w:pPr>
        <w:spacing w:after="0" w:line="20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BUDGET TRUCK RENTAL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RUNABOUT,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WIZARD SERVICES, INC.</w:t>
      </w:r>
    </w:p>
    <w:p>
      <w:pPr>
        <w:spacing w:after="0" w:line="220"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Name:</w:t>
        <w:tab/>
        <w:t>David B. Wyshner</w:t>
      </w:r>
    </w:p>
    <w:p>
      <w:pPr>
        <w:spacing w:after="0" w:line="382"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Chief Financial</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Officer and Treasurer</w:t>
      </w:r>
    </w:p>
    <w:p>
      <w:pPr>
        <w:sectPr>
          <w:pgSz w:w="11900" w:h="16838" w:orient="portrait"/>
          <w:cols w:equalWidth="0" w:num="1">
            <w:col w:w="9019"/>
          </w:cols>
          <w:pgMar w:left="1440" w:top="1253" w:right="1440" w:bottom="1440" w:gutter="0" w:footer="0" w:header="0"/>
        </w:sectPr>
      </w:pPr>
    </w:p>
    <w:bookmarkStart w:id="195" w:name="page196"/>
    <w:bookmarkEnd w:id="195"/>
    <w:p>
      <w:pPr>
        <w:ind w:left="2860"/>
        <w:spacing w:after="0"/>
        <w:rPr>
          <w:sz w:val="20"/>
          <w:szCs w:val="20"/>
          <w:color w:val="auto"/>
        </w:rPr>
      </w:pPr>
      <w:r>
        <w:rPr>
          <w:rFonts w:ascii="Arial" w:cs="Arial" w:eastAsia="Arial" w:hAnsi="Arial"/>
          <w:sz w:val="22"/>
          <w:szCs w:val="22"/>
          <w:color w:val="auto"/>
        </w:rPr>
        <w:t>DEUTSCHE BANK TRUST COMPANY</w:t>
      </w:r>
    </w:p>
    <w:p>
      <w:pPr>
        <w:ind w:left="2860"/>
        <w:spacing w:after="0" w:line="238" w:lineRule="auto"/>
        <w:rPr>
          <w:sz w:val="20"/>
          <w:szCs w:val="20"/>
          <w:color w:val="auto"/>
        </w:rPr>
      </w:pPr>
      <w:r>
        <w:rPr>
          <w:rFonts w:ascii="Arial" w:cs="Arial" w:eastAsia="Arial" w:hAnsi="Arial"/>
          <w:sz w:val="22"/>
          <w:szCs w:val="22"/>
          <w:color w:val="auto"/>
        </w:rPr>
        <w:t>AMERICAS,</w:t>
      </w:r>
    </w:p>
    <w:p>
      <w:pPr>
        <w:ind w:left="28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 Deutsche Bank National Trust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Name:</w:t>
        <w:tab/>
        <w:t>Jacqueline Bartnick</w:t>
      </w:r>
    </w:p>
    <w:p>
      <w:pPr>
        <w:spacing w:after="0" w:line="382" w:lineRule="exact"/>
        <w:rPr>
          <w:sz w:val="20"/>
          <w:szCs w:val="20"/>
          <w:color w:val="auto"/>
        </w:rPr>
      </w:pPr>
    </w:p>
    <w:p>
      <w:pPr>
        <w:ind w:left="2860"/>
        <w:spacing w:after="0"/>
        <w:tabs>
          <w:tab w:leader="none" w:pos="3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86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40"/>
              <w:spacing w:after="0"/>
              <w:rPr>
                <w:sz w:val="20"/>
                <w:szCs w:val="20"/>
                <w:color w:val="auto"/>
              </w:rPr>
            </w:pPr>
            <w:r>
              <w:rPr>
                <w:rFonts w:ascii="Arial" w:cs="Arial" w:eastAsia="Arial" w:hAnsi="Arial"/>
                <w:sz w:val="22"/>
                <w:szCs w:val="22"/>
                <w:color w:val="auto"/>
              </w:rPr>
              <w:t>/s/ Wanda Camacho</w:t>
            </w:r>
          </w:p>
        </w:tc>
        <w:tc>
          <w:tcPr>
            <w:tcW w:w="0" w:type="dxa"/>
            <w:vAlign w:val="bottom"/>
          </w:tcPr>
          <w:p>
            <w:pPr>
              <w:spacing w:after="0"/>
              <w:rPr>
                <w:sz w:val="1"/>
                <w:szCs w:val="1"/>
                <w:color w:val="auto"/>
              </w:rPr>
            </w:pPr>
          </w:p>
        </w:tc>
      </w:tr>
      <w:tr>
        <w:trPr>
          <w:trHeight w:val="34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 w:type="dxa"/>
            <w:vAlign w:val="bottom"/>
            <w:vMerge w:val="continue"/>
          </w:tcPr>
          <w:p>
            <w:pPr>
              <w:spacing w:after="0"/>
              <w:rPr>
                <w:sz w:val="23"/>
                <w:szCs w:val="23"/>
                <w:color w:val="auto"/>
              </w:rPr>
            </w:pPr>
          </w:p>
        </w:tc>
        <w:tc>
          <w:tcPr>
            <w:tcW w:w="2940" w:type="dxa"/>
            <w:vAlign w:val="bottom"/>
          </w:tcPr>
          <w:p>
            <w:pPr>
              <w:ind w:left="40"/>
              <w:spacing w:after="0"/>
              <w:rPr>
                <w:sz w:val="20"/>
                <w:szCs w:val="20"/>
                <w:color w:val="auto"/>
              </w:rPr>
            </w:pPr>
            <w:r>
              <w:rPr>
                <w:rFonts w:ascii="Arial" w:cs="Arial" w:eastAsia="Arial" w:hAnsi="Arial"/>
                <w:sz w:val="22"/>
                <w:szCs w:val="22"/>
                <w:color w:val="auto"/>
              </w:rPr>
              <w:t>Wanda Camacho</w:t>
            </w:r>
          </w:p>
        </w:tc>
        <w:tc>
          <w:tcPr>
            <w:tcW w:w="0" w:type="dxa"/>
            <w:vAlign w:val="bottom"/>
          </w:tcPr>
          <w:p>
            <w:pPr>
              <w:spacing w:after="0"/>
              <w:rPr>
                <w:sz w:val="1"/>
                <w:szCs w:val="1"/>
                <w:color w:val="auto"/>
              </w:rPr>
            </w:pPr>
          </w:p>
        </w:tc>
      </w:tr>
      <w:tr>
        <w:trPr>
          <w:trHeight w:val="621"/>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ind w:left="4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1253"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Note</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AVIS BUDGET CAR RENTAL, LLC</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AVIS BUDGET FINANCE, INC.</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6.375% Senior Notes due 2024</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CUSIP No. _______________</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___ $______________</w:t>
      </w:r>
    </w:p>
    <w:p>
      <w:pPr>
        <w:spacing w:after="0" w:line="24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Avis Budget Car Rental, LLC, a limited liability company duly organized and existing under the laws of the State of Delaware, and Avis Budget Finance, Inc., a corporation duly organized and existing under the laws of the State of Delaware (together, “the </w:t>
      </w:r>
      <w:r>
        <w:rPr>
          <w:rFonts w:ascii="Arial" w:cs="Arial" w:eastAsia="Arial" w:hAnsi="Arial"/>
          <w:sz w:val="19"/>
          <w:szCs w:val="19"/>
          <w:u w:val="single" w:color="auto"/>
          <w:color w:val="auto"/>
        </w:rPr>
        <w:t>Company</w:t>
      </w:r>
      <w:r>
        <w:rPr>
          <w:rFonts w:ascii="Arial" w:cs="Arial" w:eastAsia="Arial" w:hAnsi="Arial"/>
          <w:sz w:val="19"/>
          <w:szCs w:val="19"/>
          <w:color w:val="auto"/>
        </w:rPr>
        <w:t>,” which term includes their successors and assigns), promise to pay to ___________, or registered assigns,</w:t>
      </w:r>
    </w:p>
    <w:p>
      <w:pPr>
        <w:spacing w:after="0" w:line="1" w:lineRule="exact"/>
        <w:rPr>
          <w:sz w:val="20"/>
          <w:szCs w:val="20"/>
          <w:color w:val="auto"/>
        </w:rPr>
      </w:pPr>
    </w:p>
    <w:p>
      <w:pPr>
        <w:spacing w:after="0"/>
        <w:tabs>
          <w:tab w:leader="none" w:pos="5860" w:val="left"/>
        </w:tabs>
        <w:rPr>
          <w:sz w:val="20"/>
          <w:szCs w:val="20"/>
          <w:color w:val="auto"/>
        </w:rPr>
      </w:pPr>
      <w:r>
        <w:rPr>
          <w:rFonts w:ascii="Arial" w:cs="Arial" w:eastAsia="Arial" w:hAnsi="Arial"/>
          <w:sz w:val="22"/>
          <w:szCs w:val="22"/>
          <w:color w:val="auto"/>
        </w:rPr>
        <w:t>the principal sum of $___________________ ([</w:t>
      </w:r>
      <w:r>
        <w:rPr>
          <w:sz w:val="20"/>
          <w:szCs w:val="20"/>
          <w:color w:val="auto"/>
        </w:rPr>
        <w:tab/>
      </w:r>
      <w:r>
        <w:rPr>
          <w:rFonts w:ascii="Arial" w:cs="Arial" w:eastAsia="Arial" w:hAnsi="Arial"/>
          <w:sz w:val="19"/>
          <w:szCs w:val="19"/>
          <w:color w:val="auto"/>
        </w:rPr>
        <w:t>] United States Dollars) [(or such lesser or greater amount as</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9"/>
          <w:szCs w:val="19"/>
          <w:color w:val="auto"/>
        </w:rPr>
        <w:t>shall be outstanding hereunder from 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April 1, 2024. The Company promises to pay interest semi-annually in cash on April 1 and October 1 of each year, commencing [●], 20[●], at the rate of 6.375%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w:t>
      </w:r>
    </w:p>
    <w:p>
      <w:pPr>
        <w:spacing w:after="0" w:line="6"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computed on the basis of a 360-day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071" w:right="239" w:bottom="1440" w:gutter="0" w:footer="0" w:header="0"/>
        </w:sectPr>
      </w:pPr>
    </w:p>
    <w:bookmarkStart w:id="197" w:name="page198"/>
    <w:bookmarkEnd w:id="197"/>
    <w:p>
      <w:pPr>
        <w:ind w:right="20" w:firstLine="648"/>
        <w:spacing w:after="0" w:line="250" w:lineRule="auto"/>
        <w:rPr>
          <w:sz w:val="20"/>
          <w:szCs w:val="20"/>
          <w:color w:val="auto"/>
        </w:rPr>
      </w:pPr>
      <w:r>
        <w:rPr>
          <w:rFonts w:ascii="Arial" w:cs="Arial" w:eastAsia="Arial" w:hAnsi="Arial"/>
          <w:sz w:val="22"/>
          <w:szCs w:val="22"/>
          <w:color w:val="auto"/>
        </w:rPr>
        <w:t xml:space="preserve">Payment of the principal of (and premium, if any) and interest on this Note will be made at the office of the applicable Paying Agent, or such other office or agency of the Company maintained for that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at the option of the Company payment of interest may be made by check mailed to the address of the Person entitled thereto as such address shall appear in the Notes Register.</w:t>
      </w:r>
    </w:p>
    <w:p>
      <w:pPr>
        <w:spacing w:after="0" w:line="200" w:lineRule="exact"/>
        <w:rPr>
          <w:sz w:val="20"/>
          <w:szCs w:val="20"/>
          <w:color w:val="auto"/>
        </w:rPr>
      </w:pPr>
    </w:p>
    <w:p>
      <w:pPr>
        <w:spacing w:after="0" w:line="380"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20"/>
          </w:cols>
          <w:pgMar w:left="240" w:top="847"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IN WITNESS WHEREOF, the Company has caused this instrument to be duly executed.</w:t>
      </w:r>
    </w:p>
    <w:p>
      <w:pPr>
        <w:sectPr>
          <w:pgSz w:w="11900" w:h="16838" w:orient="portrait"/>
          <w:cols w:equalWidth="0" w:num="1">
            <w:col w:w="9559"/>
          </w:cols>
          <w:pgMar w:left="900" w:top="9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AVIS BUDGET CAR RENTAL, LLC</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230505</wp:posOffset>
            </wp:positionV>
            <wp:extent cx="1869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AVIS BUDGET FINANCE, INC.</w:t>
      </w:r>
    </w:p>
    <w:p>
      <w:pPr>
        <w:spacing w:after="0" w:line="200" w:lineRule="exact"/>
        <w:rPr>
          <w:sz w:val="20"/>
          <w:szCs w:val="20"/>
          <w:color w:val="auto"/>
        </w:rPr>
      </w:pPr>
    </w:p>
    <w:p>
      <w:pPr>
        <w:spacing w:after="0" w:line="274"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230505</wp:posOffset>
            </wp:positionV>
            <wp:extent cx="1869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9559"/>
          </w:cols>
          <w:pgMar w:left="900" w:top="969" w:right="1440"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DEUTSCHE BANK TRUST COMPANY</w:t>
      </w:r>
    </w:p>
    <w:p>
      <w:pPr>
        <w:ind w:left="3400"/>
        <w:spacing w:after="0" w:line="238" w:lineRule="auto"/>
        <w:rPr>
          <w:sz w:val="20"/>
          <w:szCs w:val="20"/>
          <w:color w:val="auto"/>
        </w:rPr>
      </w:pPr>
      <w:r>
        <w:rPr>
          <w:rFonts w:ascii="Arial" w:cs="Arial" w:eastAsia="Arial" w:hAnsi="Arial"/>
          <w:sz w:val="22"/>
          <w:szCs w:val="22"/>
          <w:color w:val="auto"/>
        </w:rPr>
        <w:t>AMERICAS,</w:t>
      </w:r>
    </w:p>
    <w:p>
      <w:pPr>
        <w:ind w:left="34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279"/>
        <w:spacing w:after="0"/>
        <w:rPr>
          <w:sz w:val="20"/>
          <w:szCs w:val="20"/>
          <w:color w:val="auto"/>
        </w:rPr>
      </w:pPr>
      <w:r>
        <w:rPr>
          <w:rFonts w:ascii="Arial" w:cs="Arial" w:eastAsia="Arial" w:hAnsi="Arial"/>
          <w:sz w:val="22"/>
          <w:szCs w:val="22"/>
          <w:color w:val="auto"/>
        </w:rPr>
        <w:t>By: Deutsche Bank National Trust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230505</wp:posOffset>
            </wp:positionV>
            <wp:extent cx="1869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230505</wp:posOffset>
            </wp:positionV>
            <wp:extent cx="1869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9559"/>
          </w:cols>
          <w:pgMar w:left="900" w:top="969" w:right="1440"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22"/>
          <w:szCs w:val="22"/>
          <w:b w:val="1"/>
          <w:bCs w:val="1"/>
          <w:color w:val="auto"/>
        </w:rPr>
        <w:t>Additional Terms of the Notes</w:t>
      </w:r>
    </w:p>
    <w:p>
      <w:pPr>
        <w:spacing w:after="0" w:line="200" w:lineRule="exact"/>
        <w:rPr>
          <w:sz w:val="20"/>
          <w:szCs w:val="20"/>
          <w:color w:val="auto"/>
        </w:rPr>
      </w:pPr>
    </w:p>
    <w:p>
      <w:pPr>
        <w:spacing w:after="0" w:line="269"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This Note is one of the duly authorized issue of 6.375% Senior Notes due 2024 of the Company (herein called the “</w:t>
      </w:r>
      <w:r>
        <w:rPr>
          <w:rFonts w:ascii="Arial" w:cs="Arial" w:eastAsia="Arial" w:hAnsi="Arial"/>
          <w:sz w:val="19"/>
          <w:szCs w:val="19"/>
          <w:u w:val="single" w:color="auto"/>
          <w:color w:val="auto"/>
        </w:rPr>
        <w:t>Notes</w:t>
      </w:r>
      <w:r>
        <w:rPr>
          <w:rFonts w:ascii="Arial" w:cs="Arial" w:eastAsia="Arial" w:hAnsi="Arial"/>
          <w:sz w:val="19"/>
          <w:szCs w:val="19"/>
          <w:color w:val="auto"/>
        </w:rPr>
        <w:t>”), issued under an Indenture, dated as of March 29, 2016 (as amended and supplemented, herein called the “</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which term shall have the meanings assigned to it in such instrument), among the Company, the Guarantors from time to time parties thereto (“the </w:t>
      </w:r>
      <w:r>
        <w:rPr>
          <w:rFonts w:ascii="Arial" w:cs="Arial" w:eastAsia="Arial" w:hAnsi="Arial"/>
          <w:sz w:val="19"/>
          <w:szCs w:val="19"/>
          <w:u w:val="single" w:color="auto"/>
          <w:color w:val="auto"/>
        </w:rPr>
        <w:t>Guarantors</w:t>
      </w:r>
      <w:r>
        <w:rPr>
          <w:rFonts w:ascii="Arial" w:cs="Arial" w:eastAsia="Arial" w:hAnsi="Arial"/>
          <w:sz w:val="19"/>
          <w:szCs w:val="19"/>
          <w:color w:val="auto"/>
        </w:rPr>
        <w:t>”) and Deutsche Bank Trust Company Americas,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 which term includes any successor trustee under the Indenture), and reference is hereby made to the Indenture for a statement of the respective rights, limitations of rights, duties and immunities thereunder of the Company,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Company nor any Guarantor shall be required to make any notation on this Note to reflect any Guarantee or any such release, termination or discharge.</w:t>
      </w:r>
    </w:p>
    <w:p>
      <w:pPr>
        <w:spacing w:after="0" w:line="200" w:lineRule="exact"/>
        <w:rPr>
          <w:sz w:val="20"/>
          <w:szCs w:val="20"/>
          <w:color w:val="auto"/>
        </w:rPr>
      </w:pPr>
    </w:p>
    <w:p>
      <w:pPr>
        <w:spacing w:after="0" w:line="38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Notes will be redeemable, at the Company’s option, in whole or in part, at any time and from time to time on or after April 1, 2019, and prior to maturity at the applicable redemption price set forth below. Such redemption may be made upon not less than 30 nor more than 60 days’ prior notice by electronic delivery or first-class mail, postage prepaid, with a copy to the Trustee, to each Holder’s registered address in accordance with the Indenture. The Company may provide in such notice that payment of the redemption price and the performance of the Company’s obligations with respect to such redemption may be performed by another Person. Any such redemption and notice may, in the Company’s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April 1 of each of the years set forth below: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380"/>
          </w:cols>
          <w:pgMar w:left="240" w:top="855" w:right="279" w:bottom="1440" w:gutter="0" w:footer="0" w:header="0"/>
        </w:sectPr>
      </w:pPr>
    </w:p>
    <w:bookmarkStart w:id="201" w:name="page202"/>
    <w:bookmarkEnd w:id="201"/>
    <w:tbl>
      <w:tblPr>
        <w:tblLayout w:type="fixed"/>
        <w:tblInd w:w="3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b w:val="1"/>
                <w:bCs w:val="1"/>
                <w:color w:val="auto"/>
                <w:w w:val="87"/>
              </w:rPr>
              <w:t>Period</w:t>
            </w:r>
          </w:p>
        </w:tc>
        <w:tc>
          <w:tcPr>
            <w:tcW w:w="7120" w:type="dxa"/>
            <w:vAlign w:val="bottom"/>
          </w:tcPr>
          <w:p>
            <w:pPr>
              <w:spacing w:after="0"/>
              <w:rPr>
                <w:sz w:val="21"/>
                <w:szCs w:val="21"/>
                <w:color w:val="auto"/>
              </w:rPr>
            </w:pPr>
          </w:p>
        </w:tc>
        <w:tc>
          <w:tcPr>
            <w:tcW w:w="2920" w:type="dxa"/>
            <w:vAlign w:val="bottom"/>
            <w:gridSpan w:val="2"/>
          </w:tcPr>
          <w:p>
            <w:pPr>
              <w:jc w:val="right"/>
              <w:ind w:right="1152"/>
              <w:spacing w:after="0"/>
              <w:rPr>
                <w:sz w:val="20"/>
                <w:szCs w:val="20"/>
                <w:color w:val="auto"/>
              </w:rPr>
            </w:pPr>
            <w:r>
              <w:rPr>
                <w:rFonts w:ascii="Arial" w:cs="Arial" w:eastAsia="Arial" w:hAnsi="Arial"/>
                <w:sz w:val="22"/>
                <w:szCs w:val="22"/>
                <w:b w:val="1"/>
                <w:bCs w:val="1"/>
                <w:color w:val="auto"/>
                <w:w w:val="87"/>
              </w:rPr>
              <w:t>Redemption Price</w:t>
            </w:r>
          </w:p>
        </w:tc>
      </w:tr>
      <w:tr>
        <w:trPr>
          <w:trHeight w:val="328"/>
        </w:trPr>
        <w:tc>
          <w:tcPr>
            <w:tcW w:w="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2019</w:t>
            </w:r>
          </w:p>
        </w:tc>
        <w:tc>
          <w:tcPr>
            <w:tcW w:w="71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104.781%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2020</w:t>
            </w:r>
          </w:p>
        </w:tc>
        <w:tc>
          <w:tcPr>
            <w:tcW w:w="712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103.188%</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2021</w:t>
            </w:r>
          </w:p>
        </w:tc>
        <w:tc>
          <w:tcPr>
            <w:tcW w:w="712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101.594%</w:t>
            </w:r>
          </w:p>
        </w:tc>
      </w:tr>
      <w:tr>
        <w:trPr>
          <w:trHeight w:val="297"/>
        </w:trPr>
        <w:tc>
          <w:tcPr>
            <w:tcW w:w="7740" w:type="dxa"/>
            <w:vAlign w:val="bottom"/>
            <w:gridSpan w:val="2"/>
          </w:tcPr>
          <w:p>
            <w:pPr>
              <w:spacing w:after="0"/>
              <w:rPr>
                <w:sz w:val="20"/>
                <w:szCs w:val="20"/>
                <w:color w:val="auto"/>
              </w:rPr>
            </w:pPr>
            <w:r>
              <w:rPr>
                <w:rFonts w:ascii="Arial" w:cs="Arial" w:eastAsia="Arial" w:hAnsi="Arial"/>
                <w:sz w:val="22"/>
                <w:szCs w:val="22"/>
                <w:color w:val="auto"/>
              </w:rPr>
              <w:t>2022 and thereafter</w:t>
            </w: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100.000%</w:t>
            </w:r>
          </w:p>
        </w:tc>
      </w:tr>
    </w:tbl>
    <w:p>
      <w:pPr>
        <w:spacing w:after="0" w:line="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In addition, at any time and from time to time on or prior to April 1, 2019, the Company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106.375%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of one or more Equity Offerings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aggregate principal amount of Notes equal to at least 50% of the original aggregate principal amount of Notes (including the principal amount of any Additional Notes) must remain outstanding after each such redemption. The Company may make such redemption upon not less than 30 nor more than 60 days’ prior notice mailed by electronic delivery or first-class mail, with a copy to the Trustee, to each Holder’s registered address in accordance with the Indenture (but in no event more than 180 days after the completion of the related Equity Offering). The Company may provide in such notice that payment of the redemption price and performance of the Company’s obligations with respect to such redemption may be performed by another Person.</w:t>
      </w:r>
    </w:p>
    <w:p>
      <w:pPr>
        <w:spacing w:after="0" w:line="200" w:lineRule="exact"/>
        <w:rPr>
          <w:sz w:val="20"/>
          <w:szCs w:val="20"/>
          <w:color w:val="auto"/>
        </w:rPr>
      </w:pPr>
    </w:p>
    <w:p>
      <w:pPr>
        <w:spacing w:after="0" w:line="359" w:lineRule="exact"/>
        <w:rPr>
          <w:sz w:val="20"/>
          <w:szCs w:val="20"/>
          <w:color w:val="auto"/>
        </w:rPr>
      </w:pPr>
    </w:p>
    <w:p>
      <w:pPr>
        <w:ind w:right="140" w:firstLine="648"/>
        <w:spacing w:after="0" w:line="259" w:lineRule="auto"/>
        <w:rPr>
          <w:sz w:val="20"/>
          <w:szCs w:val="20"/>
          <w:color w:val="auto"/>
        </w:rPr>
      </w:pPr>
      <w:r>
        <w:rPr>
          <w:rFonts w:ascii="Arial" w:cs="Arial" w:eastAsia="Arial" w:hAnsi="Arial"/>
          <w:sz w:val="21"/>
          <w:szCs w:val="21"/>
          <w:color w:val="auto"/>
        </w:rPr>
        <w:t>At any time prior to April 1, 2019, Notes may also be redeemed or purchased by the Company in whole or in part, at the Company’s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30 nor more than 60 days’ notice mailed by electronic delivery or first-class mail, postage prepaid, with a copy to the Trustee, to each Holder’s registered address in accordance with the Indenture. The Company may provide in such notice that payment of the Redemption Price and performance of the Company’s obligations with respect to such redemption or purchase may be performed by another Person.</w:t>
      </w:r>
    </w:p>
    <w:p>
      <w:pPr>
        <w:spacing w:after="0" w:line="200" w:lineRule="exact"/>
        <w:rPr>
          <w:sz w:val="20"/>
          <w:szCs w:val="20"/>
          <w:color w:val="auto"/>
        </w:rPr>
      </w:pPr>
    </w:p>
    <w:p>
      <w:pPr>
        <w:spacing w:after="0" w:line="376"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Notice of any redemption of the Notes in connection with a corporate transaction (including an Equity Offering, an incurrence of Indebtedness or a Change of Control) may, at the Company’s discretion, be given prior to the completion thereof and any redemption or notice of redemption may, at the Company’s discretion, be subject to one or more conditions precedent, including, but not limited to, completion of the related transaction. If such redemption 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967" w:right="239" w:bottom="1440" w:gutter="0" w:footer="0" w:header="0"/>
        </w:sectPr>
      </w:pPr>
    </w:p>
    <w:bookmarkStart w:id="202" w:name="page203"/>
    <w:bookmarkEnd w:id="202"/>
    <w:p>
      <w:pPr>
        <w:ind w:right="80"/>
        <w:spacing w:after="0" w:line="261" w:lineRule="auto"/>
        <w:rPr>
          <w:sz w:val="20"/>
          <w:szCs w:val="20"/>
          <w:color w:val="auto"/>
        </w:rPr>
      </w:pPr>
      <w:r>
        <w:rPr>
          <w:rFonts w:ascii="Arial" w:cs="Arial" w:eastAsia="Arial" w:hAnsi="Arial"/>
          <w:sz w:val="21"/>
          <w:szCs w:val="21"/>
          <w:color w:val="auto"/>
        </w:rPr>
        <w:t>purchase is so subject to satisfaction of one or more conditions precedent, such notice shall describe each such condition, and if applicable, shall state that, in the Company’s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200" w:lineRule="exact"/>
        <w:rPr>
          <w:sz w:val="20"/>
          <w:szCs w:val="20"/>
          <w:color w:val="auto"/>
        </w:rPr>
      </w:pPr>
    </w:p>
    <w:p>
      <w:pPr>
        <w:spacing w:after="0" w:line="372"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The Indenture provides that, upon the occurrence after the Issue Date of a Change of Control, each Holder will have the right to require that the Company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obligated to repurchase the Notes in the event it has previously or concurrently exercised its right to redeem all the outstanding Notes as described above.</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0" w:lineRule="exact"/>
        <w:rPr>
          <w:sz w:val="20"/>
          <w:szCs w:val="20"/>
          <w:color w:val="auto"/>
        </w:rPr>
      </w:pPr>
    </w:p>
    <w:p>
      <w:pPr>
        <w:spacing w:after="0" w:line="378"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If an Event of Default, other than an Event of Default relating to bankruptcy, insolvency or similar events with respect to the Company,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 Event of Default relating to such bankruptcy, insolvency or similar events with respect to the Company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00" w:lineRule="exact"/>
        <w:rPr>
          <w:sz w:val="20"/>
          <w:szCs w:val="20"/>
          <w:color w:val="auto"/>
        </w:rPr>
      </w:pPr>
    </w:p>
    <w:p>
      <w:pPr>
        <w:spacing w:after="0" w:line="38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20"/>
          </w:cols>
          <w:pgMar w:left="240" w:top="848" w:right="239" w:bottom="1440" w:gutter="0" w:footer="0" w:header="0"/>
        </w:sectPr>
      </w:pPr>
    </w:p>
    <w:bookmarkStart w:id="203" w:name="page204"/>
    <w:bookmarkEnd w:id="203"/>
    <w:p>
      <w:pPr>
        <w:ind w:right="40"/>
        <w:spacing w:after="0" w:line="247" w:lineRule="auto"/>
        <w:rPr>
          <w:sz w:val="20"/>
          <w:szCs w:val="20"/>
          <w:color w:val="auto"/>
        </w:rPr>
      </w:pPr>
      <w:r>
        <w:rPr>
          <w:rFonts w:ascii="Arial" w:cs="Arial" w:eastAsia="Arial" w:hAnsi="Arial"/>
          <w:sz w:val="22"/>
          <w:szCs w:val="22"/>
          <w:color w:val="auto"/>
        </w:rPr>
        <w:t>the time outstanding to be affected. The Indenture also contains provisions permitting the Holders of specified percentages in principal amount of the Notes at the time Outstanding, on behalf of the Holders of all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85"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375"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200" w:lineRule="exact"/>
        <w:rPr>
          <w:sz w:val="20"/>
          <w:szCs w:val="20"/>
          <w:color w:val="auto"/>
        </w:rPr>
      </w:pPr>
    </w:p>
    <w:p>
      <w:pPr>
        <w:spacing w:after="0" w:line="378"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Company in a place of payment, duly endorsed by, or accompanied by a written instrument of transfer in form satisfactory to the Company and the Notes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420"/>
          </w:cols>
          <w:pgMar w:left="240" w:top="848" w:right="239" w:bottom="1440" w:gutter="0" w:footer="0" w:header="0"/>
        </w:sectPr>
      </w:pPr>
    </w:p>
    <w:bookmarkStart w:id="204" w:name="page205"/>
    <w:bookmarkEnd w:id="204"/>
    <w:p>
      <w:pPr>
        <w:ind w:firstLine="648"/>
        <w:spacing w:after="0" w:line="250" w:lineRule="auto"/>
        <w:rPr>
          <w:sz w:val="20"/>
          <w:szCs w:val="20"/>
          <w:color w:val="auto"/>
        </w:rPr>
      </w:pPr>
      <w:r>
        <w:rPr>
          <w:rFonts w:ascii="Arial" w:cs="Arial" w:eastAsia="Arial" w:hAnsi="Arial"/>
          <w:sz w:val="22"/>
          <w:szCs w:val="22"/>
          <w:color w:val="auto"/>
        </w:rPr>
        <w:t>The Notes are issuable only in fully registered form without coupons in minimum denominations of $2,000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00" w:lineRule="exact"/>
        <w:rPr>
          <w:sz w:val="20"/>
          <w:szCs w:val="20"/>
          <w:color w:val="auto"/>
        </w:rPr>
      </w:pPr>
    </w:p>
    <w:p>
      <w:pPr>
        <w:spacing w:after="0" w:line="38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Company may require payment of a sum sufficient to cover any transfer tax or other governmental charge payable in connection therewith.</w:t>
      </w:r>
    </w:p>
    <w:p>
      <w:pPr>
        <w:spacing w:after="0" w:line="200" w:lineRule="exact"/>
        <w:rPr>
          <w:sz w:val="20"/>
          <w:szCs w:val="20"/>
          <w:color w:val="auto"/>
        </w:rPr>
      </w:pPr>
    </w:p>
    <w:p>
      <w:pPr>
        <w:spacing w:after="0" w:line="34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Prior to due presentment of this Note for registration or transfer, the Company, any other obligor in respect of this Note, the Trustee and any agent of the Company, such other obligor or the Trustee may treat the Person in whose name this Note is registered as the owner hereof for all purposes, whether or not this Note be overdue, and none of the Company, any other obligor upon this Note, the Trustee nor any such agent shall be affected by notice to the contrary.</w:t>
      </w:r>
    </w:p>
    <w:p>
      <w:pPr>
        <w:spacing w:after="0" w:line="200" w:lineRule="exact"/>
        <w:rPr>
          <w:sz w:val="20"/>
          <w:szCs w:val="20"/>
          <w:color w:val="auto"/>
        </w:rPr>
      </w:pPr>
    </w:p>
    <w:p>
      <w:pPr>
        <w:spacing w:after="0" w:line="368"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No director, officer, employee, incorporator, equity holder, member or stockholder, as such, of the Company, any Guarantor or any Subsidiary of any thereof shall have any liability for any obligation of the Company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200" w:lineRule="exact"/>
        <w:rPr>
          <w:sz w:val="20"/>
          <w:szCs w:val="20"/>
          <w:color w:val="auto"/>
        </w:rPr>
      </w:pPr>
    </w:p>
    <w:p>
      <w:pPr>
        <w:spacing w:after="0" w:line="384"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380"/>
          </w:cols>
          <w:pgMar w:left="240" w:top="847" w:right="279" w:bottom="1440" w:gutter="0" w:footer="0" w:header="0"/>
        </w:sectPr>
      </w:pPr>
    </w:p>
    <w:bookmarkStart w:id="205" w:name="page206"/>
    <w:bookmarkEnd w:id="205"/>
    <w:p>
      <w:pPr>
        <w:jc w:val="center"/>
        <w:ind w:right="-79"/>
        <w:spacing w:after="0"/>
        <w:rPr>
          <w:sz w:val="20"/>
          <w:szCs w:val="20"/>
          <w:color w:val="auto"/>
        </w:rPr>
      </w:pPr>
      <w:r>
        <w:rPr>
          <w:rFonts w:ascii="Arial" w:cs="Arial" w:eastAsia="Arial" w:hAnsi="Arial"/>
          <w:sz w:val="22"/>
          <w:szCs w:val="22"/>
          <w:b w:val="1"/>
          <w:bCs w:val="1"/>
          <w:color w:val="auto"/>
        </w:rPr>
        <w:t>GUARANTEE</w:t>
      </w:r>
    </w:p>
    <w:p>
      <w:pPr>
        <w:spacing w:after="0" w:line="200" w:lineRule="exact"/>
        <w:rPr>
          <w:sz w:val="20"/>
          <w:szCs w:val="20"/>
          <w:color w:val="auto"/>
        </w:rPr>
      </w:pPr>
    </w:p>
    <w:p>
      <w:pPr>
        <w:spacing w:after="0" w:line="26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Issuers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200" w:lineRule="exact"/>
        <w:rPr>
          <w:sz w:val="20"/>
          <w:szCs w:val="20"/>
          <w:color w:val="auto"/>
        </w:rPr>
      </w:pPr>
    </w:p>
    <w:p>
      <w:pPr>
        <w:spacing w:after="0" w:line="348"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 xml:space="preserve">Capitalized terms used but not defined herein shall have the meanings ascribed to them in the Indenture, dated as of March 29, 2016, among Avis Budget Car Rental, LLC, a Delaware limited liability company, Avis Budget Finance, Inc., a Delaware corporation (together,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from time to time parties thereto and Deutsche Bank Trust Company Americas, as Trustee (as amended, supplemented or otherwise modified, the “</w:t>
      </w:r>
      <w:r>
        <w:rPr>
          <w:rFonts w:ascii="Arial" w:cs="Arial" w:eastAsia="Arial" w:hAnsi="Arial"/>
          <w:sz w:val="21"/>
          <w:szCs w:val="21"/>
          <w:u w:val="single" w:color="auto"/>
          <w:color w:val="auto"/>
        </w:rPr>
        <w:t>Indenture</w:t>
      </w:r>
      <w:r>
        <w:rPr>
          <w:rFonts w:ascii="Arial" w:cs="Arial" w:eastAsia="Arial" w:hAnsi="Arial"/>
          <w:sz w:val="21"/>
          <w:szCs w:val="21"/>
          <w:color w:val="auto"/>
        </w:rPr>
        <w:t>”).</w:t>
      </w:r>
    </w:p>
    <w:p>
      <w:pPr>
        <w:spacing w:after="0" w:line="200" w:lineRule="exact"/>
        <w:rPr>
          <w:sz w:val="20"/>
          <w:szCs w:val="20"/>
          <w:color w:val="auto"/>
        </w:rPr>
      </w:pPr>
    </w:p>
    <w:p>
      <w:pPr>
        <w:spacing w:after="0" w:line="368"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360"/>
          </w:cols>
          <w:pgMar w:left="240" w:top="855" w:right="29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9"/>
          <w:szCs w:val="19"/>
          <w:color w:val="auto"/>
        </w:rPr>
        <w:t>AVIS BUDGET CAR RENTAL, LLC</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BUDGET FINANCE, INC.</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BUDGET GROUP, INC.</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BUDGET HOLDINGS,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AB CAR RENTAL SERVICES, INC.</w:t>
      </w:r>
    </w:p>
    <w:p>
      <w:pPr>
        <w:spacing w:after="0" w:line="20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AVIS CAR RENTAL GROUP, LLC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252"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A-11</w:t>
      </w:r>
    </w:p>
    <w:p>
      <w:pPr>
        <w:sectPr>
          <w:pgSz w:w="11900" w:h="16838" w:orient="portrait"/>
          <w:cols w:equalWidth="0" w:num="1">
            <w:col w:w="9019"/>
          </w:cols>
          <w:pgMar w:left="1440" w:top="1252" w:right="1440" w:bottom="392" w:gutter="0" w:footer="0" w:header="0"/>
          <w:type w:val="continuous"/>
        </w:sectPr>
      </w:pPr>
    </w:p>
    <w:bookmarkStart w:id="207" w:name="page208"/>
    <w:bookmarkEnd w:id="207"/>
    <w:p>
      <w:pPr>
        <w:spacing w:after="0" w:line="200" w:lineRule="exact"/>
        <w:rPr>
          <w:sz w:val="20"/>
          <w:szCs w:val="20"/>
          <w:color w:val="auto"/>
        </w:rPr>
      </w:pPr>
    </w:p>
    <w:p>
      <w:pPr>
        <w:spacing w:after="0" w:line="26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ARACS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ASIA AND PACIFIC,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CARIBBEAN, LIMITED</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ENTERPRISES, INC.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GROUP HOLDINGS,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INTERNATIONAL, LTD.</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AVIS OPERATIONS,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AVIS RENT A CAR SYSTEM, LLC</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PF CLAIMS MANAGEMENT, LTD.</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PR HOLDCO, INC.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WIZARD CO.,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9019"/>
          </w:cols>
          <w:pgMar w:left="1440" w:top="1440" w:right="1440" w:bottom="1440" w:gutter="0" w:footer="0" w:header="0"/>
        </w:sectPr>
      </w:pPr>
    </w:p>
    <w:bookmarkStart w:id="208" w:name="page209"/>
    <w:bookmarkEnd w:id="208"/>
    <w:p>
      <w:pPr>
        <w:spacing w:after="0" w:line="200" w:lineRule="exact"/>
        <w:rPr>
          <w:sz w:val="20"/>
          <w:szCs w:val="20"/>
          <w:color w:val="auto"/>
        </w:rPr>
      </w:pPr>
    </w:p>
    <w:p>
      <w:pPr>
        <w:spacing w:after="0" w:line="26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BGI LEASING, INC.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BUDGET RENT A CAR SYSTEM, INC.</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ZIPCAR, INC.</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BUDGET RENT A CAR LICENSOR, LLC</w:t>
      </w:r>
    </w:p>
    <w:p>
      <w:pPr>
        <w:spacing w:after="0" w:line="20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BUDGET TRUCK RENTAL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RUNABOUT, LLC</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WIZARD SERVICES, INC.</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230505</wp:posOffset>
            </wp:positionV>
            <wp:extent cx="1869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9019"/>
          </w:cols>
          <w:pgMar w:left="1440" w:top="1440" w:right="1440"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22"/>
          <w:szCs w:val="22"/>
          <w:i w:val="1"/>
          <w:iCs w:val="1"/>
          <w:color w:val="auto"/>
        </w:rPr>
        <w:t>[FORM OF CERTIFICATE OF TRANSFER]</w:t>
      </w: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Company with full power of substitution in the premises.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Company;</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hanging="812"/>
        <w:spacing w:after="0" w:line="288" w:lineRule="auto"/>
        <w:tabs>
          <w:tab w:leader="none" w:pos="19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2580" w:hanging="5932"/>
        <w:spacing w:after="0" w:line="507" w:lineRule="auto"/>
        <w:tabs>
          <w:tab w:leader="none" w:pos="1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 (c) in an offshore transaction in accordance with Regulation S under the Securities Act of 1933; </w:t>
      </w:r>
      <w:r>
        <w:rPr>
          <w:rFonts w:ascii="Arial" w:cs="Arial" w:eastAsia="Arial" w:hAnsi="Arial"/>
          <w:sz w:val="22"/>
          <w:szCs w:val="22"/>
          <w:u w:val="single" w:color="auto"/>
          <w:color w:val="auto"/>
        </w:rPr>
        <w:t>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380"/>
          </w:cols>
          <w:pgMar w:left="240" w:top="1293" w:right="279" w:bottom="1440" w:gutter="0" w:footer="0" w:header="0"/>
        </w:sectPr>
      </w:pPr>
    </w:p>
    <w:bookmarkStart w:id="210" w:name="page211"/>
    <w:bookmarkEnd w:id="210"/>
    <w:p>
      <w:pPr>
        <w:ind w:left="820" w:right="420" w:hanging="812"/>
        <w:spacing w:after="0" w:line="328" w:lineRule="auto"/>
        <w:tabs>
          <w:tab w:leader="none" w:pos="19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right="140" w:hanging="812"/>
        <w:spacing w:after="0" w:line="302" w:lineRule="auto"/>
        <w:tabs>
          <w:tab w:leader="none" w:pos="19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3700" w:hanging="5932"/>
        <w:spacing w:after="0" w:line="486" w:lineRule="auto"/>
        <w:tabs>
          <w:tab w:leader="none" w:pos="1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2" w:lineRule="exact"/>
        <w:rPr>
          <w:sz w:val="20"/>
          <w:szCs w:val="20"/>
          <w:color w:val="auto"/>
        </w:rPr>
      </w:pPr>
    </w:p>
    <w:p>
      <w:pPr>
        <w:ind w:left="820" w:right="60" w:hanging="812"/>
        <w:spacing w:after="0" w:line="302" w:lineRule="auto"/>
        <w:tabs>
          <w:tab w:leader="none" w:pos="19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4"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If none of the foregoing boxes is checked, the Trustee or other Note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274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0" w:lineRule="exact"/>
        <w:rPr>
          <w:sz w:val="20"/>
          <w:szCs w:val="20"/>
          <w:color w:val="auto"/>
        </w:rPr>
      </w:pPr>
    </w:p>
    <w:p>
      <w:pPr>
        <w:ind w:left="5200" w:right="340" w:firstLine="648"/>
        <w:spacing w:after="0" w:line="288" w:lineRule="auto"/>
        <w:rPr>
          <w:sz w:val="20"/>
          <w:szCs w:val="20"/>
          <w:color w:val="auto"/>
        </w:rPr>
      </w:pPr>
      <w:r>
        <w:rPr>
          <w:rFonts w:ascii="Arial" w:cs="Arial" w:eastAsia="Arial" w:hAnsi="Arial"/>
          <w:sz w:val="22"/>
          <w:szCs w:val="22"/>
          <w:color w:val="auto"/>
        </w:rPr>
        <w:t>NOTICE: The signature to this assignment must correspond with the name as written upon the face of the within-mentioned instrument in every particular, without alteration or any change whatsoever.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-17780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Notes Registrar, which requirements include membership or participation in the Security Transfer Agent Medallion Program (“</w:t>
      </w:r>
      <w:r>
        <w:rPr>
          <w:rFonts w:ascii="Arial" w:cs="Arial" w:eastAsia="Arial" w:hAnsi="Arial"/>
          <w:sz w:val="22"/>
          <w:szCs w:val="22"/>
          <w:u w:val="single" w:color="auto"/>
          <w:color w:val="auto"/>
        </w:rPr>
        <w:t>STAMP</w:t>
      </w:r>
      <w:r>
        <w:rPr>
          <w:rFonts w:ascii="Arial" w:cs="Arial" w:eastAsia="Arial" w:hAnsi="Arial"/>
          <w:sz w:val="22"/>
          <w:szCs w:val="22"/>
          <w:color w:val="auto"/>
        </w:rPr>
        <w:t>”) or such other “signature guarantee program” as may be determined by the Notes Registrar in addition to, or in substitution for, STAMP, all in accordance with the Securities Exchange Act of 1934, as amended.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380"/>
          </w:cols>
          <w:pgMar w:left="240" w:top="861" w:right="27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-17780</wp:posOffset>
            </wp:positionV>
            <wp:extent cx="102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-17780</wp:posOffset>
            </wp:positionV>
            <wp:extent cx="102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20"/>
          </w:cols>
          <w:pgMar w:left="240" w:top="861" w:right="239" w:bottom="1440" w:gutter="0" w:footer="0" w:header="0"/>
        </w:sectPr>
      </w:pPr>
    </w:p>
    <w:bookmarkStart w:id="212" w:name="page213"/>
    <w:bookmarkEnd w:id="212"/>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wish to have this Note purchased by the Company pursuant to Section 3.5 or 3.9 of the Indenture, check the box: [  ].</w:t>
      </w:r>
    </w:p>
    <w:p>
      <w:pPr>
        <w:spacing w:after="0" w:line="200" w:lineRule="exact"/>
        <w:rPr>
          <w:sz w:val="20"/>
          <w:szCs w:val="20"/>
          <w:color w:val="auto"/>
        </w:rPr>
      </w:pPr>
    </w:p>
    <w:p>
      <w:pPr>
        <w:spacing w:after="0" w:line="270" w:lineRule="exact"/>
        <w:rPr>
          <w:sz w:val="20"/>
          <w:szCs w:val="20"/>
          <w:color w:val="auto"/>
        </w:rPr>
      </w:pPr>
    </w:p>
    <w:p>
      <w:pPr>
        <w:ind w:right="220" w:firstLine="648"/>
        <w:spacing w:after="0" w:line="507" w:lineRule="auto"/>
        <w:rPr>
          <w:sz w:val="20"/>
          <w:szCs w:val="20"/>
          <w:color w:val="auto"/>
        </w:rPr>
      </w:pPr>
      <w:r>
        <w:rPr>
          <w:rFonts w:ascii="Arial" w:cs="Arial" w:eastAsia="Arial" w:hAnsi="Arial"/>
          <w:sz w:val="22"/>
          <w:szCs w:val="22"/>
          <w:color w:val="auto"/>
        </w:rPr>
        <w:t>If you wish to have a portion of this Note purchased by the Company pursuant to Section 3.5 or 3.9 of the Indenture, state the amount (in principal amount) below:</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-17780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-17780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8" w:lineRule="exact"/>
        <w:rPr>
          <w:sz w:val="20"/>
          <w:szCs w:val="20"/>
          <w:color w:val="auto"/>
        </w:rPr>
      </w:pPr>
    </w:p>
    <w:p>
      <w:pPr>
        <w:ind w:right="20" w:firstLine="648"/>
        <w:spacing w:after="0" w:line="493"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Notes Registrar, which requirements include membership or participation in the Security Transfer Agent Medallion Program (“</w:t>
      </w:r>
      <w:r>
        <w:rPr>
          <w:rFonts w:ascii="Arial" w:cs="Arial" w:eastAsia="Arial" w:hAnsi="Arial"/>
          <w:sz w:val="22"/>
          <w:szCs w:val="22"/>
          <w:u w:val="single" w:color="auto"/>
          <w:color w:val="auto"/>
        </w:rPr>
        <w:t>STAMP</w:t>
      </w:r>
      <w:r>
        <w:rPr>
          <w:rFonts w:ascii="Arial" w:cs="Arial" w:eastAsia="Arial" w:hAnsi="Arial"/>
          <w:sz w:val="22"/>
          <w:szCs w:val="22"/>
          <w:color w:val="auto"/>
        </w:rPr>
        <w:t>”) or such other “signature guarantee program” as may be determined by the Notes Registrar in addition to, or in substitution for, STAMP, all in accordance with the Securities Exchange Act of 1934, as amended.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00"/>
          </w:cols>
          <w:pgMar w:left="240" w:top="861" w:right="259" w:bottom="1440" w:gutter="0" w:footer="0" w:header="0"/>
        </w:sectPr>
      </w:pPr>
    </w:p>
    <w:bookmarkStart w:id="213" w:name="page214"/>
    <w:bookmarkEnd w:id="213"/>
    <w:p>
      <w:pPr>
        <w:jc w:val="center"/>
        <w:ind w:right="260"/>
        <w:spacing w:after="0"/>
        <w:rPr>
          <w:sz w:val="20"/>
          <w:szCs w:val="20"/>
          <w:color w:val="auto"/>
        </w:rPr>
      </w:pPr>
      <w:r>
        <w:rPr>
          <w:rFonts w:ascii="Arial" w:cs="Arial" w:eastAsia="Arial" w:hAnsi="Arial"/>
          <w:sz w:val="22"/>
          <w:szCs w:val="22"/>
          <w:color w:val="auto"/>
        </w:rPr>
        <w:t>SCHEDULE OF INCREASES OR DECREASES IN GLOBAL NOTE</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0"/>
              </w:rPr>
              <w:t>Principal amount of this</w:t>
            </w:r>
          </w:p>
        </w:tc>
        <w:tc>
          <w:tcPr>
            <w:tcW w:w="2140" w:type="dxa"/>
            <w:vAlign w:val="bottom"/>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9"/>
              </w:rPr>
              <w:t>Amount of decreases in</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0"/>
              </w:rPr>
              <w:t>Amount of increases in</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89"/>
              </w:rPr>
              <w:t>Signature of authorized</w:t>
            </w: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2"/>
              </w:rPr>
              <w:t>Principal Amount of this</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2"/>
              </w:rPr>
              <w:t>Principal Amount of this</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0"/>
              </w:rPr>
              <w:t>officer of Trustee or</w:t>
            </w: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9"/>
              </w:rPr>
              <w:t>Date of Exchange</w:t>
            </w:r>
          </w:p>
        </w:tc>
        <w:tc>
          <w:tcPr>
            <w:tcW w:w="2440" w:type="dxa"/>
            <w:vAlign w:val="bottom"/>
          </w:tcPr>
          <w:p>
            <w:pPr>
              <w:jc w:val="center"/>
              <w:ind w:left="32"/>
              <w:spacing w:after="0"/>
              <w:rPr>
                <w:sz w:val="20"/>
                <w:szCs w:val="20"/>
                <w:color w:val="auto"/>
              </w:rPr>
            </w:pPr>
            <w:r>
              <w:rPr>
                <w:rFonts w:ascii="Arial" w:cs="Arial" w:eastAsia="Arial" w:hAnsi="Arial"/>
                <w:sz w:val="22"/>
                <w:szCs w:val="22"/>
                <w:color w:val="auto"/>
                <w:w w:val="91"/>
              </w:rPr>
              <w:t>Global Note</w:t>
            </w:r>
          </w:p>
        </w:tc>
        <w:tc>
          <w:tcPr>
            <w:tcW w:w="2300" w:type="dxa"/>
            <w:vAlign w:val="bottom"/>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Pr>
          <w:p>
            <w:pPr>
              <w:jc w:val="center"/>
              <w:spacing w:after="0"/>
              <w:rPr>
                <w:sz w:val="20"/>
                <w:szCs w:val="20"/>
                <w:color w:val="auto"/>
              </w:rPr>
            </w:pPr>
            <w:r>
              <w:rPr>
                <w:rFonts w:ascii="Arial" w:cs="Arial" w:eastAsia="Arial" w:hAnsi="Arial"/>
                <w:sz w:val="22"/>
                <w:szCs w:val="22"/>
                <w:color w:val="auto"/>
                <w:w w:val="84"/>
              </w:rPr>
              <w:t>increases</w:t>
            </w:r>
          </w:p>
        </w:tc>
        <w:tc>
          <w:tcPr>
            <w:tcW w:w="2140" w:type="dxa"/>
            <w:vAlign w:val="bottom"/>
          </w:tcPr>
          <w:p>
            <w:pPr>
              <w:jc w:val="center"/>
              <w:spacing w:after="0"/>
              <w:rPr>
                <w:sz w:val="20"/>
                <w:szCs w:val="20"/>
                <w:color w:val="auto"/>
              </w:rPr>
            </w:pPr>
            <w:r>
              <w:rPr>
                <w:rFonts w:ascii="Arial" w:cs="Arial" w:eastAsia="Arial" w:hAnsi="Arial"/>
                <w:sz w:val="22"/>
                <w:szCs w:val="22"/>
                <w:color w:val="auto"/>
                <w:w w:val="88"/>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0920"/>
          </w:cols>
          <w:pgMar w:left="620" w:top="861" w:right="35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dated as of [_________]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among [name of Subsidiary</w:t>
      </w:r>
    </w:p>
    <w:p>
      <w:pPr>
        <w:spacing w:after="0" w:line="56"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Guarantor(s)] (the “</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Avis Budget Car Rental, LLC, a limited liability company duly organized and existing under the laws of the State of Delaware, and Avis Budget Finance, Inc., a corporation duly organized and existing under the laws of the State of Delaware (together,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which term includes their successors and assigns), and Deutsche Bank Trust Company Americas,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under the Indenture referred to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0" w:lineRule="exact"/>
        <w:rPr>
          <w:sz w:val="20"/>
          <w:szCs w:val="20"/>
          <w:color w:val="auto"/>
        </w:rPr>
      </w:pPr>
    </w:p>
    <w:p>
      <w:pPr>
        <w:spacing w:after="0" w:line="263"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WHEREAS, the Company and the Trustee have heretofore become parties to an Indenture, dated as of March 29, 2016 (as amended, supplemented, waived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of 6.375% Senior Notes due 2024 of the Company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200" w:lineRule="exact"/>
        <w:rPr>
          <w:sz w:val="20"/>
          <w:szCs w:val="20"/>
          <w:color w:val="auto"/>
        </w:rPr>
      </w:pPr>
    </w:p>
    <w:p>
      <w:pPr>
        <w:spacing w:after="0" w:line="37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Indenture provides that the Company is required to cause the Subsidiary Guarantors to execute and deliver to the Trustee a supplemental indenture pursuant to which the Subsidiary Guarantors shall guarantee the Subsidiary Guaranteed Obligations pursuant to a Subsidiary Guarantee on the terms and conditions set forth herein and in Article X of the Indenture;</w:t>
      </w:r>
    </w:p>
    <w:p>
      <w:pPr>
        <w:spacing w:after="0" w:line="200" w:lineRule="exact"/>
        <w:rPr>
          <w:sz w:val="20"/>
          <w:szCs w:val="20"/>
          <w:color w:val="auto"/>
        </w:rPr>
      </w:pPr>
    </w:p>
    <w:p>
      <w:pPr>
        <w:spacing w:after="0" w:line="380"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the Company, the obligations hereunder of which such Subsidiary Guarantor has guaranteed, and on such Subsidiary Guarantor’s access to working capital through the Company’s access to revolving credit borrowings under the Credit Agreement; and</w:t>
      </w:r>
    </w:p>
    <w:p>
      <w:pPr>
        <w:spacing w:after="0" w:line="200" w:lineRule="exact"/>
        <w:rPr>
          <w:sz w:val="20"/>
          <w:szCs w:val="20"/>
          <w:color w:val="auto"/>
        </w:rPr>
      </w:pPr>
    </w:p>
    <w:p>
      <w:pPr>
        <w:spacing w:after="0" w:line="384" w:lineRule="exact"/>
        <w:rPr>
          <w:sz w:val="20"/>
          <w:szCs w:val="20"/>
          <w:color w:val="auto"/>
        </w:rPr>
      </w:pPr>
    </w:p>
    <w:p>
      <w:pPr>
        <w:ind w:right="980" w:firstLine="648"/>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Indenture, the parties hereto are authorized to execute and deliver this Supplemental Indenture to amend the Indenture, without the consent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071" w:right="239" w:bottom="1440" w:gutter="0" w:footer="0" w:header="0"/>
        </w:sectPr>
      </w:pPr>
    </w:p>
    <w:bookmarkStart w:id="215" w:name="page216"/>
    <w:bookmarkEnd w:id="215"/>
    <w:p>
      <w:pPr>
        <w:jc w:val="both"/>
        <w:ind w:right="6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Subsidiary Guarantor(s), the Company and the Trustee mutually covenant and agree for the benefit of the Holders of the Notes as follows:</w:t>
      </w:r>
    </w:p>
    <w:p>
      <w:pPr>
        <w:spacing w:after="0" w:line="200" w:lineRule="exact"/>
        <w:rPr>
          <w:sz w:val="20"/>
          <w:szCs w:val="20"/>
          <w:color w:val="auto"/>
        </w:rPr>
      </w:pPr>
    </w:p>
    <w:p>
      <w:pPr>
        <w:spacing w:after="0" w:line="391" w:lineRule="exact"/>
        <w:rPr>
          <w:sz w:val="20"/>
          <w:szCs w:val="20"/>
          <w:color w:val="auto"/>
        </w:rPr>
      </w:pPr>
    </w:p>
    <w:p>
      <w:pPr>
        <w:ind w:right="200" w:firstLine="1305"/>
        <w:spacing w:after="0" w:line="357" w:lineRule="auto"/>
        <w:tabs>
          <w:tab w:leader="none" w:pos="178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32" w:lineRule="exact"/>
        <w:rPr>
          <w:rFonts w:ascii="Arial" w:cs="Arial" w:eastAsia="Arial" w:hAnsi="Arial"/>
          <w:sz w:val="19"/>
          <w:szCs w:val="19"/>
          <w:color w:val="auto"/>
        </w:rPr>
      </w:pPr>
    </w:p>
    <w:p>
      <w:pPr>
        <w:ind w:left="1640" w:hanging="335"/>
        <w:spacing w:after="0"/>
        <w:tabs>
          <w:tab w:leader="none" w:pos="1640"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[Each] Subsidiary Guarantor hereby agrees, jointly and severally with all other</w:t>
      </w:r>
    </w:p>
    <w:p>
      <w:pPr>
        <w:spacing w:after="0" w:line="92" w:lineRule="exact"/>
        <w:rPr>
          <w:rFonts w:ascii="Arial" w:cs="Arial" w:eastAsia="Arial" w:hAnsi="Arial"/>
          <w:sz w:val="19"/>
          <w:szCs w:val="19"/>
          <w:color w:val="auto"/>
        </w:rPr>
      </w:pPr>
    </w:p>
    <w:p>
      <w:pPr>
        <w:jc w:val="both"/>
        <w:ind w:right="200"/>
        <w:spacing w:after="0" w:line="357" w:lineRule="auto"/>
        <w:rPr>
          <w:rFonts w:ascii="Arial" w:cs="Arial" w:eastAsia="Arial" w:hAnsi="Arial"/>
          <w:sz w:val="19"/>
          <w:szCs w:val="19"/>
          <w:color w:val="auto"/>
        </w:rPr>
      </w:pPr>
      <w:r>
        <w:rPr>
          <w:rFonts w:ascii="Arial" w:cs="Arial" w:eastAsia="Arial" w:hAnsi="Arial"/>
          <w:sz w:val="19"/>
          <w:szCs w:val="19"/>
          <w:color w:val="auto"/>
        </w:rPr>
        <w:t>Subsidiary Guarantors and irrevocably, fully and unconditionally, to Guarantee the Subsidiary Guaranteed Obligations under the Indenture and the Notes on the terms and subject to the conditions set forth in Article X of the Indenture and to be bound by (and shall be entitled to the benefits of) all other applicable provisions of the Indenture as a Subsidiary Guarantor.</w:t>
      </w:r>
    </w:p>
    <w:p>
      <w:pPr>
        <w:spacing w:after="0" w:line="132" w:lineRule="exact"/>
        <w:rPr>
          <w:rFonts w:ascii="Arial" w:cs="Arial" w:eastAsia="Arial" w:hAnsi="Arial"/>
          <w:sz w:val="19"/>
          <w:szCs w:val="19"/>
          <w:color w:val="auto"/>
        </w:rPr>
      </w:pPr>
    </w:p>
    <w:p>
      <w:pPr>
        <w:ind w:left="1640" w:hanging="335"/>
        <w:spacing w:after="0"/>
        <w:tabs>
          <w:tab w:leader="none" w:pos="1640"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Termination, Release and Discharge</w:t>
      </w:r>
      <w:r>
        <w:rPr>
          <w:rFonts w:ascii="Arial" w:cs="Arial" w:eastAsia="Arial" w:hAnsi="Arial"/>
          <w:sz w:val="19"/>
          <w:szCs w:val="19"/>
          <w:color w:val="auto"/>
        </w:rPr>
        <w:t>. [The] [Each] Subsidiary Guarantor’s Subsidiary Guarantee shall terminate</w:t>
      </w:r>
    </w:p>
    <w:p>
      <w:pPr>
        <w:spacing w:after="0" w:line="92" w:lineRule="exact"/>
        <w:rPr>
          <w:rFonts w:ascii="Arial" w:cs="Arial" w:eastAsia="Arial" w:hAnsi="Arial"/>
          <w:sz w:val="19"/>
          <w:szCs w:val="19"/>
          <w:color w:val="auto"/>
        </w:rPr>
      </w:pPr>
    </w:p>
    <w:p>
      <w:pPr>
        <w:ind w:right="160"/>
        <w:spacing w:after="0" w:line="302" w:lineRule="auto"/>
        <w:rPr>
          <w:rFonts w:ascii="Arial" w:cs="Arial" w:eastAsia="Arial" w:hAnsi="Arial"/>
          <w:sz w:val="19"/>
          <w:szCs w:val="19"/>
          <w:color w:val="auto"/>
        </w:rPr>
      </w:pPr>
      <w:r>
        <w:rPr>
          <w:rFonts w:ascii="Arial" w:cs="Arial" w:eastAsia="Arial" w:hAnsi="Arial"/>
          <w:sz w:val="22"/>
          <w:szCs w:val="22"/>
          <w:color w:val="auto"/>
        </w:rPr>
        <w:t>and be of no further force or effect, and [the] [each] Subsidiary Guarantor shall be released and discharged from all obligations in respect of such Subsidiary Guarantee, as and when provided in Section 10.2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Supplemental Indenture shall be invalid, illegal or unenforceable, the</w:t>
      </w:r>
    </w:p>
    <w:p>
      <w:pPr>
        <w:spacing w:after="0" w:line="92" w:lineRule="exact"/>
        <w:rPr>
          <w:rFonts w:ascii="Arial" w:cs="Arial" w:eastAsia="Arial" w:hAnsi="Arial"/>
          <w:sz w:val="19"/>
          <w:szCs w:val="19"/>
          <w:color w:val="auto"/>
        </w:rPr>
      </w:pPr>
    </w:p>
    <w:p>
      <w:pPr>
        <w:ind w:right="520"/>
        <w:spacing w:after="0" w:line="302" w:lineRule="auto"/>
        <w:rPr>
          <w:rFonts w:ascii="Arial" w:cs="Arial" w:eastAsia="Arial" w:hAnsi="Arial"/>
          <w:sz w:val="19"/>
          <w:szCs w:val="19"/>
          <w:color w:val="auto"/>
        </w:rPr>
      </w:pPr>
      <w:r>
        <w:rPr>
          <w:rFonts w:ascii="Arial" w:cs="Arial" w:eastAsia="Arial" w:hAnsi="Arial"/>
          <w:sz w:val="22"/>
          <w:szCs w:val="22"/>
          <w:color w:val="auto"/>
        </w:rPr>
        <w:t>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Parties</w:t>
      </w:r>
      <w:r>
        <w:rPr>
          <w:rFonts w:ascii="Arial" w:cs="Arial" w:eastAsia="Arial" w:hAnsi="Arial"/>
          <w:sz w:val="19"/>
          <w:szCs w:val="19"/>
          <w:color w:val="auto"/>
        </w:rPr>
        <w:t>. Nothing in this Supplemental Indenture is intended or shall be construed to give any Person, other than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Holders and the Trustee, any legal or equitable right, remedy or claim under or in respect of [the] [each] Subsidiary Guarantor’s Subsidiary Guarantee or any provision contained herein or in Article X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2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SUPPLEMENTAL INDENTURE SHALL BE GOVERNED BY AND CONSTRUED</w:t>
      </w:r>
    </w:p>
    <w:p>
      <w:pPr>
        <w:spacing w:after="0" w:line="69" w:lineRule="exact"/>
        <w:rPr>
          <w:rFonts w:ascii="Arial" w:cs="Arial" w:eastAsia="Arial" w:hAnsi="Arial"/>
          <w:sz w:val="21"/>
          <w:szCs w:val="21"/>
          <w:color w:val="auto"/>
        </w:rPr>
      </w:pPr>
    </w:p>
    <w:p>
      <w:pPr>
        <w:ind w:right="220"/>
        <w:spacing w:after="0" w:line="288" w:lineRule="auto"/>
        <w:rPr>
          <w:rFonts w:ascii="Arial" w:cs="Arial" w:eastAsia="Arial" w:hAnsi="Arial"/>
          <w:sz w:val="21"/>
          <w:szCs w:val="21"/>
          <w:color w:val="auto"/>
        </w:rPr>
      </w:pPr>
      <w:r>
        <w:rPr>
          <w:rFonts w:ascii="Arial" w:cs="Arial" w:eastAsia="Arial" w:hAnsi="Arial"/>
          <w:sz w:val="22"/>
          <w:szCs w:val="22"/>
          <w:color w:val="auto"/>
        </w:rPr>
        <w:t>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60"/>
          </w:cols>
          <w:pgMar w:left="240" w:top="847" w:right="299" w:bottom="1440" w:gutter="0" w:footer="0" w:header="0"/>
        </w:sectPr>
      </w:pPr>
    </w:p>
    <w:bookmarkStart w:id="216" w:name="page217"/>
    <w:bookmarkEnd w:id="216"/>
    <w:p>
      <w:pPr>
        <w:spacing w:after="0"/>
        <w:rPr>
          <w:sz w:val="20"/>
          <w:szCs w:val="20"/>
          <w:color w:val="auto"/>
        </w:rPr>
      </w:pPr>
      <w:r>
        <w:rPr>
          <w:rFonts w:ascii="Arial" w:cs="Arial" w:eastAsia="Arial" w:hAnsi="Arial"/>
          <w:sz w:val="21"/>
          <w:szCs w:val="21"/>
          <w:color w:val="auto"/>
        </w:rPr>
        <w:t>YORK IN ANY ACTION OR PROCEEDING ARISING OUT OF OR RELATING TO THIS SUPPLEMENTAL INDENTURE.</w:t>
      </w:r>
    </w:p>
    <w:p>
      <w:pPr>
        <w:spacing w:after="0" w:line="272" w:lineRule="exact"/>
        <w:rPr>
          <w:sz w:val="20"/>
          <w:szCs w:val="20"/>
          <w:color w:val="auto"/>
        </w:rPr>
      </w:pPr>
    </w:p>
    <w:p>
      <w:pPr>
        <w:ind w:left="1640" w:hanging="335"/>
        <w:spacing w:after="0"/>
        <w:tabs>
          <w:tab w:leader="none" w:pos="1640"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60"/>
        <w:spacing w:after="0" w:line="346" w:lineRule="auto"/>
        <w:rPr>
          <w:rFonts w:ascii="Arial" w:cs="Arial" w:eastAsia="Arial" w:hAnsi="Arial"/>
          <w:sz w:val="19"/>
          <w:szCs w:val="19"/>
          <w:color w:val="auto"/>
        </w:rPr>
      </w:pPr>
      <w:r>
        <w:rPr>
          <w:rFonts w:ascii="Arial" w:cs="Arial" w:eastAsia="Arial" w:hAnsi="Arial"/>
          <w:sz w:val="19"/>
          <w:szCs w:val="19"/>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144" w:lineRule="exact"/>
        <w:rPr>
          <w:rFonts w:ascii="Arial" w:cs="Arial" w:eastAsia="Arial" w:hAnsi="Arial"/>
          <w:sz w:val="19"/>
          <w:szCs w:val="19"/>
          <w:color w:val="auto"/>
        </w:rPr>
      </w:pPr>
    </w:p>
    <w:p>
      <w:pPr>
        <w:ind w:firstLine="1305"/>
        <w:spacing w:after="0" w:line="315" w:lineRule="auto"/>
        <w:tabs>
          <w:tab w:leader="none" w:pos="1639"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hereto may sign one or more copies of this Supplemental Indenture in counterparts, all of which together shall constitute one and the same agreement.</w:t>
      </w:r>
    </w:p>
    <w:p>
      <w:pPr>
        <w:spacing w:after="0" w:line="159" w:lineRule="exact"/>
        <w:rPr>
          <w:rFonts w:ascii="Arial" w:cs="Arial" w:eastAsia="Arial" w:hAnsi="Arial"/>
          <w:sz w:val="22"/>
          <w:szCs w:val="22"/>
          <w:color w:val="auto"/>
        </w:rPr>
      </w:pPr>
    </w:p>
    <w:p>
      <w:pPr>
        <w:ind w:right="20" w:firstLine="1305"/>
        <w:spacing w:after="0" w:line="315" w:lineRule="auto"/>
        <w:tabs>
          <w:tab w:leader="none" w:pos="1639"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herein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360"/>
          </w:cols>
          <w:pgMar w:left="240" w:top="861" w:right="299" w:bottom="1440" w:gutter="0" w:footer="0" w:header="0"/>
        </w:sectPr>
      </w:pPr>
    </w:p>
    <w:bookmarkStart w:id="217" w:name="page218"/>
    <w:bookmarkEnd w:id="21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AVIS BUDGET CAR RENTAL,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AVIS BUDGET FINANCE, INC.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OF SUBSIDIARY GUARANTOR(S)],</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Subsidiary Guarantor</w:t>
      </w:r>
    </w:p>
    <w:p>
      <w:pPr>
        <w:spacing w:after="0" w:line="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DEUTSCHE BANK TRUST COMPANY</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AMERICAS, as Trustee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Deutsche Bank National Trust Company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080"/>
          </w:cols>
          <w:pgMar w:left="240" w:top="848" w:right="57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60"/>
              <w:spacing w:after="0"/>
              <w:rPr>
                <w:sz w:val="20"/>
                <w:szCs w:val="20"/>
                <w:color w:val="auto"/>
              </w:rPr>
            </w:pPr>
            <w:r>
              <w:rPr>
                <w:rFonts w:ascii="Arial" w:cs="Arial" w:eastAsia="Arial" w:hAnsi="Arial"/>
                <w:sz w:val="18"/>
                <w:szCs w:val="18"/>
                <w:color w:val="auto"/>
              </w:rPr>
              <w:t>Loss from continuing operations before income taxes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10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right="160" w:hanging="171"/>
        <w:spacing w:after="0" w:line="222" w:lineRule="auto"/>
        <w:tabs>
          <w:tab w:leader="none" w:pos="240" w:val="left"/>
        </w:tabs>
        <w:numPr>
          <w:ilvl w:val="0"/>
          <w:numId w:val="227"/>
        </w:numPr>
        <w:rPr>
          <w:rFonts w:ascii="Arial" w:cs="Arial" w:eastAsia="Arial" w:hAnsi="Arial"/>
          <w:sz w:val="21"/>
          <w:szCs w:val="21"/>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4"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72</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40" w:hanging="171"/>
        <w:spacing w:after="0"/>
        <w:tabs>
          <w:tab w:leader="none" w:pos="240" w:val="left"/>
        </w:tabs>
        <w:numPr>
          <w:ilvl w:val="0"/>
          <w:numId w:val="228"/>
        </w:numPr>
        <w:rPr>
          <w:rFonts w:ascii="Arial" w:cs="Arial" w:eastAsia="Arial" w:hAnsi="Arial"/>
          <w:sz w:val="21"/>
          <w:szCs w:val="21"/>
          <w:color w:val="auto"/>
          <w:vertAlign w:val="superscript"/>
        </w:rPr>
      </w:pPr>
      <w:r>
        <w:rPr>
          <w:rFonts w:ascii="Arial" w:cs="Arial" w:eastAsia="Arial" w:hAnsi="Arial"/>
          <w:sz w:val="15"/>
          <w:szCs w:val="15"/>
          <w:color w:val="auto"/>
        </w:rPr>
        <w:t>Earnings were not sufficient to cover fixed charges for the three months ended March 31, 2016 and 2015 by $86 million and $16 million, respectively.</w:t>
      </w:r>
    </w:p>
    <w:p>
      <w:pPr>
        <w:sectPr>
          <w:pgSz w:w="11900" w:h="16838" w:orient="portrait"/>
          <w:cols w:equalWidth="0" w:num="1">
            <w:col w:w="11420"/>
          </w:cols>
          <w:pgMar w:left="240" w:top="576"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576"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2016,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2016</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1)"/>
      <w:numFmt w:val="decimal"/>
      <w:start w:val="86"/>
    </w:lvl>
  </w:abstractNum>
  <w:abstractNum w:abstractNumId="3">
    <w:nsid w:val="379E21B5"/>
    <w:multiLevelType w:val="hybridMultilevel"/>
    <w:lvl w:ilvl="0">
      <w:lvlJc w:val="left"/>
      <w:lvlText w:val="(%1)"/>
      <w:numFmt w:val="decimal"/>
      <w:start w:val="35"/>
    </w:lvl>
  </w:abstractNum>
  <w:abstractNum w:abstractNumId="4">
    <w:nsid w:val="69E373"/>
    <w:multiLevelType w:val="hybridMultilevel"/>
    <w:lvl w:ilvl="0">
      <w:lvlJc w:val="left"/>
      <w:lvlText w:val="%1."/>
      <w:numFmt w:val="decimal"/>
      <w:start w:val="1"/>
    </w:lvl>
    <w:lvl w:ilvl="1">
      <w:lvlJc w:val="left"/>
      <w:lvlText w:val="•"/>
      <w:numFmt w:val="bullet"/>
      <w:start w:val="1"/>
    </w:lvl>
  </w:abstractNum>
  <w:abstractNum w:abstractNumId="5">
    <w:nsid w:val="2C27173B"/>
    <w:multiLevelType w:val="hybridMultilevel"/>
    <w:lvl w:ilvl="0">
      <w:lvlJc w:val="left"/>
      <w:lvlText w:val="%1."/>
      <w:numFmt w:val="decimal"/>
      <w:start w:val="2"/>
    </w:lvl>
  </w:abstractNum>
  <w:abstractNum w:abstractNumId="6">
    <w:nsid w:val="4C9B0904"/>
    <w:multiLevelType w:val="hybridMultilevel"/>
    <w:lvl w:ilvl="0">
      <w:lvlJc w:val="left"/>
      <w:lvlText w:val="(%1)"/>
      <w:numFmt w:val="lowerLetter"/>
      <w:start w:val="1"/>
    </w:lvl>
  </w:abstractNum>
  <w:abstractNum w:abstractNumId="7">
    <w:nsid w:val="6AA7B75C"/>
    <w:multiLevelType w:val="hybridMultilevel"/>
    <w:lvl w:ilvl="0">
      <w:lvlJc w:val="left"/>
      <w:lvlText w:val="%1."/>
      <w:numFmt w:val="decimal"/>
      <w:start w:val="3"/>
    </w:lvl>
  </w:abstractNum>
  <w:abstractNum w:abstractNumId="8">
    <w:nsid w:val="1DF029D3"/>
    <w:multiLevelType w:val="hybridMultilevel"/>
    <w:lvl w:ilvl="0">
      <w:lvlJc w:val="left"/>
      <w:lvlText w:val="%1"/>
      <w:numFmt w:val="decimal"/>
      <w:start w:val="1"/>
    </w:lvl>
    <w:lvl w:ilvl="1">
      <w:lvlJc w:val="left"/>
      <w:lvlText w:val="(%2)"/>
      <w:numFmt w:val="lowerLetter"/>
      <w:start w:val="1"/>
    </w:lvl>
  </w:abstractNum>
  <w:abstractNum w:abstractNumId="9">
    <w:nsid w:val="5675FF36"/>
    <w:multiLevelType w:val="hybridMultilevel"/>
    <w:lvl w:ilvl="0">
      <w:lvlJc w:val="left"/>
      <w:lvlText w:val="%1."/>
      <w:numFmt w:val="decimal"/>
      <w:start w:val="4"/>
    </w:lvl>
    <w:lvl w:ilvl="1">
      <w:lvlJc w:val="left"/>
      <w:lvlText w:val="%2"/>
      <w:numFmt w:val="lowerLetter"/>
      <w:start w:val="1"/>
    </w:lvl>
  </w:abstractNum>
  <w:abstractNum w:abstractNumId="10">
    <w:nsid w:val="3DD15094"/>
    <w:multiLevelType w:val="hybridMultilevel"/>
    <w:lvl w:ilvl="0">
      <w:lvlJc w:val="left"/>
      <w:lvlText w:val="%1."/>
      <w:numFmt w:val="decimal"/>
      <w:start w:val="5"/>
    </w:lvl>
  </w:abstractNum>
  <w:abstractNum w:abstractNumId="11">
    <w:nsid w:val="3DB012B3"/>
    <w:multiLevelType w:val="hybridMultilevel"/>
    <w:lvl w:ilvl="0">
      <w:lvlJc w:val="left"/>
      <w:lvlText w:val="(%1)"/>
      <w:numFmt w:val="lowerLetter"/>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1."/>
      <w:numFmt w:val="decimal"/>
      <w:start w:val="6"/>
    </w:lvl>
  </w:abstractNum>
  <w:abstractNum w:abstractNumId="14">
    <w:nsid w:val="175DFCF0"/>
    <w:multiLevelType w:val="hybridMultilevel"/>
    <w:lvl w:ilvl="0">
      <w:lvlJc w:val="left"/>
      <w:lvlText w:val="%1."/>
      <w:numFmt w:val="decimal"/>
      <w:start w:val="7"/>
    </w:lvl>
  </w:abstractNum>
  <w:abstractNum w:abstractNumId="15">
    <w:nsid w:val="4F97E3E4"/>
    <w:multiLevelType w:val="hybridMultilevel"/>
    <w:lvl w:ilvl="0">
      <w:lvlJc w:val="left"/>
      <w:lvlText w:val="(%1)"/>
      <w:numFmt w:val="lowerLetter"/>
      <w:start w:val="1"/>
    </w:lvl>
  </w:abstractNum>
  <w:abstractNum w:abstractNumId="16">
    <w:nsid w:val="53B0A9E"/>
    <w:multiLevelType w:val="hybridMultilevel"/>
    <w:lvl w:ilvl="0">
      <w:lvlJc w:val="left"/>
      <w:lvlText w:val="(%1)"/>
      <w:numFmt w:val="lowerLetter"/>
      <w:start w:val="1"/>
    </w:lvl>
  </w:abstractNum>
  <w:abstractNum w:abstractNumId="17">
    <w:nsid w:val="34FD6B4F"/>
    <w:multiLevelType w:val="hybridMultilevel"/>
    <w:lvl w:ilvl="0">
      <w:lvlJc w:val="left"/>
      <w:lvlText w:val="%1."/>
      <w:numFmt w:val="decimal"/>
      <w:start w:val="8"/>
    </w:lvl>
  </w:abstractNum>
  <w:abstractNum w:abstractNumId="18">
    <w:nsid w:val="5915FF32"/>
    <w:multiLevelType w:val="hybridMultilevel"/>
    <w:lvl w:ilvl="0">
      <w:lvlJc w:val="left"/>
      <w:lvlText w:val="(%1)"/>
      <w:numFmt w:val="lowerLetter"/>
      <w:start w:val="1"/>
    </w:lvl>
  </w:abstractNum>
  <w:abstractNum w:abstractNumId="19">
    <w:nsid w:val="56438D15"/>
    <w:multiLevelType w:val="hybridMultilevel"/>
    <w:lvl w:ilvl="0">
      <w:lvlJc w:val="left"/>
      <w:lvlText w:val="(%1)"/>
      <w:numFmt w:val="lowerLetter"/>
      <w:start w:val="1"/>
    </w:lvl>
  </w:abstractNum>
  <w:abstractNum w:abstractNumId="20">
    <w:nsid w:val="519E3149"/>
    <w:multiLevelType w:val="hybridMultilevel"/>
    <w:lvl w:ilvl="0">
      <w:lvlJc w:val="left"/>
      <w:lvlText w:val="(%1)"/>
      <w:numFmt w:val="lowerLetter"/>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1."/>
      <w:numFmt w:val="decimal"/>
      <w:start w:val="9"/>
    </w:lvl>
  </w:abstractNum>
  <w:abstractNum w:abstractNumId="24">
    <w:nsid w:val="5046B5A9"/>
    <w:multiLevelType w:val="hybridMultilevel"/>
    <w:lvl w:ilvl="0">
      <w:lvlJc w:val="left"/>
      <w:lvlText w:val="%1."/>
      <w:numFmt w:val="decimal"/>
      <w:start w:val="10"/>
    </w:lvl>
  </w:abstractNum>
  <w:abstractNum w:abstractNumId="25">
    <w:nsid w:val="5D888A08"/>
    <w:multiLevelType w:val="hybridMultilevel"/>
    <w:lvl w:ilvl="0">
      <w:lvlJc w:val="left"/>
      <w:lvlText w:val="(%1)"/>
      <w:numFmt w:val="lowerLetter"/>
      <w:start w:val="1"/>
    </w:lvl>
  </w:abstractNum>
  <w:abstractNum w:abstractNumId="26">
    <w:nsid w:val="2A082C70"/>
    <w:multiLevelType w:val="hybridMultilevel"/>
    <w:lvl w:ilvl="0">
      <w:lvlJc w:val="left"/>
      <w:lvlText w:val="%1."/>
      <w:numFmt w:val="decimal"/>
      <w:start w:val="11"/>
    </w:lvl>
  </w:abstractNum>
  <w:abstractNum w:abstractNumId="27">
    <w:nsid w:val="5EC6AFD4"/>
    <w:multiLevelType w:val="hybridMultilevel"/>
    <w:lvl w:ilvl="0">
      <w:lvlJc w:val="left"/>
      <w:lvlText w:val="(%1)"/>
      <w:numFmt w:val="lowerLetter"/>
      <w:start w:val="1"/>
    </w:lvl>
  </w:abstractNum>
  <w:abstractNum w:abstractNumId="28">
    <w:nsid w:val="19E21BB2"/>
    <w:multiLevelType w:val="hybridMultilevel"/>
    <w:lvl w:ilvl="0">
      <w:lvlJc w:val="left"/>
      <w:lvlText w:val="%1."/>
      <w:numFmt w:val="decimal"/>
      <w:start w:val="12"/>
    </w:lvl>
  </w:abstractNum>
  <w:abstractNum w:abstractNumId="29">
    <w:nsid w:val="75E0858A"/>
    <w:multiLevelType w:val="hybridMultilevel"/>
    <w:lvl w:ilvl="0">
      <w:lvlJc w:val="left"/>
      <w:lvlText w:val="(%1)"/>
      <w:numFmt w:val="lowerLetter"/>
      <w:start w:val="1"/>
    </w:lvl>
  </w:abstractNum>
  <w:abstractNum w:abstractNumId="30">
    <w:nsid w:val="57A61A29"/>
    <w:multiLevelType w:val="hybridMultilevel"/>
    <w:lvl w:ilvl="0">
      <w:lvlJc w:val="left"/>
      <w:lvlText w:val="(%1)"/>
      <w:numFmt w:val="lowerLetter"/>
      <w:start w:val="1"/>
    </w:lvl>
  </w:abstractNum>
  <w:abstractNum w:abstractNumId="31">
    <w:nsid w:val="5399C654"/>
    <w:multiLevelType w:val="hybridMultilevel"/>
    <w:lvl w:ilvl="0">
      <w:lvlJc w:val="left"/>
      <w:lvlText w:val="(%1)"/>
      <w:numFmt w:val="lowerLetter"/>
      <w:start w:val="1"/>
    </w:lvl>
  </w:abstractNum>
  <w:abstractNum w:abstractNumId="32">
    <w:nsid w:val="20EE1348"/>
    <w:multiLevelType w:val="hybridMultilevel"/>
    <w:lvl w:ilvl="0">
      <w:lvlJc w:val="left"/>
      <w:lvlText w:val="%1"/>
      <w:numFmt w:val="decimal"/>
      <w:start w:val="1"/>
    </w:lvl>
    <w:lvl w:ilvl="1">
      <w:lvlJc w:val="left"/>
      <w:lvlText w:val="(%2)"/>
      <w:numFmt w:val="lowerLetter"/>
      <w:start w:val="1"/>
    </w:lvl>
  </w:abstractNum>
  <w:abstractNum w:abstractNumId="33">
    <w:nsid w:val="4427069A"/>
    <w:multiLevelType w:val="hybridMultilevel"/>
    <w:lvl w:ilvl="0">
      <w:lvlJc w:val="left"/>
      <w:lvlText w:val="%1."/>
      <w:numFmt w:val="decimal"/>
      <w:start w:val="13"/>
    </w:lvl>
    <w:lvl w:ilvl="1">
      <w:lvlJc w:val="left"/>
      <w:lvlText w:val="%2"/>
      <w:numFmt w:val="lowerLetter"/>
      <w:start w:val="1"/>
    </w:lvl>
  </w:abstractNum>
  <w:abstractNum w:abstractNumId="34">
    <w:nsid w:val="B37E80A"/>
    <w:multiLevelType w:val="hybridMultilevel"/>
    <w:lvl w:ilvl="0">
      <w:lvlJc w:val="left"/>
      <w:lvlText w:val="(%1)"/>
      <w:numFmt w:val="lowerLetter"/>
      <w:start w:val="1"/>
    </w:lvl>
  </w:abstractNum>
  <w:abstractNum w:abstractNumId="35">
    <w:nsid w:val="2157F6BC"/>
    <w:multiLevelType w:val="hybridMultilevel"/>
    <w:lvl w:ilvl="0">
      <w:lvlJc w:val="left"/>
      <w:lvlText w:val="%1."/>
      <w:numFmt w:val="decimal"/>
      <w:start w:val="14"/>
    </w:lvl>
  </w:abstractNum>
  <w:abstractNum w:abstractNumId="36">
    <w:nsid w:val="704E1DD5"/>
    <w:multiLevelType w:val="hybridMultilevel"/>
    <w:lvl w:ilvl="0">
      <w:lvlJc w:val="left"/>
      <w:lvlText w:val="%1."/>
      <w:numFmt w:val="decimal"/>
      <w:start w:val="15"/>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1)"/>
      <w:numFmt w:val="lowerLetter"/>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1)"/>
      <w:numFmt w:val="lowerLetter"/>
      <w:start w:val="1"/>
    </w:lvl>
  </w:abstractNum>
  <w:abstractNum w:abstractNumId="48">
    <w:nsid w:val="1849C29B"/>
    <w:multiLevelType w:val="hybridMultilevel"/>
    <w:lvl w:ilvl="0">
      <w:lvlJc w:val="left"/>
      <w:lvlText w:val="(%1)"/>
      <w:numFmt w:val="lowerLetter"/>
      <w:start w:val="1"/>
    </w:lvl>
  </w:abstractNum>
  <w:abstractNum w:abstractNumId="49">
    <w:nsid w:val="7DFF9D09"/>
    <w:multiLevelType w:val="hybridMultilevel"/>
    <w:lvl w:ilvl="0">
      <w:lvlJc w:val="left"/>
      <w:lvlText w:val="(%1)"/>
      <w:numFmt w:val="lowerLetter"/>
      <w:start w:val="1"/>
    </w:lvl>
  </w:abstractNum>
  <w:abstractNum w:abstractNumId="50">
    <w:nsid w:val="754342"/>
    <w:multiLevelType w:val="hybridMultilevel"/>
    <w:lvl w:ilvl="0">
      <w:lvlJc w:val="left"/>
      <w:lvlText w:val="(%1)"/>
      <w:numFmt w:val="lowerLetter"/>
      <w:start w:val="1"/>
    </w:lvl>
  </w:abstractNum>
  <w:abstractNum w:abstractNumId="51">
    <w:nsid w:val="69E7F3E5"/>
    <w:multiLevelType w:val="hybridMultilevel"/>
    <w:lvl w:ilvl="0">
      <w:lvlJc w:val="left"/>
      <w:lvlText w:val="(%1)"/>
      <w:numFmt w:val="lowerRoman"/>
      <w:start w:val="1"/>
    </w:lvl>
  </w:abstractNum>
  <w:abstractNum w:abstractNumId="52">
    <w:nsid w:val="2A6DE806"/>
    <w:multiLevelType w:val="hybridMultilevel"/>
    <w:lvl w:ilvl="0">
      <w:lvlJc w:val="left"/>
      <w:lvlText w:val="(%1)"/>
      <w:numFmt w:val="lowerLetter"/>
      <w:start w:val="1"/>
    </w:lvl>
  </w:abstractNum>
  <w:abstractNum w:abstractNumId="53">
    <w:nsid w:val="1816F8C4"/>
    <w:multiLevelType w:val="hybridMultilevel"/>
    <w:lvl w:ilvl="0">
      <w:lvlJc w:val="left"/>
      <w:lvlText w:val="(%1)"/>
      <w:numFmt w:val="lowerLetter"/>
      <w:start w:val="1"/>
    </w:lvl>
  </w:abstractNum>
  <w:abstractNum w:abstractNumId="54">
    <w:nsid w:val="37DF2233"/>
    <w:multiLevelType w:val="hybridMultilevel"/>
    <w:lvl w:ilvl="0">
      <w:lvlJc w:val="left"/>
      <w:lvlText w:val="%1"/>
      <w:numFmt w:val="decimal"/>
      <w:start w:val="12"/>
    </w:lvl>
  </w:abstractNum>
  <w:abstractNum w:abstractNumId="55">
    <w:nsid w:val="7AB49DAF"/>
    <w:multiLevelType w:val="hybridMultilevel"/>
    <w:lvl w:ilvl="0">
      <w:lvlJc w:val="left"/>
      <w:lvlText w:val="(%1)"/>
      <w:numFmt w:val="decimal"/>
      <w:start w:val="1"/>
    </w:lvl>
  </w:abstractNum>
  <w:abstractNum w:abstractNumId="56">
    <w:nsid w:val="759F82CD"/>
    <w:multiLevelType w:val="hybridMultilevel"/>
    <w:lvl w:ilvl="0">
      <w:lvlJc w:val="left"/>
      <w:lvlText w:val="(%1)"/>
      <w:numFmt w:val="lowerLetter"/>
      <w:start w:val="1"/>
    </w:lvl>
  </w:abstractNum>
  <w:abstractNum w:abstractNumId="57">
    <w:nsid w:val="61E74EA3"/>
    <w:multiLevelType w:val="hybridMultilevel"/>
    <w:lvl w:ilvl="0">
      <w:lvlJc w:val="left"/>
      <w:lvlText w:val="(%1)"/>
      <w:numFmt w:val="lowerLetter"/>
      <w:start w:val="1"/>
    </w:lvl>
  </w:abstractNum>
  <w:abstractNum w:abstractNumId="58">
    <w:nsid w:val="597B4D84"/>
    <w:multiLevelType w:val="hybridMultilevel"/>
    <w:lvl w:ilvl="0">
      <w:lvlJc w:val="left"/>
      <w:lvlText w:val="(%1)"/>
      <w:numFmt w:val="decimal"/>
      <w:start w:val="1"/>
    </w:lvl>
  </w:abstractNum>
  <w:abstractNum w:abstractNumId="59">
    <w:nsid w:val="F819E7F"/>
    <w:multiLevelType w:val="hybridMultilevel"/>
    <w:lvl w:ilvl="0">
      <w:lvlJc w:val="left"/>
      <w:lvlText w:val="(%1)"/>
      <w:numFmt w:val="decimal"/>
      <w:start w:val="3"/>
    </w:lvl>
  </w:abstractNum>
  <w:abstractNum w:abstractNumId="60">
    <w:nsid w:val="57C7D42D"/>
    <w:multiLevelType w:val="hybridMultilevel"/>
    <w:lvl w:ilvl="0">
      <w:lvlJc w:val="left"/>
      <w:lvlText w:val="(%1)"/>
      <w:numFmt w:val="decimal"/>
      <w:start w:val="14"/>
    </w:lvl>
  </w:abstractNum>
  <w:abstractNum w:abstractNumId="61">
    <w:nsid w:val="312167AD"/>
    <w:multiLevelType w:val="hybridMultilevel"/>
    <w:lvl w:ilvl="0">
      <w:lvlJc w:val="left"/>
      <w:lvlText w:val="(%1)"/>
      <w:numFmt w:val="decimal"/>
      <w:start w:val="22"/>
    </w:lvl>
  </w:abstractNum>
  <w:abstractNum w:abstractNumId="62">
    <w:nsid w:val="631B64D4"/>
    <w:multiLevelType w:val="hybridMultilevel"/>
    <w:lvl w:ilvl="0">
      <w:lvlJc w:val="left"/>
      <w:lvlText w:val="(%1)"/>
      <w:numFmt w:val="decimal"/>
      <w:start w:val="1"/>
    </w:lvl>
  </w:abstractNum>
  <w:abstractNum w:abstractNumId="63">
    <w:nsid w:val="78B5E776"/>
    <w:multiLevelType w:val="hybridMultilevel"/>
    <w:lvl w:ilvl="0">
      <w:lvlJc w:val="left"/>
      <w:lvlText w:val="(%1)"/>
      <w:numFmt w:val="decimal"/>
      <w:start w:val="2"/>
    </w:lvl>
  </w:abstractNum>
  <w:abstractNum w:abstractNumId="64">
    <w:nsid w:val="75486E47"/>
    <w:multiLevelType w:val="hybridMultilevel"/>
    <w:lvl w:ilvl="0">
      <w:lvlJc w:val="left"/>
      <w:lvlText w:val="(%1)"/>
      <w:numFmt w:val="decimal"/>
      <w:start w:val="8"/>
    </w:lvl>
  </w:abstractNum>
  <w:abstractNum w:abstractNumId="65">
    <w:nsid w:val="6E534CDE"/>
    <w:multiLevelType w:val="hybridMultilevel"/>
    <w:lvl w:ilvl="0">
      <w:lvlJc w:val="left"/>
      <w:lvlText w:val="(%1)"/>
      <w:numFmt w:val="decimal"/>
      <w:start w:val="12"/>
    </w:lvl>
  </w:abstractNum>
  <w:abstractNum w:abstractNumId="66">
    <w:nsid w:val="1A0DDE32"/>
    <w:multiLevelType w:val="hybridMultilevel"/>
    <w:lvl w:ilvl="0">
      <w:lvlJc w:val="left"/>
      <w:lvlText w:val="(%1)"/>
      <w:numFmt w:val="decimal"/>
      <w:start w:val="1"/>
    </w:lvl>
  </w:abstractNum>
  <w:abstractNum w:abstractNumId="67">
    <w:nsid w:val="65968C1C"/>
    <w:multiLevelType w:val="hybridMultilevel"/>
    <w:lvl w:ilvl="0">
      <w:lvlJc w:val="left"/>
      <w:lvlText w:val="(%1)"/>
      <w:numFmt w:val="lowerLetter"/>
      <w:start w:val="1"/>
    </w:lvl>
  </w:abstractNum>
  <w:abstractNum w:abstractNumId="68">
    <w:nsid w:val="46263DEC"/>
    <w:multiLevelType w:val="hybridMultilevel"/>
    <w:lvl w:ilvl="0">
      <w:lvlJc w:val="left"/>
      <w:lvlText w:val="(%1)"/>
      <w:numFmt w:val="lowerLetter"/>
      <w:start w:val="6"/>
    </w:lvl>
  </w:abstractNum>
  <w:abstractNum w:abstractNumId="69">
    <w:nsid w:val="260D8C4A"/>
    <w:multiLevelType w:val="hybridMultilevel"/>
    <w:lvl w:ilvl="0">
      <w:lvlJc w:val="left"/>
      <w:lvlText w:val="%1"/>
      <w:numFmt w:val="decimal"/>
      <w:start w:val="1"/>
    </w:lvl>
    <w:lvl w:ilvl="1">
      <w:lvlJc w:val="left"/>
      <w:lvlText w:val="(%2)"/>
      <w:numFmt w:val="lowerLetter"/>
      <w:start w:val="10"/>
    </w:lvl>
  </w:abstractNum>
  <w:abstractNum w:abstractNumId="70">
    <w:nsid w:val="73D4D3C4"/>
    <w:multiLevelType w:val="hybridMultilevel"/>
    <w:lvl w:ilvl="0">
      <w:lvlJc w:val="left"/>
      <w:lvlText w:val="(%1)"/>
      <w:numFmt w:val="decimal"/>
      <w:start w:val="2"/>
    </w:lvl>
    <w:lvl w:ilvl="1">
      <w:lvlJc w:val="left"/>
      <w:lvlText w:val="%2"/>
      <w:numFmt w:val="lowerLetter"/>
      <w:start w:val="1"/>
    </w:lvl>
  </w:abstractNum>
  <w:abstractNum w:abstractNumId="71">
    <w:nsid w:val="746F2E30"/>
    <w:multiLevelType w:val="hybridMultilevel"/>
    <w:lvl w:ilvl="0">
      <w:lvlJc w:val="left"/>
      <w:lvlText w:val="(%1)"/>
      <w:numFmt w:val="decimal"/>
      <w:start w:val="3"/>
    </w:lvl>
  </w:abstractNum>
  <w:abstractNum w:abstractNumId="72">
    <w:nsid w:val="6FDE8AF6"/>
    <w:multiLevelType w:val="hybridMultilevel"/>
    <w:lvl w:ilvl="0">
      <w:lvlJc w:val="left"/>
      <w:lvlText w:val="%1"/>
      <w:numFmt w:val="lowerLetter"/>
      <w:start w:val="1"/>
    </w:lvl>
    <w:lvl w:ilvl="1">
      <w:lvlJc w:val="left"/>
      <w:lvlText w:val="(%2)"/>
      <w:numFmt w:val="decimal"/>
      <w:start w:val="1"/>
    </w:lvl>
  </w:abstractNum>
  <w:abstractNum w:abstractNumId="73">
    <w:nsid w:val="3FC32E20"/>
    <w:multiLevelType w:val="hybridMultilevel"/>
    <w:lvl w:ilvl="0">
      <w:lvlJc w:val="left"/>
      <w:lvlText w:val="(%1)"/>
      <w:numFmt w:val="lowerLetter"/>
      <w:start w:val="26"/>
    </w:lvl>
    <w:lvl w:ilvl="1">
      <w:lvlJc w:val="left"/>
      <w:lvlText w:val="(%2)"/>
      <w:numFmt w:val="decimal"/>
      <w:start w:val="2"/>
    </w:lvl>
  </w:abstractNum>
  <w:abstractNum w:abstractNumId="74">
    <w:nsid w:val="49C0E823"/>
    <w:multiLevelType w:val="hybridMultilevel"/>
    <w:lvl w:ilvl="0">
      <w:lvlJc w:val="left"/>
      <w:lvlText w:val="(%1)"/>
      <w:numFmt w:val="decimal"/>
      <w:start w:val="1"/>
    </w:lvl>
  </w:abstractNum>
  <w:abstractNum w:abstractNumId="75">
    <w:nsid w:val="14D53685"/>
    <w:multiLevelType w:val="hybridMultilevel"/>
    <w:lvl w:ilvl="0">
      <w:lvlJc w:val="left"/>
      <w:lvlText w:val="(%1)"/>
      <w:numFmt w:val="decimal"/>
      <w:start w:val="3"/>
    </w:lvl>
  </w:abstractNum>
  <w:abstractNum w:abstractNumId="76">
    <w:nsid w:val="230F856C"/>
    <w:multiLevelType w:val="hybridMultilevel"/>
    <w:lvl w:ilvl="0">
      <w:lvlJc w:val="left"/>
      <w:lvlText w:val="(%1)"/>
      <w:numFmt w:val="decimal"/>
      <w:start w:val="10"/>
    </w:lvl>
  </w:abstractNum>
  <w:abstractNum w:abstractNumId="77">
    <w:nsid w:val="6EAA85FB"/>
    <w:multiLevelType w:val="hybridMultilevel"/>
    <w:lvl w:ilvl="0">
      <w:lvlJc w:val="left"/>
      <w:lvlText w:val="(%1)"/>
      <w:numFmt w:val="decimal"/>
      <w:start w:val="1"/>
    </w:lvl>
    <w:lvl w:ilvl="1">
      <w:lvlJc w:val="left"/>
      <w:lvlText w:val="(%2)"/>
      <w:numFmt w:val="lowerLetter"/>
      <w:start w:val="1"/>
    </w:lvl>
  </w:abstractNum>
  <w:abstractNum w:abstractNumId="78">
    <w:nsid w:val="3F06ECB2"/>
    <w:multiLevelType w:val="hybridMultilevel"/>
    <w:lvl w:ilvl="0">
      <w:lvlJc w:val="left"/>
      <w:lvlText w:val="(%1)"/>
      <w:numFmt w:val="decimal"/>
      <w:start w:val="1"/>
    </w:lvl>
  </w:abstractNum>
  <w:abstractNum w:abstractNumId="79">
    <w:nsid w:val="3B594807"/>
    <w:multiLevelType w:val="hybridMultilevel"/>
    <w:lvl w:ilvl="0">
      <w:lvlJc w:val="left"/>
      <w:lvlText w:val="(%1)"/>
      <w:numFmt w:val="lowerRoman"/>
      <w:start w:val="2"/>
    </w:lvl>
  </w:abstractNum>
  <w:abstractNum w:abstractNumId="80">
    <w:nsid w:val="6CAA2304"/>
    <w:multiLevelType w:val="hybridMultilevel"/>
    <w:lvl w:ilvl="0">
      <w:lvlJc w:val="left"/>
      <w:lvlText w:val="(%1)"/>
      <w:numFmt w:val="decimal"/>
      <w:start w:val="1"/>
    </w:lvl>
  </w:abstractNum>
  <w:abstractNum w:abstractNumId="81">
    <w:nsid w:val="3F7C2FF4"/>
    <w:multiLevelType w:val="hybridMultilevel"/>
    <w:lvl w:ilvl="0">
      <w:lvlJc w:val="left"/>
      <w:lvlText w:val="(%1)"/>
      <w:numFmt w:val="decimal"/>
      <w:start w:val="1"/>
    </w:lvl>
  </w:abstractNum>
  <w:abstractNum w:abstractNumId="82">
    <w:nsid w:val="25413BEC"/>
    <w:multiLevelType w:val="hybridMultilevel"/>
    <w:lvl w:ilvl="0">
      <w:lvlJc w:val="left"/>
      <w:lvlText w:val="(%1)"/>
      <w:numFmt w:val="decimal"/>
      <w:start w:val="1"/>
    </w:lvl>
  </w:abstractNum>
  <w:abstractNum w:abstractNumId="83">
    <w:nsid w:val="17180B0B"/>
    <w:multiLevelType w:val="hybridMultilevel"/>
    <w:lvl w:ilvl="0">
      <w:lvlJc w:val="left"/>
      <w:lvlText w:val="(%1)"/>
      <w:numFmt w:val="decimal"/>
      <w:start w:val="5"/>
    </w:lvl>
  </w:abstractNum>
  <w:abstractNum w:abstractNumId="84">
    <w:nsid w:val="579328B9"/>
    <w:multiLevelType w:val="hybridMultilevel"/>
    <w:lvl w:ilvl="0">
      <w:lvlJc w:val="left"/>
      <w:lvlText w:val="(%1)"/>
      <w:numFmt w:val="decimal"/>
      <w:start w:val="1"/>
    </w:lvl>
  </w:abstractNum>
  <w:abstractNum w:abstractNumId="85">
    <w:nsid w:val="5D205E20"/>
    <w:multiLevelType w:val="hybridMultilevel"/>
    <w:lvl w:ilvl="0">
      <w:lvlJc w:val="left"/>
      <w:lvlText w:val="(%1)"/>
      <w:numFmt w:val="decimal"/>
      <w:start w:val="1"/>
    </w:lvl>
  </w:abstractNum>
  <w:abstractNum w:abstractNumId="86">
    <w:nsid w:val="11CCA8BA"/>
    <w:multiLevelType w:val="hybridMultilevel"/>
    <w:lvl w:ilvl="0">
      <w:lvlJc w:val="left"/>
      <w:lvlText w:val="(%1)"/>
      <w:numFmt w:val="decimal"/>
      <w:start w:val="2"/>
    </w:lvl>
  </w:abstractNum>
  <w:abstractNum w:abstractNumId="87">
    <w:nsid w:val="4D32AB86"/>
    <w:multiLevelType w:val="hybridMultilevel"/>
    <w:lvl w:ilvl="0">
      <w:lvlJc w:val="left"/>
      <w:lvlText w:val="(%1)"/>
      <w:numFmt w:val="decimal"/>
      <w:start w:val="1"/>
    </w:lvl>
  </w:abstractNum>
  <w:abstractNum w:abstractNumId="88">
    <w:nsid w:val="3F07ACC3"/>
    <w:multiLevelType w:val="hybridMultilevel"/>
    <w:lvl w:ilvl="0">
      <w:lvlJc w:val="left"/>
      <w:lvlText w:val="(%1)"/>
      <w:numFmt w:val="decimal"/>
      <w:start w:val="1"/>
    </w:lvl>
  </w:abstractNum>
  <w:abstractNum w:abstractNumId="89">
    <w:nsid w:val="6B47F63E"/>
    <w:multiLevelType w:val="hybridMultilevel"/>
    <w:lvl w:ilvl="0">
      <w:lvlJc w:val="left"/>
      <w:lvlText w:val="(%1)"/>
      <w:numFmt w:val="decimal"/>
      <w:start w:val="1"/>
    </w:lvl>
  </w:abstractNum>
  <w:abstractNum w:abstractNumId="90">
    <w:nsid w:val="5CB44A05"/>
    <w:multiLevelType w:val="hybridMultilevel"/>
    <w:lvl w:ilvl="0">
      <w:lvlJc w:val="left"/>
      <w:lvlText w:val="(%1)"/>
      <w:numFmt w:val="decimal"/>
      <w:start w:val="1"/>
    </w:lvl>
  </w:abstractNum>
  <w:abstractNum w:abstractNumId="91">
    <w:nsid w:val="16CF80F1"/>
    <w:multiLevelType w:val="hybridMultilevel"/>
    <w:lvl w:ilvl="0">
      <w:lvlJc w:val="left"/>
      <w:lvlText w:val="(%1)"/>
      <w:numFmt w:val="decimal"/>
      <w:start w:val="1"/>
    </w:lvl>
  </w:abstractNum>
  <w:abstractNum w:abstractNumId="92">
    <w:nsid w:val="1C695DEC"/>
    <w:multiLevelType w:val="hybridMultilevel"/>
    <w:lvl w:ilvl="0">
      <w:lvlJc w:val="left"/>
      <w:lvlText w:val="(%1)"/>
      <w:numFmt w:val="decimal"/>
      <w:start w:val="2"/>
    </w:lvl>
  </w:abstractNum>
  <w:abstractNum w:abstractNumId="93">
    <w:nsid w:val="3FCFAED9"/>
    <w:multiLevelType w:val="hybridMultilevel"/>
    <w:lvl w:ilvl="0">
      <w:lvlJc w:val="left"/>
      <w:lvlText w:val="(%1)"/>
      <w:numFmt w:val="decimal"/>
      <w:start w:val="1"/>
    </w:lvl>
  </w:abstractNum>
  <w:abstractNum w:abstractNumId="94">
    <w:nsid w:val="F856867"/>
    <w:multiLevelType w:val="hybridMultilevel"/>
    <w:lvl w:ilvl="0">
      <w:lvlJc w:val="left"/>
      <w:lvlText w:val="(%1)"/>
      <w:numFmt w:val="decimal"/>
      <w:start w:val="4"/>
    </w:lvl>
  </w:abstractNum>
  <w:abstractNum w:abstractNumId="95">
    <w:nsid w:val="11B1CC33"/>
    <w:multiLevelType w:val="hybridMultilevel"/>
    <w:lvl w:ilvl="0">
      <w:lvlJc w:val="left"/>
      <w:lvlText w:val="(%1)"/>
      <w:numFmt w:val="decimal"/>
      <w:start w:val="13"/>
    </w:lvl>
  </w:abstractNum>
  <w:abstractNum w:abstractNumId="96">
    <w:nsid w:val="2E22FBB7"/>
    <w:multiLevelType w:val="hybridMultilevel"/>
    <w:lvl w:ilvl="0">
      <w:lvlJc w:val="left"/>
      <w:lvlText w:val="(%1)"/>
      <w:numFmt w:val="decimal"/>
      <w:start w:val="21"/>
    </w:lvl>
  </w:abstractNum>
  <w:abstractNum w:abstractNumId="97">
    <w:nsid w:val="29934699"/>
    <w:multiLevelType w:val="hybridMultilevel"/>
    <w:lvl w:ilvl="0">
      <w:lvlJc w:val="left"/>
      <w:lvlText w:val="(%1)"/>
      <w:numFmt w:val="decimal"/>
      <w:start w:val="27"/>
    </w:lvl>
  </w:abstractNum>
  <w:abstractNum w:abstractNumId="98">
    <w:nsid w:val="77485850"/>
    <w:multiLevelType w:val="hybridMultilevel"/>
    <w:lvl w:ilvl="0">
      <w:lvlJc w:val="left"/>
      <w:lvlText w:val="(%1)"/>
      <w:numFmt w:val="decimal"/>
      <w:start w:val="1"/>
    </w:lvl>
  </w:abstractNum>
  <w:abstractNum w:abstractNumId="99">
    <w:nsid w:val="744939A3"/>
    <w:multiLevelType w:val="hybridMultilevel"/>
    <w:lvl w:ilvl="0">
      <w:lvlJc w:val="left"/>
      <w:lvlText w:val="%1"/>
      <w:numFmt w:val="lowerRoman"/>
      <w:start w:val="1"/>
    </w:lvl>
    <w:lvl w:ilvl="1">
      <w:lvlJc w:val="left"/>
      <w:lvlText w:val="(%2)"/>
      <w:numFmt w:val="decimal"/>
      <w:start w:val="4"/>
    </w:lvl>
  </w:abstractNum>
  <w:abstractNum w:abstractNumId="100">
    <w:nsid w:val="4FA0D2E3"/>
    <w:multiLevelType w:val="hybridMultilevel"/>
    <w:lvl w:ilvl="0">
      <w:lvlJc w:val="left"/>
      <w:lvlText w:val="(%1)"/>
      <w:numFmt w:val="lowerRoman"/>
      <w:start w:val="1"/>
    </w:lvl>
    <w:lvl w:ilvl="1">
      <w:lvlJc w:val="left"/>
      <w:lvlText w:val="%2"/>
      <w:numFmt w:val="decimal"/>
      <w:start w:val="1"/>
    </w:lvl>
  </w:abstractNum>
  <w:abstractNum w:abstractNumId="101">
    <w:nsid w:val="6B1D2C14"/>
    <w:multiLevelType w:val="hybridMultilevel"/>
    <w:lvl w:ilvl="0">
      <w:lvlJc w:val="left"/>
      <w:lvlText w:val="(%1)"/>
      <w:numFmt w:val="decimal"/>
      <w:start w:val="7"/>
    </w:lvl>
  </w:abstractNum>
  <w:abstractNum w:abstractNumId="102">
    <w:nsid w:val="68B867D3"/>
    <w:multiLevelType w:val="hybridMultilevel"/>
    <w:lvl w:ilvl="0">
      <w:lvlJc w:val="left"/>
      <w:lvlText w:val="(%1)"/>
      <w:numFmt w:val="decimal"/>
      <w:start w:val="13"/>
    </w:lvl>
  </w:abstractNum>
  <w:abstractNum w:abstractNumId="103">
    <w:nsid w:val="3F7F5DD9"/>
    <w:multiLevelType w:val="hybridMultilevel"/>
    <w:lvl w:ilvl="0">
      <w:lvlJc w:val="left"/>
      <w:lvlText w:val="(%1)"/>
      <w:numFmt w:val="decimal"/>
      <w:start w:val="20"/>
    </w:lvl>
  </w:abstractNum>
  <w:abstractNum w:abstractNumId="104">
    <w:nsid w:val="2AE05A34"/>
    <w:multiLevelType w:val="hybridMultilevel"/>
    <w:lvl w:ilvl="0">
      <w:lvlJc w:val="left"/>
      <w:lvlText w:val="(%1)"/>
      <w:numFmt w:val="decimal"/>
      <w:start w:val="29"/>
    </w:lvl>
  </w:abstractNum>
  <w:abstractNum w:abstractNumId="105">
    <w:nsid w:val="32794FF7"/>
    <w:multiLevelType w:val="hybridMultilevel"/>
    <w:lvl w:ilvl="0">
      <w:lvlJc w:val="left"/>
      <w:lvlText w:val="(%1)"/>
      <w:numFmt w:val="decimal"/>
      <w:start w:val="37"/>
    </w:lvl>
  </w:abstractNum>
  <w:abstractNum w:abstractNumId="106">
    <w:nsid w:val="5454945E"/>
    <w:multiLevelType w:val="hybridMultilevel"/>
    <w:lvl w:ilvl="0">
      <w:lvlJc w:val="left"/>
      <w:lvlText w:val="(%1)"/>
      <w:numFmt w:val="decimal"/>
      <w:start w:val="1"/>
    </w:lvl>
  </w:abstractNum>
  <w:abstractNum w:abstractNumId="107">
    <w:nsid w:val="4DEFDFA0"/>
    <w:multiLevelType w:val="hybridMultilevel"/>
    <w:lvl w:ilvl="0">
      <w:lvlJc w:val="left"/>
      <w:lvlText w:val="(%1)"/>
      <w:numFmt w:val="decimal"/>
      <w:start w:val="2"/>
    </w:lvl>
    <w:lvl w:ilvl="1">
      <w:lvlJc w:val="left"/>
      <w:lvlText w:val="(%2)"/>
      <w:numFmt w:val="lowerLetter"/>
      <w:start w:val="1"/>
    </w:lvl>
  </w:abstractNum>
  <w:abstractNum w:abstractNumId="108">
    <w:nsid w:val="2123D5F2"/>
    <w:multiLevelType w:val="hybridMultilevel"/>
    <w:lvl w:ilvl="0">
      <w:lvlJc w:val="left"/>
      <w:lvlText w:val="(%1)"/>
      <w:numFmt w:val="lowerRoman"/>
      <w:start w:val="1"/>
    </w:lvl>
  </w:abstractNum>
  <w:abstractNum w:abstractNumId="109">
    <w:nsid w:val="135B8110"/>
    <w:multiLevelType w:val="hybridMultilevel"/>
    <w:lvl w:ilvl="0">
      <w:lvlJc w:val="left"/>
      <w:lvlText w:val="(%1)"/>
      <w:numFmt w:val="lowerRoman"/>
      <w:start w:val="1"/>
    </w:lvl>
  </w:abstractNum>
  <w:abstractNum w:abstractNumId="110">
    <w:nsid w:val="94927A8"/>
    <w:multiLevelType w:val="hybridMultilevel"/>
    <w:lvl w:ilvl="0">
      <w:lvlJc w:val="left"/>
      <w:lvlText w:val="(%1)"/>
      <w:numFmt w:val="decimal"/>
      <w:start w:val="1"/>
    </w:lvl>
    <w:lvl w:ilvl="1">
      <w:lvlJc w:val="left"/>
      <w:lvlText w:val="(%2)"/>
      <w:numFmt w:val="lowerLetter"/>
      <w:start w:val="1"/>
    </w:lvl>
  </w:abstractNum>
  <w:abstractNum w:abstractNumId="111">
    <w:nsid w:val="DCDF8F6"/>
    <w:multiLevelType w:val="hybridMultilevel"/>
    <w:lvl w:ilvl="0">
      <w:lvlJc w:val="left"/>
      <w:lvlText w:val="(%1)"/>
      <w:numFmt w:val="decimal"/>
      <w:start w:val="1"/>
    </w:lvl>
  </w:abstractNum>
  <w:abstractNum w:abstractNumId="112">
    <w:nsid w:val="52D7B105"/>
    <w:multiLevelType w:val="hybridMultilevel"/>
    <w:lvl w:ilvl="0">
      <w:lvlJc w:val="left"/>
      <w:lvlText w:val="(%1)"/>
      <w:numFmt w:val="decimal"/>
      <w:start w:val="1"/>
    </w:lvl>
  </w:abstractNum>
  <w:abstractNum w:abstractNumId="113">
    <w:nsid w:val="2E8A6394"/>
    <w:multiLevelType w:val="hybridMultilevel"/>
    <w:lvl w:ilvl="0">
      <w:lvlJc w:val="left"/>
      <w:lvlText w:val="(%1)"/>
      <w:numFmt w:val="decimal"/>
      <w:start w:val="1"/>
    </w:lvl>
  </w:abstractNum>
  <w:abstractNum w:abstractNumId="114">
    <w:nsid w:val="24E60401"/>
    <w:multiLevelType w:val="hybridMultilevel"/>
    <w:lvl w:ilvl="0">
      <w:lvlJc w:val="left"/>
      <w:lvlText w:val="(%1)"/>
      <w:numFmt w:val="decimal"/>
      <w:start w:val="4"/>
    </w:lvl>
  </w:abstractNum>
  <w:abstractNum w:abstractNumId="115">
    <w:nsid w:val="2A6AD9BE"/>
    <w:multiLevelType w:val="hybridMultilevel"/>
    <w:lvl w:ilvl="0">
      <w:lvlJc w:val="left"/>
      <w:lvlText w:val="(%1)"/>
      <w:numFmt w:val="lowerLetter"/>
      <w:start w:val="1"/>
    </w:lvl>
  </w:abstractNum>
  <w:abstractNum w:abstractNumId="116">
    <w:nsid w:val="BAAC1B4"/>
    <w:multiLevelType w:val="hybridMultilevel"/>
    <w:lvl w:ilvl="0">
      <w:lvlJc w:val="left"/>
      <w:lvlText w:val="%1"/>
      <w:numFmt w:val="upperLetter"/>
      <w:start w:val="1"/>
    </w:lvl>
    <w:lvl w:ilvl="1">
      <w:lvlJc w:val="left"/>
      <w:lvlText w:val="(%2)"/>
      <w:numFmt w:val="lowerLetter"/>
      <w:start w:val="2"/>
    </w:lvl>
  </w:abstractNum>
  <w:abstractNum w:abstractNumId="117">
    <w:nsid w:val="36B2ACBC"/>
    <w:multiLevelType w:val="hybridMultilevel"/>
    <w:lvl w:ilvl="0">
      <w:lvlJc w:val="left"/>
      <w:lvlText w:val="(%1)"/>
      <w:numFmt w:val="upperLetter"/>
      <w:start w:val="2"/>
    </w:lvl>
    <w:lvl w:ilvl="1">
      <w:lvlJc w:val="left"/>
      <w:lvlText w:val="%2"/>
      <w:numFmt w:val="lowerLetter"/>
      <w:start w:val="1"/>
    </w:lvl>
  </w:abstractNum>
  <w:abstractNum w:abstractNumId="118">
    <w:nsid w:val="779D8544"/>
    <w:multiLevelType w:val="hybridMultilevel"/>
    <w:lvl w:ilvl="0">
      <w:lvlJc w:val="left"/>
      <w:lvlText w:val="(%1)"/>
      <w:numFmt w:val="lowerLetter"/>
      <w:start w:val="3"/>
    </w:lvl>
  </w:abstractNum>
  <w:abstractNum w:abstractNumId="119">
    <w:nsid w:val="4AB26E78"/>
    <w:multiLevelType w:val="hybridMultilevel"/>
    <w:lvl w:ilvl="0">
      <w:lvlJc w:val="left"/>
      <w:lvlText w:val="(%1)"/>
      <w:numFmt w:val="decimal"/>
      <w:start w:val="1"/>
    </w:lvl>
  </w:abstractNum>
  <w:abstractNum w:abstractNumId="120">
    <w:nsid w:val="21FAA2FA"/>
    <w:multiLevelType w:val="hybridMultilevel"/>
    <w:lvl w:ilvl="0">
      <w:lvlJc w:val="left"/>
      <w:lvlText w:val="(%1)"/>
      <w:numFmt w:val="decimal"/>
      <w:start w:val="1"/>
    </w:lvl>
  </w:abstractNum>
  <w:abstractNum w:abstractNumId="121">
    <w:nsid w:val="5451CF49"/>
    <w:multiLevelType w:val="hybridMultilevel"/>
    <w:lvl w:ilvl="0">
      <w:lvlJc w:val="left"/>
      <w:lvlText w:val="(%1)"/>
      <w:numFmt w:val="decimal"/>
      <w:start w:val="7"/>
    </w:lvl>
  </w:abstractNum>
  <w:abstractNum w:abstractNumId="122">
    <w:nsid w:val="6181EF69"/>
    <w:multiLevelType w:val="hybridMultilevel"/>
    <w:lvl w:ilvl="0">
      <w:lvlJc w:val="left"/>
      <w:lvlText w:val="(%1)"/>
      <w:numFmt w:val="decimal"/>
      <w:start w:val="5"/>
    </w:lvl>
  </w:abstractNum>
  <w:abstractNum w:abstractNumId="123">
    <w:nsid w:val="3E6400E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24">
    <w:nsid w:val="14217E23"/>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2"/>
    </w:lvl>
  </w:abstractNum>
  <w:abstractNum w:abstractNumId="125">
    <w:nsid w:val="710757D0"/>
    <w:multiLevelType w:val="hybridMultilevel"/>
    <w:lvl w:ilvl="0">
      <w:lvlJc w:val="left"/>
      <w:lvlText w:val="%1"/>
      <w:numFmt w:val="lowerLetter"/>
      <w:start w:val="1"/>
    </w:lvl>
    <w:lvl w:ilvl="1">
      <w:lvlJc w:val="left"/>
      <w:lvlText w:val="(%2)"/>
      <w:numFmt w:val="decimal"/>
      <w:start w:val="3"/>
    </w:lvl>
  </w:abstractNum>
  <w:abstractNum w:abstractNumId="126">
    <w:nsid w:val="5015CD1A"/>
    <w:multiLevelType w:val="hybridMultilevel"/>
    <w:lvl w:ilvl="0">
      <w:lvlJc w:val="left"/>
      <w:lvlText w:val="(%1)"/>
      <w:numFmt w:val="lowerLetter"/>
      <w:start w:val="6"/>
    </w:lvl>
    <w:lvl w:ilvl="1">
      <w:lvlJc w:val="left"/>
      <w:lvlText w:val="%2"/>
      <w:numFmt w:val="decimal"/>
      <w:start w:val="1"/>
    </w:lvl>
  </w:abstractNum>
  <w:abstractNum w:abstractNumId="127">
    <w:nsid w:val="424479DA"/>
    <w:multiLevelType w:val="hybridMultilevel"/>
    <w:lvl w:ilvl="0">
      <w:lvlJc w:val="left"/>
      <w:lvlText w:val="(%1)"/>
      <w:numFmt w:val="decimal"/>
      <w:start w:val="1"/>
    </w:lvl>
  </w:abstractNum>
  <w:abstractNum w:abstractNumId="128">
    <w:nsid w:val="1A9A9E69"/>
    <w:multiLevelType w:val="hybridMultilevel"/>
    <w:lvl w:ilvl="0">
      <w:lvlJc w:val="left"/>
      <w:lvlText w:val="(%1)"/>
      <w:numFmt w:val="lowerLetter"/>
      <w:start w:val="1"/>
    </w:lvl>
  </w:abstractNum>
  <w:abstractNum w:abstractNumId="129">
    <w:nsid w:val="475E256A"/>
    <w:multiLevelType w:val="hybridMultilevel"/>
    <w:lvl w:ilvl="0">
      <w:lvlJc w:val="left"/>
      <w:lvlText w:val="(%1)"/>
      <w:numFmt w:val="lowerLetter"/>
      <w:start w:val="2"/>
    </w:lvl>
    <w:lvl w:ilvl="1">
      <w:lvlJc w:val="left"/>
      <w:lvlText w:val="(%2)"/>
      <w:numFmt w:val="decimal"/>
      <w:start w:val="1"/>
    </w:lvl>
  </w:abstractNum>
  <w:abstractNum w:abstractNumId="130">
    <w:nsid w:val="368DB37E"/>
    <w:multiLevelType w:val="hybridMultilevel"/>
    <w:lvl w:ilvl="0">
      <w:lvlJc w:val="left"/>
      <w:lvlText w:val="(%1)"/>
      <w:numFmt w:val="decimal"/>
      <w:start w:val="1"/>
    </w:lvl>
  </w:abstractNum>
  <w:abstractNum w:abstractNumId="131">
    <w:nsid w:val="6A3B714C"/>
    <w:multiLevelType w:val="hybridMultilevel"/>
    <w:lvl w:ilvl="0">
      <w:lvlJc w:val="left"/>
      <w:lvlText w:val="(%1)"/>
      <w:numFmt w:val="lowerLetter"/>
      <w:start w:val="4"/>
    </w:lvl>
  </w:abstractNum>
  <w:abstractNum w:abstractNumId="132">
    <w:nsid w:val="327B517E"/>
    <w:multiLevelType w:val="hybridMultilevel"/>
    <w:lvl w:ilvl="0">
      <w:lvlJc w:val="left"/>
      <w:lvlText w:val="(%1)"/>
      <w:numFmt w:val="lowerLetter"/>
      <w:start w:val="6"/>
    </w:lvl>
  </w:abstractNum>
  <w:abstractNum w:abstractNumId="133">
    <w:nsid w:val="1F461B51"/>
    <w:multiLevelType w:val="hybridMultilevel"/>
    <w:lvl w:ilvl="0">
      <w:lvlJc w:val="left"/>
      <w:lvlText w:val="(%1)"/>
      <w:numFmt w:val="lowerLetter"/>
      <w:start w:val="8"/>
    </w:lvl>
  </w:abstractNum>
  <w:abstractNum w:abstractNumId="134">
    <w:nsid w:val="29BACF25"/>
    <w:multiLevelType w:val="hybridMultilevel"/>
    <w:lvl w:ilvl="0">
      <w:lvlJc w:val="left"/>
      <w:lvlText w:val="%1."/>
      <w:numFmt w:val="decimal"/>
      <w:start w:val="1"/>
    </w:lvl>
  </w:abstractNum>
  <w:abstractNum w:abstractNumId="135">
    <w:nsid w:val="5D5BABB3"/>
    <w:multiLevelType w:val="hybridMultilevel"/>
    <w:lvl w:ilvl="0">
      <w:lvlJc w:val="left"/>
      <w:lvlText w:val="(%1)"/>
      <w:numFmt w:val="lowerLetter"/>
      <w:start w:val="1"/>
    </w:lvl>
  </w:abstractNum>
  <w:abstractNum w:abstractNumId="136">
    <w:nsid w:val="51BF6B48"/>
    <w:multiLevelType w:val="hybridMultilevel"/>
    <w:lvl w:ilvl="0">
      <w:lvlJc w:val="left"/>
      <w:lvlText w:val="(%1)"/>
      <w:numFmt w:val="lowerLetter"/>
      <w:start w:val="1"/>
    </w:lvl>
  </w:abstractNum>
  <w:abstractNum w:abstractNumId="137">
    <w:nsid w:val="7E0F6384"/>
    <w:multiLevelType w:val="hybridMultilevel"/>
    <w:lvl w:ilvl="0">
      <w:lvlJc w:val="left"/>
      <w:lvlText w:val="(%1)"/>
      <w:numFmt w:val="lowerLetter"/>
      <w:start w:val="1"/>
    </w:lvl>
    <w:lvl w:ilvl="1">
      <w:lvlJc w:val="left"/>
      <w:lvlText w:val="(%2)"/>
      <w:numFmt w:val="decimal"/>
      <w:start w:val="1"/>
    </w:lvl>
  </w:abstractNum>
  <w:abstractNum w:abstractNumId="138">
    <w:nsid w:val="2B4B8B53"/>
    <w:multiLevelType w:val="hybridMultilevel"/>
    <w:lvl w:ilvl="0">
      <w:lvlJc w:val="left"/>
      <w:lvlText w:val="%1"/>
      <w:numFmt w:val="decimal"/>
      <w:start w:val="1"/>
    </w:lvl>
    <w:lvl w:ilvl="1">
      <w:lvlJc w:val="left"/>
      <w:lvlText w:val="(%2)"/>
      <w:numFmt w:val="upperLetter"/>
      <w:start w:val="1"/>
    </w:lvl>
  </w:abstractNum>
  <w:abstractNum w:abstractNumId="139">
    <w:nsid w:val="72E3413A"/>
    <w:multiLevelType w:val="hybridMultilevel"/>
    <w:lvl w:ilvl="0">
      <w:lvlJc w:val="left"/>
      <w:lvlText w:val="(%1)"/>
      <w:numFmt w:val="decimal"/>
      <w:start w:val="2"/>
    </w:lvl>
    <w:lvl w:ilvl="1">
      <w:lvlJc w:val="left"/>
      <w:lvlText w:val="%2"/>
      <w:numFmt w:val="upperLetter"/>
      <w:start w:val="1"/>
    </w:lvl>
  </w:abstractNum>
  <w:abstractNum w:abstractNumId="140">
    <w:nsid w:val="116AE494"/>
    <w:multiLevelType w:val="hybridMultilevel"/>
    <w:lvl w:ilvl="0">
      <w:lvlJc w:val="left"/>
      <w:lvlText w:val="(%1)"/>
      <w:numFmt w:val="lowerRoman"/>
      <w:start w:val="1"/>
    </w:lvl>
  </w:abstractNum>
  <w:abstractNum w:abstractNumId="141">
    <w:nsid w:val="3494B2FB"/>
    <w:multiLevelType w:val="hybridMultilevel"/>
    <w:lvl w:ilvl="0">
      <w:lvlJc w:val="left"/>
      <w:lvlText w:val="(%1)"/>
      <w:numFmt w:val="upperLetter"/>
      <w:start w:val="1"/>
    </w:lvl>
  </w:abstractNum>
  <w:abstractNum w:abstractNumId="142">
    <w:nsid w:val="B13A31"/>
    <w:multiLevelType w:val="hybridMultilevel"/>
    <w:lvl w:ilvl="0">
      <w:lvlJc w:val="left"/>
      <w:lvlText w:val="%1"/>
      <w:numFmt w:val="lowerLetter"/>
      <w:start w:val="1"/>
    </w:lvl>
    <w:lvl w:ilvl="1">
      <w:lvlJc w:val="left"/>
      <w:lvlText w:val="(%2)"/>
      <w:numFmt w:val="upperLetter"/>
      <w:start w:val="5"/>
    </w:lvl>
  </w:abstractNum>
  <w:abstractNum w:abstractNumId="143">
    <w:nsid w:val="64429599"/>
    <w:multiLevelType w:val="hybridMultilevel"/>
    <w:lvl w:ilvl="0">
      <w:lvlJc w:val="left"/>
      <w:lvlText w:val="(%1)"/>
      <w:numFmt w:val="lowerLetter"/>
      <w:start w:val="2"/>
    </w:lvl>
    <w:lvl w:ilvl="1">
      <w:lvlJc w:val="left"/>
      <w:lvlText w:val="%2"/>
      <w:numFmt w:val="upperLetter"/>
      <w:start w:val="1"/>
    </w:lvl>
  </w:abstractNum>
  <w:abstractNum w:abstractNumId="144">
    <w:nsid w:val="631F1690"/>
    <w:multiLevelType w:val="hybridMultilevel"/>
    <w:lvl w:ilvl="0">
      <w:lvlJc w:val="left"/>
      <w:lvlText w:val="(%1)"/>
      <w:numFmt w:val="decimal"/>
      <w:start w:val="1"/>
    </w:lvl>
  </w:abstractNum>
  <w:abstractNum w:abstractNumId="145">
    <w:nsid w:val="25973E32"/>
    <w:multiLevelType w:val="hybridMultilevel"/>
    <w:lvl w:ilvl="0">
      <w:lvlJc w:val="left"/>
      <w:lvlText w:val="(%1)"/>
      <w:numFmt w:val="decimal"/>
      <w:start w:val="3"/>
    </w:lvl>
    <w:lvl w:ilvl="1">
      <w:lvlJc w:val="left"/>
      <w:lvlText w:val="(%2)"/>
      <w:numFmt w:val="upperLetter"/>
      <w:start w:val="1"/>
    </w:lvl>
  </w:abstractNum>
  <w:abstractNum w:abstractNumId="146">
    <w:nsid w:val="EAD6F57"/>
    <w:multiLevelType w:val="hybridMultilevel"/>
    <w:lvl w:ilvl="0">
      <w:lvlJc w:val="left"/>
      <w:lvlText w:val="(%1)"/>
      <w:numFmt w:val="decimal"/>
      <w:start w:val="6"/>
    </w:lvl>
    <w:lvl w:ilvl="1">
      <w:lvlJc w:val="left"/>
      <w:lvlText w:val="(%2)"/>
      <w:numFmt w:val="upperLetter"/>
      <w:start w:val="1"/>
    </w:lvl>
  </w:abstractNum>
  <w:abstractNum w:abstractNumId="147">
    <w:nsid w:val="6EC9D844"/>
    <w:multiLevelType w:val="hybridMultilevel"/>
    <w:lvl w:ilvl="0">
      <w:lvlJc w:val="left"/>
      <w:lvlText w:val="(%1)"/>
      <w:numFmt w:val="decimal"/>
      <w:start w:val="8"/>
    </w:lvl>
    <w:lvl w:ilvl="1">
      <w:lvlJc w:val="left"/>
      <w:lvlText w:val="(%2)"/>
      <w:numFmt w:val="upperLetter"/>
      <w:start w:val="1"/>
    </w:lvl>
  </w:abstractNum>
  <w:abstractNum w:abstractNumId="148">
    <w:nsid w:val="5C49EAEE"/>
    <w:multiLevelType w:val="hybridMultilevel"/>
    <w:lvl w:ilvl="0">
      <w:lvlJc w:val="left"/>
      <w:lvlText w:val="(%1)"/>
      <w:numFmt w:val="decimal"/>
      <w:start w:val="14"/>
    </w:lvl>
  </w:abstractNum>
  <w:abstractNum w:abstractNumId="149">
    <w:nsid w:val="64AF49B"/>
    <w:multiLevelType w:val="hybridMultilevel"/>
    <w:lvl w:ilvl="0">
      <w:lvlJc w:val="left"/>
      <w:lvlText w:val="(%1)"/>
      <w:numFmt w:val="decimal"/>
      <w:start w:val="1"/>
    </w:lvl>
  </w:abstractNum>
  <w:abstractNum w:abstractNumId="150">
    <w:nsid w:val="397C46BC"/>
    <w:multiLevelType w:val="hybridMultilevel"/>
    <w:lvl w:ilvl="0">
      <w:lvlJc w:val="left"/>
      <w:lvlText w:val="(%1)"/>
      <w:numFmt w:val="upperLetter"/>
      <w:start w:val="1"/>
    </w:lvl>
  </w:abstractNum>
  <w:abstractNum w:abstractNumId="151">
    <w:nsid w:val="7E448DE9"/>
    <w:multiLevelType w:val="hybridMultilevel"/>
    <w:lvl w:ilvl="0">
      <w:lvlJc w:val="left"/>
      <w:lvlText w:val="(%1)"/>
      <w:numFmt w:val="upperLetter"/>
      <w:start w:val="2"/>
    </w:lvl>
    <w:lvl w:ilvl="1">
      <w:lvlJc w:val="left"/>
      <w:lvlText w:val="(%2)"/>
      <w:numFmt w:val="lowerLetter"/>
      <w:start w:val="2"/>
    </w:lvl>
  </w:abstractNum>
  <w:abstractNum w:abstractNumId="152">
    <w:nsid w:val="5A9CC3E5"/>
    <w:multiLevelType w:val="hybridMultilevel"/>
    <w:lvl w:ilvl="0">
      <w:lvlJc w:val="left"/>
      <w:lvlText w:val="(%1)"/>
      <w:numFmt w:val="lowerLetter"/>
      <w:start w:val="3"/>
    </w:lvl>
  </w:abstractNum>
  <w:abstractNum w:abstractNumId="153">
    <w:nsid w:val="1AFE3625"/>
    <w:multiLevelType w:val="hybridMultilevel"/>
    <w:lvl w:ilvl="0">
      <w:lvlJc w:val="left"/>
      <w:lvlText w:val="(%1)"/>
      <w:numFmt w:val="lowerLetter"/>
      <w:start w:val="4"/>
    </w:lvl>
    <w:lvl w:ilvl="1">
      <w:lvlJc w:val="left"/>
      <w:lvlText w:val="(%2)"/>
      <w:numFmt w:val="decimal"/>
      <w:start w:val="1"/>
    </w:lvl>
  </w:abstractNum>
  <w:abstractNum w:abstractNumId="154">
    <w:nsid w:val="3CA88ECF"/>
    <w:multiLevelType w:val="hybridMultilevel"/>
    <w:lvl w:ilvl="0">
      <w:lvlJc w:val="left"/>
      <w:lvlText w:val="%1"/>
      <w:numFmt w:val="lowerLetter"/>
      <w:start w:val="1"/>
    </w:lvl>
    <w:lvl w:ilvl="1">
      <w:lvlJc w:val="left"/>
      <w:lvlText w:val="(%2)"/>
      <w:numFmt w:val="decimal"/>
      <w:start w:val="2"/>
    </w:lvl>
  </w:abstractNum>
  <w:abstractNum w:abstractNumId="155">
    <w:nsid w:val="6EBE4208"/>
    <w:multiLevelType w:val="hybridMultilevel"/>
    <w:lvl w:ilvl="0">
      <w:lvlJc w:val="left"/>
      <w:lvlText w:val="(%1)"/>
      <w:numFmt w:val="lowerLetter"/>
      <w:start w:val="7"/>
    </w:lvl>
    <w:lvl w:ilvl="1">
      <w:lvlJc w:val="left"/>
      <w:lvlText w:val="%2"/>
      <w:numFmt w:val="decimal"/>
      <w:start w:val="1"/>
    </w:lvl>
  </w:abstractNum>
  <w:abstractNum w:abstractNumId="156">
    <w:nsid w:val="C058DF5"/>
    <w:multiLevelType w:val="hybridMultilevel"/>
    <w:lvl w:ilvl="0">
      <w:lvlJc w:val="left"/>
      <w:lvlText w:val="(%1)"/>
      <w:numFmt w:val="decimal"/>
      <w:start w:val="1"/>
    </w:lvl>
  </w:abstractNum>
  <w:abstractNum w:abstractNumId="157">
    <w:nsid w:val="CBE5BE9"/>
    <w:multiLevelType w:val="hybridMultilevel"/>
    <w:lvl w:ilvl="0">
      <w:lvlJc w:val="left"/>
      <w:lvlText w:val="(%1)"/>
      <w:numFmt w:val="lowerLetter"/>
      <w:start w:val="1"/>
    </w:lvl>
  </w:abstractNum>
  <w:abstractNum w:abstractNumId="158">
    <w:nsid w:val="3102BBE2"/>
    <w:multiLevelType w:val="hybridMultilevel"/>
    <w:lvl w:ilvl="0">
      <w:lvlJc w:val="left"/>
      <w:lvlText w:val="(%1)"/>
      <w:numFmt w:val="decimal"/>
      <w:start w:val="1"/>
    </w:lvl>
  </w:abstractNum>
  <w:abstractNum w:abstractNumId="159">
    <w:nsid w:val="26A02C5E"/>
    <w:multiLevelType w:val="hybridMultilevel"/>
    <w:lvl w:ilvl="0">
      <w:lvlJc w:val="left"/>
      <w:lvlText w:val="(%1)"/>
      <w:numFmt w:val="lowerLetter"/>
      <w:start w:val="2"/>
    </w:lvl>
  </w:abstractNum>
  <w:abstractNum w:abstractNumId="160">
    <w:nsid w:val="541C8153"/>
    <w:multiLevelType w:val="hybridMultilevel"/>
    <w:lvl w:ilvl="0">
      <w:lvlJc w:val="left"/>
      <w:lvlText w:val="(%1)"/>
      <w:numFmt w:val="lowerLetter"/>
      <w:start w:val="1"/>
    </w:lvl>
    <w:lvl w:ilvl="1">
      <w:lvlJc w:val="left"/>
      <w:lvlText w:val="(%2)"/>
      <w:numFmt w:val="decimal"/>
      <w:start w:val="1"/>
    </w:lvl>
  </w:abstractNum>
  <w:abstractNum w:abstractNumId="161">
    <w:nsid w:val="67906F60"/>
    <w:multiLevelType w:val="hybridMultilevel"/>
    <w:lvl w:ilvl="0">
      <w:lvlJc w:val="left"/>
      <w:lvlText w:val="(%1)"/>
      <w:numFmt w:val="decimal"/>
      <w:start w:val="6"/>
    </w:lvl>
  </w:abstractNum>
  <w:abstractNum w:abstractNumId="162">
    <w:nsid w:val="10DB9DAA"/>
    <w:multiLevelType w:val="hybridMultilevel"/>
    <w:lvl w:ilvl="0">
      <w:lvlJc w:val="left"/>
      <w:lvlText w:val="(%1)"/>
      <w:numFmt w:val="lowerLetter"/>
      <w:start w:val="2"/>
    </w:lvl>
    <w:lvl w:ilvl="1">
      <w:lvlJc w:val="left"/>
      <w:lvlText w:val="(%2)"/>
      <w:numFmt w:val="decimal"/>
      <w:start w:val="1"/>
    </w:lvl>
  </w:abstractNum>
  <w:abstractNum w:abstractNumId="163">
    <w:nsid w:val="697D2D2"/>
    <w:multiLevelType w:val="hybridMultilevel"/>
    <w:lvl w:ilvl="0">
      <w:lvlJc w:val="left"/>
      <w:lvlText w:val="%1"/>
      <w:numFmt w:val="lowerLetter"/>
      <w:start w:val="1"/>
    </w:lvl>
    <w:lvl w:ilvl="1">
      <w:lvlJc w:val="left"/>
      <w:lvlText w:val="(%2)"/>
      <w:numFmt w:val="decimal"/>
      <w:start w:val="2"/>
    </w:lvl>
  </w:abstractNum>
  <w:abstractNum w:abstractNumId="164">
    <w:nsid w:val="6D68AB2"/>
    <w:multiLevelType w:val="hybridMultilevel"/>
    <w:lvl w:ilvl="0">
      <w:lvlJc w:val="left"/>
      <w:lvlText w:val="(%1)"/>
      <w:numFmt w:val="lowerLetter"/>
      <w:start w:val="3"/>
    </w:lvl>
    <w:lvl w:ilvl="1">
      <w:lvlJc w:val="left"/>
      <w:lvlText w:val="(%2)"/>
      <w:numFmt w:val="decimal"/>
      <w:start w:val="1"/>
    </w:lvl>
  </w:abstractNum>
  <w:abstractNum w:abstractNumId="165">
    <w:nsid w:val="3A966CD0"/>
    <w:multiLevelType w:val="hybridMultilevel"/>
    <w:lvl w:ilvl="0">
      <w:lvlJc w:val="left"/>
      <w:lvlText w:val="(%1)"/>
      <w:numFmt w:val="decimal"/>
      <w:start w:val="2"/>
    </w:lvl>
  </w:abstractNum>
  <w:abstractNum w:abstractNumId="166">
    <w:nsid w:val="63F37E8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7">
    <w:nsid w:val="5895F5FA"/>
    <w:multiLevelType w:val="hybridMultilevel"/>
    <w:lvl w:ilvl="0">
      <w:lvlJc w:val="left"/>
      <w:lvlText w:val="(%1)"/>
      <w:numFmt w:val="upperLetter"/>
      <w:start w:val="2"/>
    </w:lvl>
  </w:abstractNum>
  <w:abstractNum w:abstractNumId="168">
    <w:nsid w:val="38A5D054"/>
    <w:multiLevelType w:val="hybridMultilevel"/>
    <w:lvl w:ilvl="0">
      <w:lvlJc w:val="left"/>
      <w:lvlText w:val="(%1)"/>
      <w:numFmt w:val="lowerLetter"/>
      <w:start w:val="2"/>
    </w:lvl>
  </w:abstractNum>
  <w:abstractNum w:abstractNumId="169">
    <w:nsid w:val="F3F09D8"/>
    <w:multiLevelType w:val="hybridMultilevel"/>
    <w:lvl w:ilvl="0">
      <w:lvlJc w:val="left"/>
      <w:lvlText w:val="(%1)"/>
      <w:numFmt w:val="lowerLetter"/>
      <w:start w:val="3"/>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1)"/>
      <w:numFmt w:val="lowerLetter"/>
      <w:start w:val="3"/>
    </w:lvl>
  </w:abstractNum>
  <w:abstractNum w:abstractNumId="172">
    <w:nsid w:val="43D3BCD4"/>
    <w:multiLevelType w:val="hybridMultilevel"/>
    <w:lvl w:ilvl="0">
      <w:lvlJc w:val="left"/>
      <w:lvlText w:val="(%1)"/>
      <w:numFmt w:val="lowerLetter"/>
      <w:start w:val="1"/>
    </w:lvl>
  </w:abstractNum>
  <w:abstractNum w:abstractNumId="173">
    <w:nsid w:val="4C2A7166"/>
    <w:multiLevelType w:val="hybridMultilevel"/>
    <w:lvl w:ilvl="0">
      <w:lvlJc w:val="left"/>
      <w:lvlText w:val="(%1)"/>
      <w:numFmt w:val="lowerLetter"/>
      <w:start w:val="2"/>
    </w:lvl>
  </w:abstractNum>
  <w:abstractNum w:abstractNumId="174">
    <w:nsid w:val="2E534A82"/>
    <w:multiLevelType w:val="hybridMultilevel"/>
    <w:lvl w:ilvl="0">
      <w:lvlJc w:val="left"/>
      <w:lvlText w:val="(%1)"/>
      <w:numFmt w:val="lowerLetter"/>
      <w:start w:val="1"/>
    </w:lvl>
  </w:abstractNum>
  <w:abstractNum w:abstractNumId="175">
    <w:nsid w:val="26F2D364"/>
    <w:multiLevelType w:val="hybridMultilevel"/>
    <w:lvl w:ilvl="0">
      <w:lvlJc w:val="left"/>
      <w:lvlText w:val="%1"/>
      <w:numFmt w:val="lowerLetter"/>
      <w:start w:val="1"/>
    </w:lvl>
    <w:lvl w:ilvl="1">
      <w:lvlJc w:val="left"/>
      <w:lvlText w:val="(%2)"/>
      <w:numFmt w:val="decimal"/>
      <w:start w:val="1"/>
    </w:lvl>
  </w:abstractNum>
  <w:abstractNum w:abstractNumId="176">
    <w:nsid w:val="71C1AF98"/>
    <w:multiLevelType w:val="hybridMultilevel"/>
    <w:lvl w:ilvl="0">
      <w:lvlJc w:val="left"/>
      <w:lvlText w:val="(%1)"/>
      <w:numFmt w:val="lowerLetter"/>
      <w:start w:val="2"/>
    </w:lvl>
    <w:lvl w:ilvl="1">
      <w:lvlJc w:val="left"/>
      <w:lvlText w:val="%2"/>
      <w:numFmt w:val="decimal"/>
      <w:start w:val="1"/>
    </w:lvl>
  </w:abstractNum>
  <w:abstractNum w:abstractNumId="177">
    <w:nsid w:val="3D00B9D9"/>
    <w:multiLevelType w:val="hybridMultilevel"/>
    <w:lvl w:ilvl="0">
      <w:lvlJc w:val="left"/>
      <w:lvlText w:val="(%1)"/>
      <w:numFmt w:val="lowerLetter"/>
      <w:start w:val="3"/>
    </w:lvl>
  </w:abstractNum>
  <w:abstractNum w:abstractNumId="178">
    <w:nsid w:val="15BCABA8"/>
    <w:multiLevelType w:val="hybridMultilevel"/>
    <w:lvl w:ilvl="0">
      <w:lvlJc w:val="left"/>
      <w:lvlText w:val="(%1)"/>
      <w:numFmt w:val="decimal"/>
      <w:start w:val="1"/>
    </w:lvl>
  </w:abstractNum>
  <w:abstractNum w:abstractNumId="179">
    <w:nsid w:val="4E0B9A87"/>
    <w:multiLevelType w:val="hybridMultilevel"/>
    <w:lvl w:ilvl="0">
      <w:lvlJc w:val="left"/>
      <w:lvlText w:val="(%1)"/>
      <w:numFmt w:val="decimal"/>
      <w:start w:val="1"/>
    </w:lvl>
  </w:abstractNum>
  <w:abstractNum w:abstractNumId="180">
    <w:nsid w:val="434BAE75"/>
    <w:multiLevelType w:val="hybridMultilevel"/>
    <w:lvl w:ilvl="0">
      <w:lvlJc w:val="left"/>
      <w:lvlText w:val="(%1)"/>
      <w:numFmt w:val="decimal"/>
      <w:start w:val="2"/>
    </w:lvl>
  </w:abstractNum>
  <w:abstractNum w:abstractNumId="181">
    <w:nsid w:val="4F38F265"/>
    <w:multiLevelType w:val="hybridMultilevel"/>
    <w:lvl w:ilvl="0">
      <w:lvlJc w:val="left"/>
      <w:lvlText w:val="(%1)"/>
      <w:numFmt w:val="lowerLetter"/>
      <w:start w:val="1"/>
    </w:lvl>
  </w:abstractNum>
  <w:abstractNum w:abstractNumId="182">
    <w:nsid w:val="4C502870"/>
    <w:multiLevelType w:val="hybridMultilevel"/>
    <w:lvl w:ilvl="0">
      <w:lvlJc w:val="left"/>
      <w:lvlText w:val="(%1)"/>
      <w:numFmt w:val="lowerLetter"/>
      <w:start w:val="2"/>
    </w:lvl>
  </w:abstractNum>
  <w:abstractNum w:abstractNumId="183">
    <w:nsid w:val="1DE8725A"/>
    <w:multiLevelType w:val="hybridMultilevel"/>
    <w:lvl w:ilvl="0">
      <w:lvlJc w:val="left"/>
      <w:lvlText w:val="(%1)"/>
      <w:numFmt w:val="lowerLetter"/>
      <w:start w:val="5"/>
    </w:lvl>
  </w:abstractNum>
  <w:abstractNum w:abstractNumId="184">
    <w:nsid w:val="6A37288A"/>
    <w:multiLevelType w:val="hybridMultilevel"/>
    <w:lvl w:ilvl="0">
      <w:lvlJc w:val="left"/>
      <w:lvlText w:val="(%1)"/>
      <w:numFmt w:val="decimal"/>
      <w:start w:val="1"/>
    </w:lvl>
  </w:abstractNum>
  <w:abstractNum w:abstractNumId="185">
    <w:nsid w:val="8F8B73F"/>
    <w:multiLevelType w:val="hybridMultilevel"/>
    <w:lvl w:ilvl="0">
      <w:lvlJc w:val="left"/>
      <w:lvlText w:val="(%1)"/>
      <w:numFmt w:val="decimal"/>
      <w:start w:val="2"/>
    </w:lvl>
    <w:lvl w:ilvl="1">
      <w:lvlJc w:val="left"/>
      <w:lvlText w:val="(%2)"/>
      <w:numFmt w:val="upperLetter"/>
      <w:start w:val="1"/>
    </w:lvl>
  </w:abstractNum>
  <w:abstractNum w:abstractNumId="186">
    <w:nsid w:val="CA6B462"/>
    <w:multiLevelType w:val="hybridMultilevel"/>
    <w:lvl w:ilvl="0">
      <w:lvlJc w:val="left"/>
      <w:lvlText w:val="(%1)"/>
      <w:numFmt w:val="decimal"/>
      <w:start w:val="5"/>
    </w:lvl>
  </w:abstractNum>
  <w:abstractNum w:abstractNumId="187">
    <w:nsid w:val="763CB680"/>
    <w:multiLevelType w:val="hybridMultilevel"/>
    <w:lvl w:ilvl="0">
      <w:lvlJc w:val="left"/>
      <w:lvlText w:val="(%1)"/>
      <w:numFmt w:val="decimal"/>
      <w:start w:val="7"/>
    </w:lvl>
    <w:lvl w:ilvl="1">
      <w:lvlJc w:val="left"/>
      <w:lvlText w:val="(%2)"/>
      <w:numFmt w:val="upperLetter"/>
      <w:start w:val="1"/>
    </w:lvl>
  </w:abstractNum>
  <w:abstractNum w:abstractNumId="188">
    <w:nsid w:val="15B71329"/>
    <w:multiLevelType w:val="hybridMultilevel"/>
    <w:lvl w:ilvl="0">
      <w:lvlJc w:val="left"/>
      <w:lvlText w:val="(%1)"/>
      <w:numFmt w:val="upperLetter"/>
      <w:start w:val="3"/>
    </w:lvl>
  </w:abstractNum>
  <w:abstractNum w:abstractNumId="189">
    <w:nsid w:val="3DA97044"/>
    <w:multiLevelType w:val="hybridMultilevel"/>
    <w:lvl w:ilvl="0">
      <w:lvlJc w:val="left"/>
      <w:lvlText w:val="(%1)"/>
      <w:numFmt w:val="decimal"/>
      <w:start w:val="1"/>
    </w:lvl>
  </w:abstractNum>
  <w:abstractNum w:abstractNumId="190">
    <w:nsid w:val="1CDCE2DE"/>
    <w:multiLevelType w:val="hybridMultilevel"/>
    <w:lvl w:ilvl="0">
      <w:lvlJc w:val="left"/>
      <w:lvlText w:val="(%1)"/>
      <w:numFmt w:val="decimal"/>
      <w:start w:val="1"/>
    </w:lvl>
  </w:abstractNum>
  <w:abstractNum w:abstractNumId="191">
    <w:nsid w:val="69D3947C"/>
    <w:multiLevelType w:val="hybridMultilevel"/>
    <w:lvl w:ilvl="0">
      <w:lvlJc w:val="left"/>
      <w:lvlText w:val="(%1)"/>
      <w:numFmt w:val="lowerLetter"/>
      <w:start w:val="1"/>
    </w:lvl>
  </w:abstractNum>
  <w:abstractNum w:abstractNumId="192">
    <w:nsid w:val="2539DFA5"/>
    <w:multiLevelType w:val="hybridMultilevel"/>
    <w:lvl w:ilvl="0">
      <w:lvlJc w:val="left"/>
      <w:lvlText w:val="(%1)"/>
      <w:numFmt w:val="lowerLetter"/>
      <w:start w:val="2"/>
    </w:lvl>
  </w:abstractNum>
  <w:abstractNum w:abstractNumId="193">
    <w:nsid w:val="2DB88089"/>
    <w:multiLevelType w:val="hybridMultilevel"/>
    <w:lvl w:ilvl="0">
      <w:lvlJc w:val="left"/>
      <w:lvlText w:val="(%1)"/>
      <w:numFmt w:val="lowerLetter"/>
      <w:start w:val="1"/>
    </w:lvl>
    <w:lvl w:ilvl="1">
      <w:lvlJc w:val="left"/>
      <w:lvlText w:val="(%2)"/>
      <w:numFmt w:val="decimal"/>
      <w:start w:val="1"/>
    </w:lvl>
  </w:abstractNum>
  <w:abstractNum w:abstractNumId="194">
    <w:nsid w:val="706B674E"/>
    <w:multiLevelType w:val="hybridMultilevel"/>
    <w:lvl w:ilvl="0">
      <w:lvlJc w:val="left"/>
      <w:lvlText w:val="%1"/>
      <w:numFmt w:val="lowerLetter"/>
      <w:start w:val="1"/>
    </w:lvl>
    <w:lvl w:ilvl="1">
      <w:lvlJc w:val="left"/>
      <w:lvlText w:val="(%2)"/>
      <w:numFmt w:val="decimal"/>
      <w:start w:val="3"/>
    </w:lvl>
  </w:abstractNum>
  <w:abstractNum w:abstractNumId="195">
    <w:nsid w:val="2C106A57"/>
    <w:multiLevelType w:val="hybridMultilevel"/>
    <w:lvl w:ilvl="0">
      <w:lvlJc w:val="left"/>
      <w:lvlText w:val="(%1)"/>
      <w:numFmt w:val="lowerLetter"/>
      <w:start w:val="4"/>
    </w:lvl>
    <w:lvl w:ilvl="1">
      <w:lvlJc w:val="left"/>
      <w:lvlText w:val="%2"/>
      <w:numFmt w:val="decimal"/>
      <w:start w:val="1"/>
    </w:lvl>
  </w:abstractNum>
  <w:abstractNum w:abstractNumId="196">
    <w:nsid w:val="684EED59"/>
    <w:multiLevelType w:val="hybridMultilevel"/>
    <w:lvl w:ilvl="0">
      <w:lvlJc w:val="left"/>
      <w:lvlText w:val="(%1)"/>
      <w:numFmt w:val="lowerLetter"/>
      <w:start w:val="1"/>
    </w:lvl>
  </w:abstractNum>
  <w:abstractNum w:abstractNumId="197">
    <w:nsid w:val="545EE5D3"/>
    <w:multiLevelType w:val="hybridMultilevel"/>
    <w:lvl w:ilvl="0">
      <w:lvlJc w:val="left"/>
      <w:lvlText w:val="(%1)"/>
      <w:numFmt w:val="lowerLetter"/>
      <w:start w:val="4"/>
    </w:lvl>
  </w:abstractNum>
  <w:abstractNum w:abstractNumId="198">
    <w:nsid w:val="4A66051"/>
    <w:multiLevelType w:val="hybridMultilevel"/>
    <w:lvl w:ilvl="0">
      <w:lvlJc w:val="left"/>
      <w:lvlText w:val="(%1)"/>
      <w:numFmt w:val="lowerLetter"/>
      <w:start w:val="12"/>
    </w:lvl>
  </w:abstractNum>
  <w:abstractNum w:abstractNumId="199">
    <w:nsid w:val="20F4BDAD"/>
    <w:multiLevelType w:val="hybridMultilevel"/>
    <w:lvl w:ilvl="0">
      <w:lvlJc w:val="left"/>
      <w:lvlText w:val="(%1)"/>
      <w:numFmt w:val="decimal"/>
      <w:start w:val="1"/>
    </w:lvl>
  </w:abstractNum>
  <w:abstractNum w:abstractNumId="200">
    <w:nsid w:val="639DEFAC"/>
    <w:multiLevelType w:val="hybridMultilevel"/>
    <w:lvl w:ilvl="0">
      <w:lvlJc w:val="left"/>
      <w:lvlText w:val="(%1)"/>
      <w:numFmt w:val="decimal"/>
      <w:start w:val="1"/>
    </w:lvl>
  </w:abstractNum>
  <w:abstractNum w:abstractNumId="201">
    <w:nsid w:val="501F9786"/>
    <w:multiLevelType w:val="hybridMultilevel"/>
    <w:lvl w:ilvl="0">
      <w:lvlJc w:val="left"/>
      <w:lvlText w:val="(%1)"/>
      <w:numFmt w:val="decimal"/>
      <w:start w:val="3"/>
    </w:lvl>
  </w:abstractNum>
  <w:abstractNum w:abstractNumId="202">
    <w:nsid w:val="6B057295"/>
    <w:multiLevelType w:val="hybridMultilevel"/>
    <w:lvl w:ilvl="0">
      <w:lvlJc w:val="left"/>
      <w:lvlText w:val="(%1)"/>
      <w:numFmt w:val="decimal"/>
      <w:start w:val="1"/>
    </w:lvl>
  </w:abstractNum>
  <w:abstractNum w:abstractNumId="203">
    <w:nsid w:val="2771AC80"/>
    <w:multiLevelType w:val="hybridMultilevel"/>
    <w:lvl w:ilvl="0">
      <w:lvlJc w:val="left"/>
      <w:lvlText w:val="(%1)"/>
      <w:numFmt w:val="decimal"/>
      <w:start w:val="2"/>
    </w:lvl>
    <w:lvl w:ilvl="1">
      <w:lvlJc w:val="left"/>
      <w:lvlText w:val="(%2)"/>
      <w:numFmt w:val="upperLetter"/>
      <w:start w:val="1"/>
    </w:lvl>
  </w:abstractNum>
  <w:abstractNum w:abstractNumId="204">
    <w:nsid w:val="1C4A08EC"/>
    <w:multiLevelType w:val="hybridMultilevel"/>
    <w:lvl w:ilvl="0">
      <w:lvlJc w:val="left"/>
      <w:lvlText w:val="(%1)"/>
      <w:numFmt w:val="decimal"/>
      <w:start w:val="3"/>
    </w:lvl>
  </w:abstractNum>
  <w:abstractNum w:abstractNumId="205">
    <w:nsid w:val="1958BD17"/>
    <w:multiLevelType w:val="hybridMultilevel"/>
    <w:lvl w:ilvl="0">
      <w:lvlJc w:val="left"/>
      <w:lvlText w:val="(%1)"/>
      <w:numFmt w:val="decimal"/>
      <w:start w:val="6"/>
    </w:lvl>
  </w:abstractNum>
  <w:abstractNum w:abstractNumId="206">
    <w:nsid w:val="4E647FE4"/>
    <w:multiLevelType w:val="hybridMultilevel"/>
    <w:lvl w:ilvl="0">
      <w:lvlJc w:val="left"/>
      <w:lvlText w:val="(%1)"/>
      <w:numFmt w:val="decimal"/>
      <w:start w:val="1"/>
    </w:lvl>
  </w:abstractNum>
  <w:abstractNum w:abstractNumId="207">
    <w:nsid w:val="E0BB885"/>
    <w:multiLevelType w:val="hybridMultilevel"/>
    <w:lvl w:ilvl="0">
      <w:lvlJc w:val="left"/>
      <w:lvlText w:val="(%1)"/>
      <w:numFmt w:val="decimal"/>
      <w:start w:val="4"/>
    </w:lvl>
  </w:abstractNum>
  <w:abstractNum w:abstractNumId="208">
    <w:nsid w:val="565976F1"/>
    <w:multiLevelType w:val="hybridMultilevel"/>
    <w:lvl w:ilvl="0">
      <w:lvlJc w:val="left"/>
      <w:lvlText w:val="(%1)"/>
      <w:numFmt w:val="decimal"/>
      <w:start w:val="1"/>
    </w:lvl>
  </w:abstractNum>
  <w:abstractNum w:abstractNumId="209">
    <w:nsid w:val="64212B8C"/>
    <w:multiLevelType w:val="hybridMultilevel"/>
    <w:lvl w:ilvl="0">
      <w:lvlJc w:val="left"/>
      <w:lvlText w:val="(%1)"/>
      <w:numFmt w:val="decimal"/>
      <w:start w:val="7"/>
    </w:lvl>
  </w:abstractNum>
  <w:abstractNum w:abstractNumId="210">
    <w:nsid w:val="5C17530C"/>
    <w:multiLevelType w:val="hybridMultilevel"/>
    <w:lvl w:ilvl="0">
      <w:lvlJc w:val="left"/>
      <w:lvlText w:val="(%1)"/>
      <w:numFmt w:val="lowerLetter"/>
      <w:start w:val="5"/>
    </w:lvl>
  </w:abstractNum>
  <w:abstractNum w:abstractNumId="211">
    <w:nsid w:val="19A52566"/>
    <w:multiLevelType w:val="hybridMultilevel"/>
    <w:lvl w:ilvl="0">
      <w:lvlJc w:val="left"/>
      <w:lvlText w:val="(%1)"/>
      <w:numFmt w:val="lowerLetter"/>
      <w:start w:val="1"/>
    </w:lvl>
  </w:abstractNum>
  <w:abstractNum w:abstractNumId="212">
    <w:nsid w:val="335A1DF1"/>
    <w:multiLevelType w:val="hybridMultilevel"/>
    <w:lvl w:ilvl="0">
      <w:lvlJc w:val="left"/>
      <w:lvlText w:val="(%1)"/>
      <w:numFmt w:val="lowerLetter"/>
      <w:start w:val="2"/>
    </w:lvl>
    <w:lvl w:ilvl="1">
      <w:lvlJc w:val="left"/>
      <w:lvlText w:val="(%2)"/>
      <w:numFmt w:val="decimal"/>
      <w:start w:val="1"/>
    </w:lvl>
  </w:abstractNum>
  <w:abstractNum w:abstractNumId="213">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14">
    <w:nsid w:val="378D97C0"/>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215">
    <w:nsid w:val="1D91467C"/>
    <w:multiLevelType w:val="hybridMultilevel"/>
    <w:lvl w:ilvl="0">
      <w:lvlJc w:val="left"/>
      <w:lvlText w:val="(%1)"/>
      <w:numFmt w:val="lowerLetter"/>
      <w:start w:val="3"/>
    </w:lvl>
  </w:abstractNum>
  <w:abstractNum w:abstractNumId="216">
    <w:nsid w:val="316032BB"/>
    <w:multiLevelType w:val="hybridMultilevel"/>
    <w:lvl w:ilvl="0">
      <w:lvlJc w:val="left"/>
      <w:lvlText w:val="(%1)"/>
      <w:numFmt w:val="decimal"/>
      <w:start w:val="1"/>
    </w:lvl>
  </w:abstractNum>
  <w:abstractNum w:abstractNumId="217">
    <w:nsid w:val="44344C22"/>
    <w:multiLevelType w:val="hybridMultilevel"/>
    <w:lvl w:ilvl="0">
      <w:lvlJc w:val="left"/>
      <w:lvlText w:val="(%1)"/>
      <w:numFmt w:val="decimal"/>
      <w:start w:val="1"/>
    </w:lvl>
  </w:abstractNum>
  <w:abstractNum w:abstractNumId="218">
    <w:nsid w:val="13CDFCFC"/>
    <w:multiLevelType w:val="hybridMultilevel"/>
    <w:lvl w:ilvl="0">
      <w:lvlJc w:val="left"/>
      <w:lvlText w:val="["/>
      <w:numFmt w:val="bullet"/>
      <w:start w:val="1"/>
    </w:lvl>
  </w:abstractNum>
  <w:abstractNum w:abstractNumId="219">
    <w:nsid w:val="471745E4"/>
    <w:multiLevelType w:val="hybridMultilevel"/>
    <w:lvl w:ilvl="0">
      <w:lvlJc w:val="left"/>
      <w:lvlText w:val="["/>
      <w:numFmt w:val="bullet"/>
      <w:start w:val="1"/>
    </w:lvl>
  </w:abstractNum>
  <w:abstractNum w:abstractNumId="220">
    <w:nsid w:val="1DDBC66"/>
    <w:multiLevelType w:val="hybridMultilevel"/>
    <w:lvl w:ilvl="0">
      <w:lvlJc w:val="left"/>
      <w:lvlText w:val="["/>
      <w:numFmt w:val="bullet"/>
      <w:start w:val="1"/>
    </w:lvl>
  </w:abstractNum>
  <w:abstractNum w:abstractNumId="221">
    <w:nsid w:val="30AADFDA"/>
    <w:multiLevelType w:val="hybridMultilevel"/>
    <w:lvl w:ilvl="0">
      <w:lvlJc w:val="left"/>
      <w:lvlText w:val="["/>
      <w:numFmt w:val="bullet"/>
      <w:start w:val="1"/>
    </w:lvl>
  </w:abstractNum>
  <w:abstractNum w:abstractNumId="222">
    <w:nsid w:val="30EADA61"/>
    <w:multiLevelType w:val="hybridMultilevel"/>
    <w:lvl w:ilvl="0">
      <w:lvlJc w:val="left"/>
      <w:lvlText w:val="["/>
      <w:numFmt w:val="bullet"/>
      <w:start w:val="1"/>
    </w:lvl>
  </w:abstractNum>
  <w:abstractNum w:abstractNumId="223">
    <w:nsid w:val="27179C0B"/>
    <w:multiLevelType w:val="hybridMultilevel"/>
    <w:lvl w:ilvl="0">
      <w:lvlJc w:val="left"/>
      <w:lvlText w:val="["/>
      <w:numFmt w:val="bullet"/>
      <w:start w:val="1"/>
    </w:lvl>
  </w:abstractNum>
  <w:abstractNum w:abstractNumId="224">
    <w:nsid w:val="5E636063"/>
    <w:multiLevelType w:val="hybridMultilevel"/>
    <w:lvl w:ilvl="0">
      <w:lvlJc w:val="left"/>
      <w:lvlText w:val="%1."/>
      <w:numFmt w:val="decimal"/>
      <w:start w:val="1"/>
    </w:lvl>
  </w:abstractNum>
  <w:abstractNum w:abstractNumId="225">
    <w:nsid w:val="215641AF"/>
    <w:multiLevelType w:val="hybridMultilevel"/>
    <w:lvl w:ilvl="0">
      <w:lvlJc w:val="left"/>
      <w:lvlText w:val="%1."/>
      <w:numFmt w:val="decimal"/>
      <w:start w:val="7"/>
    </w:lvl>
  </w:abstractNum>
  <w:abstractNum w:abstractNumId="226">
    <w:nsid w:val="53280662"/>
    <w:multiLevelType w:val="hybridMultilevel"/>
    <w:lvl w:ilvl="0">
      <w:lvlJc w:val="left"/>
      <w:lvlText w:val="(%1)"/>
      <w:numFmt w:val="lowerLetter"/>
      <w:start w:val="1"/>
    </w:lvl>
  </w:abstractNum>
  <w:abstractNum w:abstractNumId="227">
    <w:nsid w:val="46B24DBC"/>
    <w:multiLevelType w:val="hybridMultilevel"/>
    <w:lvl w:ilvl="0">
      <w:lvlJc w:val="left"/>
      <w:lvlText w:val="(%1)"/>
      <w:numFmt w:val="lowerLetter"/>
      <w:start w:val="2"/>
    </w:lvl>
  </w:abstractNum>
  <w:abstractNum w:abstractNumId="228">
    <w:nsid w:val="75B52783"/>
    <w:multiLevelType w:val="hybridMultilevel"/>
    <w:lvl w:ilvl="0">
      <w:lvlJc w:val="left"/>
      <w:lvlText w:val="%1."/>
      <w:numFmt w:val="decimal"/>
      <w:start w:val="1"/>
    </w:lvl>
    <w:lvl w:ilvl="1">
      <w:lvlJc w:val="left"/>
      <w:lvlText w:val="%2)"/>
      <w:numFmt w:val="lowerLetter"/>
      <w:start w:val="1"/>
    </w:lvl>
  </w:abstractNum>
  <w:abstractNum w:abstractNumId="229">
    <w:nsid w:val="57CE66B4"/>
    <w:multiLevelType w:val="hybridMultilevel"/>
    <w:lvl w:ilvl="0">
      <w:lvlJc w:val="left"/>
      <w:lvlText w:val="%1."/>
      <w:numFmt w:val="decimal"/>
      <w:start w:val="1"/>
    </w:lvl>
    <w:lvl w:ilvl="1">
      <w:lvlJc w:val="left"/>
      <w:lvlText w:val="%2)"/>
      <w:numFmt w:val="lowerLetter"/>
      <w:start w:val="1"/>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2019-12-29T12:11:11Z</dcterms:created>
  <dcterms:modified xsi:type="dcterms:W3CDTF">2019-12-29T12:11:11Z</dcterms:modified>
</cp:coreProperties>
</file>