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340995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386715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46355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60"/>
          </w:cols>
          <w:pgMar w:left="240" w:top="247" w:right="29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For the quarterly period ended June 30, 2016</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20" w:hanging="2504"/>
        <w:spacing w:after="0" w:line="506"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0"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700"/>
          </w:cols>
          <w:pgMar w:left="240" w:top="247"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36"/>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8"/>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6"/>
                <w:szCs w:val="16"/>
                <w:color w:val="auto"/>
              </w:rPr>
            </w:pPr>
          </w:p>
        </w:tc>
      </w:tr>
      <w:tr>
        <w:trPr>
          <w:trHeight w:val="190"/>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70"/>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98" w:lineRule="exact"/>
        <w:rPr>
          <w:sz w:val="24"/>
          <w:szCs w:val="24"/>
          <w:color w:val="auto"/>
        </w:rPr>
      </w:pPr>
    </w:p>
    <w:p>
      <w:pPr>
        <w:ind w:right="100"/>
        <w:spacing w:after="0" w:line="26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54" w:lineRule="exact"/>
        <w:rPr>
          <w:sz w:val="24"/>
          <w:szCs w:val="24"/>
          <w:color w:val="auto"/>
        </w:rPr>
      </w:pPr>
    </w:p>
    <w:p>
      <w:pPr>
        <w:ind w:right="20"/>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36" w:lineRule="exact"/>
        <w:rPr>
          <w:sz w:val="24"/>
          <w:szCs w:val="24"/>
          <w:color w:val="auto"/>
        </w:rPr>
      </w:pPr>
    </w:p>
    <w:p>
      <w:pPr>
        <w:ind w:right="10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06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780" w:type="dxa"/>
            <w:vAlign w:val="bottom"/>
          </w:tcPr>
          <w:p>
            <w:pPr>
              <w:ind w:left="600"/>
              <w:spacing w:after="0"/>
              <w:rPr>
                <w:sz w:val="20"/>
                <w:szCs w:val="20"/>
                <w:color w:val="auto"/>
              </w:rPr>
            </w:pPr>
            <w:r>
              <w:rPr>
                <w:rFonts w:ascii="Arial" w:cs="Arial" w:eastAsia="Arial" w:hAnsi="Arial"/>
                <w:sz w:val="16"/>
                <w:szCs w:val="16"/>
                <w:color w:val="auto"/>
              </w:rPr>
              <w:t>x</w:t>
            </w:r>
          </w:p>
        </w:tc>
        <w:tc>
          <w:tcPr>
            <w:tcW w:w="2800" w:type="dxa"/>
            <w:vAlign w:val="bottom"/>
          </w:tcPr>
          <w:p>
            <w:pPr>
              <w:ind w:left="62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257"/>
        </w:trPr>
        <w:tc>
          <w:tcPr>
            <w:tcW w:w="206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780" w:type="dxa"/>
            <w:vAlign w:val="bottom"/>
          </w:tcPr>
          <w:p>
            <w:pPr>
              <w:ind w:left="600"/>
              <w:spacing w:after="0"/>
              <w:rPr>
                <w:sz w:val="20"/>
                <w:szCs w:val="20"/>
                <w:color w:val="auto"/>
              </w:rPr>
            </w:pPr>
            <w:r>
              <w:rPr>
                <w:rFonts w:ascii="Arial" w:cs="Arial" w:eastAsia="Arial" w:hAnsi="Arial"/>
                <w:sz w:val="16"/>
                <w:szCs w:val="16"/>
                <w:color w:val="auto"/>
              </w:rPr>
              <w:t>o</w:t>
            </w:r>
          </w:p>
        </w:tc>
        <w:tc>
          <w:tcPr>
            <w:tcW w:w="2800" w:type="dxa"/>
            <w:vAlign w:val="bottom"/>
          </w:tcPr>
          <w:p>
            <w:pPr>
              <w:ind w:left="62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398"/>
        </w:trPr>
        <w:tc>
          <w:tcPr>
            <w:tcW w:w="7840" w:type="dxa"/>
            <w:vAlign w:val="bottom"/>
            <w:gridSpan w:val="2"/>
          </w:tcPr>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6"/>
                <w:szCs w:val="16"/>
                <w:color w:val="auto"/>
              </w:rPr>
              <w:t>o</w:t>
            </w:r>
          </w:p>
        </w:tc>
        <w:tc>
          <w:tcPr>
            <w:tcW w:w="2800" w:type="dxa"/>
            <w:vAlign w:val="bottom"/>
          </w:tcPr>
          <w:p>
            <w:pPr>
              <w:ind w:left="80"/>
              <w:spacing w:after="0"/>
              <w:rPr>
                <w:sz w:val="20"/>
                <w:szCs w:val="20"/>
                <w:color w:val="auto"/>
              </w:rPr>
            </w:pPr>
            <w:r>
              <w:rPr>
                <w:rFonts w:ascii="Arial" w:cs="Arial" w:eastAsia="Arial" w:hAnsi="Arial"/>
                <w:sz w:val="14"/>
                <w:szCs w:val="14"/>
                <w:color w:val="auto"/>
              </w:rPr>
              <w:t xml:space="preserve">No </w:t>
            </w:r>
            <w:r>
              <w:rPr>
                <w:rFonts w:ascii="Arial" w:cs="Arial" w:eastAsia="Arial" w:hAnsi="Arial"/>
                <w:sz w:val="16"/>
                <w:szCs w:val="16"/>
                <w:color w:val="auto"/>
              </w:rPr>
              <w:t>x</w:t>
            </w:r>
          </w:p>
        </w:tc>
        <w:tc>
          <w:tcPr>
            <w:tcW w:w="720" w:type="dxa"/>
            <w:vAlign w:val="bottom"/>
          </w:tcPr>
          <w:p>
            <w:pPr>
              <w:spacing w:after="0"/>
              <w:rPr>
                <w:sz w:val="24"/>
                <w:szCs w:val="24"/>
                <w:color w:val="auto"/>
              </w:rPr>
            </w:pPr>
          </w:p>
        </w:tc>
      </w:tr>
      <w:tr>
        <w:trPr>
          <w:trHeight w:val="386"/>
        </w:trPr>
        <w:tc>
          <w:tcPr>
            <w:tcW w:w="7840" w:type="dxa"/>
            <w:vAlign w:val="bottom"/>
            <w:gridSpan w:val="2"/>
          </w:tcPr>
          <w:p>
            <w:pPr>
              <w:spacing w:after="0"/>
              <w:rPr>
                <w:sz w:val="20"/>
                <w:szCs w:val="20"/>
                <w:color w:val="auto"/>
              </w:rPr>
            </w:pPr>
            <w:r>
              <w:rPr>
                <w:rFonts w:ascii="Arial" w:cs="Arial" w:eastAsia="Arial" w:hAnsi="Arial"/>
                <w:sz w:val="14"/>
                <w:szCs w:val="14"/>
                <w:color w:val="auto"/>
              </w:rPr>
              <w:t>The number of shares outstanding of the issuer’s common stock was 90,788,549 shares as of July 29, 2016.</w:t>
            </w:r>
          </w:p>
        </w:tc>
        <w:tc>
          <w:tcPr>
            <w:tcW w:w="2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9"/>
        </w:trPr>
        <w:tc>
          <w:tcPr>
            <w:tcW w:w="2060" w:type="dxa"/>
            <w:vAlign w:val="bottom"/>
            <w:tcBorders>
              <w:bottom w:val="single" w:sz="8" w:color="auto"/>
            </w:tcBorders>
          </w:tcPr>
          <w:p>
            <w:pPr>
              <w:spacing w:after="0"/>
              <w:rPr>
                <w:sz w:val="23"/>
                <w:szCs w:val="23"/>
                <w:color w:val="auto"/>
              </w:rPr>
            </w:pPr>
          </w:p>
        </w:tc>
        <w:tc>
          <w:tcPr>
            <w:tcW w:w="578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40" w:top="247"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880" w:type="dxa"/>
            <w:vAlign w:val="bottom"/>
            <w:gridSpan w:val="10"/>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8820" w:type="dxa"/>
            <w:vAlign w:val="bottom"/>
            <w:gridSpan w:val="1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 for the Three and Six Months Ended June 30,</w:t>
              </w:r>
            </w:hyperlink>
          </w:p>
        </w:tc>
        <w:tc>
          <w:tcPr>
            <w:tcW w:w="740" w:type="dxa"/>
            <w:vAlign w:val="bottom"/>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2016 and 2015 (Unaudited)</w:t>
              </w:r>
            </w:hyperlink>
          </w:p>
        </w:tc>
        <w:tc>
          <w:tcPr>
            <w:tcW w:w="6620" w:type="dxa"/>
            <w:vAlign w:val="bottom"/>
            <w:tcBorders>
              <w:top w:val="single" w:sz="8" w:color="0000EE"/>
            </w:tcBorders>
            <w:gridSpan w:val="7"/>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7940" w:type="dxa"/>
            <w:vAlign w:val="bottom"/>
            <w:gridSpan w:val="13"/>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 as of June 30, 2016 and December 31, 2015 (Unaudited)</w:t>
              </w:r>
            </w:hyperlink>
          </w:p>
        </w:tc>
        <w:tc>
          <w:tcPr>
            <w:tcW w:w="1620" w:type="dxa"/>
            <w:vAlign w:val="bottom"/>
            <w:gridSpan w:val="3"/>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8240" w:type="dxa"/>
            <w:vAlign w:val="bottom"/>
            <w:gridSpan w:val="14"/>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Condensed Statements of Cash Flows for the Six Months Ended June 30, 2016 and 2015</w:t>
              </w:r>
            </w:hyperlink>
          </w:p>
        </w:tc>
        <w:tc>
          <w:tcPr>
            <w:tcW w:w="1320" w:type="dxa"/>
            <w:vAlign w:val="bottom"/>
            <w:gridSpan w:val="2"/>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2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13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6"/>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9"/>
          </w:tcPr>
          <w:p>
            <w:pPr>
              <w:spacing w:after="0"/>
              <w:rPr>
                <w:rFonts w:ascii="Arial" w:cs="Arial" w:eastAsia="Arial" w:hAnsi="Arial"/>
                <w:sz w:val="18"/>
                <w:szCs w:val="18"/>
                <w:color w:val="0000FF"/>
                <w:w w:val="99"/>
              </w:rPr>
            </w:pPr>
            <w:hyperlink w:anchor="page43">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7"/>
          </w:tcPr>
          <w:p>
            <w:pPr>
              <w:spacing w:after="0"/>
              <w:rPr>
                <w:rFonts w:ascii="Arial" w:cs="Arial" w:eastAsia="Arial" w:hAnsi="Arial"/>
                <w:sz w:val="18"/>
                <w:szCs w:val="18"/>
                <w:color w:val="0000FF"/>
                <w:w w:val="99"/>
              </w:rPr>
            </w:pPr>
            <w:hyperlink w:anchor="page43">
              <w:r>
                <w:rPr>
                  <w:rFonts w:ascii="Arial" w:cs="Arial" w:eastAsia="Arial" w:hAnsi="Arial"/>
                  <w:sz w:val="18"/>
                  <w:szCs w:val="18"/>
                  <w:color w:val="0000FF"/>
                  <w:w w:val="99"/>
                </w:rPr>
                <w:t>Controls and Procedures</w:t>
              </w:r>
            </w:hyperlink>
          </w:p>
        </w:tc>
        <w:tc>
          <w:tcPr>
            <w:tcW w:w="2700" w:type="dxa"/>
            <w:vAlign w:val="bottom"/>
            <w:gridSpan w:val="2"/>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7560" w:type="dxa"/>
            <w:vAlign w:val="bottom"/>
            <w:gridSpan w:val="9"/>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Legal Proceedings</w:t>
              </w:r>
            </w:hyperlink>
          </w:p>
        </w:tc>
        <w:tc>
          <w:tcPr>
            <w:tcW w:w="8060" w:type="dxa"/>
            <w:vAlign w:val="bottom"/>
            <w:gridSpan w:val="11"/>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0"/>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8"/>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4">
              <w:r>
                <w:rPr>
                  <w:rFonts w:ascii="Arial" w:cs="Arial" w:eastAsia="Arial" w:hAnsi="Arial"/>
                  <w:sz w:val="18"/>
                  <w:szCs w:val="18"/>
                  <w:color w:val="0000FF"/>
                  <w:w w:val="98"/>
                </w:rPr>
                <w:t>Exhibits</w:t>
              </w:r>
            </w:hyperlink>
          </w:p>
        </w:tc>
        <w:tc>
          <w:tcPr>
            <w:tcW w:w="4220" w:type="dxa"/>
            <w:vAlign w:val="bottom"/>
            <w:gridSpan w:val="9"/>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6"/>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40"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920" w:hanging="328"/>
        <w:spacing w:after="0" w:line="29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w:t>
      </w:r>
    </w:p>
    <w:p>
      <w:pPr>
        <w:spacing w:after="0" w:line="174" w:lineRule="exact"/>
        <w:rPr>
          <w:rFonts w:ascii="Arial" w:cs="Arial" w:eastAsia="Arial" w:hAnsi="Arial"/>
          <w:sz w:val="17"/>
          <w:szCs w:val="17"/>
          <w:color w:val="auto"/>
        </w:rPr>
      </w:pPr>
    </w:p>
    <w:p>
      <w:pPr>
        <w:ind w:left="660" w:right="3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our information technology systems and the confidential information of our employees and customers against security breaches, including cyber-security breaches; and</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 including uncertainty and instability in Europe related to the potential withdrawal of countries from the European Union.</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2015 Annual Report on Form 10-K filed with the Securities and Exchange Commission on February 24, 2016 (the “2015 Form 10-K”), could cause actual results to differ materially from those projected in any forward-looking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540" w:type="dxa"/>
            <w:vAlign w:val="bottom"/>
          </w:tcPr>
          <w:p>
            <w:pPr>
              <w:ind w:left="220"/>
              <w:spacing w:after="0"/>
              <w:rPr>
                <w:sz w:val="20"/>
                <w:szCs w:val="20"/>
                <w:color w:val="auto"/>
              </w:rPr>
            </w:pPr>
            <w:r>
              <w:rPr>
                <w:rFonts w:ascii="Arial" w:cs="Arial" w:eastAsia="Arial" w:hAnsi="Arial"/>
                <w:sz w:val="18"/>
                <w:szCs w:val="18"/>
                <w:color w:val="auto"/>
              </w:rPr>
              <w:t>Vehicle rental</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77"/>
        </w:trPr>
        <w:tc>
          <w:tcPr>
            <w:tcW w:w="5540" w:type="dxa"/>
            <w:vAlign w:val="bottom"/>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7"/>
        </w:trPr>
        <w:tc>
          <w:tcPr>
            <w:tcW w:w="5540" w:type="dxa"/>
            <w:vAlign w:val="bottom"/>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5540" w:type="dxa"/>
            <w:vAlign w:val="bottom"/>
          </w:tcPr>
          <w:p>
            <w:pPr>
              <w:ind w:left="46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5540" w:type="dxa"/>
            <w:vAlign w:val="bottom"/>
          </w:tcPr>
          <w:p>
            <w:pPr>
              <w:ind w:left="220"/>
              <w:spacing w:after="0"/>
              <w:rPr>
                <w:sz w:val="20"/>
                <w:szCs w:val="20"/>
                <w:color w:val="auto"/>
              </w:rPr>
            </w:pPr>
            <w:r>
              <w:rPr>
                <w:rFonts w:ascii="Arial" w:cs="Arial" w:eastAsia="Arial" w:hAnsi="Arial"/>
                <w:sz w:val="18"/>
                <w:szCs w:val="18"/>
                <w:color w:val="auto"/>
              </w:rPr>
              <w:t>Transaction-related costs, net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486"/>
        </w:trPr>
        <w:tc>
          <w:tcPr>
            <w:tcW w:w="55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80"/>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40" w:right="239" w:bottom="90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908"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Avis Budget Group, Inc.</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(In millions, except par value)</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(Unaudited)</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Program cash</w:t>
            </w:r>
          </w:p>
        </w:tc>
        <w:tc>
          <w:tcPr>
            <w:tcW w:w="3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Vehicles, net</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13,227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10,658</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from vehicle manufacturers and other</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14,023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11,716</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20,483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17,634</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Short-term debt and current portion of long-term debt</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6,046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 due to Avis Budget Rental Car Funding (AESOP) LLC—related party</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7,987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6,796</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14,098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11,515</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value—authorized 10 shares; none issued and outstanding</w:t>
            </w:r>
          </w:p>
        </w:tc>
        <w:tc>
          <w:tcPr>
            <w:tcW w:w="300" w:type="dxa"/>
            <w:vAlign w:val="bottom"/>
          </w:tcPr>
          <w:p>
            <w:pPr>
              <w:spacing w:after="0"/>
              <w:rPr>
                <w:sz w:val="24"/>
                <w:szCs w:val="2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Common stock, $0.01 par value—authorized 250 shares; issued 137 shares, at each date</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6,935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Treasury stock, at cost—45 and 39 shares, respectively</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20,483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17,634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26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26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Early extinguishment of debt costs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 excluding the impact of acquisitions and dispositions: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1,027</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Decrease (increase) in program cash</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(7,939)</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5,418</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4,549</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r>
      <w:tr>
        <w:trPr>
          <w:trHeight w:val="675"/>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ind w:left="95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9280" w:type="dxa"/>
            <w:vAlign w:val="bottom"/>
            <w:gridSpan w:val="2"/>
          </w:tcPr>
          <w:p>
            <w:pPr>
              <w:ind w:left="884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30"/>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97"/>
        </w:trPr>
        <w:tc>
          <w:tcPr>
            <w:tcW w:w="9280" w:type="dxa"/>
            <w:vAlign w:val="bottom"/>
            <w:gridSpan w:val="2"/>
          </w:tcPr>
          <w:p>
            <w:pPr>
              <w:spacing w:after="0"/>
              <w:rPr>
                <w:sz w:val="20"/>
                <w:szCs w:val="20"/>
                <w:color w:val="auto"/>
              </w:rPr>
            </w:pPr>
            <w:r>
              <w:rPr>
                <w:rFonts w:ascii="Arial" w:cs="Arial" w:eastAsia="Arial" w:hAnsi="Arial"/>
                <w:sz w:val="18"/>
                <w:szCs w:val="18"/>
                <w:color w:val="auto"/>
              </w:rPr>
              <w:t>Proceeds from long-term borrowings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Payments on long-term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7"/>
        </w:trPr>
        <w:tc>
          <w:tcPr>
            <w:tcW w:w="9280" w:type="dxa"/>
            <w:vAlign w:val="bottom"/>
            <w:gridSpan w:val="2"/>
          </w:tcPr>
          <w:p>
            <w:pPr>
              <w:spacing w:after="0"/>
              <w:rPr>
                <w:sz w:val="20"/>
                <w:szCs w:val="20"/>
                <w:color w:val="auto"/>
              </w:rPr>
            </w:pPr>
            <w:r>
              <w:rPr>
                <w:rFonts w:ascii="Arial" w:cs="Arial" w:eastAsia="Arial" w:hAnsi="Arial"/>
                <w:sz w:val="18"/>
                <w:szCs w:val="18"/>
                <w:color w:val="auto"/>
              </w:rPr>
              <w:t>Debt financing fees</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830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9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r>
    </w:tbl>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Vehicle programs:</w:t>
      </w:r>
    </w:p>
    <w:p>
      <w:pPr>
        <w:sectPr>
          <w:pgSz w:w="11900" w:h="16838" w:orient="portrait"/>
          <w:cols w:equalWidth="0" w:num="1">
            <w:col w:w="11420"/>
          </w:cols>
          <w:pgMar w:left="240" w:top="140" w:right="239" w:bottom="1440" w:gutter="0" w:footer="0" w:header="0"/>
        </w:sectPr>
      </w:pPr>
    </w:p>
    <w:p>
      <w:pPr>
        <w:spacing w:after="0" w:line="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financing fees</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Effect of changes in exchange rates on cash and cash equivalents</w:t>
      </w:r>
    </w:p>
    <w:p>
      <w:pPr>
        <w:spacing w:after="0" w:line="372" w:lineRule="exact"/>
        <w:rPr>
          <w:sz w:val="20"/>
          <w:szCs w:val="20"/>
          <w:color w:val="auto"/>
        </w:rPr>
      </w:pPr>
    </w:p>
    <w:p>
      <w:pPr>
        <w:ind w:left="40" w:right="3300"/>
        <w:spacing w:after="0" w:line="318" w:lineRule="auto"/>
        <w:rPr>
          <w:sz w:val="20"/>
          <w:szCs w:val="20"/>
          <w:color w:val="auto"/>
        </w:rPr>
      </w:pPr>
      <w:r>
        <w:rPr>
          <w:rFonts w:ascii="Arial" w:cs="Arial" w:eastAsia="Arial" w:hAnsi="Arial"/>
          <w:sz w:val="17"/>
          <w:szCs w:val="17"/>
          <w:color w:val="auto"/>
        </w:rPr>
        <w:t>Net increase (decrease) in cash and cash equivalents Cash and cash equivalents, beginning of period</w:t>
      </w:r>
    </w:p>
    <w:p>
      <w:pPr>
        <w:ind w:left="40"/>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9,850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9,018</w:t>
            </w:r>
          </w:p>
        </w:tc>
      </w:tr>
      <w:tr>
        <w:trPr>
          <w:trHeight w:val="270"/>
        </w:trPr>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(7,614)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(6,347)</w:t>
            </w:r>
          </w:p>
        </w:tc>
      </w:tr>
      <w:tr>
        <w:trPr>
          <w:trHeight w:val="27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2,654</w:t>
            </w:r>
          </w:p>
        </w:tc>
      </w:tr>
      <w:tr>
        <w:trPr>
          <w:trHeight w:val="250"/>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2,615</w:t>
            </w:r>
          </w:p>
        </w:tc>
      </w:tr>
      <w:tr>
        <w:trPr>
          <w:trHeight w:val="54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540"/>
        </w:trPr>
        <w:tc>
          <w:tcPr>
            <w:tcW w:w="5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r>
      <w:tr>
        <w:trPr>
          <w:trHeight w:val="250"/>
        </w:trPr>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529</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40"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0"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car sharing services and ancillary services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5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20" w:hanging="482"/>
        <w:spacing w:after="0" w:line="26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—provides and licenses the Company’s brands to third parties for vehicle rentals and ancillary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 North America, South America, Central America and the Caribbean, and operates the Company’s car sharing business in certain of these markets.</w:t>
      </w:r>
    </w:p>
    <w:p>
      <w:pPr>
        <w:spacing w:after="0" w:line="168" w:lineRule="exact"/>
        <w:rPr>
          <w:rFonts w:ascii="Arial" w:cs="Arial" w:eastAsia="Arial" w:hAnsi="Arial"/>
          <w:sz w:val="18"/>
          <w:szCs w:val="18"/>
          <w:color w:val="auto"/>
        </w:rPr>
      </w:pPr>
    </w:p>
    <w:p>
      <w:pPr>
        <w:ind w:left="1300" w:right="460" w:hanging="482"/>
        <w:spacing w:after="0" w:line="26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—provides and licenses the Company’s brands to third parties for vehicle rentals and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Europe, the Middle East, Africa, Asia, Australia and New Zealand, and operates the Company’s car sharing business in certain of these markets.</w:t>
      </w:r>
    </w:p>
    <w:p>
      <w:pPr>
        <w:spacing w:after="0" w:line="190"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In the first half of 2016, the Company completed the purchase price allocation for the acquisition of its Avis and Budget licensees in Norway, Sweden and Denmark, its Brazilian licensee and Maggiore Group. There were no material adjustments to the preliminary allocation. The fair value of the assets acquired and liabilities assumed in connection with the Company’s fourth quarter 2015 acquisition of its Avis licensee in Poland has not yet been finalized; however, there have been no significant changes to the preliminary allocation of the purchase price in the first half of 2016.</w:t>
      </w:r>
    </w:p>
    <w:p>
      <w:pPr>
        <w:spacing w:after="0" w:line="209"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2015 Form 10-K.</w:t>
      </w:r>
    </w:p>
    <w:p>
      <w:pPr>
        <w:spacing w:after="0" w:line="189"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3"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0"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00" w:right="100"/>
        <w:spacing w:after="0" w:line="261"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gain</w:t>
      </w:r>
      <w:r>
        <w:rPr>
          <w:rFonts w:ascii="Arial" w:cs="Arial" w:eastAsia="Arial" w:hAnsi="Arial"/>
          <w:sz w:val="18"/>
          <w:szCs w:val="18"/>
          <w:i w:val="1"/>
          <w:iCs w:val="1"/>
          <w:color w:val="auto"/>
        </w:rPr>
        <w:t xml:space="preserve"> </w:t>
      </w:r>
      <w:r>
        <w:rPr>
          <w:rFonts w:ascii="Arial" w:cs="Arial" w:eastAsia="Arial" w:hAnsi="Arial"/>
          <w:sz w:val="18"/>
          <w:szCs w:val="18"/>
          <w:color w:val="auto"/>
        </w:rPr>
        <w:t>or loss on intercompany loan hedges within interest expense related to corporate debt, net. During the three months ended June 30, 2016 and 2015, the Company recorded losses on such items of $4 million and $6 million, respectively, and during the six months ended June 30, 2016 and 2015, the Company recorded losses of $7 million and $10 million, respectively.</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47" w:lineRule="exact"/>
        <w:rPr>
          <w:sz w:val="20"/>
          <w:szCs w:val="20"/>
          <w:color w:val="auto"/>
        </w:rPr>
      </w:pPr>
    </w:p>
    <w:p>
      <w:pPr>
        <w:ind w:left="500" w:right="380"/>
        <w:spacing w:after="0" w:line="253" w:lineRule="auto"/>
        <w:rPr>
          <w:sz w:val="20"/>
          <w:szCs w:val="20"/>
          <w:color w:val="auto"/>
        </w:rPr>
      </w:pPr>
      <w:r>
        <w:rPr>
          <w:rFonts w:ascii="Arial" w:cs="Arial" w:eastAsia="Arial" w:hAnsi="Arial"/>
          <w:sz w:val="18"/>
          <w:szCs w:val="18"/>
          <w:color w:val="auto"/>
        </w:rPr>
        <w:t>On January 1, 2016, as a result of the issuance of a new accounting pronouncement, the Company adopted Accounting Standards Update (“ASU”) 2015-16, “Simplifying the Accounting for Measurement-Period Adjustments,” which eliminates the requirement to retrospectively account for adjustments made to provisional amounts recognized in a business combination at the acquisition date. Instead, the cumulative impact of any adjustment will be recognized in the reporting period in which the adjustment is identified. The adoption of this accounting pronouncement did not have a material impact on the Company’s Consolidated Financial Statements.</w:t>
      </w:r>
    </w:p>
    <w:p>
      <w:pPr>
        <w:spacing w:after="0" w:line="206"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On January 1, 2016, as a result of the issuance of a new accounting pronouncement, the Company adopted ASU 2015-05, “Customer’s Accounting for Fees Paid in a Cloud Computing Arrangement,” which provides guidance for determining whether a cloud computing arrangement contains a software license that should be accounted for as internal-use software, rather than as a service contract. The adoption of this accounting pronouncement did not have a material impact on the Company’s Consolidated Financial Statements.</w:t>
      </w:r>
    </w:p>
    <w:p>
      <w:pPr>
        <w:spacing w:after="0" w:line="204"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On January 1, 2016, as a result of the issuance of a new accounting pronouncement, the Company adopted ASU 2014-15, “Disclosure of Uncertainties about an Entity’s Ability to Continue as a Going Concern,” which requires management to perform interim and annual assessments of an entity’s ability to continue as a going concern within one year of the date the financial statements are issued and to provide related footnote disclosures in certain circumstances. The adoption of this accounting pronouncement did not have an impact on the Company’s Consolidated Financial Statements.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47"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In March 2016, the Financial Accounting Standards Board (“FASB”) issued ASU 2016-09, “Improvements to Employee Share-Based Payment Accounting,” which simplifies several aspects of the accounting for employee share-based payment transactions, including the accounting for income taxes, forfeitures, minimum statutory withholding requirements and classification in the statement of cash flow. ASU 2016-09 becomes effective for the Company on January 1, 2017. The Company is currently evaluating the effect of this accounting pronouncement on its Consolidated Financial Statements.</w:t>
      </w:r>
    </w:p>
    <w:p>
      <w:pPr>
        <w:spacing w:after="0" w:line="206" w:lineRule="exact"/>
        <w:rPr>
          <w:sz w:val="20"/>
          <w:szCs w:val="20"/>
          <w:color w:val="auto"/>
        </w:rPr>
      </w:pPr>
    </w:p>
    <w:p>
      <w:pPr>
        <w:ind w:left="500" w:right="100"/>
        <w:spacing w:after="0" w:line="253" w:lineRule="auto"/>
        <w:rPr>
          <w:sz w:val="20"/>
          <w:szCs w:val="20"/>
          <w:color w:val="auto"/>
        </w:rPr>
      </w:pPr>
      <w:r>
        <w:rPr>
          <w:rFonts w:ascii="Arial" w:cs="Arial" w:eastAsia="Arial" w:hAnsi="Arial"/>
          <w:sz w:val="18"/>
          <w:szCs w:val="18"/>
          <w:color w:val="auto"/>
        </w:rPr>
        <w:t>In February 2016, the FASB issued ASU 2016-02, “Leases,” which requires a lessee to recognize all long-term leases on its balance sheet as a liability for its lease obligation, measured at the present value of lease payments not yet paid, and a corresponding asset representing its right to use the underlying asset over the lease term. ASU 2016-02 becomes effective for the Company on January 1, 2019. Early adoption is permitted. The Company is currently evaluating the effect of this accounting pronouncement on its Consolidated Financial Statements.</w:t>
      </w:r>
    </w:p>
    <w:p>
      <w:pPr>
        <w:spacing w:after="0" w:line="206"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makes limited amendments to the classification and measurement of financial instruments. The new standard amends certain disclosure requirements associated with the fair value of financial instruments. ASU 2016-01 becomes effective for the Company on January 1, 2018. The adoption of this accounting pronouncement is not expected to have a material impact on the Company’s Consolidated Financial Statements.</w:t>
      </w:r>
    </w:p>
    <w:p>
      <w:pPr>
        <w:spacing w:after="0" w:line="206"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which outlines a single model for entities to use in accounting for revenue arising from contracts with customers and supersedes current revenue recognition guidance. ASU 2014-09 becomes effective for the Company on January 1, 2018. The Company is currently evaluating the effect of this accounting pronouncement on its Consolidated Financial Statements.</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40"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47" w:lineRule="exact"/>
        <w:rPr>
          <w:rFonts w:ascii="Arial" w:cs="Arial" w:eastAsia="Arial" w:hAnsi="Arial"/>
          <w:sz w:val="18"/>
          <w:szCs w:val="18"/>
          <w:b w:val="1"/>
          <w:bCs w:val="1"/>
          <w:color w:val="auto"/>
        </w:rPr>
      </w:pPr>
    </w:p>
    <w:p>
      <w:pPr>
        <w:ind w:left="5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In 2014, the Company committed to various strategic initiatives to identify best practices and drive efficiency throughout its organization, by reducing headcount, improving processes and consolidating functions (the “T15 restructuring”). In first quarter 2016, the Company expanded the T15 restructuring to take advantage of additional efficiency opportunities. The expanded T15 restructuring fits within the initiative’s focus areas to identify best practices and drive efficiency throughout the organization, including the consolidation of rental locations. During the six months ended June 30, 2016, as part of this process, the Company formally communicated the termination of employment to approximately 420 employees, and as of June 30, 2016, the Company had terminated approximately 350 of these employees. The costs associated with this initiative primarily represent severance, outplacement services and other costs associated with employee terminations, the majority of which have been or are expected to be settled in cash. The Company expects further restructuring expense of approximately $7 million related to this initiative to be incurred in 2016.</w:t>
      </w:r>
    </w:p>
    <w:p>
      <w:pPr>
        <w:spacing w:after="0" w:line="212" w:lineRule="exact"/>
        <w:rPr>
          <w:rFonts w:ascii="Arial" w:cs="Arial" w:eastAsia="Arial" w:hAnsi="Arial"/>
          <w:sz w:val="18"/>
          <w:szCs w:val="18"/>
          <w:b w:val="1"/>
          <w:bCs w:val="1"/>
          <w:color w:val="auto"/>
        </w:rPr>
      </w:pPr>
    </w:p>
    <w:p>
      <w:pPr>
        <w:ind w:left="500"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conjunction with previous acquisitions, the Company identified opportunities to integrate and streamline its operations, primarily in Europe (the “Acquisition integration”). During the six months ended June 30, 2016, as part of this process, the Company formally communicated the termination of employment to approximately 105 employees, and as of June 30, 2016, the Company had terminated approximately 90 of these employees. The Company expects further restructuring expense of approximately $3 million related to this initiative to be incurred in 2016.</w:t>
      </w:r>
    </w:p>
    <w:p>
      <w:pPr>
        <w:spacing w:after="0" w:line="20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activity related to our restructuring liabilities:</w:t>
      </w:r>
    </w:p>
    <w:p>
      <w:pPr>
        <w:spacing w:after="0" w:line="343"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Americas</w:t>
            </w:r>
          </w:p>
        </w:tc>
        <w:tc>
          <w:tcPr>
            <w:tcW w:w="20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320" w:type="dxa"/>
            <w:vAlign w:val="bottom"/>
          </w:tcPr>
          <w:p>
            <w:pPr>
              <w:spacing w:after="0"/>
              <w:rPr>
                <w:sz w:val="19"/>
                <w:szCs w:val="19"/>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Balance as of January 1, 2016</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T15 restructuring expense</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Acquisition integration expense</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Avis Europe restructuring expense</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T15 restructuring payment/utilization</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Acquisition integration payment</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7"/>
        </w:trPr>
        <w:tc>
          <w:tcPr>
            <w:tcW w:w="4220" w:type="dxa"/>
            <w:vAlign w:val="bottom"/>
          </w:tcPr>
          <w:p>
            <w:pPr>
              <w:ind w:left="120"/>
              <w:spacing w:after="0"/>
              <w:rPr>
                <w:sz w:val="20"/>
                <w:szCs w:val="20"/>
                <w:color w:val="auto"/>
              </w:rPr>
            </w:pPr>
            <w:r>
              <w:rPr>
                <w:rFonts w:ascii="Arial" w:cs="Arial" w:eastAsia="Arial" w:hAnsi="Arial"/>
                <w:sz w:val="18"/>
                <w:szCs w:val="18"/>
                <w:color w:val="auto"/>
              </w:rPr>
              <w:t>Avis Europe restructuring payment</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Balance as of June 30, 2016</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Personnel</w:t>
            </w:r>
          </w:p>
        </w:tc>
        <w:tc>
          <w:tcPr>
            <w:tcW w:w="24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Facility</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Related</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1"/>
              <w:spacing w:after="0" w:line="234"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color w:val="auto"/>
                <w:vertAlign w:val="superscript"/>
              </w:rPr>
              <w:t>(a)</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Balance as of January 1,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T15 restructuring expense</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Acquisition integration expense</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Avis Europe restructuring expense</w:t>
            </w:r>
          </w:p>
        </w:tc>
        <w:tc>
          <w:tcPr>
            <w:tcW w:w="2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T15 restructuring payment/utilization</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Acquisition integration payment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7"/>
        </w:trPr>
        <w:tc>
          <w:tcPr>
            <w:tcW w:w="4220" w:type="dxa"/>
            <w:vAlign w:val="bottom"/>
          </w:tcPr>
          <w:p>
            <w:pPr>
              <w:ind w:left="120"/>
              <w:spacing w:after="0"/>
              <w:rPr>
                <w:sz w:val="20"/>
                <w:szCs w:val="20"/>
                <w:color w:val="auto"/>
              </w:rPr>
            </w:pPr>
            <w:r>
              <w:rPr>
                <w:rFonts w:ascii="Arial" w:cs="Arial" w:eastAsia="Arial" w:hAnsi="Arial"/>
                <w:sz w:val="18"/>
                <w:szCs w:val="18"/>
                <w:color w:val="auto"/>
              </w:rPr>
              <w:t>Avis Europe restructuring payment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Balance as of June 30,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89" w:lineRule="auto"/>
        <w:tabs>
          <w:tab w:leader="none" w:pos="82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Includes expense related primarily to the write-down of certain vehicle assets.</w:t>
      </w:r>
    </w:p>
    <w:p>
      <w:pPr>
        <w:spacing w:after="0" w:line="200" w:lineRule="exact"/>
        <w:rPr>
          <w:rFonts w:ascii="Arial" w:cs="Arial" w:eastAsia="Arial" w:hAnsi="Arial"/>
          <w:sz w:val="22"/>
          <w:szCs w:val="22"/>
          <w:color w:val="auto"/>
          <w:vertAlign w:val="superscript"/>
        </w:rPr>
      </w:pPr>
    </w:p>
    <w:p>
      <w:pPr>
        <w:spacing w:after="0" w:line="224" w:lineRule="exact"/>
        <w:rPr>
          <w:rFonts w:ascii="Arial" w:cs="Arial" w:eastAsia="Arial" w:hAnsi="Arial"/>
          <w:sz w:val="22"/>
          <w:szCs w:val="22"/>
          <w:color w:val="auto"/>
          <w:vertAlign w:val="superscript"/>
        </w:rPr>
      </w:pPr>
    </w:p>
    <w:p>
      <w:pPr>
        <w:ind w:left="5660"/>
        <w:spacing w:after="0"/>
        <w:rPr>
          <w:rFonts w:ascii="Arial" w:cs="Arial" w:eastAsia="Arial" w:hAnsi="Arial"/>
          <w:sz w:val="22"/>
          <w:szCs w:val="22"/>
          <w:color w:val="auto"/>
          <w:vertAlign w:val="superscript"/>
        </w:rPr>
      </w:pPr>
      <w:r>
        <w:rPr>
          <w:rFonts w:ascii="Arial" w:cs="Arial" w:eastAsia="Arial" w:hAnsi="Arial"/>
          <w:sz w:val="18"/>
          <w:szCs w:val="18"/>
          <w:color w:val="auto"/>
        </w:rPr>
        <w:t>9</w:t>
      </w:r>
    </w:p>
    <w:p>
      <w:pPr>
        <w:sectPr>
          <w:pgSz w:w="11900" w:h="16838" w:orient="portrait"/>
          <w:cols w:equalWidth="0" w:num="1">
            <w:col w:w="11280"/>
          </w:cols>
          <w:pgMar w:left="240" w:top="140" w:right="3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(loss) per share (“EPS”) (shares in millions):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54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 for basic and diluted EPS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500"/>
        </w:trPr>
        <w:tc>
          <w:tcPr>
            <w:tcW w:w="540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84"/>
        </w:trPr>
        <w:tc>
          <w:tcPr>
            <w:tcW w:w="5400" w:type="dxa"/>
            <w:vAlign w:val="bottom"/>
          </w:tcPr>
          <w:p>
            <w:pPr>
              <w:ind w:left="20"/>
              <w:spacing w:after="0"/>
              <w:rPr>
                <w:sz w:val="20"/>
                <w:szCs w:val="20"/>
                <w:color w:val="auto"/>
              </w:rPr>
            </w:pPr>
            <w:r>
              <w:rPr>
                <w:rFonts w:ascii="Arial" w:cs="Arial" w:eastAsia="Arial" w:hAnsi="Arial"/>
                <w:sz w:val="18"/>
                <w:szCs w:val="18"/>
                <w:color w:val="auto"/>
              </w:rPr>
              <w:t xml:space="preserve">Options and non-vested stock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Earnings (loss) per share: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6"/>
        </w:trPr>
        <w:tc>
          <w:tcPr>
            <w:tcW w:w="540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hanging="326"/>
        <w:spacing w:after="0" w:line="230" w:lineRule="auto"/>
        <w:tabs>
          <w:tab w:leader="none" w:pos="820" w:val="left"/>
        </w:tabs>
        <w:numPr>
          <w:ilvl w:val="1"/>
          <w:numId w:val="7"/>
        </w:numPr>
        <w:rPr>
          <w:rFonts w:ascii="Arial" w:cs="Arial" w:eastAsia="Arial" w:hAnsi="Arial"/>
          <w:sz w:val="22"/>
          <w:szCs w:val="22"/>
          <w:color w:val="auto"/>
          <w:vertAlign w:val="superscript"/>
        </w:rPr>
      </w:pPr>
      <w:r>
        <w:rPr>
          <w:rFonts w:ascii="Arial" w:cs="Arial" w:eastAsia="Arial" w:hAnsi="Arial"/>
          <w:sz w:val="16"/>
          <w:szCs w:val="16"/>
          <w:color w:val="auto"/>
        </w:rPr>
        <w:t>For the three months ended June 30, 2016 and 2015, 0.2 million non-vested stock awards have an anti-dilutive effect in each period and therefore are excluded from the computation of diluted weighted average shares outstanding. As the Company incurred a net loss for the six months ended June 30, 2016, 0.8 million outstanding options and 1.5 million non-vested stock awards have an anti-dilutive effect and therefore are excluded from the computation of diluted weighted average shares outstanding. For the six months ended June 30, 2015, 0.1 million non-vested stock awards have an anti-dilutive effect and therefore are excluded from the computation of diluted weighted average shares outstanding.</w:t>
      </w:r>
    </w:p>
    <w:p>
      <w:pPr>
        <w:spacing w:after="0" w:line="161"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As of June 30,</w:t>
            </w:r>
          </w:p>
        </w:tc>
        <w:tc>
          <w:tcPr>
            <w:tcW w:w="14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As of December</w:t>
            </w:r>
          </w:p>
        </w:tc>
      </w:tr>
      <w:tr>
        <w:trPr>
          <w:trHeight w:val="246"/>
        </w:trPr>
        <w:tc>
          <w:tcPr>
            <w:tcW w:w="68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31, 2015</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Sales and use taxes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6"/>
                <w:szCs w:val="16"/>
                <w:b w:val="1"/>
                <w:bCs w:val="1"/>
                <w:color w:val="auto"/>
              </w:rPr>
              <w:t>As of June 30, 2016</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December 31, 2015</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License agreements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267</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7"/>
        </w:trPr>
        <w:tc>
          <w:tcPr>
            <w:tcW w:w="270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Trademarks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increase in the carrying amount since December 31, 2015 reflects currency translation.</w:t>
      </w:r>
    </w:p>
    <w:p>
      <w:pPr>
        <w:spacing w:after="0" w:line="174"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For the three months ended June 30, 2016 and 2015, amortization expense related to amortizable intangible assets was approximately $16 million in each period. For the six months ended June 30, 2016 and 2015, amortization expense related to amortizable intangible assets was approximately $33 million and</w:t>
      </w:r>
    </w:p>
    <w:p>
      <w:pPr>
        <w:sectPr>
          <w:pgSz w:w="11900" w:h="16838" w:orient="portrait"/>
          <w:cols w:equalWidth="0" w:num="1">
            <w:col w:w="11320"/>
          </w:cols>
          <w:pgMar w:left="240" w:top="140" w:right="339" w:bottom="1440" w:gutter="0" w:footer="0" w:header="0"/>
        </w:sect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20"/>
          </w:cols>
          <w:pgMar w:left="240" w:top="14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240"/>
        <w:spacing w:after="0" w:line="256" w:lineRule="auto"/>
        <w:rPr>
          <w:sz w:val="20"/>
          <w:szCs w:val="20"/>
          <w:color w:val="auto"/>
        </w:rPr>
      </w:pPr>
      <w:r>
        <w:rPr>
          <w:rFonts w:ascii="Arial" w:cs="Arial" w:eastAsia="Arial" w:hAnsi="Arial"/>
          <w:sz w:val="18"/>
          <w:szCs w:val="18"/>
          <w:color w:val="auto"/>
        </w:rPr>
        <w:t>$27 million, respectively. Based on the Company’s amortizable intangible assets at June 30, 2016, the Company expects amortization expense of approximately $31 million for the remainder of 2016, $55 million for 2017, $42 million for 2018, $39 million for 2019, $38 million for 2020 and $23 million for 2021, excluding effects of currency exchange rates.</w:t>
      </w:r>
    </w:p>
    <w:p>
      <w:pPr>
        <w:spacing w:after="0" w:line="180"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Rental vehicles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14,284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11,195</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6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12,855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9,695</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Vehicles held for sale</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Vehicles, net</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13,227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10,658</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40" w:right="279" w:bottom="1440" w:gutter="0" w:footer="0" w:header="0"/>
        </w:sectPr>
      </w:pP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57"/>
        </w:trPr>
        <w:tc>
          <w:tcPr>
            <w:tcW w:w="41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Lease charges</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7"/>
        </w:trPr>
        <w:tc>
          <w:tcPr>
            <w:tcW w:w="4140" w:type="dxa"/>
            <w:vAlign w:val="bottom"/>
          </w:tcPr>
          <w:p>
            <w:pPr>
              <w:spacing w:after="0"/>
              <w:rPr>
                <w:sz w:val="20"/>
                <w:szCs w:val="20"/>
                <w:color w:val="auto"/>
              </w:rPr>
            </w:pPr>
            <w:r>
              <w:rPr>
                <w:rFonts w:ascii="Arial" w:cs="Arial" w:eastAsia="Arial" w:hAnsi="Arial"/>
                <w:sz w:val="18"/>
                <w:szCs w:val="18"/>
                <w:color w:val="auto"/>
              </w:rPr>
              <w:t>Gain on sale of vehicles, net</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10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w:t>
            </w:r>
          </w:p>
        </w:tc>
      </w:tr>
      <w:tr>
        <w:trPr>
          <w:trHeight w:val="20"/>
        </w:trPr>
        <w:tc>
          <w:tcPr>
            <w:tcW w:w="4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5"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20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65" w:lineRule="exact"/>
        <w:rPr>
          <w:sz w:val="20"/>
          <w:szCs w:val="20"/>
          <w:color w:val="auto"/>
        </w:rPr>
      </w:pPr>
    </w:p>
    <w:p>
      <w:pPr>
        <w:spacing w:after="0"/>
        <w:tabs>
          <w:tab w:leader="none" w:pos="1020" w:val="left"/>
          <w:tab w:leader="none" w:pos="1560" w:val="left"/>
          <w:tab w:leader="none" w:pos="2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931</w:t>
        <w:tab/>
        <w:t>$</w:t>
      </w:r>
      <w:r>
        <w:rPr>
          <w:sz w:val="20"/>
          <w:szCs w:val="20"/>
          <w:color w:val="auto"/>
        </w:rPr>
        <w:tab/>
      </w:r>
      <w:r>
        <w:rPr>
          <w:rFonts w:ascii="Arial" w:cs="Arial" w:eastAsia="Arial" w:hAnsi="Arial"/>
          <w:sz w:val="17"/>
          <w:szCs w:val="17"/>
          <w:color w:val="auto"/>
        </w:rPr>
        <w:t>913</w:t>
      </w:r>
    </w:p>
    <w:p>
      <w:pPr>
        <w:spacing w:after="0" w:line="63" w:lineRule="exact"/>
        <w:rPr>
          <w:sz w:val="20"/>
          <w:szCs w:val="20"/>
          <w:color w:val="auto"/>
        </w:rPr>
      </w:pPr>
    </w:p>
    <w:p>
      <w:pPr>
        <w:ind w:left="1140"/>
        <w:spacing w:after="0"/>
        <w:tabs>
          <w:tab w:leader="none" w:pos="27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68</w:t>
      </w:r>
    </w:p>
    <w:p>
      <w:pPr>
        <w:spacing w:after="0" w:line="63" w:lineRule="exact"/>
        <w:rPr>
          <w:sz w:val="20"/>
          <w:szCs w:val="20"/>
          <w:color w:val="auto"/>
        </w:rPr>
      </w:pPr>
    </w:p>
    <w:p>
      <w:pPr>
        <w:ind w:left="2660" w:hanging="1575"/>
        <w:spacing w:after="0"/>
        <w:tabs>
          <w:tab w:leader="none" w:pos="2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1920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5" w:lineRule="exact"/>
        <w:rPr>
          <w:sz w:val="20"/>
          <w:szCs w:val="20"/>
          <w:color w:val="auto"/>
        </w:rPr>
      </w:pPr>
    </w:p>
    <w:p>
      <w:pPr>
        <w:spacing w:after="0"/>
        <w:tabs>
          <w:tab w:leader="none" w:pos="1020" w:val="left"/>
          <w:tab w:leader="none" w:pos="1560" w:val="left"/>
          <w:tab w:leader="none" w:pos="2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995</w:t>
        <w:tab/>
        <w:t>$</w:t>
      </w:r>
      <w:r>
        <w:rPr>
          <w:sz w:val="20"/>
          <w:szCs w:val="20"/>
          <w:color w:val="auto"/>
        </w:rPr>
        <w:tab/>
      </w:r>
      <w:r>
        <w:rPr>
          <w:rFonts w:ascii="Arial" w:cs="Arial" w:eastAsia="Arial" w:hAnsi="Arial"/>
          <w:sz w:val="17"/>
          <w:szCs w:val="17"/>
          <w:color w:val="auto"/>
        </w:rPr>
        <w:t>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7700" w:space="120"/>
            <w:col w:w="3560"/>
          </w:cols>
          <w:pgMar w:left="240" w:top="140" w:right="279" w:bottom="1440" w:gutter="0" w:footer="0" w:header="0"/>
          <w:type w:val="continuous"/>
        </w:sectPr>
      </w:pPr>
    </w:p>
    <w:p>
      <w:pPr>
        <w:spacing w:after="0" w:line="15"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At June 30, 2016 and 2015, the Company had payables related to vehicle purchases included in liabilities under vehicle programs - other of $557 million and $577 million, respectively, and receivables related to vehicle sales included in assets under vehicle programs - receivables from vehicle manufacturers and other of $251 million and $217 million, respectively.</w:t>
      </w:r>
    </w:p>
    <w:p>
      <w:pPr>
        <w:spacing w:after="0" w:line="18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six months ended June 30, 2016 is a benefit of 34.8%.</w:t>
      </w:r>
    </w:p>
    <w:p>
      <w:pPr>
        <w:spacing w:after="0" w:line="225" w:lineRule="exact"/>
        <w:rPr>
          <w:rFonts w:ascii="Arial" w:cs="Arial" w:eastAsia="Arial" w:hAnsi="Arial"/>
          <w:sz w:val="18"/>
          <w:szCs w:val="18"/>
          <w:b w:val="1"/>
          <w:bCs w:val="1"/>
          <w:color w:val="auto"/>
        </w:rPr>
      </w:pPr>
    </w:p>
    <w:p>
      <w:pPr>
        <w:ind w:left="500" w:right="3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six months ended June 30, 2015 is a benefit of 103.0%. Such rate differed from the Federal statutory rate of 35.0% primarily due to a $98 million income tax benefit related to resolution of a prior-year tax matter.</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40" w:right="2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right="6200" w:hanging="492"/>
        <w:spacing w:after="0" w:line="488"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and Borrowing Arrangements </w:t>
      </w:r>
      <w:r>
        <w:rPr>
          <w:rFonts w:ascii="Arial" w:cs="Arial" w:eastAsia="Arial" w:hAnsi="Arial"/>
          <w:sz w:val="18"/>
          <w:szCs w:val="18"/>
          <w:color w:val="auto"/>
        </w:rPr>
        <w:t>Long-term and other borrowing arrangements consisted of:</w:t>
      </w:r>
    </w:p>
    <w:tbl>
      <w:tblPr>
        <w:tblLayout w:type="fixed"/>
        <w:tblInd w:w="50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8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26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2"/>
        </w:trPr>
        <w:tc>
          <w:tcPr>
            <w:tcW w:w="546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28"/>
        </w:trPr>
        <w:tc>
          <w:tcPr>
            <w:tcW w:w="5460" w:type="dxa"/>
            <w:vAlign w:val="bottom"/>
          </w:tcPr>
          <w:p>
            <w:pPr>
              <w:spacing w:after="0"/>
              <w:rPr>
                <w:sz w:val="19"/>
                <w:szCs w:val="19"/>
                <w:color w:val="auto"/>
              </w:rPr>
            </w:pPr>
          </w:p>
        </w:tc>
        <w:tc>
          <w:tcPr>
            <w:tcW w:w="1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4⅞%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2017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0"/>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(a)</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75"/>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2019</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195"/>
        </w:trPr>
        <w:tc>
          <w:tcPr>
            <w:tcW w:w="5460" w:type="dxa"/>
            <w:vAlign w:val="bottom"/>
          </w:tcPr>
          <w:p>
            <w:pPr>
              <w:ind w:left="20"/>
              <w:spacing w:after="0"/>
              <w:rPr>
                <w:sz w:val="20"/>
                <w:szCs w:val="20"/>
                <w:color w:val="auto"/>
              </w:rPr>
            </w:pPr>
            <w:r>
              <w:rPr>
                <w:rFonts w:ascii="Arial" w:cs="Arial" w:eastAsia="Arial" w:hAnsi="Arial"/>
                <w:sz w:val="16"/>
                <w:szCs w:val="16"/>
                <w:color w:val="auto"/>
              </w:rPr>
              <w:t>6%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2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346"/>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(c)</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2022</w:t>
            </w: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46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2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6⅜%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5¼%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346"/>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(d)</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8"/>
        </w:trPr>
        <w:tc>
          <w:tcPr>
            <w:tcW w:w="5460" w:type="dxa"/>
            <w:vAlign w:val="bottom"/>
          </w:tcPr>
          <w:p>
            <w:pPr>
              <w:ind w:left="20"/>
              <w:spacing w:after="0"/>
              <w:rPr>
                <w:sz w:val="20"/>
                <w:szCs w:val="20"/>
                <w:color w:val="auto"/>
              </w:rPr>
            </w:pPr>
            <w:r>
              <w:rPr>
                <w:rFonts w:ascii="Arial" w:cs="Arial" w:eastAsia="Arial" w:hAnsi="Arial"/>
                <w:sz w:val="16"/>
                <w:szCs w:val="16"/>
                <w:color w:val="auto"/>
              </w:rPr>
              <w:t>Deferred financing fees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3,461</w:t>
            </w:r>
          </w:p>
        </w:tc>
        <w:tc>
          <w:tcPr>
            <w:tcW w:w="0" w:type="dxa"/>
            <w:vAlign w:val="bottom"/>
          </w:tcPr>
          <w:p>
            <w:pPr>
              <w:spacing w:after="0"/>
              <w:rPr>
                <w:sz w:val="1"/>
                <w:szCs w:val="1"/>
                <w:color w:val="auto"/>
              </w:rPr>
            </w:pPr>
          </w:p>
        </w:tc>
      </w:tr>
      <w:tr>
        <w:trPr>
          <w:trHeight w:val="283"/>
        </w:trPr>
        <w:tc>
          <w:tcPr>
            <w:tcW w:w="546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hanging="326"/>
        <w:spacing w:after="0" w:line="211"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3.39% at June 30, 2016; the Company has entered into an interest rate swap to hedge its interest rate exposure related to these notes at an aggregate rate of 3.58%.</w:t>
      </w:r>
    </w:p>
    <w:p>
      <w:pPr>
        <w:jc w:val="both"/>
        <w:ind w:left="820" w:hanging="326"/>
        <w:spacing w:after="0" w:line="220"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June 30, 2016, the floating rate term loan due 2019 bears interest at the greater of three-month LIBOR or 0.75%, plus 225 basis points, for an aggregate rate of 3.00%.</w:t>
      </w:r>
    </w:p>
    <w:p>
      <w:pPr>
        <w:spacing w:after="0" w:line="1" w:lineRule="exact"/>
        <w:rPr>
          <w:rFonts w:ascii="Arial" w:cs="Arial" w:eastAsia="Arial" w:hAnsi="Arial"/>
          <w:sz w:val="18"/>
          <w:szCs w:val="18"/>
          <w:color w:val="auto"/>
          <w:vertAlign w:val="superscript"/>
        </w:rPr>
      </w:pPr>
    </w:p>
    <w:p>
      <w:pPr>
        <w:ind w:left="820" w:hanging="326"/>
        <w:spacing w:after="0" w:line="225"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June 30, 2016, the floating rate term loan due 2022 bears interest at the greater of three-month LIBOR or 0.75%, plus 250 basis points, for an aggregate rate of 3.25%. The Company has entered into a swap to hedge $600 million of its interest rate exposure related to the floating rate term loan at an aggregate rate of 4.21%.</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Primarily includes capital leases which are secured by liens on the related assets.</w:t>
      </w:r>
    </w:p>
    <w:p>
      <w:pPr>
        <w:spacing w:after="0" w:line="201" w:lineRule="exact"/>
        <w:rPr>
          <w:sz w:val="20"/>
          <w:szCs w:val="20"/>
          <w:color w:val="auto"/>
        </w:rPr>
      </w:pPr>
    </w:p>
    <w:p>
      <w:pPr>
        <w:ind w:left="500" w:right="420"/>
        <w:spacing w:after="0" w:line="256" w:lineRule="auto"/>
        <w:rPr>
          <w:sz w:val="20"/>
          <w:szCs w:val="20"/>
          <w:color w:val="auto"/>
        </w:rPr>
      </w:pPr>
      <w:r>
        <w:rPr>
          <w:rFonts w:ascii="Arial" w:cs="Arial" w:eastAsia="Arial" w:hAnsi="Arial"/>
          <w:sz w:val="18"/>
          <w:szCs w:val="18"/>
          <w:color w:val="auto"/>
        </w:rPr>
        <w:t>In March 2016, the Company issued $350 million of 6⅜% Senior Notes due 2024 at par. In May 2016, the Company used the net proceeds from the offering to redeem $300 million principal amount of its 4⅞% Senior Notes due 2017 for $304 million plus accrued interest and for general corporate purposes.</w:t>
      </w:r>
    </w:p>
    <w:p>
      <w:pPr>
        <w:spacing w:after="0" w:line="202" w:lineRule="exact"/>
        <w:rPr>
          <w:sz w:val="20"/>
          <w:szCs w:val="20"/>
          <w:color w:val="auto"/>
        </w:rPr>
      </w:pPr>
    </w:p>
    <w:p>
      <w:pPr>
        <w:ind w:left="500" w:right="360"/>
        <w:spacing w:after="0" w:line="256" w:lineRule="auto"/>
        <w:rPr>
          <w:sz w:val="20"/>
          <w:szCs w:val="20"/>
          <w:color w:val="auto"/>
        </w:rPr>
      </w:pPr>
      <w:r>
        <w:rPr>
          <w:rFonts w:ascii="Arial" w:cs="Arial" w:eastAsia="Arial" w:hAnsi="Arial"/>
          <w:sz w:val="18"/>
          <w:szCs w:val="18"/>
          <w:color w:val="auto"/>
        </w:rPr>
        <w:t>In May 2016, the Company extended the maturity date for $825 million of its $970 million existing corporate floating rate term loan borrowings by three years to March 2022. The extended portion now bears interest at LIBOR plus 2.50%, subject to a LIBOR floor of 0.75%.</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2016,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2019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1,177</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623</w:t>
            </w:r>
          </w:p>
        </w:tc>
      </w:tr>
      <w:tr>
        <w:trPr>
          <w:trHeight w:val="221"/>
        </w:trPr>
        <w:tc>
          <w:tcPr>
            <w:tcW w:w="4220" w:type="dxa"/>
            <w:vAlign w:val="bottom"/>
          </w:tcPr>
          <w:p>
            <w:pPr>
              <w:ind w:left="2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22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18"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1.50% to 3.13%.</w:t>
      </w:r>
    </w:p>
    <w:p>
      <w:pPr>
        <w:spacing w:after="0" w:line="174" w:lineRule="exact"/>
        <w:rPr>
          <w:sz w:val="20"/>
          <w:szCs w:val="20"/>
          <w:color w:val="auto"/>
        </w:rPr>
      </w:pPr>
    </w:p>
    <w:p>
      <w:pPr>
        <w:ind w:left="500" w:right="220"/>
        <w:spacing w:after="0" w:line="262" w:lineRule="auto"/>
        <w:rPr>
          <w:sz w:val="20"/>
          <w:szCs w:val="20"/>
          <w:color w:val="auto"/>
        </w:rPr>
      </w:pPr>
      <w:r>
        <w:rPr>
          <w:rFonts w:ascii="Arial" w:cs="Arial" w:eastAsia="Arial" w:hAnsi="Arial"/>
          <w:sz w:val="18"/>
          <w:szCs w:val="18"/>
          <w:color w:val="auto"/>
        </w:rPr>
        <w:t>At June 30, 2016, the Company had various uncommitted credit facilities available, under which it had drawn approximately $4 million, which bear interest at rates between 0.02% and 4.50%.</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40"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right="80"/>
        <w:spacing w:after="0" w:line="254"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June 30, 2016, the Company is in compliance with the financial covenants governing its indebtedness.</w:t>
      </w:r>
    </w:p>
    <w:p>
      <w:pPr>
        <w:spacing w:after="0" w:line="18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right="2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9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8,029</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2"/>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3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8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11,165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increases in the Company’s car rental fleet.</w:t>
      </w:r>
    </w:p>
    <w:p>
      <w:pPr>
        <w:ind w:left="820" w:right="140" w:hanging="326"/>
        <w:spacing w:after="0" w:line="210" w:lineRule="auto"/>
        <w:tabs>
          <w:tab w:leader="none" w:pos="82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Deferred financing fees related to Debt due to Avis Budget Rental Car Funding as of June 30, 2016 and December 31, 2015 were $42 million and $41 million, respectively.</w:t>
      </w:r>
    </w:p>
    <w:p>
      <w:pPr>
        <w:spacing w:after="0" w:line="209" w:lineRule="exact"/>
        <w:rPr>
          <w:sz w:val="20"/>
          <w:szCs w:val="20"/>
          <w:color w:val="auto"/>
        </w:rPr>
      </w:pPr>
    </w:p>
    <w:p>
      <w:pPr>
        <w:jc w:val="both"/>
        <w:ind w:left="500" w:right="360"/>
        <w:spacing w:after="0" w:line="256" w:lineRule="auto"/>
        <w:rPr>
          <w:sz w:val="20"/>
          <w:szCs w:val="20"/>
          <w:color w:val="auto"/>
        </w:rPr>
      </w:pPr>
      <w:r>
        <w:rPr>
          <w:rFonts w:ascii="Arial" w:cs="Arial" w:eastAsia="Arial" w:hAnsi="Arial"/>
          <w:sz w:val="18"/>
          <w:szCs w:val="18"/>
          <w:color w:val="auto"/>
        </w:rPr>
        <w:t>During March 2016 and June 2016, the Company’s Avis Budget Rental Car Funding subsidiary issued approximately $ 450 million in asset-backed notes with an expected final payment date of June 2021 and approximately $500 million in asset-backed notes with an expected final payment date of November 2021, respectively. The weighted average interest rate for these borrowings was 3%.</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4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June 30, 2016.</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66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Debt under Vehicle</w:t>
            </w:r>
          </w:p>
        </w:tc>
        <w:tc>
          <w:tcPr>
            <w:tcW w:w="0" w:type="dxa"/>
            <w:vAlign w:val="bottom"/>
          </w:tcPr>
          <w:p>
            <w:pPr>
              <w:spacing w:after="0"/>
              <w:rPr>
                <w:sz w:val="1"/>
                <w:szCs w:val="1"/>
                <w:color w:val="auto"/>
              </w:rPr>
            </w:pPr>
          </w:p>
        </w:tc>
      </w:tr>
      <w:tr>
        <w:trPr>
          <w:trHeight w:val="246"/>
        </w:trPr>
        <w:tc>
          <w:tcPr>
            <w:tcW w:w="86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Programs</w:t>
            </w:r>
          </w:p>
        </w:tc>
        <w:tc>
          <w:tcPr>
            <w:tcW w:w="0" w:type="dxa"/>
            <w:vAlign w:val="bottom"/>
          </w:tcPr>
          <w:p>
            <w:pPr>
              <w:spacing w:after="0"/>
              <w:rPr>
                <w:sz w:val="1"/>
                <w:szCs w:val="1"/>
                <w:color w:val="auto"/>
              </w:rPr>
            </w:pPr>
          </w:p>
        </w:tc>
      </w:tr>
      <w:tr>
        <w:trPr>
          <w:trHeight w:val="283"/>
        </w:trPr>
        <w:tc>
          <w:tcPr>
            <w:tcW w:w="8660" w:type="dxa"/>
            <w:vAlign w:val="bottom"/>
          </w:tcPr>
          <w:p>
            <w:pPr>
              <w:ind w:left="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1"/>
                <w:szCs w:val="21"/>
                <w:color w:val="auto"/>
                <w:vertAlign w:val="superscript"/>
              </w:rPr>
              <w:t>(a)</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8"/>
                <w:szCs w:val="18"/>
                <w:color w:val="auto"/>
              </w:rPr>
              <w:t>Between 1 and 2 years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2 and 3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3 and 4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4 and 5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64"/>
        </w:trPr>
        <w:tc>
          <w:tcPr>
            <w:tcW w:w="8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202" w:lineRule="auto"/>
        <w:tabs>
          <w:tab w:leader="none" w:pos="82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Vehicle backed debt maturing within one year primarily represents term asset-backed securities.</w:t>
      </w:r>
    </w:p>
    <w:p>
      <w:pPr>
        <w:spacing w:after="0" w:line="200" w:lineRule="exact"/>
        <w:rPr>
          <w:rFonts w:ascii="Arial" w:cs="Arial" w:eastAsia="Arial" w:hAnsi="Arial"/>
          <w:sz w:val="22"/>
          <w:szCs w:val="22"/>
          <w:color w:val="auto"/>
          <w:vertAlign w:val="superscript"/>
        </w:rPr>
      </w:pPr>
    </w:p>
    <w:p>
      <w:pPr>
        <w:spacing w:after="0" w:line="264"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13</w:t>
      </w:r>
    </w:p>
    <w:p>
      <w:pPr>
        <w:sectPr>
          <w:pgSz w:w="11900" w:h="16838" w:orient="portrait"/>
          <w:cols w:equalWidth="0" w:num="1">
            <w:col w:w="11380"/>
          </w:cols>
          <w:pgMar w:left="240" w:top="140"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right="280"/>
        <w:spacing w:after="0" w:line="262" w:lineRule="auto"/>
        <w:rPr>
          <w:sz w:val="20"/>
          <w:szCs w:val="20"/>
          <w:color w:val="auto"/>
        </w:rPr>
      </w:pPr>
      <w:r>
        <w:rPr>
          <w:rFonts w:ascii="Arial" w:cs="Arial" w:eastAsia="Arial" w:hAnsi="Arial"/>
          <w:sz w:val="18"/>
          <w:szCs w:val="18"/>
          <w:color w:val="auto"/>
        </w:rPr>
        <w:t>As of June 30, 2016, available funding under the Company’s vehicle programs, including related party debt due to Avis Budget Rental Car Funding, consisted of:</w:t>
      </w:r>
    </w:p>
    <w:p>
      <w:pPr>
        <w:sectPr>
          <w:pgSz w:w="11900" w:h="16838" w:orient="portrait"/>
          <w:cols w:equalWidth="0" w:num="1">
            <w:col w:w="11400"/>
          </w:cols>
          <w:pgMar w:left="240" w:top="140" w:right="259" w:bottom="1440" w:gutter="0" w:footer="0" w:header="0"/>
        </w:sectPr>
      </w:pP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52"/>
        </w:trPr>
        <w:tc>
          <w:tcPr>
            <w:tcW w:w="5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 xml:space="preserve">Capacity </w:t>
            </w:r>
            <w:r>
              <w:rPr>
                <w:rFonts w:ascii="Arial" w:cs="Arial" w:eastAsia="Arial" w:hAnsi="Arial"/>
                <w:sz w:val="21"/>
                <w:szCs w:val="21"/>
                <w:b w:val="1"/>
                <w:bCs w:val="1"/>
                <w:color w:val="auto"/>
                <w:w w:val="94"/>
                <w:vertAlign w:val="superscript"/>
              </w:rPr>
              <w:t>(a)</w:t>
            </w:r>
          </w:p>
        </w:tc>
        <w:tc>
          <w:tcPr>
            <w:tcW w:w="16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Borrowings</w:t>
            </w:r>
          </w:p>
        </w:tc>
        <w:tc>
          <w:tcPr>
            <w:tcW w:w="0" w:type="dxa"/>
            <w:vAlign w:val="bottom"/>
          </w:tcPr>
          <w:p>
            <w:pPr>
              <w:spacing w:after="0"/>
              <w:rPr>
                <w:sz w:val="1"/>
                <w:szCs w:val="1"/>
                <w:color w:val="auto"/>
              </w:rPr>
            </w:pPr>
          </w:p>
        </w:tc>
      </w:tr>
      <w:tr>
        <w:trPr>
          <w:trHeight w:val="287"/>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(b)</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9,674</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8,029</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(c)</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72"/>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4"/>
        </w:trPr>
        <w:tc>
          <w:tcPr>
            <w:tcW w:w="574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57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13,602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Capacity is subject to maintaining sufficient assets to collateralize debt.</w:t>
      </w:r>
    </w:p>
    <w:p>
      <w:pPr>
        <w:ind w:left="820" w:hanging="326"/>
        <w:spacing w:after="0" w:line="187" w:lineRule="auto"/>
        <w:tabs>
          <w:tab w:leader="none" w:pos="82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$9.6 billion of underlying vehicles and related assets.</w:t>
      </w:r>
    </w:p>
    <w:p>
      <w:pPr>
        <w:ind w:left="820" w:hanging="326"/>
        <w:spacing w:after="0" w:line="187" w:lineRule="auto"/>
        <w:tabs>
          <w:tab w:leader="none" w:pos="82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$1.2 billion of underlying vehicles and related assets.</w:t>
      </w:r>
    </w:p>
    <w:p>
      <w:pPr>
        <w:ind w:left="820" w:hanging="326"/>
        <w:spacing w:after="0" w:line="187" w:lineRule="auto"/>
        <w:tabs>
          <w:tab w:leader="none" w:pos="82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$2.5 billion of underlying vehicles and related assets.</w:t>
      </w:r>
    </w:p>
    <w:p>
      <w:pPr>
        <w:ind w:left="820" w:hanging="326"/>
        <w:spacing w:after="0" w:line="184" w:lineRule="auto"/>
        <w:tabs>
          <w:tab w:leader="none" w:pos="82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The outstanding debt is collateralized by approximately $0.2 billion of underlying vehicles and related assets.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306"/>
        <w:spacing w:after="0"/>
        <w:rPr>
          <w:sz w:val="20"/>
          <w:szCs w:val="20"/>
          <w:color w:val="auto"/>
        </w:rPr>
      </w:pPr>
      <w:r>
        <w:rPr>
          <w:rFonts w:ascii="Arial" w:cs="Arial" w:eastAsia="Arial" w:hAnsi="Arial"/>
          <w:sz w:val="18"/>
          <w:szCs w:val="18"/>
          <w:b w:val="1"/>
          <w:bCs w:val="1"/>
          <w:color w:val="auto"/>
        </w:rPr>
        <w:t>Available</w:t>
      </w:r>
    </w:p>
    <w:p>
      <w:pPr>
        <w:spacing w:after="0" w:line="18" w:lineRule="exact"/>
        <w:rPr>
          <w:sz w:val="20"/>
          <w:szCs w:val="20"/>
          <w:color w:val="auto"/>
        </w:rPr>
      </w:pPr>
    </w:p>
    <w:p>
      <w:pPr>
        <w:ind w:left="326"/>
        <w:spacing w:after="0"/>
        <w:rPr>
          <w:sz w:val="20"/>
          <w:szCs w:val="20"/>
          <w:color w:val="auto"/>
        </w:rPr>
      </w:pPr>
      <w:r>
        <w:rPr>
          <w:rFonts w:ascii="Arial" w:cs="Arial" w:eastAsia="Arial" w:hAnsi="Arial"/>
          <w:sz w:val="18"/>
          <w:szCs w:val="18"/>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26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43" w:lineRule="exact"/>
        <w:rPr>
          <w:sz w:val="20"/>
          <w:szCs w:val="20"/>
          <w:color w:val="auto"/>
        </w:rPr>
      </w:pPr>
    </w:p>
    <w:p>
      <w:pPr>
        <w:ind w:left="886" w:hanging="886"/>
        <w:spacing w:after="0"/>
        <w:tabs>
          <w:tab w:leader="none" w:pos="8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1,645</w:t>
      </w:r>
    </w:p>
    <w:p>
      <w:pPr>
        <w:spacing w:after="0" w:line="63" w:lineRule="exact"/>
        <w:rPr>
          <w:rFonts w:ascii="Arial" w:cs="Arial" w:eastAsia="Arial" w:hAnsi="Arial"/>
          <w:sz w:val="18"/>
          <w:szCs w:val="18"/>
          <w:color w:val="auto"/>
        </w:rPr>
      </w:pPr>
    </w:p>
    <w:p>
      <w:pPr>
        <w:ind w:left="1146"/>
        <w:spacing w:after="0"/>
        <w:rPr>
          <w:rFonts w:ascii="Arial" w:cs="Arial" w:eastAsia="Arial" w:hAnsi="Arial"/>
          <w:sz w:val="18"/>
          <w:szCs w:val="18"/>
          <w:color w:val="auto"/>
        </w:rPr>
      </w:pPr>
      <w:r>
        <w:rPr>
          <w:rFonts w:ascii="Arial" w:cs="Arial" w:eastAsia="Arial" w:hAnsi="Arial"/>
          <w:sz w:val="17"/>
          <w:szCs w:val="17"/>
          <w:color w:val="auto"/>
        </w:rPr>
        <w:t>59</w:t>
      </w:r>
    </w:p>
    <w:p>
      <w:pPr>
        <w:spacing w:after="0" w:line="75"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648</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27</w:t>
      </w:r>
    </w:p>
    <w:p>
      <w:pPr>
        <w:spacing w:after="0" w:line="6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26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43" w:lineRule="exact"/>
        <w:rPr>
          <w:sz w:val="20"/>
          <w:szCs w:val="20"/>
          <w:color w:val="auto"/>
        </w:rPr>
      </w:pPr>
    </w:p>
    <w:p>
      <w:pPr>
        <w:ind w:left="886" w:hanging="886"/>
        <w:spacing w:after="0"/>
        <w:tabs>
          <w:tab w:leader="none" w:pos="8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2,379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26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926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798" w:lineRule="exact"/>
        <w:rPr>
          <w:sz w:val="20"/>
          <w:szCs w:val="20"/>
          <w:color w:val="auto"/>
        </w:rPr>
      </w:pPr>
    </w:p>
    <w:p>
      <w:pPr>
        <w:sectPr>
          <w:pgSz w:w="11900" w:h="16838" w:orient="portrait"/>
          <w:cols w:equalWidth="0" w:num="2">
            <w:col w:w="9260" w:space="134"/>
            <w:col w:w="2006"/>
          </w:cols>
          <w:pgMar w:left="240" w:top="140" w:right="259" w:bottom="1440" w:gutter="0" w:footer="0" w:header="0"/>
          <w:type w:val="continuous"/>
        </w:sectPr>
      </w:pPr>
    </w:p>
    <w:p>
      <w:pPr>
        <w:spacing w:after="0" w:line="47"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June 30, 2016, the Company is not aware of any instances of non-compliance with any of the financial covenants contained in the debt agreements under its vehicle-backed funding programs.</w:t>
      </w:r>
    </w:p>
    <w:p>
      <w:pPr>
        <w:spacing w:after="0" w:line="184" w:lineRule="exact"/>
        <w:rPr>
          <w:sz w:val="20"/>
          <w:szCs w:val="20"/>
          <w:color w:val="auto"/>
        </w:rPr>
      </w:pPr>
    </w:p>
    <w:p>
      <w:pPr>
        <w:ind w:left="500" w:right="8040" w:hanging="492"/>
        <w:spacing w:after="0" w:line="513" w:lineRule="auto"/>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ind w:left="500" w:right="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192"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February 2015, the French Competition Authority issued a statement of objections alleging that several car rental companies, including the Company and two of its European subsidiaries, engaged with (i) twelve French airports, the majority of which are controlled by public administrative bodies or the French state, and violated competition law through the distribution by airports of company-specific statistics to car rental companies operating at those airports and (ii) two other international car rental companies in a concerted practice relating to train station surcharges. In May 2016, the French Competition authority issued a second statement of objections reiterating the allegations that it raised in its first statement of objections. The Company believes that it has valid defenses and intends to vigorously defend against the allegations, but it is currently unable to predict the outcome of the proceedings or range of reasonably possible losses, which may be material.</w:t>
      </w:r>
    </w:p>
    <w:p>
      <w:pPr>
        <w:spacing w:after="0" w:line="206"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March 2015, the Canadian Competition Bureau filed an application with the Competition Tribunal alleging that the Company and two of its Canadian subsidiaries engaged in deceptive marketing practices with regard to certain charges that consumers are invoiced related to renting a vehicle and associated products in Canada. The application sought penalties against the Company and its subsidiaries totaling approximately $25 million as well as reimbursements to current and former customers of amounts collected and retained by the Company related to the alleged deceptive marketing practices. In June 2016, the Company and its subsidiaries reached an agreement to settle this application for an immaterial amount and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40" w:right="2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adopt a competition law compliance program.</w:t>
      </w:r>
    </w:p>
    <w:p>
      <w:pPr>
        <w:spacing w:after="0" w:line="225"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Company is involved in claims, legal proceedings and governmental inquiries related, among other things, to its vehicle rental operations, including contract and licensee disputes, competition matters, employment matters, insurance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Excluding the French competition matter discussed above, the Company estimates that the potential exposure resulting from adverse outcomes of legal proceedings in which it is reasonably possible that a loss may be incurred could, in the aggregate, be up to approximately $ 30 million in excess of amounts accrued as of June 30, 2016; however, the Company does not believe that the impact should result in a material liability to the Company in relation to its consolidated financial condition or results of operations.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47" w:lineRule="exact"/>
        <w:rPr>
          <w:sz w:val="20"/>
          <w:szCs w:val="20"/>
          <w:color w:val="auto"/>
        </w:rPr>
      </w:pPr>
    </w:p>
    <w:p>
      <w:pPr>
        <w:ind w:left="500" w:right="8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$3.3 billion of vehicles from manufacturers over the next 12 months. The majority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left="500" w:right="120"/>
        <w:spacing w:after="0" w:line="252" w:lineRule="auto"/>
        <w:rPr>
          <w:sz w:val="20"/>
          <w:szCs w:val="20"/>
          <w:color w:val="auto"/>
        </w:rPr>
      </w:pPr>
      <w:r>
        <w:rPr>
          <w:rFonts w:ascii="Arial" w:cs="Arial" w:eastAsia="Arial" w:hAnsi="Arial"/>
          <w:sz w:val="18"/>
          <w:szCs w:val="18"/>
          <w:color w:val="auto"/>
        </w:rPr>
        <w:t>Concentrations of credit risk at June 30, 2016 include (i) risks related to the Company’s repurchase and guaranteed depreciation agreements with domestic and foreign car manufacturers, including Ford, General Motors, Chrysler, Peugeot, Volkswagen, Fiat, Kia, Toyota, Mercedes, Renault, Hyundai and BMW, and primarily with respect to receivables for program cars that have been disposed but for which the Company has not yet received payment from the manufacturers and (ii) risks related to Realogy and Wyndham, including receivables of $ 55 million and $33 million, respectively, related to certain contingent, income tax and other corporate liabilities assumed by Realogy and Wyndham in connection with their disposition.</w:t>
      </w:r>
    </w:p>
    <w:p>
      <w:pPr>
        <w:spacing w:after="0" w:line="187" w:lineRule="exact"/>
        <w:rPr>
          <w:sz w:val="20"/>
          <w:szCs w:val="20"/>
          <w:color w:val="auto"/>
        </w:rPr>
      </w:pPr>
    </w:p>
    <w:p>
      <w:pPr>
        <w:ind w:left="500" w:right="9080" w:hanging="492"/>
        <w:spacing w:after="0" w:line="544" w:lineRule="auto"/>
        <w:tabs>
          <w:tab w:leader="none" w:pos="50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ind w:left="500" w:right="20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approximately $1.2 billion of its common stock under a plan originally approved in 2013 and subsequently expanded, most recently in 2016. During the six months ended June 30, 2016, the Company repurchased approximately 6.5 million shares of common stock at a cost of approximately $180 million under the program. During the six months ended June 30, 2015, the Company repurchased approximately 2.2 million shares of common stock at a cost of approximately $116 million under the program. As of June 30, 2016, approximately $260 million of authorization remains available to repurchase common stock under this plan.</w:t>
      </w:r>
    </w:p>
    <w:p>
      <w:pPr>
        <w:spacing w:after="0" w:line="186"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Total Comprehensive Income</w:t>
      </w:r>
    </w:p>
    <w:p>
      <w:pPr>
        <w:spacing w:after="0" w:line="247" w:lineRule="exact"/>
        <w:rPr>
          <w:rFonts w:ascii="Arial" w:cs="Arial" w:eastAsia="Arial" w:hAnsi="Arial"/>
          <w:sz w:val="17"/>
          <w:szCs w:val="17"/>
          <w:b w:val="1"/>
          <w:bCs w:val="1"/>
          <w:color w:val="auto"/>
        </w:rPr>
      </w:pPr>
    </w:p>
    <w:p>
      <w:pPr>
        <w:ind w:left="500" w:right="2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40"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280" w:type="dxa"/>
            <w:vAlign w:val="bottom"/>
            <w:gridSpan w:val="5"/>
          </w:tcPr>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6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43"/>
        </w:trPr>
        <w:tc>
          <w:tcPr>
            <w:tcW w:w="4720" w:type="dxa"/>
            <w:vAlign w:val="bottom"/>
            <w:gridSpan w:val="2"/>
          </w:tcPr>
          <w:p>
            <w:pPr>
              <w:ind w:left="5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4720" w:type="dxa"/>
            <w:vAlign w:val="bottom"/>
            <w:gridSpan w:val="2"/>
          </w:tcPr>
          <w:p>
            <w:pPr>
              <w:ind w:left="5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720" w:type="dxa"/>
            <w:vAlign w:val="bottom"/>
            <w:gridSpan w:val="2"/>
          </w:tcPr>
          <w:p>
            <w:pPr>
              <w:ind w:left="620"/>
              <w:spacing w:after="0"/>
              <w:rPr>
                <w:sz w:val="20"/>
                <w:szCs w:val="20"/>
                <w:color w:val="auto"/>
              </w:rPr>
            </w:pPr>
            <w:r>
              <w:rPr>
                <w:rFonts w:ascii="Arial" w:cs="Arial" w:eastAsia="Arial" w:hAnsi="Arial"/>
                <w:sz w:val="18"/>
                <w:szCs w:val="18"/>
                <w:color w:val="auto"/>
              </w:rPr>
              <w:t>Currency translation adjustments (net of tax of</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720" w:type="dxa"/>
            <w:vAlign w:val="bottom"/>
            <w:gridSpan w:val="2"/>
          </w:tcPr>
          <w:p>
            <w:pPr>
              <w:ind w:left="800"/>
              <w:spacing w:after="0"/>
              <w:rPr>
                <w:sz w:val="20"/>
                <w:szCs w:val="20"/>
                <w:color w:val="auto"/>
              </w:rPr>
            </w:pPr>
            <w:r>
              <w:rPr>
                <w:rFonts w:ascii="Arial" w:cs="Arial" w:eastAsia="Arial" w:hAnsi="Arial"/>
                <w:sz w:val="18"/>
                <w:szCs w:val="18"/>
                <w:color w:val="auto"/>
              </w:rPr>
              <w:t>$(5), $7, $4 and $(17), respectively)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2"/>
        </w:trPr>
        <w:tc>
          <w:tcPr>
            <w:tcW w:w="4720" w:type="dxa"/>
            <w:vAlign w:val="bottom"/>
            <w:gridSpan w:val="2"/>
          </w:tcPr>
          <w:p>
            <w:pPr>
              <w:ind w:left="620"/>
              <w:spacing w:after="0"/>
              <w:rPr>
                <w:sz w:val="20"/>
                <w:szCs w:val="20"/>
                <w:color w:val="auto"/>
              </w:rPr>
            </w:pPr>
            <w:r>
              <w:rPr>
                <w:rFonts w:ascii="Arial" w:cs="Arial" w:eastAsia="Arial" w:hAnsi="Arial"/>
                <w:sz w:val="18"/>
                <w:szCs w:val="18"/>
                <w:color w:val="auto"/>
              </w:rPr>
              <w:t>Net unrealized gain (loss) on available-for-sale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720" w:type="dxa"/>
            <w:vAlign w:val="bottom"/>
            <w:gridSpan w:val="2"/>
          </w:tcPr>
          <w:p>
            <w:pPr>
              <w:ind w:left="800"/>
              <w:spacing w:after="0"/>
              <w:rPr>
                <w:sz w:val="20"/>
                <w:szCs w:val="20"/>
                <w:color w:val="auto"/>
              </w:rPr>
            </w:pPr>
            <w:r>
              <w:rPr>
                <w:rFonts w:ascii="Arial" w:cs="Arial" w:eastAsia="Arial" w:hAnsi="Arial"/>
                <w:sz w:val="18"/>
                <w:szCs w:val="18"/>
                <w:color w:val="auto"/>
              </w:rPr>
              <w:t>securities (net of tax of $0 in each period)</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2"/>
        </w:trPr>
        <w:tc>
          <w:tcPr>
            <w:tcW w:w="4720" w:type="dxa"/>
            <w:vAlign w:val="bottom"/>
            <w:gridSpan w:val="2"/>
          </w:tcPr>
          <w:p>
            <w:pPr>
              <w:ind w:left="620"/>
              <w:spacing w:after="0"/>
              <w:rPr>
                <w:sz w:val="20"/>
                <w:szCs w:val="20"/>
                <w:color w:val="auto"/>
              </w:rPr>
            </w:pPr>
            <w:r>
              <w:rPr>
                <w:rFonts w:ascii="Arial" w:cs="Arial" w:eastAsia="Arial" w:hAnsi="Arial"/>
                <w:sz w:val="18"/>
                <w:szCs w:val="18"/>
                <w:color w:val="auto"/>
              </w:rPr>
              <w:t>Net unrealized gain (loss) on cash flow hedges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720" w:type="dxa"/>
            <w:vAlign w:val="bottom"/>
            <w:gridSpan w:val="2"/>
          </w:tcPr>
          <w:p>
            <w:pPr>
              <w:ind w:left="800"/>
              <w:spacing w:after="0"/>
              <w:rPr>
                <w:sz w:val="20"/>
                <w:szCs w:val="20"/>
                <w:color w:val="auto"/>
              </w:rPr>
            </w:pPr>
            <w:r>
              <w:rPr>
                <w:rFonts w:ascii="Arial" w:cs="Arial" w:eastAsia="Arial" w:hAnsi="Arial"/>
                <w:sz w:val="18"/>
                <w:szCs w:val="18"/>
                <w:color w:val="auto"/>
              </w:rPr>
              <w:t>(net of tax of $3, $0, $5 and $2, respectively)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2"/>
        </w:trPr>
        <w:tc>
          <w:tcPr>
            <w:tcW w:w="4720" w:type="dxa"/>
            <w:vAlign w:val="bottom"/>
            <w:gridSpan w:val="2"/>
          </w:tcPr>
          <w:p>
            <w:pPr>
              <w:ind w:left="620"/>
              <w:spacing w:after="0"/>
              <w:rPr>
                <w:sz w:val="20"/>
                <w:szCs w:val="20"/>
                <w:color w:val="auto"/>
              </w:rPr>
            </w:pPr>
            <w:r>
              <w:rPr>
                <w:rFonts w:ascii="Arial" w:cs="Arial" w:eastAsia="Arial" w:hAnsi="Arial"/>
                <w:sz w:val="18"/>
                <w:szCs w:val="18"/>
                <w:color w:val="auto"/>
              </w:rPr>
              <w:t>Minimum pension liability adjustment (net of tax of</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20" w:type="dxa"/>
            <w:vAlign w:val="bottom"/>
            <w:gridSpan w:val="2"/>
          </w:tcPr>
          <w:p>
            <w:pPr>
              <w:ind w:left="800"/>
              <w:spacing w:after="0"/>
              <w:rPr>
                <w:sz w:val="20"/>
                <w:szCs w:val="20"/>
                <w:color w:val="auto"/>
              </w:rPr>
            </w:pPr>
            <w:r>
              <w:rPr>
                <w:rFonts w:ascii="Arial" w:cs="Arial" w:eastAsia="Arial" w:hAnsi="Arial"/>
                <w:sz w:val="18"/>
                <w:szCs w:val="18"/>
                <w:color w:val="auto"/>
              </w:rPr>
              <w:t>$(1) in each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7"/>
        </w:trPr>
        <w:tc>
          <w:tcPr>
            <w:tcW w:w="4720" w:type="dxa"/>
            <w:vAlign w:val="bottom"/>
            <w:gridSpan w:val="2"/>
          </w:tcPr>
          <w:p>
            <w:pPr>
              <w:ind w:left="5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ind w:left="500"/>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Net Unrealized</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16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98"/>
              </w:rPr>
              <w:t>Currency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16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Available-for</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116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b w:val="1"/>
                <w:bCs w:val="1"/>
                <w:color w:val="auto"/>
                <w:w w:val="96"/>
              </w:rPr>
              <w:t>Adjustments</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rPr>
              <w:t>Hedges</w:t>
            </w:r>
            <w:r>
              <w:rPr>
                <w:rFonts w:ascii="Arial" w:cs="Arial" w:eastAsia="Arial" w:hAnsi="Arial"/>
                <w:sz w:val="8"/>
                <w:szCs w:val="8"/>
                <w:b w:val="1"/>
                <w:bCs w:val="1"/>
                <w:color w:val="auto"/>
              </w:rPr>
              <w:t>(a)</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Sale Securities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(b)</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3"/>
                <w:szCs w:val="13"/>
                <w:color w:val="auto"/>
              </w:rPr>
              <w:t>Balance, January 1, 2016</w:t>
            </w:r>
          </w:p>
        </w:tc>
        <w:tc>
          <w:tcPr>
            <w:tcW w:w="1160" w:type="dxa"/>
            <w:vAlign w:val="bottom"/>
          </w:tcPr>
          <w:p>
            <w:pPr>
              <w:jc w:val="right"/>
              <w:ind w:right="997"/>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43"/>
        </w:trPr>
        <w:tc>
          <w:tcPr>
            <w:tcW w:w="2700" w:type="dxa"/>
            <w:vAlign w:val="bottom"/>
          </w:tcPr>
          <w:p>
            <w:pPr>
              <w:ind w:left="140"/>
              <w:spacing w:after="0" w:line="143" w:lineRule="exact"/>
              <w:rPr>
                <w:sz w:val="20"/>
                <w:szCs w:val="20"/>
                <w:color w:val="auto"/>
              </w:rPr>
            </w:pPr>
            <w:r>
              <w:rPr>
                <w:rFonts w:ascii="Arial" w:cs="Arial" w:eastAsia="Arial" w:hAnsi="Arial"/>
                <w:sz w:val="13"/>
                <w:szCs w:val="13"/>
                <w:color w:val="auto"/>
              </w:rPr>
              <w:t>Other comprehensive income (loss) before</w:t>
            </w:r>
          </w:p>
        </w:tc>
        <w:tc>
          <w:tcPr>
            <w:tcW w:w="1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60" w:type="dxa"/>
            <w:vAlign w:val="bottom"/>
          </w:tcPr>
          <w:p>
            <w:pPr>
              <w:spacing w:after="0"/>
              <w:rPr>
                <w:sz w:val="13"/>
                <w:szCs w:val="13"/>
                <w:color w:val="auto"/>
              </w:rPr>
            </w:pP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72"/>
        </w:trPr>
        <w:tc>
          <w:tcPr>
            <w:tcW w:w="2700" w:type="dxa"/>
            <w:vAlign w:val="bottom"/>
          </w:tcPr>
          <w:p>
            <w:pPr>
              <w:ind w:left="140"/>
              <w:spacing w:after="0"/>
              <w:rPr>
                <w:sz w:val="20"/>
                <w:szCs w:val="20"/>
                <w:color w:val="auto"/>
              </w:rPr>
            </w:pPr>
            <w:r>
              <w:rPr>
                <w:rFonts w:ascii="Arial" w:cs="Arial" w:eastAsia="Arial" w:hAnsi="Arial"/>
                <w:sz w:val="13"/>
                <w:szCs w:val="13"/>
                <w:color w:val="auto"/>
                <w:w w:val="97"/>
              </w:rPr>
              <w:t>Amounts reclassified from accumulated other</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00"/>
              <w:spacing w:after="0"/>
              <w:rPr>
                <w:sz w:val="20"/>
                <w:szCs w:val="20"/>
                <w:color w:val="auto"/>
              </w:rPr>
            </w:pPr>
            <w:r>
              <w:rPr>
                <w:rFonts w:ascii="Arial" w:cs="Arial" w:eastAsia="Arial" w:hAnsi="Arial"/>
                <w:sz w:val="13"/>
                <w:szCs w:val="13"/>
                <w:color w:val="auto"/>
              </w:rPr>
              <w:t>comprehensive income (loss)</w:t>
            </w:r>
          </w:p>
        </w:tc>
        <w:tc>
          <w:tcPr>
            <w:tcW w:w="116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3"/>
        </w:trPr>
        <w:tc>
          <w:tcPr>
            <w:tcW w:w="270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42"/>
        </w:trPr>
        <w:tc>
          <w:tcPr>
            <w:tcW w:w="2700" w:type="dxa"/>
            <w:vAlign w:val="bottom"/>
          </w:tcPr>
          <w:p>
            <w:pPr>
              <w:ind w:left="20"/>
              <w:spacing w:after="0"/>
              <w:rPr>
                <w:sz w:val="20"/>
                <w:szCs w:val="20"/>
                <w:color w:val="auto"/>
              </w:rPr>
            </w:pPr>
            <w:r>
              <w:rPr>
                <w:rFonts w:ascii="Arial" w:cs="Arial" w:eastAsia="Arial" w:hAnsi="Arial"/>
                <w:sz w:val="13"/>
                <w:szCs w:val="13"/>
                <w:color w:val="auto"/>
              </w:rPr>
              <w:t>Balance, June 30, 2016</w:t>
            </w:r>
          </w:p>
        </w:tc>
        <w:tc>
          <w:tcPr>
            <w:tcW w:w="1160" w:type="dxa"/>
            <w:vAlign w:val="bottom"/>
          </w:tcPr>
          <w:p>
            <w:pPr>
              <w:jc w:val="right"/>
              <w:ind w:right="997"/>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2700" w:type="dxa"/>
            <w:vAlign w:val="bottom"/>
          </w:tcPr>
          <w:p>
            <w:pPr>
              <w:ind w:left="20"/>
              <w:spacing w:after="0"/>
              <w:rPr>
                <w:sz w:val="20"/>
                <w:szCs w:val="20"/>
                <w:color w:val="auto"/>
              </w:rPr>
            </w:pPr>
            <w:r>
              <w:rPr>
                <w:rFonts w:ascii="Arial" w:cs="Arial" w:eastAsia="Arial" w:hAnsi="Arial"/>
                <w:sz w:val="13"/>
                <w:szCs w:val="13"/>
                <w:color w:val="auto"/>
              </w:rPr>
              <w:t>Balance, January 1, 2015</w:t>
            </w:r>
          </w:p>
        </w:tc>
        <w:tc>
          <w:tcPr>
            <w:tcW w:w="1160" w:type="dxa"/>
            <w:vAlign w:val="bottom"/>
            <w:tcBorders>
              <w:bottom w:val="single" w:sz="8" w:color="auto"/>
            </w:tcBorders>
          </w:tcPr>
          <w:p>
            <w:pPr>
              <w:jc w:val="right"/>
              <w:ind w:right="99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3"/>
        </w:trPr>
        <w:tc>
          <w:tcPr>
            <w:tcW w:w="2700" w:type="dxa"/>
            <w:vAlign w:val="bottom"/>
          </w:tcPr>
          <w:p>
            <w:pPr>
              <w:ind w:left="140"/>
              <w:spacing w:after="0" w:line="143" w:lineRule="exact"/>
              <w:rPr>
                <w:sz w:val="20"/>
                <w:szCs w:val="20"/>
                <w:color w:val="auto"/>
              </w:rPr>
            </w:pPr>
            <w:r>
              <w:rPr>
                <w:rFonts w:ascii="Arial" w:cs="Arial" w:eastAsia="Arial" w:hAnsi="Arial"/>
                <w:sz w:val="13"/>
                <w:szCs w:val="13"/>
                <w:color w:val="auto"/>
              </w:rPr>
              <w:t>Other comprehensive income (loss) before</w:t>
            </w: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2"/>
        </w:trPr>
        <w:tc>
          <w:tcPr>
            <w:tcW w:w="2700" w:type="dxa"/>
            <w:vAlign w:val="bottom"/>
          </w:tcPr>
          <w:p>
            <w:pPr>
              <w:ind w:left="140"/>
              <w:spacing w:after="0"/>
              <w:rPr>
                <w:sz w:val="20"/>
                <w:szCs w:val="20"/>
                <w:color w:val="auto"/>
              </w:rPr>
            </w:pPr>
            <w:r>
              <w:rPr>
                <w:rFonts w:ascii="Arial" w:cs="Arial" w:eastAsia="Arial" w:hAnsi="Arial"/>
                <w:sz w:val="13"/>
                <w:szCs w:val="13"/>
                <w:color w:val="auto"/>
                <w:w w:val="97"/>
              </w:rPr>
              <w:t>Amounts reclassified from accumulated other</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00"/>
              <w:spacing w:after="0"/>
              <w:rPr>
                <w:sz w:val="20"/>
                <w:szCs w:val="20"/>
                <w:color w:val="auto"/>
              </w:rPr>
            </w:pPr>
            <w:r>
              <w:rPr>
                <w:rFonts w:ascii="Arial" w:cs="Arial" w:eastAsia="Arial" w:hAnsi="Arial"/>
                <w:sz w:val="13"/>
                <w:szCs w:val="13"/>
                <w:color w:val="auto"/>
              </w:rPr>
              <w:t>comprehensive income (loss)</w:t>
            </w:r>
          </w:p>
        </w:tc>
        <w:tc>
          <w:tcPr>
            <w:tcW w:w="116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3"/>
        </w:trPr>
        <w:tc>
          <w:tcPr>
            <w:tcW w:w="270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41"/>
        </w:trPr>
        <w:tc>
          <w:tcPr>
            <w:tcW w:w="2700" w:type="dxa"/>
            <w:vAlign w:val="bottom"/>
          </w:tcPr>
          <w:p>
            <w:pPr>
              <w:ind w:left="20"/>
              <w:spacing w:after="0"/>
              <w:rPr>
                <w:sz w:val="20"/>
                <w:szCs w:val="20"/>
                <w:color w:val="auto"/>
              </w:rPr>
            </w:pPr>
            <w:r>
              <w:rPr>
                <w:rFonts w:ascii="Arial" w:cs="Arial" w:eastAsia="Arial" w:hAnsi="Arial"/>
                <w:sz w:val="13"/>
                <w:szCs w:val="13"/>
                <w:color w:val="auto"/>
              </w:rPr>
              <w:t>Balance, June 30, 2015</w:t>
            </w:r>
          </w:p>
        </w:tc>
        <w:tc>
          <w:tcPr>
            <w:tcW w:w="1160" w:type="dxa"/>
            <w:vAlign w:val="bottom"/>
            <w:tcBorders>
              <w:bottom w:val="single" w:sz="8" w:color="auto"/>
            </w:tcBorders>
          </w:tcPr>
          <w:p>
            <w:pPr>
              <w:jc w:val="right"/>
              <w:ind w:right="99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70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$62 million gain, net of tax, as of June 30, 2016 related to the Company’s hedge of its net investment in Euro-denominated foreign operations (see Note 13 - Financial Instruments).</w:t>
      </w:r>
    </w:p>
    <w:p>
      <w:pPr>
        <w:spacing w:after="0" w:line="5" w:lineRule="exact"/>
        <w:rPr>
          <w:sz w:val="20"/>
          <w:szCs w:val="20"/>
          <w:color w:val="auto"/>
        </w:rPr>
      </w:pPr>
    </w:p>
    <w:p>
      <w:pPr>
        <w:ind w:left="820" w:right="160" w:hanging="326"/>
        <w:spacing w:after="0" w:line="225" w:lineRule="auto"/>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2016, amounts reclassified from accumulated other comprehensive income (loss) into corporate interest expense were $2 million ($1 million, net of tax) and $4 million ($2 million, net of tax), respectively. For the three and six months ended June 30, 2015, amounts reclassified from accumulated other comprehensive income (loss) into corporate interest expense were $2 million ($2 million, net of tax) and $4 million ($3 million, net of tax), respectively.</w:t>
      </w:r>
    </w:p>
    <w:p>
      <w:pPr>
        <w:spacing w:after="0" w:line="1" w:lineRule="exact"/>
        <w:rPr>
          <w:rFonts w:ascii="Arial" w:cs="Arial" w:eastAsia="Arial" w:hAnsi="Arial"/>
          <w:sz w:val="18"/>
          <w:szCs w:val="18"/>
          <w:color w:val="auto"/>
          <w:vertAlign w:val="superscript"/>
        </w:rPr>
      </w:pPr>
    </w:p>
    <w:p>
      <w:pPr>
        <w:ind w:left="820" w:right="40" w:hanging="326"/>
        <w:spacing w:after="0" w:line="229" w:lineRule="auto"/>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2016, amounts reclassified from accumulated other comprehensive income (loss) into selling, general and administrative expenses were $2 million ($1 million, net of tax) and $3 million ($2 million, net of tax), respectively. For the three and six months ended June 30, 2015, amounts reclassified from accumulated other comprehensive income (loss) into selling, general and administrative expenses were $1 million ($0 million, net of tax) and $2 million ($1 million, net of tax), respectively.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8"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$6 million and $6 million ($4 million and $4 million, net of tax) during the three months ended June 30, 2016 and 2015, respectively, and $14 million and $11 million ($9 million and $7 million, net of tax) during the six months ended June 30, 2016 and 2015, respectively. In jurisdictions with net operating loss carryforwards, exercises and/or vestings of stock-based awards have generated $106 million of total tax deductions at June 30, 2016. Approximately $41 million of tax benefits will be recorded in additional paid-in capital when these tax deductions are realized in these jurisdictions.</w:t>
      </w:r>
    </w:p>
    <w:p>
      <w:pPr>
        <w:spacing w:after="0" w:line="205" w:lineRule="exact"/>
        <w:rPr>
          <w:rFonts w:ascii="Arial" w:cs="Arial" w:eastAsia="Arial" w:hAnsi="Arial"/>
          <w:sz w:val="18"/>
          <w:szCs w:val="18"/>
          <w:b w:val="1"/>
          <w:bCs w:val="1"/>
          <w:color w:val="auto"/>
        </w:rPr>
      </w:pPr>
    </w:p>
    <w:p>
      <w:pPr>
        <w:ind w:left="500" w:right="3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weighted average assumptions used in the Monte Carlo simulation model to calculate the fair value of the Company’s stock unit awards containing a market condition were as follows:</w:t>
      </w:r>
    </w:p>
    <w:p>
      <w:pPr>
        <w:spacing w:after="0" w:line="125" w:lineRule="exact"/>
        <w:rPr>
          <w:sz w:val="20"/>
          <w:szCs w:val="20"/>
          <w:color w:val="auto"/>
        </w:rPr>
      </w:pPr>
    </w:p>
    <w:p>
      <w:pPr>
        <w:ind w:left="8400"/>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69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June 30,</w:t>
            </w:r>
          </w:p>
        </w:tc>
      </w:tr>
      <w:tr>
        <w:trPr>
          <w:trHeight w:val="257"/>
        </w:trPr>
        <w:tc>
          <w:tcPr>
            <w:tcW w:w="6900" w:type="dxa"/>
            <w:vAlign w:val="bottom"/>
          </w:tcPr>
          <w:p>
            <w:pPr>
              <w:spacing w:after="0"/>
              <w:rPr>
                <w:sz w:val="22"/>
                <w:szCs w:val="22"/>
                <w:color w:val="auto"/>
              </w:rPr>
            </w:pPr>
          </w:p>
        </w:tc>
        <w:tc>
          <w:tcPr>
            <w:tcW w:w="124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r>
      <w:tr>
        <w:trPr>
          <w:trHeight w:val="237"/>
        </w:trPr>
        <w:tc>
          <w:tcPr>
            <w:tcW w:w="690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1240" w:type="dxa"/>
            <w:vAlign w:val="bottom"/>
          </w:tcPr>
          <w:p>
            <w:pPr>
              <w:jc w:val="center"/>
              <w:ind w:left="319"/>
              <w:spacing w:after="0"/>
              <w:rPr>
                <w:sz w:val="20"/>
                <w:szCs w:val="20"/>
                <w:color w:val="auto"/>
              </w:rPr>
            </w:pPr>
            <w:r>
              <w:rPr>
                <w:rFonts w:ascii="Arial" w:cs="Arial" w:eastAsia="Arial" w:hAnsi="Arial"/>
                <w:sz w:val="16"/>
                <w:szCs w:val="16"/>
                <w:color w:val="auto"/>
                <w:w w:val="99"/>
              </w:rPr>
              <w:t>46%</w:t>
            </w:r>
          </w:p>
        </w:tc>
        <w:tc>
          <w:tcPr>
            <w:tcW w:w="2160" w:type="dxa"/>
            <w:vAlign w:val="bottom"/>
            <w:gridSpan w:val="3"/>
          </w:tcPr>
          <w:p>
            <w:pPr>
              <w:jc w:val="center"/>
              <w:ind w:left="439"/>
              <w:spacing w:after="0"/>
              <w:rPr>
                <w:sz w:val="20"/>
                <w:szCs w:val="20"/>
                <w:color w:val="auto"/>
              </w:rPr>
            </w:pPr>
            <w:r>
              <w:rPr>
                <w:rFonts w:ascii="Arial" w:cs="Arial" w:eastAsia="Arial" w:hAnsi="Arial"/>
                <w:sz w:val="16"/>
                <w:szCs w:val="16"/>
                <w:color w:val="auto"/>
                <w:w w:val="99"/>
              </w:rPr>
              <w:t>37%</w:t>
            </w:r>
          </w:p>
        </w:tc>
      </w:tr>
      <w:tr>
        <w:trPr>
          <w:trHeight w:val="270"/>
        </w:trPr>
        <w:tc>
          <w:tcPr>
            <w:tcW w:w="690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240" w:type="dxa"/>
            <w:vAlign w:val="bottom"/>
          </w:tcPr>
          <w:p>
            <w:pPr>
              <w:jc w:val="center"/>
              <w:ind w:left="339"/>
              <w:spacing w:after="0"/>
              <w:rPr>
                <w:sz w:val="20"/>
                <w:szCs w:val="20"/>
                <w:color w:val="auto"/>
              </w:rPr>
            </w:pPr>
            <w:r>
              <w:rPr>
                <w:rFonts w:ascii="Arial" w:cs="Arial" w:eastAsia="Arial" w:hAnsi="Arial"/>
                <w:sz w:val="16"/>
                <w:szCs w:val="16"/>
                <w:color w:val="auto"/>
              </w:rPr>
              <w:t>0.99%</w:t>
            </w:r>
          </w:p>
        </w:tc>
        <w:tc>
          <w:tcPr>
            <w:tcW w:w="2160" w:type="dxa"/>
            <w:vAlign w:val="bottom"/>
            <w:gridSpan w:val="3"/>
          </w:tcPr>
          <w:p>
            <w:pPr>
              <w:jc w:val="center"/>
              <w:ind w:left="459"/>
              <w:spacing w:after="0"/>
              <w:rPr>
                <w:sz w:val="20"/>
                <w:szCs w:val="20"/>
                <w:color w:val="auto"/>
              </w:rPr>
            </w:pPr>
            <w:r>
              <w:rPr>
                <w:rFonts w:ascii="Arial" w:cs="Arial" w:eastAsia="Arial" w:hAnsi="Arial"/>
                <w:sz w:val="16"/>
                <w:szCs w:val="16"/>
                <w:color w:val="auto"/>
              </w:rPr>
              <w:t>0.74%</w:t>
            </w:r>
          </w:p>
        </w:tc>
      </w:tr>
      <w:tr>
        <w:trPr>
          <w:trHeight w:val="270"/>
        </w:trPr>
        <w:tc>
          <w:tcPr>
            <w:tcW w:w="6900" w:type="dxa"/>
            <w:vAlign w:val="bottom"/>
          </w:tcPr>
          <w:p>
            <w:pPr>
              <w:spacing w:after="0"/>
              <w:rPr>
                <w:sz w:val="20"/>
                <w:szCs w:val="20"/>
                <w:color w:val="auto"/>
              </w:rPr>
            </w:pPr>
            <w:r>
              <w:rPr>
                <w:rFonts w:ascii="Arial" w:cs="Arial" w:eastAsia="Arial" w:hAnsi="Arial"/>
                <w:sz w:val="16"/>
                <w:szCs w:val="16"/>
                <w:color w:val="auto"/>
              </w:rPr>
              <w:t>Valuation period</w:t>
            </w:r>
          </w:p>
        </w:tc>
        <w:tc>
          <w:tcPr>
            <w:tcW w:w="1240" w:type="dxa"/>
            <w:vAlign w:val="bottom"/>
          </w:tcPr>
          <w:p>
            <w:pPr>
              <w:ind w:left="560"/>
              <w:spacing w:after="0"/>
              <w:rPr>
                <w:sz w:val="20"/>
                <w:szCs w:val="20"/>
                <w:color w:val="auto"/>
              </w:rPr>
            </w:pPr>
            <w:r>
              <w:rPr>
                <w:rFonts w:ascii="Arial" w:cs="Arial" w:eastAsia="Arial" w:hAnsi="Arial"/>
                <w:sz w:val="16"/>
                <w:szCs w:val="16"/>
                <w:color w:val="auto"/>
              </w:rPr>
              <w:t>3 years</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ind w:left="560"/>
              <w:spacing w:after="0"/>
              <w:rPr>
                <w:sz w:val="20"/>
                <w:szCs w:val="20"/>
                <w:color w:val="auto"/>
              </w:rPr>
            </w:pPr>
            <w:r>
              <w:rPr>
                <w:rFonts w:ascii="Arial" w:cs="Arial" w:eastAsia="Arial" w:hAnsi="Arial"/>
                <w:sz w:val="16"/>
                <w:szCs w:val="16"/>
                <w:color w:val="auto"/>
              </w:rPr>
              <w:t>3 years</w:t>
            </w:r>
          </w:p>
        </w:tc>
      </w:tr>
      <w:tr>
        <w:trPr>
          <w:trHeight w:val="270"/>
        </w:trPr>
        <w:tc>
          <w:tcPr>
            <w:tcW w:w="6900" w:type="dxa"/>
            <w:vAlign w:val="bottom"/>
          </w:tcPr>
          <w:p>
            <w:pPr>
              <w:spacing w:after="0"/>
              <w:rPr>
                <w:sz w:val="20"/>
                <w:szCs w:val="20"/>
                <w:color w:val="auto"/>
              </w:rPr>
            </w:pPr>
            <w:r>
              <w:rPr>
                <w:rFonts w:ascii="Arial" w:cs="Arial" w:eastAsia="Arial" w:hAnsi="Arial"/>
                <w:sz w:val="16"/>
                <w:szCs w:val="16"/>
                <w:color w:val="auto"/>
              </w:rPr>
              <w:t>Dividend yield</w:t>
            </w:r>
          </w:p>
        </w:tc>
        <w:tc>
          <w:tcPr>
            <w:tcW w:w="1240" w:type="dxa"/>
            <w:vAlign w:val="bottom"/>
          </w:tcPr>
          <w:p>
            <w:pPr>
              <w:jc w:val="center"/>
              <w:ind w:left="339"/>
              <w:spacing w:after="0"/>
              <w:rPr>
                <w:sz w:val="20"/>
                <w:szCs w:val="20"/>
                <w:color w:val="auto"/>
              </w:rPr>
            </w:pPr>
            <w:r>
              <w:rPr>
                <w:rFonts w:ascii="Arial" w:cs="Arial" w:eastAsia="Arial" w:hAnsi="Arial"/>
                <w:sz w:val="16"/>
                <w:szCs w:val="16"/>
                <w:color w:val="auto"/>
              </w:rPr>
              <w:t>0.0%</w:t>
            </w:r>
          </w:p>
        </w:tc>
        <w:tc>
          <w:tcPr>
            <w:tcW w:w="2160" w:type="dxa"/>
            <w:vAlign w:val="bottom"/>
            <w:gridSpan w:val="3"/>
          </w:tcPr>
          <w:p>
            <w:pPr>
              <w:jc w:val="center"/>
              <w:ind w:left="439"/>
              <w:spacing w:after="0"/>
              <w:rPr>
                <w:sz w:val="20"/>
                <w:szCs w:val="20"/>
                <w:color w:val="auto"/>
              </w:rPr>
            </w:pPr>
            <w:r>
              <w:rPr>
                <w:rFonts w:ascii="Arial" w:cs="Arial" w:eastAsia="Arial" w:hAnsi="Arial"/>
                <w:sz w:val="16"/>
                <w:szCs w:val="16"/>
                <w:color w:val="auto"/>
                <w:w w:val="98"/>
              </w:rPr>
              <w:t>0.0%</w:t>
            </w:r>
          </w:p>
        </w:tc>
      </w:tr>
    </w:tbl>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the Company’s restricted stock units (“RSUs”) and cash units,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Performance-Based and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Time-Based RSUs</w:t>
            </w:r>
          </w:p>
        </w:tc>
        <w:tc>
          <w:tcPr>
            <w:tcW w:w="1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Market-Based RSUs</w:t>
            </w:r>
          </w:p>
        </w:tc>
        <w:tc>
          <w:tcPr>
            <w:tcW w:w="10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Cash Unit Awards</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Weighted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Average</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Grant Date</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31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January 1, 2016 </w:t>
            </w:r>
            <w:r>
              <w:rPr>
                <w:rFonts w:ascii="Arial" w:cs="Arial" w:eastAsia="Arial" w:hAnsi="Arial"/>
                <w:sz w:val="21"/>
                <w:szCs w:val="21"/>
                <w:color w:val="auto"/>
                <w:vertAlign w:val="superscript"/>
              </w:rPr>
              <w:t>(a)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819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43.34</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35.18</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195"/>
        </w:trPr>
        <w:tc>
          <w:tcPr>
            <w:tcW w:w="3620" w:type="dxa"/>
            <w:vAlign w:val="bottom"/>
          </w:tcPr>
          <w:p>
            <w:pPr>
              <w:ind w:left="34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23.29</w:t>
            </w:r>
          </w:p>
        </w:tc>
        <w:tc>
          <w:tcPr>
            <w:tcW w:w="1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6"/>
        </w:trPr>
        <w:tc>
          <w:tcPr>
            <w:tcW w:w="3620" w:type="dxa"/>
            <w:vAlign w:val="bottom"/>
          </w:tcPr>
          <w:p>
            <w:pPr>
              <w:ind w:left="3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02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34.93</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25.12</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08"/>
        </w:trPr>
        <w:tc>
          <w:tcPr>
            <w:tcW w:w="3620" w:type="dxa"/>
            <w:vAlign w:val="bottom"/>
          </w:tcPr>
          <w:p>
            <w:pPr>
              <w:ind w:left="340"/>
              <w:spacing w:after="0"/>
              <w:rPr>
                <w:sz w:val="20"/>
                <w:szCs w:val="20"/>
                <w:color w:val="auto"/>
              </w:rPr>
            </w:pPr>
            <w:r>
              <w:rPr>
                <w:rFonts w:ascii="Arial" w:cs="Arial" w:eastAsia="Arial" w:hAnsi="Arial"/>
                <w:sz w:val="16"/>
                <w:szCs w:val="16"/>
                <w:color w:val="auto"/>
              </w:rPr>
              <w:t>Forfeited/expired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39.02</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24.04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June 30, 2016 </w:t>
            </w:r>
            <w:r>
              <w:rPr>
                <w:rFonts w:ascii="Arial" w:cs="Arial" w:eastAsia="Arial" w:hAnsi="Arial"/>
                <w:sz w:val="21"/>
                <w:szCs w:val="21"/>
                <w:color w:val="auto"/>
                <w:vertAlign w:val="superscript"/>
              </w:rPr>
              <w:t>(c)</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36.45</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34.20</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300" w:hanging="326"/>
        <w:spacing w:after="0" w:line="220"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time-, performance- and market-vesting criteria and does not include those for non-employee directors. The weighted-average fair value of time-based RSUs and performance-based and market-based RSUs granted during the six months ended June 30, 2015 was $61.17 and $55.51, respectively.</w:t>
      </w:r>
    </w:p>
    <w:p>
      <w:pPr>
        <w:spacing w:after="0" w:line="1" w:lineRule="exact"/>
        <w:rPr>
          <w:rFonts w:ascii="Arial" w:cs="Arial" w:eastAsia="Arial" w:hAnsi="Arial"/>
          <w:sz w:val="18"/>
          <w:szCs w:val="18"/>
          <w:color w:val="auto"/>
          <w:vertAlign w:val="superscript"/>
        </w:rPr>
      </w:pPr>
    </w:p>
    <w:p>
      <w:pPr>
        <w:ind w:left="820" w:hanging="326"/>
        <w:spacing w:after="0" w:line="211"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The total grant date fair value of RSUs vested during the six months ended June 30, 2016 and 2015 was $25 million and $24 million, respectively. The total grant date fair value of cash units vested during the six months ended June 30, 2016 and 2015 was $2 million in each period.</w:t>
      </w:r>
    </w:p>
    <w:p>
      <w:pPr>
        <w:ind w:left="820" w:right="60" w:hanging="326"/>
        <w:spacing w:after="0" w:line="225"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The Company’s outstanding time-based RSUs and performance-based and market-based RSUs had aggregate intrinsic values of $33 million and $30 million, respectively. Aggregate unrecognized compensation expense related to time-based RSUs and performance-based and market-based RSUs amounted to $41 million and will be recognized over a weighted average vesting period of 1.5 years. The Company assumes that substantially all outstanding awards will vest over time.</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6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Average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462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r>
      <w:tr>
        <w:trPr>
          <w:trHeight w:val="237"/>
        </w:trPr>
        <w:tc>
          <w:tcPr>
            <w:tcW w:w="4620" w:type="dxa"/>
            <w:vAlign w:val="bottom"/>
          </w:tcPr>
          <w:p>
            <w:pPr>
              <w:spacing w:after="0"/>
              <w:rPr>
                <w:sz w:val="20"/>
                <w:szCs w:val="20"/>
                <w:color w:val="auto"/>
              </w:rPr>
            </w:pPr>
            <w:r>
              <w:rPr>
                <w:rFonts w:ascii="Arial" w:cs="Arial" w:eastAsia="Arial" w:hAnsi="Arial"/>
                <w:sz w:val="16"/>
                <w:szCs w:val="16"/>
                <w:color w:val="auto"/>
              </w:rPr>
              <w:t>Outstanding at January 1, 2016</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827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r>
      <w:tr>
        <w:trPr>
          <w:trHeight w:val="283"/>
        </w:trPr>
        <w:tc>
          <w:tcPr>
            <w:tcW w:w="4620" w:type="dxa"/>
            <w:vAlign w:val="bottom"/>
          </w:tcPr>
          <w:p>
            <w:pPr>
              <w:ind w:left="10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0"/>
        </w:trPr>
        <w:tc>
          <w:tcPr>
            <w:tcW w:w="4620" w:type="dxa"/>
            <w:vAlign w:val="bottom"/>
          </w:tcPr>
          <w:p>
            <w:pPr>
              <w:spacing w:after="0"/>
              <w:rPr>
                <w:sz w:val="20"/>
                <w:szCs w:val="20"/>
                <w:color w:val="auto"/>
              </w:rPr>
            </w:pPr>
            <w:r>
              <w:rPr>
                <w:rFonts w:ascii="Arial" w:cs="Arial" w:eastAsia="Arial" w:hAnsi="Arial"/>
                <w:sz w:val="16"/>
                <w:szCs w:val="16"/>
                <w:color w:val="auto"/>
              </w:rPr>
              <w:t>Outstanding and exercisable at June 30, 2016</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40"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75"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6% Euro-denominated notes as a hedge of its investment in Euro-denominated foreign operations.</w:t>
      </w:r>
    </w:p>
    <w:p>
      <w:pPr>
        <w:spacing w:after="0" w:line="149" w:lineRule="exact"/>
        <w:rPr>
          <w:rFonts w:ascii="Arial" w:cs="Arial" w:eastAsia="Arial" w:hAnsi="Arial"/>
          <w:sz w:val="18"/>
          <w:szCs w:val="18"/>
          <w:b w:val="1"/>
          <w:bCs w:val="1"/>
          <w:color w:val="auto"/>
        </w:rPr>
      </w:pPr>
    </w:p>
    <w:p>
      <w:pPr>
        <w:ind w:left="50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the three and six months ended June 30, 2016 and 2015, was not material, nor is the amount of gains or losses the Company expects to reclassify from accumulated other comprehensive income (loss) to earnings over the next 12 months.</w:t>
      </w:r>
    </w:p>
    <w:p>
      <w:pPr>
        <w:spacing w:after="0" w:line="186"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(loss),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results of operations. The changes in fair values of hedges that are determined to be ineffective are immediately reclassified from accumulated other comprehensive income (loss) into earnings. There was no ineffectiveness related to the Company’s cash flow hedges during the three and six months ended June 30, 2016 and 2015. The Company estimates that $7 million of losses currently recorded in accumulated other comprehensive income (loss) will be recognized in earnings over the next 12 months.</w:t>
      </w:r>
    </w:p>
    <w:p>
      <w:pPr>
        <w:spacing w:after="0" w:line="204" w:lineRule="exact"/>
        <w:rPr>
          <w:rFonts w:ascii="Arial" w:cs="Arial" w:eastAsia="Arial" w:hAnsi="Arial"/>
          <w:sz w:val="18"/>
          <w:szCs w:val="18"/>
          <w:b w:val="1"/>
          <w:bCs w:val="1"/>
          <w:color w:val="auto"/>
        </w:rPr>
      </w:pPr>
    </w:p>
    <w:p>
      <w:pPr>
        <w:ind w:left="500" w:right="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derivative commodity contracts to manage its exposure to changes in the price of unleaded gasoline. Changes in the fair value of these derivatives are recorded within operating expenses.</w:t>
      </w:r>
    </w:p>
    <w:p>
      <w:pPr>
        <w:spacing w:after="0" w:line="19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held derivative instruments with absolute notional values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8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As of June 30,</w:t>
            </w:r>
          </w:p>
        </w:tc>
      </w:tr>
      <w:tr>
        <w:trPr>
          <w:trHeight w:val="228"/>
        </w:trPr>
        <w:tc>
          <w:tcPr>
            <w:tcW w:w="8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72"/>
        </w:trPr>
        <w:tc>
          <w:tcPr>
            <w:tcW w:w="878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9,608</w:t>
            </w:r>
          </w:p>
        </w:tc>
      </w:tr>
      <w:tr>
        <w:trPr>
          <w:trHeight w:val="195"/>
        </w:trPr>
        <w:tc>
          <w:tcPr>
            <w:tcW w:w="87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2,400</w:t>
            </w:r>
          </w:p>
        </w:tc>
      </w:tr>
      <w:tr>
        <w:trPr>
          <w:trHeight w:val="243"/>
        </w:trPr>
        <w:tc>
          <w:tcPr>
            <w:tcW w:w="878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993</w:t>
            </w:r>
          </w:p>
        </w:tc>
      </w:tr>
      <w:tr>
        <w:trPr>
          <w:trHeight w:val="473"/>
        </w:trPr>
        <w:tc>
          <w:tcPr>
            <w:tcW w:w="878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5"/>
        </w:trPr>
        <w:tc>
          <w:tcPr>
            <w:tcW w:w="878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5" w:lineRule="exact"/>
        <w:rPr>
          <w:sz w:val="20"/>
          <w:szCs w:val="20"/>
          <w:color w:val="auto"/>
        </w:rPr>
      </w:pPr>
    </w:p>
    <w:p>
      <w:pPr>
        <w:ind w:left="820" w:right="180" w:hanging="326"/>
        <w:spacing w:after="0" w:line="218"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Represents $7.3 billion of interest rate caps sold, partially offset by approximately $2.3 billion of interest rate caps purchased. These amounts exclude $5.0 billion of interest rate caps purchased by the Company’s Avis Budget Rental Car Funding subsidiary as it is not consolidated by the Company.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0"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7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As of June 30, 2016</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2015</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rPr>
              <w:t>Asset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Liability</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Asset</w:t>
            </w:r>
          </w:p>
        </w:tc>
        <w:tc>
          <w:tcPr>
            <w:tcW w:w="20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28"/>
        </w:trPr>
        <w:tc>
          <w:tcPr>
            <w:tcW w:w="4220" w:type="dxa"/>
            <w:vAlign w:val="bottom"/>
          </w:tcPr>
          <w:p>
            <w:pPr>
              <w:spacing w:after="0"/>
              <w:rPr>
                <w:sz w:val="19"/>
                <w:szCs w:val="19"/>
                <w:color w:val="auto"/>
              </w:rPr>
            </w:pPr>
          </w:p>
        </w:tc>
        <w:tc>
          <w:tcPr>
            <w:tcW w:w="1160" w:type="dxa"/>
            <w:vAlign w:val="bottom"/>
          </w:tcPr>
          <w:p>
            <w:pPr>
              <w:jc w:val="center"/>
              <w:ind w:left="21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left="17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Derivatives</w:t>
            </w:r>
          </w:p>
        </w:tc>
        <w:tc>
          <w:tcPr>
            <w:tcW w:w="200" w:type="dxa"/>
            <w:vAlign w:val="bottom"/>
          </w:tcPr>
          <w:p>
            <w:pPr>
              <w:spacing w:after="0"/>
              <w:rPr>
                <w:sz w:val="19"/>
                <w:szCs w:val="19"/>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51"/>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15</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23"/>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16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4"/>
                <w:szCs w:val="24"/>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16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22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16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4220" w:type="dxa"/>
            <w:vAlign w:val="bottom"/>
          </w:tcPr>
          <w:p>
            <w:pPr>
              <w:ind w:left="120"/>
              <w:spacing w:after="0"/>
              <w:rPr>
                <w:sz w:val="20"/>
                <w:szCs w:val="20"/>
                <w:color w:val="auto"/>
              </w:rPr>
            </w:pPr>
            <w:r>
              <w:rPr>
                <w:rFonts w:ascii="Arial" w:cs="Arial" w:eastAsia="Arial" w:hAnsi="Arial"/>
                <w:sz w:val="16"/>
                <w:szCs w:val="16"/>
                <w:color w:val="auto"/>
              </w:rPr>
              <w:t>Total</w:t>
            </w: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34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22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however, certain amounts related to the derivatives held by Avis Budget Rental Car Funding are included within accumulated other comprehensive income (loss).</w:t>
      </w:r>
    </w:p>
    <w:p>
      <w:pPr>
        <w:ind w:left="820" w:hanging="326"/>
        <w:spacing w:after="0" w:line="195"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5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ind w:left="440"/>
              <w:spacing w:after="0"/>
              <w:rPr>
                <w:sz w:val="20"/>
                <w:szCs w:val="20"/>
                <w:color w:val="auto"/>
              </w:rPr>
            </w:pPr>
            <w:r>
              <w:rPr>
                <w:rFonts w:ascii="Arial" w:cs="Arial" w:eastAsia="Arial" w:hAnsi="Arial"/>
                <w:sz w:val="16"/>
                <w:szCs w:val="16"/>
                <w:b w:val="1"/>
                <w:bCs w:val="1"/>
                <w:color w:val="auto"/>
              </w:rPr>
              <w:t>Six Months Ended</w:t>
            </w:r>
          </w:p>
        </w:tc>
      </w:tr>
      <w:tr>
        <w:trPr>
          <w:trHeight w:val="228"/>
        </w:trPr>
        <w:tc>
          <w:tcPr>
            <w:tcW w:w="42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64"/>
        </w:trPr>
        <w:tc>
          <w:tcPr>
            <w:tcW w:w="4260" w:type="dxa"/>
            <w:vAlign w:val="bottom"/>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26"/>
        </w:trPr>
        <w:tc>
          <w:tcPr>
            <w:tcW w:w="4260" w:type="dxa"/>
            <w:vAlign w:val="bottom"/>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5"/>
        </w:trPr>
        <w:tc>
          <w:tcPr>
            <w:tcW w:w="4260" w:type="dxa"/>
            <w:vAlign w:val="bottom"/>
          </w:tcPr>
          <w:p>
            <w:pPr>
              <w:ind w:left="100"/>
              <w:spacing w:after="0"/>
              <w:rPr>
                <w:sz w:val="20"/>
                <w:szCs w:val="20"/>
                <w:color w:val="auto"/>
              </w:rPr>
            </w:pPr>
            <w:r>
              <w:rPr>
                <w:rFonts w:ascii="Arial" w:cs="Arial" w:eastAsia="Arial" w:hAnsi="Arial"/>
                <w:sz w:val="16"/>
                <w:szCs w:val="16"/>
                <w:color w:val="auto"/>
              </w:rPr>
              <w:t>Interest rate swaps</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860" w:type="dxa"/>
            <w:vAlign w:val="bottom"/>
            <w:gridSpan w:val="3"/>
          </w:tcPr>
          <w:p>
            <w:pPr>
              <w:ind w:left="180"/>
              <w:spacing w:after="0"/>
              <w:rPr>
                <w:sz w:val="20"/>
                <w:szCs w:val="20"/>
                <w:color w:val="auto"/>
              </w:rPr>
            </w:pPr>
            <w:r>
              <w:rPr>
                <w:rFonts w:ascii="Arial" w:cs="Arial" w:eastAsia="Arial" w:hAnsi="Arial"/>
                <w:sz w:val="16"/>
                <w:szCs w:val="16"/>
                <w:color w:val="auto"/>
              </w:rPr>
              <w:t>—   $</w:t>
            </w:r>
          </w:p>
        </w:tc>
        <w:tc>
          <w:tcPr>
            <w:tcW w:w="1100" w:type="dxa"/>
            <w:vAlign w:val="bottom"/>
          </w:tcPr>
          <w:p>
            <w:pPr>
              <w:ind w:left="86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4260" w:type="dxa"/>
            <w:vAlign w:val="bottom"/>
          </w:tcPr>
          <w:p>
            <w:pPr>
              <w:ind w:left="100"/>
              <w:spacing w:after="0"/>
              <w:rPr>
                <w:sz w:val="20"/>
                <w:szCs w:val="20"/>
                <w:color w:val="auto"/>
              </w:rPr>
            </w:pPr>
            <w:r>
              <w:rPr>
                <w:rFonts w:ascii="Arial" w:cs="Arial" w:eastAsia="Arial" w:hAnsi="Arial"/>
                <w:sz w:val="16"/>
                <w:szCs w:val="16"/>
                <w:color w:val="auto"/>
              </w:rPr>
              <w:t>Euro-denominated notes</w:t>
            </w:r>
          </w:p>
        </w:tc>
        <w:tc>
          <w:tcPr>
            <w:tcW w:w="10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ind w:left="86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5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(b)</w:t>
      </w:r>
    </w:p>
    <w:p>
      <w:pPr>
        <w:spacing w:after="0" w:line="43" w:lineRule="exact"/>
        <w:rPr>
          <w:sz w:val="20"/>
          <w:szCs w:val="20"/>
          <w:color w:val="auto"/>
        </w:rPr>
      </w:pPr>
    </w:p>
    <w:tbl>
      <w:tblPr>
        <w:tblLayout w:type="fixed"/>
        <w:tblInd w:w="620" w:type="dxa"/>
        <w:tblCellMar>
          <w:top w:w="0" w:type="dxa"/>
          <w:left w:w="0" w:type="dxa"/>
          <w:bottom w:w="0" w:type="dxa"/>
          <w:right w:w="0" w:type="dxa"/>
        </w:tblCellMar>
      </w:tblP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(d)</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4160" w:type="dxa"/>
            <w:vAlign w:val="bottom"/>
          </w:tcPr>
          <w:p>
            <w:pPr>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1"/>
        </w:trPr>
        <w:tc>
          <w:tcPr>
            <w:tcW w:w="4160" w:type="dxa"/>
            <w:vAlign w:val="bottom"/>
          </w:tcPr>
          <w:p>
            <w:pPr>
              <w:spacing w:after="0"/>
              <w:rPr>
                <w:sz w:val="20"/>
                <w:szCs w:val="20"/>
                <w:color w:val="auto"/>
              </w:rPr>
            </w:pPr>
            <w:r>
              <w:rPr>
                <w:rFonts w:ascii="Arial" w:cs="Arial" w:eastAsia="Arial" w:hAnsi="Arial"/>
                <w:sz w:val="16"/>
                <w:szCs w:val="16"/>
                <w:color w:val="auto"/>
              </w:rPr>
              <w:t>Total</w:t>
            </w: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3810</wp:posOffset>
            </wp:positionV>
            <wp:extent cx="38417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41750" cy="2603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2016, included in operating expense.</w:t>
      </w:r>
    </w:p>
    <w:p>
      <w:pPr>
        <w:ind w:left="820" w:hanging="326"/>
        <w:spacing w:after="0" w:line="220"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June 30, 2016, included a $26 million gain in interest expense and a $4 million loss in operating expense and for the six months ended June 30, 2016, included a $35 million gain in interest expense and a $23 million loss in operating expense. For the three months ended June 30, 2015, included a $19 million loss in interest expense and for the six months ended June 30, 2015, included a $2 million gain in interest expense and a $14 million gain in operating expense.</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As of June 30, 2016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2015</w:t>
            </w: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2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3,478</w:t>
            </w:r>
          </w:p>
        </w:tc>
      </w:tr>
      <w:tr>
        <w:trPr>
          <w:trHeight w:val="500"/>
        </w:trPr>
        <w:tc>
          <w:tcPr>
            <w:tcW w:w="422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20" w:type="dxa"/>
            <w:vAlign w:val="bottom"/>
          </w:tcPr>
          <w:p>
            <w:pPr>
              <w:ind w:left="28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7,987</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8,070</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6,796</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6,836</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2,071</w:t>
            </w:r>
          </w:p>
        </w:tc>
      </w:tr>
      <w:tr>
        <w:trPr>
          <w:trHeight w:val="289"/>
        </w:trPr>
        <w:tc>
          <w:tcPr>
            <w:tcW w:w="422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4220" w:type="dxa"/>
            <w:vAlign w:val="bottom"/>
          </w:tcPr>
          <w:p>
            <w:pPr>
              <w:ind w:left="20"/>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32"/>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04"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expense, early extinguishment of debt costs, non-vehicle related interest, transaction-related costs and income taxes. The Company’s presentation of Adjusted EBITDA may not be comparable to similarly-titled measures used by other companies.</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8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6"/>
        </w:trPr>
        <w:tc>
          <w:tcPr>
            <w:tcW w:w="8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Revenues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43"/>
        </w:trPr>
        <w:tc>
          <w:tcPr>
            <w:tcW w:w="800" w:type="dxa"/>
            <w:vAlign w:val="bottom"/>
          </w:tcPr>
          <w:p>
            <w:pPr>
              <w:ind w:left="20"/>
              <w:spacing w:after="0"/>
              <w:rPr>
                <w:sz w:val="20"/>
                <w:szCs w:val="20"/>
                <w:color w:val="auto"/>
              </w:rPr>
            </w:pPr>
            <w:r>
              <w:rPr>
                <w:rFonts w:ascii="Arial" w:cs="Arial" w:eastAsia="Arial" w:hAnsi="Arial"/>
                <w:sz w:val="18"/>
                <w:szCs w:val="18"/>
                <w:color w:val="auto"/>
              </w:rPr>
              <w:t>Americas</w:t>
            </w:r>
          </w:p>
        </w:tc>
        <w:tc>
          <w:tcPr>
            <w:tcW w:w="3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4560" w:type="dxa"/>
            <w:vAlign w:val="bottom"/>
            <w:gridSpan w:val="3"/>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84"/>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4560" w:type="dxa"/>
            <w:vAlign w:val="bottom"/>
            <w:gridSpan w:val="3"/>
          </w:tcPr>
          <w:p>
            <w:pPr>
              <w:ind w:left="420"/>
              <w:spacing w:after="0"/>
              <w:rPr>
                <w:sz w:val="20"/>
                <w:szCs w:val="20"/>
                <w:color w:val="auto"/>
              </w:rPr>
            </w:pPr>
            <w:r>
              <w:rPr>
                <w:rFonts w:ascii="Arial" w:cs="Arial" w:eastAsia="Arial" w:hAnsi="Arial"/>
                <w:sz w:val="18"/>
                <w:szCs w:val="18"/>
                <w:color w:val="auto"/>
              </w:rPr>
              <w:t>Total Company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00" w:type="dxa"/>
            <w:vAlign w:val="bottom"/>
          </w:tcPr>
          <w:p>
            <w:pPr>
              <w:ind w:left="20"/>
              <w:spacing w:after="0"/>
              <w:rPr>
                <w:sz w:val="20"/>
                <w:szCs w:val="20"/>
                <w:color w:val="auto"/>
              </w:rPr>
            </w:pPr>
            <w:r>
              <w:rPr>
                <w:rFonts w:ascii="Arial" w:cs="Arial" w:eastAsia="Arial" w:hAnsi="Arial"/>
                <w:sz w:val="18"/>
                <w:szCs w:val="18"/>
                <w:color w:val="auto"/>
              </w:rPr>
              <w:t>Less:</w:t>
            </w:r>
          </w:p>
        </w:tc>
        <w:tc>
          <w:tcPr>
            <w:tcW w:w="4000" w:type="dxa"/>
            <w:vAlign w:val="bottom"/>
            <w:gridSpan w:val="3"/>
          </w:tcPr>
          <w:p>
            <w:pPr>
              <w:ind w:left="20"/>
              <w:spacing w:after="0"/>
              <w:rPr>
                <w:sz w:val="20"/>
                <w:szCs w:val="20"/>
                <w:color w:val="auto"/>
              </w:rPr>
            </w:pPr>
            <w:r>
              <w:rPr>
                <w:rFonts w:ascii="Arial" w:cs="Arial" w:eastAsia="Arial" w:hAnsi="Arial"/>
                <w:sz w:val="18"/>
                <w:szCs w:val="18"/>
                <w:color w:val="auto"/>
                <w:w w:val="99"/>
              </w:rPr>
              <w:t>Non-vehicle related depreciation and amortization</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w w:val="99"/>
              </w:rPr>
              <w:t>Interest expense related to corporate debt, net:</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800" w:type="dxa"/>
            <w:vAlign w:val="bottom"/>
          </w:tcPr>
          <w:p>
            <w:pPr>
              <w:spacing w:after="0"/>
              <w:rPr>
                <w:sz w:val="24"/>
                <w:szCs w:val="24"/>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Transaction-related costs, net</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4560" w:type="dxa"/>
            <w:vAlign w:val="bottom"/>
            <w:gridSpan w:val="3"/>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6"/>
                <w:szCs w:val="16"/>
                <w:color w:val="auto"/>
              </w:rPr>
              <w:t>__________</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140" w:right="3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0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2"/>
        </w:trPr>
        <w:tc>
          <w:tcPr>
            <w:tcW w:w="1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43"/>
        </w:trPr>
        <w:tc>
          <w:tcPr>
            <w:tcW w:w="1300" w:type="dxa"/>
            <w:vAlign w:val="bottom"/>
          </w:tcPr>
          <w:p>
            <w:pPr>
              <w:ind w:left="520"/>
              <w:spacing w:after="0"/>
              <w:rPr>
                <w:sz w:val="20"/>
                <w:szCs w:val="20"/>
                <w:color w:val="auto"/>
              </w:rPr>
            </w:pPr>
            <w:r>
              <w:rPr>
                <w:rFonts w:ascii="Arial" w:cs="Arial" w:eastAsia="Arial" w:hAnsi="Arial"/>
                <w:sz w:val="18"/>
                <w:szCs w:val="18"/>
                <w:color w:val="auto"/>
              </w:rPr>
              <w:t>Americas</w:t>
            </w:r>
          </w:p>
        </w:tc>
        <w:tc>
          <w:tcPr>
            <w:tcW w:w="1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0"/>
        </w:trPr>
        <w:tc>
          <w:tcPr>
            <w:tcW w:w="5060" w:type="dxa"/>
            <w:vAlign w:val="bottom"/>
            <w:gridSpan w:val="4"/>
          </w:tcPr>
          <w:p>
            <w:pPr>
              <w:ind w:left="5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84"/>
        </w:trPr>
        <w:tc>
          <w:tcPr>
            <w:tcW w:w="5040" w:type="dxa"/>
            <w:vAlign w:val="bottom"/>
            <w:gridSpan w:val="3"/>
          </w:tcPr>
          <w:p>
            <w:pPr>
              <w:ind w:left="5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5060" w:type="dxa"/>
            <w:vAlign w:val="bottom"/>
            <w:gridSpan w:val="4"/>
          </w:tcPr>
          <w:p>
            <w:pPr>
              <w:ind w:left="920"/>
              <w:spacing w:after="0"/>
              <w:rPr>
                <w:sz w:val="20"/>
                <w:szCs w:val="20"/>
                <w:color w:val="auto"/>
              </w:rPr>
            </w:pPr>
            <w:r>
              <w:rPr>
                <w:rFonts w:ascii="Arial" w:cs="Arial" w:eastAsia="Arial" w:hAnsi="Arial"/>
                <w:sz w:val="18"/>
                <w:szCs w:val="18"/>
                <w:color w:val="auto"/>
              </w:rPr>
              <w:t>Total Company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300" w:type="dxa"/>
            <w:vAlign w:val="bottom"/>
          </w:tcPr>
          <w:p>
            <w:pPr>
              <w:ind w:left="520"/>
              <w:spacing w:after="0"/>
              <w:rPr>
                <w:sz w:val="20"/>
                <w:szCs w:val="20"/>
                <w:color w:val="auto"/>
              </w:rPr>
            </w:pPr>
            <w:r>
              <w:rPr>
                <w:rFonts w:ascii="Arial" w:cs="Arial" w:eastAsia="Arial" w:hAnsi="Arial"/>
                <w:sz w:val="18"/>
                <w:szCs w:val="18"/>
                <w:color w:val="auto"/>
              </w:rPr>
              <w:t>Less:</w:t>
            </w:r>
          </w:p>
        </w:tc>
        <w:tc>
          <w:tcPr>
            <w:tcW w:w="4000" w:type="dxa"/>
            <w:vAlign w:val="bottom"/>
            <w:gridSpan w:val="4"/>
          </w:tcPr>
          <w:p>
            <w:pPr>
              <w:ind w:left="20"/>
              <w:spacing w:after="0"/>
              <w:rPr>
                <w:sz w:val="20"/>
                <w:szCs w:val="20"/>
                <w:color w:val="auto"/>
              </w:rPr>
            </w:pPr>
            <w:r>
              <w:rPr>
                <w:rFonts w:ascii="Arial" w:cs="Arial" w:eastAsia="Arial" w:hAnsi="Arial"/>
                <w:sz w:val="18"/>
                <w:szCs w:val="18"/>
                <w:color w:val="auto"/>
                <w:w w:val="99"/>
              </w:rPr>
              <w:t>Non-vehicle related depreciation and amortization</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w w:val="99"/>
              </w:rPr>
              <w:t>Interest expense related to corporate debt, net:</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2"/>
          </w:tcPr>
          <w:p>
            <w:pPr>
              <w:ind w:left="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2"/>
          </w:tcPr>
          <w:p>
            <w:pPr>
              <w:ind w:left="6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Transaction-related costs, net</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5060" w:type="dxa"/>
            <w:vAlign w:val="bottom"/>
            <w:gridSpan w:val="4"/>
          </w:tcPr>
          <w:p>
            <w:pPr>
              <w:ind w:left="5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ind w:left="500"/>
              <w:spacing w:after="0"/>
              <w:rPr>
                <w:sz w:val="20"/>
                <w:szCs w:val="20"/>
                <w:color w:val="auto"/>
              </w:rPr>
            </w:pPr>
            <w:r>
              <w:rPr>
                <w:rFonts w:ascii="Arial" w:cs="Arial" w:eastAsia="Arial" w:hAnsi="Arial"/>
                <w:sz w:val="16"/>
                <w:szCs w:val="16"/>
                <w:color w:val="auto"/>
                <w:w w:val="98"/>
              </w:rPr>
              <w:t>__________</w:t>
            </w: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0" w:type="dxa"/>
            <w:vAlign w:val="bottom"/>
            <w:gridSpan w:val="2"/>
            <w:vMerge w:val="continue"/>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47" w:lineRule="exact"/>
        <w:rPr>
          <w:sz w:val="20"/>
          <w:szCs w:val="20"/>
          <w:color w:val="auto"/>
        </w:rPr>
      </w:pPr>
    </w:p>
    <w:p>
      <w:pPr>
        <w:ind w:left="500" w:right="340"/>
        <w:spacing w:after="0" w:line="254" w:lineRule="auto"/>
        <w:rPr>
          <w:sz w:val="20"/>
          <w:szCs w:val="20"/>
          <w:color w:val="auto"/>
        </w:rPr>
      </w:pPr>
      <w:r>
        <w:rPr>
          <w:rFonts w:ascii="Arial" w:cs="Arial" w:eastAsia="Arial" w:hAnsi="Arial"/>
          <w:sz w:val="18"/>
          <w:szCs w:val="18"/>
          <w:color w:val="auto"/>
        </w:rPr>
        <w:t>Since December 31, 2015, there have been no significant changes in segment assets other than the Company’s Americas and International segment assets under vehicle programs. As of June 30, 2016 and December 31, 2015, Americas segment assets under vehicle programs were approximately $10.9 billion and $9.4 billion, respectively; and International segment assets under vehicle programs were approximately $3.1 billion and $2.3 billion, respectively.</w:t>
      </w:r>
    </w:p>
    <w:p>
      <w:pPr>
        <w:spacing w:after="0" w:line="398"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and six months ended June 30, 2016 and 2015, Consolidating Condensed Balance Sheets as of June 30, 2016 and December 31, 2015, and Consolidating Condensed Statements of Cash Flows for the six months ended June 30, 2016 and 2015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8 - Long-term Debt and Borrowing Arrangements for additional description of these guaranteed notes. The Senior Notes are guaranteed by the Parent and certain subsidiaries.</w:t>
      </w:r>
    </w:p>
    <w:p>
      <w:pPr>
        <w:spacing w:after="0" w:line="212"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8"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9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1,573</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9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2,243</w:t>
            </w:r>
          </w:p>
        </w:tc>
        <w:tc>
          <w:tcPr>
            <w:tcW w:w="0" w:type="dxa"/>
            <w:vAlign w:val="bottom"/>
          </w:tcPr>
          <w:p>
            <w:pPr>
              <w:spacing w:after="0"/>
              <w:rPr>
                <w:sz w:val="1"/>
                <w:szCs w:val="1"/>
                <w:color w:val="auto"/>
              </w:rPr>
            </w:pPr>
          </w:p>
        </w:tc>
      </w:tr>
      <w:tr>
        <w:trPr>
          <w:trHeight w:val="515"/>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90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90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9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90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9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1,233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9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90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0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540" w:type="dxa"/>
            <w:vAlign w:val="bottom"/>
            <w:vMerge w:val="continue"/>
          </w:tcPr>
          <w:p>
            <w:pPr>
              <w:spacing w:after="0"/>
              <w:rPr>
                <w:sz w:val="24"/>
                <w:szCs w:val="24"/>
                <w:color w:val="auto"/>
              </w:rPr>
            </w:pPr>
          </w:p>
        </w:tc>
        <w:tc>
          <w:tcPr>
            <w:tcW w:w="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0"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2,901</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1,223</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4,124</w:t>
            </w:r>
          </w:p>
        </w:tc>
        <w:tc>
          <w:tcPr>
            <w:tcW w:w="0" w:type="dxa"/>
            <w:vAlign w:val="bottom"/>
          </w:tcPr>
          <w:p>
            <w:pPr>
              <w:spacing w:after="0"/>
              <w:rPr>
                <w:sz w:val="1"/>
                <w:szCs w:val="1"/>
                <w:color w:val="auto"/>
              </w:rPr>
            </w:pPr>
          </w:p>
        </w:tc>
      </w:tr>
      <w:tr>
        <w:trPr>
          <w:trHeight w:val="48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2,162</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2,794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2,318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4,147</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8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46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48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46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459"/>
        </w:trPr>
        <w:tc>
          <w:tcPr>
            <w:tcW w:w="3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2,852</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1,171</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4,023</w:t>
            </w:r>
          </w:p>
        </w:tc>
        <w:tc>
          <w:tcPr>
            <w:tcW w:w="0" w:type="dxa"/>
            <w:vAlign w:val="bottom"/>
          </w:tcPr>
          <w:p>
            <w:pPr>
              <w:spacing w:after="0"/>
              <w:rPr>
                <w:sz w:val="1"/>
                <w:szCs w:val="1"/>
                <w:color w:val="auto"/>
              </w:rPr>
            </w:pPr>
          </w:p>
        </w:tc>
      </w:tr>
      <w:tr>
        <w:trPr>
          <w:trHeight w:val="48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2,077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2,189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3,957</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46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2,143</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6,912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13,227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14,023</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5,552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6,992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17,460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(9,975)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20,483</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1,743</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5,386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6,046</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3,178</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7,987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7,987</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2,350</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11,853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14,098</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3,573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3,773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(7,511)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6,992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17,460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20,483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140" w:right="2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5,366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5,918</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10,658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11,716</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5,384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6,750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14,651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17,634</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3,435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6,796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2,367</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9,238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11,515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3,426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(7,378)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5,384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14,651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140"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(8,491)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(8,500)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5,418</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(3,081)</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9,850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9,850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(7,614)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2,073</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0"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7"/>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(7,936)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(7,939)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7"/>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4,540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4,549</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(3,420)</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(3,717)</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7"/>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9,018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9,018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(6,343)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(6,347)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2,654</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2,764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2,615</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87"/>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thereto included elsewhere herein and with our 2015 Form 10-K. Our actual results of operations may differ materially from those discussed in forward-looking statements as a result of various factors, including but not limited to those included elsewhere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2015 Form 10-K. Unless otherwise noted, all dollar amounts in tables are in millions and those relating to our results of operations are presented before taxes.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We are a leading vehicle rental operator in North America, Europe, Australia, New Zealand and certain other regions we serve, with an average rental fleet of more than 580,000 vehicles. We also license the use of our trademarks to licensees in the areas in which we do not operate directly. We and our licensees operate our brands in approximately 180 countries throughout the world.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jc w:val="both"/>
        <w:ind w:right="280"/>
        <w:spacing w:after="0" w:line="261"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and our car sharing operations in certain of these markets;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Australia and New Zealand, and our car sharing operations in certain of these markets.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time and mileage (“T&amp;M”) fees charged to our customers for vehicle rentals;</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among others, may affect our financial condition and results of operations:</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travel demand, including worldwide enplanements;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fleet, pricing, marketing and strategic decisions made by us and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fleet costs and in conditions in the used vehicle marketplace, as well as manufacturer recalls;</w:t>
      </w:r>
    </w:p>
    <w:p>
      <w:pPr>
        <w:spacing w:after="0" w:line="225" w:lineRule="exact"/>
        <w:rPr>
          <w:rFonts w:ascii="Arial" w:cs="Arial" w:eastAsia="Arial" w:hAnsi="Arial"/>
          <w:sz w:val="18"/>
          <w:szCs w:val="18"/>
          <w:color w:val="auto"/>
        </w:rPr>
      </w:pPr>
    </w:p>
    <w:p>
      <w:pPr>
        <w:ind w:left="5620" w:right="2700" w:hanging="5288"/>
        <w:spacing w:after="0" w:line="543" w:lineRule="auto"/>
        <w:tabs>
          <w:tab w:leader="none" w:pos="6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borrowing costs and in market willingness to purchase corporate and vehicle-related debt; 30</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demand for truck rentals and car sharing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price of gasoline;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currency exchange rates.</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Thus far in 2016, we have continued to operate in an uncertain and uneven economic environment marked by heightened geopolitical risks. Nonetheless, we continue to anticipate that worldwide demand for vehicle rental and car sharing services will increase in 2016, most likely against a backdrop of modest and uneven global economic growth. Our access to new fleet vehicles has been adequate to meet our needs for both replacement of existing vehicles in the normal course and for growth to meet incremental demand, and we expect that to continue to be the case. We will look to pursue opportunities for pricing increases in 2016 to enhance our returns on invested capital and profitability.</w:t>
      </w:r>
    </w:p>
    <w:p>
      <w:pPr>
        <w:spacing w:after="0" w:line="20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objective is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our operations, appropriate investments in technology and adjustments in the size, nature and terms of our relationships with vehicle manufacturers.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2016:</w:t>
      </w:r>
    </w:p>
    <w:p>
      <w:pPr>
        <w:spacing w:after="0" w:line="225" w:lineRule="exact"/>
        <w:rPr>
          <w:sz w:val="20"/>
          <w:szCs w:val="20"/>
          <w:color w:val="auto"/>
        </w:rPr>
      </w:pPr>
    </w:p>
    <w:p>
      <w:pPr>
        <w:ind w:left="660" w:right="26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net revenues totaled $4.1 billion and grew 3% compared to the six months ended June 30, 2015, despite a 1% negative impact from currency exchange rate movements.</w:t>
      </w:r>
    </w:p>
    <w:p>
      <w:pPr>
        <w:spacing w:after="0" w:line="196" w:lineRule="exact"/>
        <w:rPr>
          <w:rFonts w:ascii="Arial" w:cs="Arial" w:eastAsia="Arial" w:hAnsi="Arial"/>
          <w:sz w:val="18"/>
          <w:szCs w:val="18"/>
          <w:color w:val="auto"/>
        </w:rPr>
      </w:pPr>
    </w:p>
    <w:p>
      <w:pPr>
        <w:ind w:left="660" w:right="440" w:hanging="328"/>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net loss was $15 million, representing a $149 million year-over-year decline in earnings, and our Adjusted EBITDA was $248 million, representing a $96 million year-over-year decline, due to lower pricing, higher per-unit fleet costs and a $29 million (8%) negative impact from currency exchange rate movements.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repurchased $180 million of our common stock, reducing our shares outstanding by approximately 6.5 million shares, or 7%.</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issued $350 million of 6⅜% Senior Notes due 2024, the proceeds of which were used primarily to redeem all $300 million of our outstanding 4⅞% Senior Notes due 2017.</w:t>
      </w:r>
    </w:p>
    <w:p>
      <w:pPr>
        <w:spacing w:after="0" w:line="196"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extended the maturity date for $825 million of our existing $970 million corporate term loan borrowings by three years, to March 2022.</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measure performance principally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both of which exclude our U.S. truck rental and Zipcar car sharing operations. We also measure our ancillary revenues (rental-transaction revenue other than T&amp;M revenue), such as from the sale of collision and loss damage waivers, insurance products, fuel service options and portable GPS navigation unit rentals. Our vehicle rental operating statistics (rental days and T&amp;M revenue per rental day) are all calculated based on the actual rental of the vehicle during a 24-hour period. We believe that this methodology provides our management with the most relevant statistics in order to manage the business. Our calculation may not be comparable to other companies’ calculation of similarly-titled statistics. In addition, per-unit fleet costs exclude our U.S. truck rental operations. We present currency exchange rate impacts to provide a method of assessing how our business performed excluding the effects of foreign currency rate fluctuations. Currency exchange rate impacts are calculated by translating the current-year results at the prior-period average exchange rate.</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40" w:right="2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expense, early extinguishment of debt costs, non-vehicle related interest, transaction-related costs and income taxes. We believe Adjusted EBITDA is useful as a supplemental measure in evaluating the aggregate performance of our operating businesses and in comparing our results from period to period. We believe that Adjusted EBITDA is useful to investors because it allows investors to assess our financial condition and results of operations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vs. Three Months Ended June 30, 2015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4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6240" w:type="dxa"/>
            <w:vAlign w:val="bottom"/>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86"/>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624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7"/>
        </w:trPr>
        <w:tc>
          <w:tcPr>
            <w:tcW w:w="624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86"/>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7"/>
        </w:trPr>
        <w:tc>
          <w:tcPr>
            <w:tcW w:w="624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 meaningful</w:t>
      </w:r>
    </w:p>
    <w:p>
      <w:pPr>
        <w:spacing w:after="0" w:line="21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During second quarter 2016, our net revenues increased as a result of a 3% increase in total rental days, partially offset by a $12 million (1%) negative impact from currency exchange rate movements.</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Total expenses increased as a result of increased volumes, including a 2% increase in our car rental fleet, increased marketing costs and commissions and increased vehicle maintenance and damage expense, as well as a 4% increase in per-unit fleet costs. These increases were partially offset by a $16 million (1%) favorable impact on expenses from currency exchange rate movements. Our effective tax rates were a provision of 43% and a benefit of 74%, which included a $98 million income tax benefit related to the resolution of a prior-year tax matter, for the three months ended June 30, 2016 and 2015, respectively. As a result of these items, our net income decreased by $107 million.</w:t>
      </w:r>
    </w:p>
    <w:p>
      <w:pPr>
        <w:spacing w:after="0" w:line="206"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For the three months ended June 30, 2016, the Company reported earnings of $0.38 per diluted share, which includes after-tax debt extinguishment costs of ($0.06) per share, after-tax restructuring expense of ($0.04) per</w:t>
      </w:r>
    </w:p>
    <w:p>
      <w:pPr>
        <w:sectPr>
          <w:pgSz w:w="11900" w:h="16838" w:orient="portrait"/>
          <w:cols w:equalWidth="0" w:num="1">
            <w:col w:w="11400"/>
          </w:cols>
          <w:pgMar w:left="240" w:top="140" w:right="259" w:bottom="1440" w:gutter="0" w:footer="0" w:header="0"/>
        </w:sect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140" w:right="2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 and after-tax transaction-related costs of ($0.04) per share. For the three months ended June 30, 2015, the Company reported earnings of $ 1.34 per diluted share, which includes after-tax transaction-related costs of ($0.17) per share, after-tax debt extinguishment costs of ($0.13) per share, after-tax restructuring expense of ($0.02) per share and an income tax benefit related to resolution of a prior-year tax matter of $0.92 per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2016:</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expenses decreased to 50.0% of revenue from 50.3% in second quarter 2015.</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23.7% of revenue from 22.9% in second quarter 2015, primarily due to higher per-unit fleet costs, partially offset by higher utilization.</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13.9% of revenue from 12.9% in second quarter 2015, primarily due to increased marketing costs and commissions.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interest costs were 3.3% of revenue compared to 3.4%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1,556</w:t>
            </w:r>
          </w:p>
        </w:tc>
        <w:tc>
          <w:tcPr>
            <w:tcW w:w="1780" w:type="dxa"/>
            <w:vAlign w:val="bottom"/>
            <w:gridSpan w:val="4"/>
          </w:tcPr>
          <w:p>
            <w:pPr>
              <w:jc w:val="right"/>
              <w:ind w:right="120"/>
              <w:spacing w:after="0"/>
              <w:rPr>
                <w:sz w:val="20"/>
                <w:szCs w:val="20"/>
                <w:color w:val="auto"/>
              </w:rPr>
            </w:pPr>
            <w:r>
              <w:rPr>
                <w:rFonts w:ascii="Arial" w:cs="Arial" w:eastAsia="Arial" w:hAnsi="Arial"/>
                <w:sz w:val="18"/>
                <w:szCs w:val="18"/>
                <w:color w:val="auto"/>
              </w:rPr>
              <w:t>2%  $</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6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4"/>
        </w:trPr>
        <w:tc>
          <w:tcPr>
            <w:tcW w:w="360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2,173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40" w:type="dxa"/>
            <w:vAlign w:val="bottom"/>
            <w:gridSpan w:val="4"/>
          </w:tcPr>
          <w:p>
            <w:pPr>
              <w:ind w:left="66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9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92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66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00" w:type="dxa"/>
            <w:vAlign w:val="bottom"/>
          </w:tcPr>
          <w:p>
            <w:pPr>
              <w:ind w:left="66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21"/>
                <w:szCs w:val="21"/>
                <w:color w:val="auto"/>
                <w:vertAlign w:val="superscript"/>
              </w:rPr>
              <w:t>(b)</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20"/>
                <w:szCs w:val="20"/>
                <w:color w:val="auto"/>
              </w:rPr>
            </w:pPr>
            <w:r>
              <w:rPr>
                <w:rFonts w:ascii="Arial" w:cs="Arial" w:eastAsia="Arial" w:hAnsi="Arial"/>
                <w:sz w:val="16"/>
                <w:szCs w:val="16"/>
                <w:color w:val="auto"/>
              </w:rPr>
              <w:t>*   Not meaningful.</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4"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8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3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8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w:t>
            </w:r>
          </w:p>
        </w:tc>
      </w:tr>
      <w:tr>
        <w:trPr>
          <w:trHeight w:val="284"/>
        </w:trPr>
        <w:tc>
          <w:tcPr>
            <w:tcW w:w="738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w:t>
            </w:r>
          </w:p>
        </w:tc>
      </w:tr>
    </w:tbl>
    <w:p>
      <w:pPr>
        <w:spacing w:after="0" w:line="2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Revenues increased 2% in second quarter 2016 compared with second quarter 2015, primarily due to 2% growth in rental volumes and a 1% increase in pricing (including a $4 million (1%) negative impact from currency exchange rates).</w:t>
      </w:r>
    </w:p>
    <w:p>
      <w:pPr>
        <w:spacing w:after="0" w:line="19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Adjusted EBITDA decreased 8% in second quarter 2016 compared with second quarter 2015, due to a 6% increase in per-unit fleet costs (including a 1% favorable impact from currency exchange rates) and increased marketing costs and commissions, partially offset by higher pricing and an increase in rental volumes.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2016:</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expenses were 48.6% of revenue compared to 48.5% in second quarter 2015.</w:t>
      </w:r>
    </w:p>
    <w:p>
      <w:pPr>
        <w:spacing w:after="0" w:line="225"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25.9% of revenue from 24.8% in the prior-year period, principally due to higher per-unit fleet costs, partially offset by higher utilization.</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140" w:right="2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30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Selling, general and administrative costs were 11.7% of revenue, an increase from 11.4% in second quarter 2015, due to increased marketing costs and commissions.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interest costs decreased to 3.6% of revenue compared to 3.9% in second quarter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3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8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w:t>
            </w:r>
          </w:p>
        </w:tc>
      </w:tr>
      <w:tr>
        <w:trPr>
          <w:trHeight w:val="284"/>
        </w:trPr>
        <w:tc>
          <w:tcPr>
            <w:tcW w:w="738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r>
    </w:tbl>
    <w:p>
      <w:pPr>
        <w:spacing w:after="0" w:line="21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Revenues increased 5% in second quarter 2016 compared to second quarter 2015, primarily due to an 8% increase in rental volumes, partially offset by a 4% decrease in pricing (including a $3 million (1%) negative impact from currency exchange rate changes).</w:t>
      </w:r>
    </w:p>
    <w:p>
      <w:pPr>
        <w:spacing w:after="0" w:line="1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Adjusted EBITDA decreased $4 million in second quarter 2016 compared to second quarter 2015, due to lower pricing and increased marketing costs and commissions, partially offset by increased rental volumes and a $3 million (5%) favorable impact from currency exchange rate movements.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2016:</w:t>
      </w:r>
    </w:p>
    <w:p>
      <w:pPr>
        <w:spacing w:after="0" w:line="225" w:lineRule="exact"/>
        <w:rPr>
          <w:sz w:val="20"/>
          <w:szCs w:val="20"/>
          <w:color w:val="auto"/>
        </w:rPr>
      </w:pPr>
    </w:p>
    <w:p>
      <w:pPr>
        <w:ind w:left="660" w:right="4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expenses decreased to 53.3% of revenue from 54.6% in the prior-year period, due to increased rental volumes and ancillary revenue, partially offset by lower pricing.</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depreciation and lease charges were 18.4% of revenue compared to 18.2% in second quarter 2015.</w:t>
      </w:r>
    </w:p>
    <w:p>
      <w:pPr>
        <w:spacing w:after="0" w:line="225"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17.1% of revenue compared to 14.9% in the prior-year period, principally due to increased marketing costs and commissions.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interest costs were 2.5% of revenue compared to 2.3% in second quarter 2015.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0" w:right="2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Six Months Ended June 30, 2016 vs. Six Months Ended June 30, 2015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4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8"/>
                <w:szCs w:val="18"/>
                <w:color w:val="auto"/>
              </w:rPr>
              <w:t>Vehicle rental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62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86"/>
        </w:trPr>
        <w:tc>
          <w:tcPr>
            <w:tcW w:w="624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240" w:type="dxa"/>
            <w:vAlign w:val="bottom"/>
            <w:gridSpan w:val="2"/>
          </w:tcPr>
          <w:p>
            <w:pPr>
              <w:ind w:left="38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40" w:type="dxa"/>
            <w:vAlign w:val="bottom"/>
            <w:gridSpan w:val="2"/>
          </w:tcPr>
          <w:p>
            <w:pPr>
              <w:ind w:left="240"/>
              <w:spacing w:after="0"/>
              <w:rPr>
                <w:sz w:val="20"/>
                <w:szCs w:val="20"/>
                <w:color w:val="auto"/>
              </w:rPr>
            </w:pPr>
            <w:r>
              <w:rPr>
                <w:rFonts w:ascii="Arial" w:cs="Arial" w:eastAsia="Arial" w:hAnsi="Arial"/>
                <w:sz w:val="18"/>
                <w:szCs w:val="18"/>
                <w:color w:val="auto"/>
              </w:rPr>
              <w:t>Transaction-related costs, net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0"/>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86"/>
        </w:trPr>
        <w:tc>
          <w:tcPr>
            <w:tcW w:w="624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Benefit from income taxes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86"/>
        </w:trPr>
        <w:tc>
          <w:tcPr>
            <w:tcW w:w="6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00" w:type="dxa"/>
            <w:vAlign w:val="bottom"/>
            <w:vMerge w:val="continue"/>
          </w:tcPr>
          <w:p>
            <w:pPr>
              <w:spacing w:after="0"/>
              <w:rPr>
                <w:sz w:val="17"/>
                <w:szCs w:val="17"/>
                <w:color w:val="auto"/>
              </w:rPr>
            </w:pPr>
          </w:p>
        </w:tc>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Not meaningful</w:t>
      </w:r>
    </w:p>
    <w:p>
      <w:pPr>
        <w:spacing w:after="0" w:line="21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During the six months ended June 30, 2016, our net revenues increased as a result of a 5% increase in total rental days, partially offset by a 3% decrease in pricing (including a $27 million (1%) negative impact from currency exchange rate movements).</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Total expenses increased as a result of increased volumes, including a 4% increase in our car rental fleet, increased marketing costs and commissions and increased vehicle maintenance and damage expense, as well as a 3% increase in per-unit fleet costs. These increases were partially offset by an approximately $19 million favorable impact on expenses from currency exchange rate movements. Our effective tax rates were a benefit of 35% and 103%, which included a $98 million income tax benefit related to the resolution of a prior-year tax matter, for the six months ended June 30, 2016 and 2015, respectively. As a result of these items, our net income decreased by $149 million.</w:t>
      </w:r>
    </w:p>
    <w:p>
      <w:pPr>
        <w:spacing w:after="0" w:line="206"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For the six months ended June 30, 2016, the Company reported a loss of $0.16 per diluted share, which includes after-tax restructuring expense of ($0.15) per share, after-tax transaction-related costs of ($0.07) per share and after-tax debt extinguishment costs of ($0.06) per share. For the six months ended June 30, 2015, the Company reported earnings of $1.25 per diluted share, which includes after-tax transaction-related costs of ($0.36) per share, after-tax debt extinguishment costs of ($0.13) per share, after-tax restructuring expense of ($0.03) per share and an income tax benefit related to resolution of a prior-year tax matter of $0.91 per share.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2016:</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expenses increased to 52.4% of revenue from 51.6% in the prior-year period, primarily due to lower pricing.</w:t>
      </w:r>
    </w:p>
    <w:p>
      <w:pPr>
        <w:spacing w:after="0" w:line="225"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24.1% of revenue from 23.1% in the six months ended June 30, 2015, primarily due to higher per-unit fleet costs and lower pricing, partially offset by higher utilization.</w:t>
      </w:r>
    </w:p>
    <w:p>
      <w:pPr>
        <w:sectPr>
          <w:pgSz w:w="11900" w:h="16838" w:orient="portrait"/>
          <w:cols w:equalWidth="0" w:num="1">
            <w:col w:w="11400"/>
          </w:cols>
          <w:pgMar w:left="240" w:top="108" w:right="259" w:bottom="1440" w:gutter="0" w:footer="0" w:header="0"/>
        </w:sect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108" w:right="2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right="60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14.1% of revenue from 13.1% in first half 2015, primarily due to increased marketing costs and commissions and lower pricing.</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interest costs were 3.3% of revenue compared to 3.5%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2,931</w:t>
            </w:r>
          </w:p>
        </w:tc>
        <w:tc>
          <w:tcPr>
            <w:tcW w:w="1780" w:type="dxa"/>
            <w:vAlign w:val="bottom"/>
            <w:gridSpan w:val="4"/>
          </w:tcPr>
          <w:p>
            <w:pPr>
              <w:jc w:val="right"/>
              <w:ind w:right="120"/>
              <w:spacing w:after="0"/>
              <w:rPr>
                <w:sz w:val="20"/>
                <w:szCs w:val="20"/>
                <w:color w:val="auto"/>
              </w:rPr>
            </w:pPr>
            <w:r>
              <w:rPr>
                <w:rFonts w:ascii="Arial" w:cs="Arial" w:eastAsia="Arial" w:hAnsi="Arial"/>
                <w:sz w:val="18"/>
                <w:szCs w:val="18"/>
                <w:color w:val="auto"/>
              </w:rPr>
              <w:t>1%  $</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36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4"/>
        </w:trPr>
        <w:tc>
          <w:tcPr>
            <w:tcW w:w="360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4,023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40" w:type="dxa"/>
            <w:vAlign w:val="bottom"/>
            <w:gridSpan w:val="4"/>
          </w:tcPr>
          <w:p>
            <w:pPr>
              <w:ind w:left="66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9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92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66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00" w:type="dxa"/>
            <w:vAlign w:val="bottom"/>
          </w:tcPr>
          <w:p>
            <w:pPr>
              <w:ind w:left="66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21"/>
                <w:szCs w:val="21"/>
                <w:color w:val="auto"/>
                <w:vertAlign w:val="superscript"/>
              </w:rPr>
              <w:t>(b)</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20"/>
                <w:szCs w:val="20"/>
                <w:color w:val="auto"/>
              </w:rPr>
            </w:pPr>
            <w:r>
              <w:rPr>
                <w:rFonts w:ascii="Arial" w:cs="Arial" w:eastAsia="Arial" w:hAnsi="Arial"/>
                <w:sz w:val="16"/>
                <w:szCs w:val="16"/>
                <w:color w:val="auto"/>
              </w:rPr>
              <w:t>*   Not meaningful.</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4" w:lineRule="auto"/>
        <w:tabs>
          <w:tab w:leader="none" w:pos="340"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8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3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8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2,931</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w:t>
            </w:r>
          </w:p>
        </w:tc>
      </w:tr>
      <w:tr>
        <w:trPr>
          <w:trHeight w:val="284"/>
        </w:trPr>
        <w:tc>
          <w:tcPr>
            <w:tcW w:w="738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w:t>
            </w:r>
          </w:p>
        </w:tc>
      </w:tr>
    </w:tbl>
    <w:p>
      <w:pPr>
        <w:spacing w:after="0" w:line="21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Revenues increased 1% during the six months ended June 30, 2016 compared with the same period in 2015, primarily due to 2% growth in rental volumes, largely offset by a 2% decrease in pricing (including a $10 million (1%) negative impact from currency exchange rates).</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Adjusted EBITDA decreased 23% in the six months ended June 30, 2016 compared with the same period 2015, due to a 6% increase in per-unit fleet costs, lower pricing and a $4 million (1%) negative impact from currency exchange rate movements, partially offset by increased rental volumes.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2016:</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Operating expenses increased to 50.6% of revenue, compared to 50.0% in the prior-year period, primarily due to lower pricing.</w:t>
      </w:r>
    </w:p>
    <w:p>
      <w:pPr>
        <w:spacing w:after="0" w:line="225"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26.2% of revenue from 24.8% in the prior-year period, principally due to higher per-unit fleet costs and lower pricing, partially offset by higher utilization.</w:t>
      </w:r>
    </w:p>
    <w:p>
      <w:pPr>
        <w:spacing w:after="0" w:line="196"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Selling, general and administrative costs were 11.9% of revenue, an increase from 11.3% in first half 2015, primarily due to higher marketing costs and commissions.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Vehicle interest costs were 3.7% of revenue compared to 4.0% in the six months ended June 30,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80"/>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1400" w:type="dxa"/>
            <w:vAlign w:val="bottom"/>
            <w:tcBorders>
              <w:bottom w:val="single" w:sz="8" w:color="DDDDDD"/>
            </w:tcBorders>
          </w:tcPr>
          <w:p>
            <w:pPr>
              <w:spacing w:after="0"/>
              <w:rPr>
                <w:sz w:val="24"/>
                <w:szCs w:val="24"/>
                <w:color w:val="auto"/>
              </w:rPr>
            </w:pPr>
          </w:p>
        </w:tc>
        <w:tc>
          <w:tcPr>
            <w:tcW w:w="59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8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7%</w:t>
            </w:r>
          </w:p>
        </w:tc>
      </w:tr>
      <w:tr>
        <w:trPr>
          <w:trHeight w:val="284"/>
        </w:trPr>
        <w:tc>
          <w:tcPr>
            <w:tcW w:w="738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w:t>
            </w:r>
          </w:p>
        </w:tc>
      </w:tr>
    </w:tbl>
    <w:p>
      <w:pPr>
        <w:spacing w:after="0" w:line="21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Revenues increased 7% in the six months ended June 30, 2016 compared with the same period in 2015, primarily due to a 14% increase in rental volumes, partially offset by a 6% decrease in pricing (including an $17 million (2%) negative impact from currency exchange rate changes).</w:t>
      </w:r>
    </w:p>
    <w:p>
      <w:pPr>
        <w:spacing w:after="0" w:line="20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Adjusted EBITDA decreased 25% in the six months ended June 30, 2016 compared with the same period in 2015, due to lower pricing and a $25 million (32%) negative impact from currency exchange rate movements, including gains and losses on currency hedges, partially offset by increased rental volumes.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2016:</w:t>
      </w:r>
    </w:p>
    <w:p>
      <w:pPr>
        <w:spacing w:after="0" w:line="225" w:lineRule="exact"/>
        <w:rPr>
          <w:sz w:val="20"/>
          <w:szCs w:val="20"/>
          <w:color w:val="auto"/>
        </w:rPr>
      </w:pPr>
    </w:p>
    <w:p>
      <w:pPr>
        <w:ind w:left="660" w:right="100" w:hanging="328"/>
        <w:spacing w:after="0" w:line="26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Operating expenses increased to 56.5% of revenue from 55.8% in the prior-year period, principally due to lower pricing, partially offset by increased rental volumes.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Vehicle depreciation and lease charges, at 18.8% of revenue, remained level compared to first half 2015.</w:t>
      </w:r>
    </w:p>
    <w:p>
      <w:pPr>
        <w:spacing w:after="0" w:line="225"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17.2% of revenue compared to 16.0% in the prior-year period, primarily due to increased marketing costs and commissions.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Vehicle interest costs were 2.5% of revenue compared to 2.4% in the six months ended June 30, 2015.</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2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2"/>
        </w:trPr>
        <w:tc>
          <w:tcPr>
            <w:tcW w:w="6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6"/>
        </w:trPr>
        <w:tc>
          <w:tcPr>
            <w:tcW w:w="6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5,918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542</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5,680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366</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14,023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11,716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2,307</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14,098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11,515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2,583</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Total assets exclusive of assets under vehicle programs increased primarily due to a seasonal increase in value-added tax receivables, which are recoverable from government agencies. Total liabilities exclusive of liabilities under vehicle programs increased primarily due to a seasonal increase in accounts payable.</w:t>
      </w:r>
    </w:p>
    <w:p>
      <w:pPr>
        <w:spacing w:after="0" w:line="20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The decrease in stockholders’ equity is primarily due to the repurchase of our common stock, partially offset by currency translation adjustments.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08"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six months ended June 30, 2016, we issued $350 million of 6⅜% Senior Notes due 2024 at par. The proceeds from these borrowings were used to redeem $300 million principal amount of our 4⅞% Senior Notes due 2017 during second quarter 2016 and for general corporate purposes. In addition, we repurchased approximately 6.5 million shares of our outstanding common stock for $180 million during the six months ended June 30, 2016, and increased our borrowings under vehicle programs to fund the seasonal increase in our rental fleet.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636</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Cash provided by operating activities during the six months ended June 30, 2016 was substantially unchanged compared with the same period in 2015.</w:t>
      </w:r>
    </w:p>
    <w:p>
      <w:pPr>
        <w:spacing w:after="0" w:line="1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decrease in cash used in investing activities during the six months ended June 30, 2016 compared with the same period in 2015 is primarily due to an increase in proceeds received on the disposition of vehicles and reduced business acquisition activity, partially offset by an increase in vehicle purchases.</w:t>
      </w:r>
    </w:p>
    <w:p>
      <w:pPr>
        <w:spacing w:after="0" w:line="20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decrease in cash provided by financing activities during the six months ended June 30, 2016 compared with the same period in 2015 is primarily due to a decrease in net borrowings under vehicle programs and an increase in share repurchases.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At June 30, 2016, we had approximately $15 billion of indebtedness, including corporate indebtedness of approximately $4 billion and debt under vehicle programs of approximately $11 billion.</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40"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Corporate indebtedness consisted 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As of</w:t>
            </w: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96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Maturity</w:t>
            </w:r>
          </w:p>
        </w:tc>
        <w:tc>
          <w:tcPr>
            <w:tcW w:w="280" w:type="dxa"/>
            <w:vAlign w:val="bottom"/>
          </w:tcPr>
          <w:p>
            <w:pPr>
              <w:spacing w:after="0"/>
              <w:rPr>
                <w:sz w:val="23"/>
                <w:szCs w:val="23"/>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June 30,</w:t>
            </w:r>
          </w:p>
        </w:tc>
        <w:tc>
          <w:tcPr>
            <w:tcW w:w="18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55"/>
        </w:trPr>
        <w:tc>
          <w:tcPr>
            <w:tcW w:w="64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19"/>
                <w:szCs w:val="19"/>
                <w:color w:val="auto"/>
              </w:rPr>
            </w:pPr>
          </w:p>
        </w:tc>
        <w:tc>
          <w:tcPr>
            <w:tcW w:w="18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Dates</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4⅞%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2017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(a)</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2017</w:t>
            </w:r>
          </w:p>
        </w:tc>
        <w:tc>
          <w:tcPr>
            <w:tcW w:w="2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75"/>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2019</w:t>
            </w:r>
          </w:p>
        </w:tc>
        <w:tc>
          <w:tcPr>
            <w:tcW w:w="2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6% Euro-denominated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2021</w:t>
            </w:r>
          </w:p>
        </w:tc>
        <w:tc>
          <w:tcPr>
            <w:tcW w:w="28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346"/>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(c)</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2022</w:t>
            </w:r>
          </w:p>
        </w:tc>
        <w:tc>
          <w:tcPr>
            <w:tcW w:w="2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5⅛%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June 2022</w:t>
            </w:r>
          </w:p>
        </w:tc>
        <w:tc>
          <w:tcPr>
            <w:tcW w:w="28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5½%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2023</w:t>
            </w:r>
          </w:p>
        </w:tc>
        <w:tc>
          <w:tcPr>
            <w:tcW w:w="2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6⅜%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2024</w:t>
            </w:r>
          </w:p>
        </w:tc>
        <w:tc>
          <w:tcPr>
            <w:tcW w:w="2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5¼%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2025</w:t>
            </w:r>
          </w:p>
        </w:tc>
        <w:tc>
          <w:tcPr>
            <w:tcW w:w="2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346"/>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(d)</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8"/>
        </w:trPr>
        <w:tc>
          <w:tcPr>
            <w:tcW w:w="6400" w:type="dxa"/>
            <w:vAlign w:val="bottom"/>
          </w:tcPr>
          <w:p>
            <w:pPr>
              <w:ind w:left="40"/>
              <w:spacing w:after="0"/>
              <w:rPr>
                <w:sz w:val="20"/>
                <w:szCs w:val="20"/>
                <w:color w:val="auto"/>
              </w:rPr>
            </w:pPr>
            <w:r>
              <w:rPr>
                <w:rFonts w:ascii="Arial" w:cs="Arial" w:eastAsia="Arial" w:hAnsi="Arial"/>
                <w:sz w:val="16"/>
                <w:szCs w:val="16"/>
                <w:color w:val="auto"/>
              </w:rPr>
              <w:t>Deferred financing fees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340" w:hanging="332"/>
        <w:spacing w:after="0" w:line="211"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3.39% at June 30, 2016; the Company has entered into an interest rate swap to hedge its interest rate exposure related to these notes at an aggregate rate of 3.58%.</w:t>
      </w:r>
    </w:p>
    <w:p>
      <w:pPr>
        <w:ind w:left="340" w:right="60" w:hanging="332"/>
        <w:spacing w:after="0" w:line="220"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June 30, 2016, the floating rate term loan due 2019 bears interest at the greater of three-month LIBOR or 0.75%, plus 225 basis points, for an aggregate rate of 3.00%.</w:t>
      </w:r>
    </w:p>
    <w:p>
      <w:pPr>
        <w:spacing w:after="0" w:line="1" w:lineRule="exact"/>
        <w:rPr>
          <w:rFonts w:ascii="Arial" w:cs="Arial" w:eastAsia="Arial" w:hAnsi="Arial"/>
          <w:sz w:val="18"/>
          <w:szCs w:val="18"/>
          <w:color w:val="auto"/>
          <w:vertAlign w:val="superscript"/>
        </w:rPr>
      </w:pPr>
    </w:p>
    <w:p>
      <w:pPr>
        <w:ind w:left="340" w:right="60" w:hanging="332"/>
        <w:spacing w:after="0" w:line="225"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June 30, 2016, the floating rate term loan due 2022 bears interest at the greater of three-month LIBOR or 0.75%, plus 250 basis points, for an aggregate rate of 3.25%. The Company has entered into a swap to hedge $600 million of its interest rate exposure related to the floating rate term loan at an aggregate rate of 4.21%.</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Primarily includes capital leases which are secured by liens on the related assets.</w:t>
      </w:r>
    </w:p>
    <w:p>
      <w:pPr>
        <w:spacing w:after="0" w:line="20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components of our debt under vehicle programs, including related party debt due to Avis Budget Rental Car Funding (AESOP) LLC (“Avis Budget Rental Car Funding”):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As of</w:t>
            </w: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23"/>
                <w:szCs w:val="23"/>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7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07"/>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8,029</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6,837</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75"/>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2,033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195"/>
        </w:trPr>
        <w:tc>
          <w:tcPr>
            <w:tcW w:w="7900" w:type="dxa"/>
            <w:vAlign w:val="bottom"/>
          </w:tcPr>
          <w:p>
            <w:pPr>
              <w:ind w:left="40"/>
              <w:spacing w:after="0"/>
              <w:rPr>
                <w:sz w:val="20"/>
                <w:szCs w:val="20"/>
                <w:color w:val="auto"/>
              </w:rPr>
            </w:pPr>
            <w:r>
              <w:rPr>
                <w:rFonts w:ascii="Arial" w:cs="Arial" w:eastAsia="Arial" w:hAnsi="Arial"/>
                <w:sz w:val="16"/>
                <w:szCs w:val="16"/>
                <w:color w:val="auto"/>
              </w:rPr>
              <w:t>International - Capital leases</w:t>
            </w:r>
          </w:p>
        </w:tc>
        <w:tc>
          <w:tcPr>
            <w:tcW w:w="32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9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Deferred financing fees </w:t>
            </w:r>
            <w:r>
              <w:rPr>
                <w:rFonts w:ascii="Arial" w:cs="Arial" w:eastAsia="Arial" w:hAnsi="Arial"/>
                <w:sz w:val="21"/>
                <w:szCs w:val="21"/>
                <w:color w:val="auto"/>
                <w:vertAlign w:val="superscript"/>
              </w:rPr>
              <w:t>(b)</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11,165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8,860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340" w:hanging="332"/>
        <w:spacing w:after="0" w:line="199"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Deferred financing fees related to Debt due to Avis Budget Rental Car Funding as of June 30, 2016 and December 31, 2015 were $42 million and $41 million,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the committed corporate credit facilities available to us and/or our subsidiaries included: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6"/>
                <w:szCs w:val="16"/>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rPr>
              <w:t>Outstanding</w:t>
            </w: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Letters of</w:t>
            </w:r>
          </w:p>
        </w:tc>
        <w:tc>
          <w:tcPr>
            <w:tcW w:w="26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5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Senior revolving credit facility maturing 2019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1,177</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623</w:t>
            </w:r>
          </w:p>
        </w:tc>
      </w:tr>
      <w:tr>
        <w:trPr>
          <w:trHeight w:val="221"/>
        </w:trPr>
        <w:tc>
          <w:tcPr>
            <w:tcW w:w="5160" w:type="dxa"/>
            <w:vAlign w:val="bottom"/>
          </w:tcPr>
          <w:p>
            <w:pPr>
              <w:ind w:left="4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7"/>
        </w:trPr>
        <w:tc>
          <w:tcPr>
            <w:tcW w:w="5160" w:type="dxa"/>
            <w:vAlign w:val="bottom"/>
          </w:tcPr>
          <w:p>
            <w:pPr>
              <w:jc w:val="right"/>
              <w:ind w:right="4179"/>
              <w:spacing w:after="0"/>
              <w:rPr>
                <w:sz w:val="20"/>
                <w:szCs w:val="20"/>
                <w:color w:val="auto"/>
              </w:rPr>
            </w:pPr>
            <w:r>
              <w:rPr>
                <w:rFonts w:ascii="Arial" w:cs="Arial" w:eastAsia="Arial" w:hAnsi="Arial"/>
                <w:sz w:val="16"/>
                <w:szCs w:val="16"/>
                <w:color w:val="auto"/>
                <w:w w:val="98"/>
              </w:rPr>
              <w:t>__________</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5" w:lineRule="exact"/>
        <w:rPr>
          <w:sz w:val="20"/>
          <w:szCs w:val="20"/>
          <w:color w:val="auto"/>
        </w:rPr>
      </w:pPr>
    </w:p>
    <w:p>
      <w:pPr>
        <w:ind w:left="340" w:right="140" w:hanging="332"/>
        <w:spacing w:after="0" w:line="211"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ind w:left="340" w:hanging="332"/>
        <w:spacing w:after="0" w:line="199"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1.50% to 3.13%.</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40"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At June 30, 2016, we had various uncommitted credit facilities available, under which we had drawn approximately $4 million, which bear interest at rates between 0.02% and 4.50%.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available funding under our debt arrangements related to our vehicle programs at June 30,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Outstanding</w:t>
            </w:r>
          </w:p>
        </w:tc>
        <w:tc>
          <w:tcPr>
            <w:tcW w:w="300" w:type="dxa"/>
            <w:vAlign w:val="bottom"/>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80"/>
              <w:spacing w:after="0" w:line="234" w:lineRule="exact"/>
              <w:rPr>
                <w:sz w:val="20"/>
                <w:szCs w:val="20"/>
                <w:color w:val="auto"/>
              </w:rPr>
            </w:pPr>
            <w:r>
              <w:rPr>
                <w:rFonts w:ascii="Arial" w:cs="Arial" w:eastAsia="Arial" w:hAnsi="Arial"/>
                <w:sz w:val="16"/>
                <w:szCs w:val="16"/>
                <w:b w:val="1"/>
                <w:bCs w:val="1"/>
                <w:color w:val="auto"/>
                <w:w w:val="97"/>
              </w:rPr>
              <w:t xml:space="preserve">Capacity </w:t>
            </w:r>
            <w:r>
              <w:rPr>
                <w:rFonts w:ascii="Arial" w:cs="Arial" w:eastAsia="Arial" w:hAnsi="Arial"/>
                <w:sz w:val="21"/>
                <w:szCs w:val="21"/>
                <w:b w:val="1"/>
                <w:bCs w:val="1"/>
                <w:color w:val="auto"/>
                <w:w w:val="97"/>
                <w:vertAlign w:val="superscript"/>
              </w:rPr>
              <w:t>(a)</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Borrowings</w:t>
            </w:r>
          </w:p>
        </w:tc>
        <w:tc>
          <w:tcPr>
            <w:tcW w:w="300" w:type="dxa"/>
            <w:vAlign w:val="bottom"/>
          </w:tcPr>
          <w:p>
            <w:pPr>
              <w:spacing w:after="0"/>
              <w:rPr>
                <w:sz w:val="20"/>
                <w:szCs w:val="20"/>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301"/>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(b)</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9,674</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8,029</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(d)</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2,681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75"/>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(e)</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13,602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11,223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2,379</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340" w:hanging="332"/>
        <w:spacing w:after="0" w:line="187" w:lineRule="auto"/>
        <w:tabs>
          <w:tab w:leader="none" w:pos="34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$9.6 billion of underlying vehicles and related assets.</w:t>
      </w:r>
    </w:p>
    <w:p>
      <w:pPr>
        <w:ind w:left="340" w:hanging="332"/>
        <w:spacing w:after="0" w:line="187" w:lineRule="auto"/>
        <w:tabs>
          <w:tab w:leader="none" w:pos="34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$1.2 billion of underlying vehicles and related assets.</w:t>
      </w:r>
    </w:p>
    <w:p>
      <w:pPr>
        <w:ind w:left="340" w:hanging="332"/>
        <w:spacing w:after="0" w:line="187" w:lineRule="auto"/>
        <w:tabs>
          <w:tab w:leader="none" w:pos="34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$2.5 billion of underlying vehicles and related assets.</w:t>
      </w:r>
    </w:p>
    <w:p>
      <w:pPr>
        <w:ind w:left="340" w:hanging="332"/>
        <w:spacing w:after="0" w:line="199" w:lineRule="auto"/>
        <w:tabs>
          <w:tab w:leader="none" w:pos="34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$0.2 billion of underlying vehicles and related assets.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 related debt and procurement of rental vehicles to be used in our operations. The present intention of management is to reinvest the undistributed earnings of our foreign subsidiaries indefinitely into our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206"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As discussed above, as of June 30, 2016, we have cash and cash equivalents of $527 million, available borrowing capacity under our committed credit facilities of approximately $0.6 billion and available capacity under our vehicle programs of approximately $2.4 billion.</w:t>
      </w:r>
    </w:p>
    <w:p>
      <w:pPr>
        <w:spacing w:after="0" w:line="19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1" w:lineRule="exact"/>
        <w:rPr>
          <w:sz w:val="20"/>
          <w:szCs w:val="20"/>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w:t>
      </w:r>
    </w:p>
    <w:p>
      <w:pPr>
        <w:spacing w:after="0" w:line="9" w:lineRule="exact"/>
        <w:rPr>
          <w:rFonts w:ascii="Arial" w:cs="Arial" w:eastAsia="Arial" w:hAnsi="Arial"/>
          <w:sz w:val="18"/>
          <w:szCs w:val="18"/>
          <w:color w:val="auto"/>
        </w:rPr>
      </w:pPr>
    </w:p>
    <w:p>
      <w:pPr>
        <w:ind w:right="260"/>
        <w:spacing w:after="0" w:line="254" w:lineRule="auto"/>
        <w:rPr>
          <w:rFonts w:ascii="Arial" w:cs="Arial" w:eastAsia="Arial" w:hAnsi="Arial"/>
          <w:sz w:val="18"/>
          <w:szCs w:val="18"/>
          <w:color w:val="auto"/>
        </w:rPr>
      </w:pPr>
      <w:r>
        <w:rPr>
          <w:rFonts w:ascii="Arial" w:cs="Arial" w:eastAsia="Arial" w:hAnsi="Arial"/>
          <w:sz w:val="18"/>
          <w:szCs w:val="18"/>
          <w:color w:val="auto"/>
        </w:rPr>
        <w:t>increased collateral needs under, our financings, (iii) the adverse impact of vehicle manufacturers, including Ford, General Motors, Chrysler, Peugeot, Volkswagen, Fiat, Kia, Toyota, Mercedes, Renault, Hyundai and BMW,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 leverage ratio. As of June 30, 2016, we were in compliance with the financial covenants governing our indebtedness. For additional information regarding our liquidity risks, see Part I, Item 1A, “Risk Factors” of our 2015 Form 10-K.</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2015 Form 10-K with the exception of our commitment to purchase vehicles, which decreased by approximately $3.9 billion from December 31, 2015, to approximately $3.3 billion at June 30, 2016. Changes to our obligations related to corporate indebtedness and debt under vehicle programs are presented above within the section titled “Liquidity and Capital Resources—Debt and Financing Arrangements” and also within Notes 8 and 9 to our Consolidated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2015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2016 reported results. There have been no significant changes to those accounting policies or our assessment of which accounting policies we would consider to be critical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June 30, 2016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June 30, 2016. For additional information regarding our long-term borrowings and financial instruments, see Notes 8, 9 and 13 to our Consolidated Condensed Financial Statements.</w:t>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June 30, 2016.</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May 2016, the French Competition Authority issued a second statement of objections affirming the allegations that it raised in its first statement of objections, issued in February 2015. The Company believes that it has valid defenses and intends to vigorously defend against the allegations, but it is currently unable to predict the outcome of the proceedings or range of reasonably possible losses, which may be material.</w:t>
      </w:r>
    </w:p>
    <w:p>
      <w:pPr>
        <w:spacing w:after="0" w:line="2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June 2016, the Company and its subsidiaries reached an agreement to settle its Canadian Competition matter for an immaterial amount and to adopt a competition law compliance program.</w:t>
      </w:r>
    </w:p>
    <w:p>
      <w:pPr>
        <w:spacing w:after="0" w:line="1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For additional information regarding the Company’s legal proceedings, please refer to the Company’s 2015 Form 10-K and Note 10 to our Consolidated Condensed Financial Statements.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June 30,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April 2016</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738,959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738,959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342,639,998</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May 2016</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1,013,358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1,013,358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315,890,264</w:t>
            </w:r>
          </w:p>
        </w:tc>
        <w:tc>
          <w:tcPr>
            <w:tcW w:w="0" w:type="dxa"/>
            <w:vAlign w:val="bottom"/>
          </w:tcPr>
          <w:p>
            <w:pPr>
              <w:spacing w:after="0"/>
              <w:rPr>
                <w:sz w:val="1"/>
                <w:szCs w:val="1"/>
                <w:color w:val="auto"/>
              </w:rPr>
            </w:pPr>
          </w:p>
        </w:tc>
      </w:tr>
      <w:tr>
        <w:trPr>
          <w:trHeight w:val="277"/>
        </w:trPr>
        <w:tc>
          <w:tcPr>
            <w:tcW w:w="3440" w:type="dxa"/>
            <w:vAlign w:val="bottom"/>
          </w:tcPr>
          <w:p>
            <w:pPr>
              <w:ind w:left="40"/>
              <w:spacing w:after="0"/>
              <w:rPr>
                <w:sz w:val="20"/>
                <w:szCs w:val="20"/>
                <w:color w:val="auto"/>
              </w:rPr>
            </w:pPr>
            <w:r>
              <w:rPr>
                <w:rFonts w:ascii="Arial" w:cs="Arial" w:eastAsia="Arial" w:hAnsi="Arial"/>
                <w:sz w:val="18"/>
                <w:szCs w:val="18"/>
                <w:color w:val="auto"/>
              </w:rPr>
              <w:t>June 2016</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1,744,808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31.76</w:t>
            </w:r>
          </w:p>
        </w:tc>
        <w:tc>
          <w:tcPr>
            <w:tcW w:w="120" w:type="dxa"/>
            <w:vAlign w:val="bottom"/>
          </w:tcPr>
          <w:p>
            <w:pPr>
              <w:spacing w:after="0"/>
              <w:rPr>
                <w:sz w:val="24"/>
                <w:szCs w:val="24"/>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1,744,808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260,474,535</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3,497,125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28.58</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3,497,125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260,474,535</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4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right="540" w:hanging="332"/>
        <w:spacing w:after="0" w:line="234" w:lineRule="auto"/>
        <w:tabs>
          <w:tab w:leader="none" w:pos="340" w:val="left"/>
        </w:tabs>
        <w:numPr>
          <w:ilvl w:val="0"/>
          <w:numId w:val="59"/>
        </w:numPr>
        <w:rPr>
          <w:rFonts w:ascii="Arial" w:cs="Arial" w:eastAsia="Arial" w:hAnsi="Arial"/>
          <w:sz w:val="22"/>
          <w:szCs w:val="22"/>
          <w:color w:val="auto"/>
          <w:vertAlign w:val="superscript"/>
        </w:rPr>
      </w:pPr>
      <w:r>
        <w:rPr>
          <w:rFonts w:ascii="Arial" w:cs="Arial" w:eastAsia="Arial" w:hAnsi="Arial"/>
          <w:sz w:val="16"/>
          <w:szCs w:val="16"/>
          <w:color w:val="auto"/>
        </w:rPr>
        <w:t>Excludes, for the three months ended June 30, 2016, 1,026 shares which were withheld by the Company to satisfy employees</w:t>
      </w:r>
      <w:r>
        <w:rPr>
          <w:rFonts w:ascii="Arial" w:cs="Arial" w:eastAsia="Arial" w:hAnsi="Arial"/>
          <w:sz w:val="18"/>
          <w:szCs w:val="18"/>
          <w:color w:val="auto"/>
        </w:rPr>
        <w:t>’</w:t>
      </w:r>
      <w:r>
        <w:rPr>
          <w:rFonts w:ascii="Arial" w:cs="Arial" w:eastAsia="Arial" w:hAnsi="Arial"/>
          <w:sz w:val="16"/>
          <w:szCs w:val="16"/>
          <w:color w:val="auto"/>
        </w:rPr>
        <w:t xml:space="preserve"> income tax liabilities attributable to the vesting of restricted stock unit awards.</w:t>
      </w:r>
    </w:p>
    <w:p>
      <w:pPr>
        <w:spacing w:after="0" w:line="22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approximately $1.2 billion of its common stock under a plan originally approved in 2013 and subsequently expanded, most recently in 2016</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3, 2016</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3, 2016</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240" w:top="140" w:right="5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0" w:type="dxa"/>
            <w:vAlign w:val="bottom"/>
            <w:gridSpan w:val="3"/>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48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2"/>
                <w:szCs w:val="22"/>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First Amendment, dated as of May 20, 2016, to the Third Amended and Restated Credit Agreement dated as of October 3,</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2014, among Avis Budget Holdings, LLC, Avis Budget Car Rental, LLC, the subsidiary borrowers from time to time parties</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thereto, JPMorgan Chase Bank, N.A., as administrative agent, and the several lenders from time to time parties thereto</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(Incorporated by reference to Exhibit 10.1 to the Company’s Current Report on Form 8-K dated May 26, 2016).</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Avis Budget Group, Inc. Amended and Restated Equity and Incentive Plan (Incorporated by reference to Annex A to the</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Company’s Definitive Proxy Statement on Schedule 14A dated March 29, 2016).</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1"/>
                <w:szCs w:val="21"/>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Series 2016-2 Supplement, dated as of June 1, 2016, between Avis Budget Rental Car Funding (AESOP) LLC and The Bank</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of New York Mellon Trust Company, N.A., as trustee and as Series 2016-2 Agent (Incorporated by reference to Exhibit 10.1 to</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the Company’s Current Report on Form 8-K dated June 7, 2016).</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2"/>
                <w:szCs w:val="22"/>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1"/>
                <w:szCs w:val="21"/>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Executive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1"/>
                <w:szCs w:val="21"/>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Financial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905"/>
        </w:trPr>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20" w:type="dxa"/>
            <w:vAlign w:val="bottom"/>
          </w:tcPr>
          <w:p>
            <w:pPr>
              <w:ind w:left="4540"/>
              <w:spacing w:after="0"/>
              <w:rPr>
                <w:sz w:val="20"/>
                <w:szCs w:val="20"/>
                <w:color w:val="auto"/>
              </w:rPr>
            </w:pPr>
            <w:r>
              <w:rPr>
                <w:rFonts w:ascii="Arial" w:cs="Arial" w:eastAsia="Arial" w:hAnsi="Arial"/>
                <w:sz w:val="18"/>
                <w:szCs w:val="18"/>
                <w:color w:val="auto"/>
              </w:rPr>
              <w:t>44</w:t>
            </w:r>
          </w:p>
        </w:tc>
        <w:tc>
          <w:tcPr>
            <w:tcW w:w="880" w:type="dxa"/>
            <w:vAlign w:val="bottom"/>
          </w:tcPr>
          <w:p>
            <w:pPr>
              <w:spacing w:after="0"/>
              <w:rPr>
                <w:sz w:val="24"/>
                <w:szCs w:val="24"/>
                <w:color w:val="auto"/>
              </w:rPr>
            </w:pPr>
          </w:p>
        </w:tc>
        <w:tc>
          <w:tcPr>
            <w:tcW w:w="4500" w:type="dxa"/>
            <w:vAlign w:val="bottom"/>
          </w:tcPr>
          <w:p>
            <w:pPr>
              <w:spacing w:after="0"/>
              <w:rPr>
                <w:sz w:val="24"/>
                <w:szCs w:val="24"/>
                <w:color w:val="auto"/>
              </w:rPr>
            </w:pPr>
          </w:p>
        </w:tc>
      </w:tr>
    </w:tbl>
    <w:p>
      <w:pPr>
        <w:sectPr>
          <w:pgSz w:w="11900" w:h="16838" w:orient="portrait"/>
          <w:cols w:equalWidth="0" w:num="1">
            <w:col w:w="11280"/>
          </w:cols>
          <w:pgMar w:left="240" w:top="140"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365"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57"/>
        </w:trPr>
        <w:tc>
          <w:tcPr>
            <w:tcW w:w="8300" w:type="dxa"/>
            <w:vAlign w:val="bottom"/>
          </w:tcPr>
          <w:p>
            <w:pPr>
              <w:ind w:left="60"/>
              <w:spacing w:after="0"/>
              <w:rPr>
                <w:sz w:val="20"/>
                <w:szCs w:val="20"/>
                <w:color w:val="auto"/>
              </w:rPr>
            </w:pPr>
            <w:r>
              <w:rPr>
                <w:rFonts w:ascii="Arial" w:cs="Arial" w:eastAsia="Arial" w:hAnsi="Arial"/>
                <w:sz w:val="18"/>
                <w:szCs w:val="18"/>
                <w:b w:val="1"/>
                <w:bCs w:val="1"/>
                <w:color w:val="auto"/>
              </w:rPr>
              <w:t>Earnings available to cover fixed charges:</w:t>
            </w: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60"/>
              <w:spacing w:after="0"/>
              <w:rPr>
                <w:sz w:val="20"/>
                <w:szCs w:val="20"/>
                <w:color w:val="auto"/>
              </w:rPr>
            </w:pPr>
            <w:r>
              <w:rPr>
                <w:rFonts w:ascii="Arial" w:cs="Arial" w:eastAsia="Arial" w:hAnsi="Arial"/>
                <w:sz w:val="18"/>
                <w:szCs w:val="18"/>
                <w:color w:val="auto"/>
              </w:rPr>
              <w:t>Income (loss) from continuing operations before income taxes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7"/>
        </w:trPr>
        <w:tc>
          <w:tcPr>
            <w:tcW w:w="8300" w:type="dxa"/>
            <w:vAlign w:val="bottom"/>
          </w:tcPr>
          <w:p>
            <w:pPr>
              <w:ind w:left="60"/>
              <w:spacing w:after="0"/>
              <w:rPr>
                <w:sz w:val="20"/>
                <w:szCs w:val="20"/>
                <w:color w:val="auto"/>
              </w:rPr>
            </w:pPr>
            <w:r>
              <w:rPr>
                <w:rFonts w:ascii="Arial" w:cs="Arial" w:eastAsia="Arial" w:hAnsi="Arial"/>
                <w:sz w:val="18"/>
                <w:szCs w:val="18"/>
                <w:color w:val="auto"/>
              </w:rPr>
              <w:t>Plus: Fixed charges</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57"/>
        </w:trPr>
        <w:tc>
          <w:tcPr>
            <w:tcW w:w="8300" w:type="dxa"/>
            <w:vAlign w:val="bottom"/>
          </w:tcPr>
          <w:p>
            <w:pPr>
              <w:ind w:left="60"/>
              <w:spacing w:after="0"/>
              <w:rPr>
                <w:sz w:val="20"/>
                <w:szCs w:val="20"/>
                <w:color w:val="auto"/>
              </w:rPr>
            </w:pPr>
            <w:r>
              <w:rPr>
                <w:rFonts w:ascii="Arial" w:cs="Arial" w:eastAsia="Arial" w:hAnsi="Arial"/>
                <w:sz w:val="18"/>
                <w:szCs w:val="18"/>
                <w:color w:val="auto"/>
              </w:rPr>
              <w:t>Earnings available to cover fixed charges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3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60"/>
              <w:spacing w:after="0"/>
              <w:rPr>
                <w:sz w:val="20"/>
                <w:szCs w:val="20"/>
                <w:color w:val="auto"/>
              </w:rPr>
            </w:pPr>
            <w:r>
              <w:rPr>
                <w:rFonts w:ascii="Arial" w:cs="Arial" w:eastAsia="Arial" w:hAnsi="Arial"/>
                <w:sz w:val="18"/>
                <w:szCs w:val="18"/>
                <w:color w:val="auto"/>
              </w:rPr>
              <w:t>Interest, including amortization of deferred financing costs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7"/>
        </w:trPr>
        <w:tc>
          <w:tcPr>
            <w:tcW w:w="8300" w:type="dxa"/>
            <w:vAlign w:val="bottom"/>
          </w:tcPr>
          <w:p>
            <w:pPr>
              <w:ind w:left="60"/>
              <w:spacing w:after="0"/>
              <w:rPr>
                <w:sz w:val="20"/>
                <w:szCs w:val="20"/>
                <w:color w:val="auto"/>
              </w:rPr>
            </w:pPr>
            <w:r>
              <w:rPr>
                <w:rFonts w:ascii="Arial" w:cs="Arial" w:eastAsia="Arial" w:hAnsi="Arial"/>
                <w:sz w:val="18"/>
                <w:szCs w:val="18"/>
                <w:color w:val="auto"/>
              </w:rPr>
              <w:t>Interest portion of rental payment</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8300" w:type="dxa"/>
            <w:vAlign w:val="bottom"/>
          </w:tcPr>
          <w:p>
            <w:pPr>
              <w:ind w:left="60"/>
              <w:spacing w:after="0"/>
              <w:rPr>
                <w:sz w:val="20"/>
                <w:szCs w:val="20"/>
                <w:color w:val="auto"/>
              </w:rPr>
            </w:pPr>
            <w:r>
              <w:rPr>
                <w:rFonts w:ascii="Arial" w:cs="Arial" w:eastAsia="Arial" w:hAnsi="Arial"/>
                <w:sz w:val="18"/>
                <w:szCs w:val="18"/>
                <w:color w:val="auto"/>
              </w:rPr>
              <w:t>Total fixed charges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1"/>
                <w:szCs w:val="21"/>
                <w:color w:val="auto"/>
                <w:vertAlign w:val="superscript"/>
              </w:rPr>
              <w:t>(b)</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3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1.21x</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40" w:right="160" w:hanging="171"/>
        <w:spacing w:after="0" w:line="222" w:lineRule="auto"/>
        <w:tabs>
          <w:tab w:leader="none" w:pos="240" w:val="left"/>
        </w:tabs>
        <w:numPr>
          <w:ilvl w:val="0"/>
          <w:numId w:val="60"/>
        </w:numPr>
        <w:rPr>
          <w:rFonts w:ascii="Arial" w:cs="Arial" w:eastAsia="Arial" w:hAnsi="Arial"/>
          <w:sz w:val="21"/>
          <w:szCs w:val="21"/>
          <w:color w:val="auto"/>
          <w:vertAlign w:val="superscript"/>
        </w:rPr>
      </w:pPr>
      <w:r>
        <w:rPr>
          <w:rFonts w:ascii="Arial" w:cs="Arial" w:eastAsia="Arial" w:hAnsi="Arial"/>
          <w:sz w:val="15"/>
          <w:szCs w:val="15"/>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164"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80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57"/>
        </w:trPr>
        <w:tc>
          <w:tcPr>
            <w:tcW w:w="80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37"/>
        </w:trPr>
        <w:tc>
          <w:tcPr>
            <w:tcW w:w="8020" w:type="dxa"/>
            <w:vAlign w:val="bottom"/>
          </w:tcPr>
          <w:p>
            <w:pPr>
              <w:spacing w:after="0"/>
              <w:rPr>
                <w:sz w:val="20"/>
                <w:szCs w:val="20"/>
                <w:color w:val="auto"/>
              </w:rPr>
            </w:pPr>
            <w:r>
              <w:rPr>
                <w:rFonts w:ascii="Arial" w:cs="Arial" w:eastAsia="Arial" w:hAnsi="Arial"/>
                <w:sz w:val="16"/>
                <w:szCs w:val="16"/>
                <w:color w:val="auto"/>
              </w:rPr>
              <w:t>Related to debt under vehicle programs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149</w:t>
            </w:r>
          </w:p>
        </w:tc>
      </w:tr>
      <w:tr>
        <w:trPr>
          <w:trHeight w:val="283"/>
        </w:trPr>
        <w:tc>
          <w:tcPr>
            <w:tcW w:w="8020" w:type="dxa"/>
            <w:vAlign w:val="bottom"/>
          </w:tcPr>
          <w:p>
            <w:pPr>
              <w:spacing w:after="0"/>
              <w:rPr>
                <w:sz w:val="20"/>
                <w:szCs w:val="20"/>
                <w:color w:val="auto"/>
              </w:rPr>
            </w:pPr>
            <w:r>
              <w:rPr>
                <w:rFonts w:ascii="Arial" w:cs="Arial" w:eastAsia="Arial" w:hAnsi="Arial"/>
                <w:sz w:val="16"/>
                <w:szCs w:val="16"/>
                <w:color w:val="auto"/>
              </w:rPr>
              <w:t>All other</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w:t>
            </w:r>
          </w:p>
        </w:tc>
      </w:tr>
      <w:tr>
        <w:trPr>
          <w:trHeight w:val="237"/>
        </w:trPr>
        <w:tc>
          <w:tcPr>
            <w:tcW w:w="8020" w:type="dxa"/>
            <w:vAlign w:val="bottom"/>
          </w:tcPr>
          <w:p>
            <w:pPr>
              <w:spacing w:after="0"/>
              <w:rPr>
                <w:sz w:val="20"/>
                <w:szCs w:val="20"/>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40" w:hanging="171"/>
        <w:spacing w:after="0"/>
        <w:tabs>
          <w:tab w:leader="none" w:pos="240" w:val="left"/>
        </w:tabs>
        <w:numPr>
          <w:ilvl w:val="0"/>
          <w:numId w:val="61"/>
        </w:numPr>
        <w:rPr>
          <w:rFonts w:ascii="Arial" w:cs="Arial" w:eastAsia="Arial" w:hAnsi="Arial"/>
          <w:sz w:val="21"/>
          <w:szCs w:val="21"/>
          <w:color w:val="auto"/>
          <w:vertAlign w:val="superscript"/>
        </w:rPr>
      </w:pPr>
      <w:r>
        <w:rPr>
          <w:rFonts w:ascii="Arial" w:cs="Arial" w:eastAsia="Arial" w:hAnsi="Arial"/>
          <w:sz w:val="15"/>
          <w:szCs w:val="15"/>
          <w:color w:val="auto"/>
        </w:rPr>
        <w:t>Earnings were not sufficient to cover fixed charges for the six months ended June 30, 2016 by $23 million.</w:t>
      </w:r>
    </w:p>
    <w:p>
      <w:pPr>
        <w:sectPr>
          <w:pgSz w:w="11900" w:h="16838" w:orient="portrait"/>
          <w:cols w:equalWidth="0" w:num="1">
            <w:col w:w="11420"/>
          </w:cols>
          <w:pgMar w:left="240" w:top="57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14605</wp:posOffset>
            </wp:positionV>
            <wp:extent cx="27101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71"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June 30, 2016, as filed with the Securities and Exchange Commission on the date hereof (the “Report”), Larry D. De Shon,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3, 2016</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3, 2016</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lvl w:ilvl="1">
      <w:lvlJc w:val="left"/>
      <w:lvlText w:val="•"/>
      <w:numFmt w:val="bullet"/>
      <w:start w:val="1"/>
    </w:lvl>
  </w:abstractNum>
  <w:abstractNum w:abstractNumId="3">
    <w:nsid w:val="614FD4A1"/>
    <w:multiLevelType w:val="hybridMultilevel"/>
    <w:lvl w:ilvl="0">
      <w:lvlJc w:val="left"/>
      <w:lvlText w:val="%1."/>
      <w:numFmt w:val="decimal"/>
      <w:start w:val="2"/>
    </w:lvl>
  </w:abstractNum>
  <w:abstractNum w:abstractNumId="4">
    <w:nsid w:val="419AC241"/>
    <w:multiLevelType w:val="hybridMultilevel"/>
    <w:lvl w:ilvl="0">
      <w:lvlJc w:val="left"/>
      <w:lvlText w:val="(%1)"/>
      <w:numFmt w:val="lowerLetter"/>
      <w:start w:val="1"/>
    </w:lvl>
  </w:abstractNum>
  <w:abstractNum w:abstractNumId="5">
    <w:nsid w:val="5577F8E1"/>
    <w:multiLevelType w:val="hybridMultilevel"/>
    <w:lvl w:ilvl="0">
      <w:lvlJc w:val="left"/>
      <w:lvlText w:val="%1."/>
      <w:numFmt w:val="decimal"/>
      <w:start w:val="3"/>
    </w:lvl>
  </w:abstractNum>
  <w:abstractNum w:abstractNumId="6">
    <w:nsid w:val="440BADFC"/>
    <w:multiLevelType w:val="hybridMultilevel"/>
    <w:lvl w:ilvl="0">
      <w:lvlJc w:val="left"/>
      <w:lvlText w:val="%1"/>
      <w:numFmt w:val="decimal"/>
      <w:start w:val="1"/>
    </w:lvl>
    <w:lvl w:ilvl="1">
      <w:lvlJc w:val="left"/>
      <w:lvlText w:val="(%2)"/>
      <w:numFmt w:val="lowerLetter"/>
      <w:start w:val="1"/>
    </w:lvl>
  </w:abstractNum>
  <w:abstractNum w:abstractNumId="7">
    <w:nsid w:val="5072367"/>
    <w:multiLevelType w:val="hybridMultilevel"/>
    <w:lvl w:ilvl="0">
      <w:lvlJc w:val="left"/>
      <w:lvlText w:val="%1."/>
      <w:numFmt w:val="decimal"/>
      <w:start w:val="4"/>
    </w:lvl>
    <w:lvl w:ilvl="1">
      <w:lvlJc w:val="left"/>
      <w:lvlText w:val="%2"/>
      <w:numFmt w:val="lowerLetter"/>
      <w:start w:val="1"/>
    </w:lvl>
  </w:abstractNum>
  <w:abstractNum w:abstractNumId="8">
    <w:nsid w:val="3804823E"/>
    <w:multiLevelType w:val="hybridMultilevel"/>
    <w:lvl w:ilvl="0">
      <w:lvlJc w:val="left"/>
      <w:lvlText w:val="%1."/>
      <w:numFmt w:val="decimal"/>
      <w:start w:val="5"/>
    </w:lvl>
  </w:abstractNum>
  <w:abstractNum w:abstractNumId="9">
    <w:nsid w:val="77465F01"/>
    <w:multiLevelType w:val="hybridMultilevel"/>
    <w:lvl w:ilvl="0">
      <w:lvlJc w:val="left"/>
      <w:lvlText w:val="(%1)"/>
      <w:numFmt w:val="lowerLetter"/>
      <w:start w:val="1"/>
    </w:lvl>
  </w:abstractNum>
  <w:abstractNum w:abstractNumId="10">
    <w:nsid w:val="7724C67E"/>
    <w:multiLevelType w:val="hybridMultilevel"/>
    <w:lvl w:ilvl="0">
      <w:lvlJc w:val="left"/>
      <w:lvlText w:val="%1."/>
      <w:numFmt w:val="decimal"/>
      <w:start w:val="6"/>
    </w:lvl>
  </w:abstractNum>
  <w:abstractNum w:abstractNumId="11">
    <w:nsid w:val="5C482A97"/>
    <w:multiLevelType w:val="hybridMultilevel"/>
    <w:lvl w:ilvl="0">
      <w:lvlJc w:val="left"/>
      <w:lvlText w:val="(%1)"/>
      <w:numFmt w:val="decimal"/>
      <w:start w:val="12"/>
    </w:lvl>
  </w:abstractNum>
  <w:abstractNum w:abstractNumId="12">
    <w:nsid w:val="2463B9EA"/>
    <w:multiLevelType w:val="hybridMultilevel"/>
    <w:lvl w:ilvl="0">
      <w:lvlJc w:val="left"/>
      <w:lvlText w:val="%1."/>
      <w:numFmt w:val="decimal"/>
      <w:start w:val="7"/>
    </w:lvl>
  </w:abstractNum>
  <w:abstractNum w:abstractNumId="13">
    <w:nsid w:val="5E884ADC"/>
    <w:multiLevelType w:val="hybridMultilevel"/>
    <w:lvl w:ilvl="0">
      <w:lvlJc w:val="left"/>
      <w:lvlText w:val="%1."/>
      <w:numFmt w:val="decimal"/>
      <w:start w:val="8"/>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1)"/>
      <w:numFmt w:val="lowerLetter"/>
      <w:start w:val="1"/>
    </w:lvl>
  </w:abstractNum>
  <w:abstractNum w:abstractNumId="16">
    <w:nsid w:val="580BD78F"/>
    <w:multiLevelType w:val="hybridMultilevel"/>
    <w:lvl w:ilvl="0">
      <w:lvlJc w:val="left"/>
      <w:lvlText w:val="%1."/>
      <w:numFmt w:val="decimal"/>
      <w:start w:val="9"/>
    </w:lvl>
  </w:abstractNum>
  <w:abstractNum w:abstractNumId="17">
    <w:nsid w:val="153EA438"/>
    <w:multiLevelType w:val="hybridMultilevel"/>
    <w:lvl w:ilvl="0">
      <w:lvlJc w:val="left"/>
      <w:lvlText w:val="(%1)"/>
      <w:numFmt w:val="lowerLetter"/>
      <w:start w:val="1"/>
    </w:lvl>
  </w:abstractNum>
  <w:abstractNum w:abstractNumId="18">
    <w:nsid w:val="3855585C"/>
    <w:multiLevelType w:val="hybridMultilevel"/>
    <w:lvl w:ilvl="0">
      <w:lvlJc w:val="left"/>
      <w:lvlText w:val="(%1)"/>
      <w:numFmt w:val="lowerLetter"/>
      <w:start w:val="1"/>
    </w:lvl>
  </w:abstractNum>
  <w:abstractNum w:abstractNumId="19">
    <w:nsid w:val="70A64E2A"/>
    <w:multiLevelType w:val="hybridMultilevel"/>
    <w:lvl w:ilvl="0">
      <w:lvlJc w:val="left"/>
      <w:lvlText w:val="(%1)"/>
      <w:numFmt w:val="lowerLetter"/>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decimal"/>
      <w:start w:val="10"/>
    </w:lvl>
  </w:abstractNum>
  <w:abstractNum w:abstractNumId="23">
    <w:nsid w:val="725A06FB"/>
    <w:multiLevelType w:val="hybridMultilevel"/>
    <w:lvl w:ilvl="0">
      <w:lvlJc w:val="left"/>
      <w:lvlText w:val="%1."/>
      <w:numFmt w:val="decimal"/>
      <w:start w:val="11"/>
    </w:lvl>
  </w:abstractNum>
  <w:abstractNum w:abstractNumId="24">
    <w:nsid w:val="2CD89A32"/>
    <w:multiLevelType w:val="hybridMultilevel"/>
    <w:lvl w:ilvl="0">
      <w:lvlJc w:val="left"/>
      <w:lvlText w:val="(%1)"/>
      <w:numFmt w:val="lowerLetter"/>
      <w:start w:val="1"/>
    </w:lvl>
  </w:abstractNum>
  <w:abstractNum w:abstractNumId="25">
    <w:nsid w:val="57E4CCAF"/>
    <w:multiLevelType w:val="hybridMultilevel"/>
    <w:lvl w:ilvl="0">
      <w:lvlJc w:val="left"/>
      <w:lvlText w:val="%1."/>
      <w:numFmt w:val="decimal"/>
      <w:start w:val="12"/>
    </w:lvl>
  </w:abstractNum>
  <w:abstractNum w:abstractNumId="26">
    <w:nsid w:val="7A6D8D3C"/>
    <w:multiLevelType w:val="hybridMultilevel"/>
    <w:lvl w:ilvl="0">
      <w:lvlJc w:val="left"/>
      <w:lvlText w:val="(%1)"/>
      <w:numFmt w:val="lowerLetter"/>
      <w:start w:val="1"/>
    </w:lvl>
  </w:abstractNum>
  <w:abstractNum w:abstractNumId="27">
    <w:nsid w:val="4B588F54"/>
    <w:multiLevelType w:val="hybridMultilevel"/>
    <w:lvl w:ilvl="0">
      <w:lvlJc w:val="left"/>
      <w:lvlText w:val="%1."/>
      <w:numFmt w:val="decimal"/>
      <w:start w:val="13"/>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1)"/>
      <w:numFmt w:val="lowerLetter"/>
      <w:start w:val="1"/>
    </w:lvl>
  </w:abstractNum>
  <w:abstractNum w:abstractNumId="30">
    <w:nsid w:val="38437FDB"/>
    <w:multiLevelType w:val="hybridMultilevel"/>
    <w:lvl w:ilvl="0">
      <w:lvlJc w:val="left"/>
      <w:lvlText w:val="(%1)"/>
      <w:numFmt w:val="lowerLetter"/>
      <w:start w:val="1"/>
    </w:lvl>
  </w:abstractNum>
  <w:abstractNum w:abstractNumId="31">
    <w:nsid w:val="7644A45C"/>
    <w:multiLevelType w:val="hybridMultilevel"/>
    <w:lvl w:ilvl="0">
      <w:lvlJc w:val="left"/>
      <w:lvlText w:val="%1"/>
      <w:numFmt w:val="decimal"/>
      <w:start w:val="1"/>
    </w:lvl>
    <w:lvl w:ilvl="1">
      <w:lvlJc w:val="left"/>
      <w:lvlText w:val="(%2)"/>
      <w:numFmt w:val="lowerLetter"/>
      <w:start w:val="1"/>
    </w:lvl>
  </w:abstractNum>
  <w:abstractNum w:abstractNumId="32">
    <w:nsid w:val="32FFF902"/>
    <w:multiLevelType w:val="hybridMultilevel"/>
    <w:lvl w:ilvl="0">
      <w:lvlJc w:val="left"/>
      <w:lvlText w:val="%1."/>
      <w:numFmt w:val="decimal"/>
      <w:start w:val="14"/>
    </w:lvl>
    <w:lvl w:ilvl="1">
      <w:lvlJc w:val="left"/>
      <w:lvlText w:val="%2"/>
      <w:numFmt w:val="lowerLetter"/>
      <w:start w:val="1"/>
    </w:lvl>
  </w:abstractNum>
  <w:abstractNum w:abstractNumId="33">
    <w:nsid w:val="684A481A"/>
    <w:multiLevelType w:val="hybridMultilevel"/>
    <w:lvl w:ilvl="0">
      <w:lvlJc w:val="left"/>
      <w:lvlText w:val="(%1)"/>
      <w:numFmt w:val="lowerLetter"/>
      <w:start w:val="1"/>
    </w:lvl>
  </w:abstractNum>
  <w:abstractNum w:abstractNumId="34">
    <w:nsid w:val="579478FE"/>
    <w:multiLevelType w:val="hybridMultilevel"/>
    <w:lvl w:ilvl="0">
      <w:lvlJc w:val="left"/>
      <w:lvlText w:val="(%1)"/>
      <w:numFmt w:val="lowerLetter"/>
      <w:start w:val="1"/>
    </w:lvl>
  </w:abstractNum>
  <w:abstractNum w:abstractNumId="35">
    <w:nsid w:val="749ABB43"/>
    <w:multiLevelType w:val="hybridMultilevel"/>
    <w:lvl w:ilvl="0">
      <w:lvlJc w:val="left"/>
      <w:lvlText w:val="%1."/>
      <w:numFmt w:val="decimal"/>
      <w:start w:val="15"/>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1)"/>
      <w:numFmt w:val="lowerLetter"/>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lowerLetter"/>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lowerLetter"/>
      <w:start w:val="1"/>
    </w:lvl>
  </w:abstractNum>
  <w:abstractNum w:abstractNumId="54">
    <w:nsid w:val="15B5AF5C"/>
    <w:multiLevelType w:val="hybridMultilevel"/>
    <w:lvl w:ilvl="0">
      <w:lvlJc w:val="left"/>
      <w:lvlText w:val="(%1)"/>
      <w:numFmt w:val="lowerLetter"/>
      <w:start w:val="1"/>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lowerRoman"/>
      <w:start w:val="1"/>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lowerLetter"/>
      <w:start w:val="1"/>
    </w:lvl>
  </w:abstractNum>
  <w:abstractNum w:abstractNumId="59">
    <w:nsid w:val="61574095"/>
    <w:multiLevelType w:val="hybridMultilevel"/>
    <w:lvl w:ilvl="0">
      <w:lvlJc w:val="left"/>
      <w:lvlText w:val="(%1)"/>
      <w:numFmt w:val="lowerLetter"/>
      <w:start w:val="1"/>
    </w:lvl>
  </w:abstractNum>
  <w:abstractNum w:abstractNumId="60">
    <w:nsid w:val="7E0C57B1"/>
    <w:multiLevelType w:val="hybridMultilevel"/>
    <w:lvl w:ilvl="0">
      <w:lvlJc w:val="left"/>
      <w:lvlText w:val="(%1)"/>
      <w:numFmt w:val="lowerLetter"/>
      <w:start w:val="2"/>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2019-12-29T11:20:02Z</dcterms:created>
  <dcterms:modified xsi:type="dcterms:W3CDTF">2019-12-29T11:20:02Z</dcterms:modified>
</cp:coreProperties>
</file>