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306070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323215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206375</wp:posOffset>
            </wp:positionV>
            <wp:extent cx="119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46355</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85" w:lineRule="exact"/>
        <w:rPr>
          <w:sz w:val="24"/>
          <w:szCs w:val="24"/>
          <w:color w:val="auto"/>
        </w:rPr>
      </w:pPr>
    </w:p>
    <w:p>
      <w:pPr>
        <w:ind w:left="1580" w:hanging="391"/>
        <w:spacing w:after="0"/>
        <w:tabs>
          <w:tab w:leader="none" w:pos="158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2020</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12" w:lineRule="exact"/>
        <w:rPr>
          <w:sz w:val="24"/>
          <w:szCs w:val="24"/>
          <w:color w:val="auto"/>
        </w:rPr>
      </w:pPr>
    </w:p>
    <w:p>
      <w:pPr>
        <w:ind w:left="4080" w:right="2260" w:hanging="2891"/>
        <w:spacing w:after="0" w:line="297" w:lineRule="auto"/>
        <w:tabs>
          <w:tab w:leader="none" w:pos="1576" w:val="left"/>
        </w:tabs>
        <w:numPr>
          <w:ilvl w:val="0"/>
          <w:numId w:val="2"/>
        </w:numPr>
        <w:rPr>
          <w:rFonts w:ascii="MS PGothic" w:cs="MS PGothic" w:eastAsia="MS PGothic" w:hAnsi="MS PGothic"/>
          <w:sz w:val="22"/>
          <w:szCs w:val="22"/>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360680</wp:posOffset>
            </wp:positionV>
            <wp:extent cx="1440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1200" w:type="dxa"/>
        <w:tblCellMar>
          <w:top w:w="0" w:type="dxa"/>
          <w:left w:w="0" w:type="dxa"/>
          <w:bottom w:w="0" w:type="dxa"/>
          <w:right w:w="0" w:type="dxa"/>
        </w:tblCellMar>
      </w:tblPr>
      <w:tr>
        <w:trPr>
          <w:trHeight w:val="336"/>
        </w:trPr>
        <w:tc>
          <w:tcPr>
            <w:tcW w:w="8340" w:type="dxa"/>
            <w:vAlign w:val="bottom"/>
            <w:gridSpan w:val="2"/>
          </w:tcPr>
          <w:p>
            <w:pPr>
              <w:jc w:val="center"/>
              <w:ind w:left="442"/>
              <w:spacing w:after="0"/>
              <w:rPr>
                <w:sz w:val="20"/>
                <w:szCs w:val="20"/>
                <w:color w:val="auto"/>
              </w:rPr>
            </w:pPr>
            <w:r>
              <w:rPr>
                <w:rFonts w:ascii="Arial" w:cs="Arial" w:eastAsia="Arial" w:hAnsi="Arial"/>
                <w:sz w:val="25"/>
                <w:szCs w:val="25"/>
                <w:b w:val="1"/>
                <w:bCs w:val="1"/>
                <w:color w:val="auto"/>
              </w:rPr>
              <w:t>Avis Budget Group, Inc.</w:t>
            </w:r>
          </w:p>
        </w:tc>
      </w:tr>
      <w:tr>
        <w:trPr>
          <w:trHeight w:val="384"/>
        </w:trPr>
        <w:tc>
          <w:tcPr>
            <w:tcW w:w="8340" w:type="dxa"/>
            <w:vAlign w:val="bottom"/>
            <w:gridSpan w:val="2"/>
          </w:tcPr>
          <w:p>
            <w:pPr>
              <w:jc w:val="center"/>
              <w:ind w:left="402"/>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4320" w:type="dxa"/>
            <w:vAlign w:val="bottom"/>
          </w:tcPr>
          <w:p>
            <w:pPr>
              <w:jc w:val="center"/>
              <w:ind w:right="1902"/>
              <w:spacing w:after="0"/>
              <w:rPr>
                <w:sz w:val="20"/>
                <w:szCs w:val="20"/>
                <w:color w:val="auto"/>
              </w:rPr>
            </w:pPr>
            <w:r>
              <w:rPr>
                <w:rFonts w:ascii="Arial" w:cs="Arial" w:eastAsia="Arial" w:hAnsi="Arial"/>
                <w:sz w:val="14"/>
                <w:szCs w:val="14"/>
                <w:b w:val="1"/>
                <w:bCs w:val="1"/>
                <w:color w:val="auto"/>
              </w:rPr>
              <w:t>Delaware</w:t>
            </w:r>
          </w:p>
        </w:tc>
        <w:tc>
          <w:tcPr>
            <w:tcW w:w="4020" w:type="dxa"/>
            <w:vAlign w:val="bottom"/>
          </w:tcPr>
          <w:p>
            <w:pPr>
              <w:jc w:val="right"/>
              <w:ind w:right="248"/>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4320" w:type="dxa"/>
            <w:vAlign w:val="bottom"/>
          </w:tcPr>
          <w:p>
            <w:pPr>
              <w:jc w:val="center"/>
              <w:ind w:right="1762"/>
              <w:spacing w:after="0"/>
              <w:rPr>
                <w:sz w:val="20"/>
                <w:szCs w:val="20"/>
                <w:color w:val="auto"/>
              </w:rPr>
            </w:pPr>
            <w:r>
              <w:rPr>
                <w:rFonts w:ascii="Arial" w:cs="Arial" w:eastAsia="Arial" w:hAnsi="Arial"/>
                <w:sz w:val="14"/>
                <w:szCs w:val="14"/>
                <w:i w:val="1"/>
                <w:iCs w:val="1"/>
                <w:color w:val="auto"/>
              </w:rPr>
              <w:t>(State or other jurisdiction of</w:t>
            </w:r>
          </w:p>
        </w:tc>
        <w:tc>
          <w:tcPr>
            <w:tcW w:w="4020" w:type="dxa"/>
            <w:vAlign w:val="bottom"/>
          </w:tcPr>
          <w:p>
            <w:pPr>
              <w:jc w:val="center"/>
              <w:ind w:left="256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4320" w:type="dxa"/>
            <w:vAlign w:val="bottom"/>
          </w:tcPr>
          <w:p>
            <w:pPr>
              <w:jc w:val="center"/>
              <w:ind w:right="1762"/>
              <w:spacing w:after="0"/>
              <w:rPr>
                <w:sz w:val="20"/>
                <w:szCs w:val="20"/>
                <w:color w:val="auto"/>
              </w:rPr>
            </w:pPr>
            <w:r>
              <w:rPr>
                <w:rFonts w:ascii="Arial" w:cs="Arial" w:eastAsia="Arial" w:hAnsi="Arial"/>
                <w:sz w:val="14"/>
                <w:szCs w:val="14"/>
                <w:i w:val="1"/>
                <w:iCs w:val="1"/>
                <w:color w:val="auto"/>
              </w:rPr>
              <w:t>incorporation or organization)</w:t>
            </w:r>
          </w:p>
        </w:tc>
        <w:tc>
          <w:tcPr>
            <w:tcW w:w="4020" w:type="dxa"/>
            <w:vAlign w:val="bottom"/>
          </w:tcPr>
          <w:p>
            <w:pPr>
              <w:jc w:val="center"/>
              <w:ind w:left="2548"/>
              <w:spacing w:after="0"/>
              <w:rPr>
                <w:sz w:val="20"/>
                <w:szCs w:val="20"/>
                <w:color w:val="auto"/>
              </w:rPr>
            </w:pPr>
            <w:r>
              <w:rPr>
                <w:rFonts w:ascii="Arial" w:cs="Arial" w:eastAsia="Arial" w:hAnsi="Arial"/>
                <w:sz w:val="14"/>
                <w:szCs w:val="14"/>
                <w:i w:val="1"/>
                <w:iCs w:val="1"/>
                <w:color w:val="auto"/>
              </w:rPr>
              <w:t>Identification Number)</w:t>
            </w:r>
          </w:p>
        </w:tc>
      </w:tr>
      <w:tr>
        <w:trPr>
          <w:trHeight w:val="270"/>
        </w:trPr>
        <w:tc>
          <w:tcPr>
            <w:tcW w:w="4320" w:type="dxa"/>
            <w:vAlign w:val="bottom"/>
          </w:tcPr>
          <w:p>
            <w:pPr>
              <w:jc w:val="center"/>
              <w:ind w:right="1902"/>
              <w:spacing w:after="0"/>
              <w:rPr>
                <w:sz w:val="20"/>
                <w:szCs w:val="20"/>
                <w:color w:val="auto"/>
              </w:rPr>
            </w:pPr>
            <w:r>
              <w:rPr>
                <w:rFonts w:ascii="Arial" w:cs="Arial" w:eastAsia="Arial" w:hAnsi="Arial"/>
                <w:sz w:val="14"/>
                <w:szCs w:val="14"/>
                <w:b w:val="1"/>
                <w:bCs w:val="1"/>
                <w:color w:val="auto"/>
              </w:rPr>
              <w:t>6 Sylvan Way</w:t>
            </w:r>
          </w:p>
        </w:tc>
        <w:tc>
          <w:tcPr>
            <w:tcW w:w="4020" w:type="dxa"/>
            <w:vAlign w:val="bottom"/>
          </w:tcPr>
          <w:p>
            <w:pPr>
              <w:spacing w:after="0"/>
              <w:rPr>
                <w:sz w:val="23"/>
                <w:szCs w:val="23"/>
                <w:color w:val="auto"/>
              </w:rPr>
            </w:pPr>
          </w:p>
        </w:tc>
      </w:tr>
      <w:tr>
        <w:trPr>
          <w:trHeight w:val="270"/>
        </w:trPr>
        <w:tc>
          <w:tcPr>
            <w:tcW w:w="4320" w:type="dxa"/>
            <w:vAlign w:val="bottom"/>
          </w:tcPr>
          <w:p>
            <w:pPr>
              <w:jc w:val="center"/>
              <w:ind w:right="1902"/>
              <w:spacing w:after="0"/>
              <w:rPr>
                <w:sz w:val="20"/>
                <w:szCs w:val="20"/>
                <w:color w:val="auto"/>
              </w:rPr>
            </w:pPr>
            <w:r>
              <w:rPr>
                <w:rFonts w:ascii="Arial" w:cs="Arial" w:eastAsia="Arial" w:hAnsi="Arial"/>
                <w:sz w:val="14"/>
                <w:szCs w:val="14"/>
                <w:b w:val="1"/>
                <w:bCs w:val="1"/>
                <w:color w:val="auto"/>
              </w:rPr>
              <w:t>Parsippany,  NJ</w:t>
            </w:r>
          </w:p>
        </w:tc>
        <w:tc>
          <w:tcPr>
            <w:tcW w:w="4020" w:type="dxa"/>
            <w:vAlign w:val="bottom"/>
          </w:tcPr>
          <w:p>
            <w:pPr>
              <w:jc w:val="right"/>
              <w:ind w:right="428"/>
              <w:spacing w:after="0"/>
              <w:rPr>
                <w:sz w:val="20"/>
                <w:szCs w:val="20"/>
                <w:color w:val="auto"/>
              </w:rPr>
            </w:pPr>
            <w:r>
              <w:rPr>
                <w:rFonts w:ascii="Arial" w:cs="Arial" w:eastAsia="Arial" w:hAnsi="Arial"/>
                <w:sz w:val="14"/>
                <w:szCs w:val="14"/>
                <w:b w:val="1"/>
                <w:bCs w:val="1"/>
                <w:color w:val="auto"/>
              </w:rPr>
              <w:t>07054</w:t>
            </w:r>
          </w:p>
        </w:tc>
      </w:tr>
      <w:tr>
        <w:trPr>
          <w:trHeight w:val="270"/>
        </w:trPr>
        <w:tc>
          <w:tcPr>
            <w:tcW w:w="4320" w:type="dxa"/>
            <w:vAlign w:val="bottom"/>
          </w:tcPr>
          <w:p>
            <w:pPr>
              <w:jc w:val="center"/>
              <w:ind w:right="1782"/>
              <w:spacing w:after="0"/>
              <w:rPr>
                <w:sz w:val="20"/>
                <w:szCs w:val="20"/>
                <w:color w:val="auto"/>
              </w:rPr>
            </w:pPr>
            <w:r>
              <w:rPr>
                <w:rFonts w:ascii="Arial" w:cs="Arial" w:eastAsia="Arial" w:hAnsi="Arial"/>
                <w:sz w:val="14"/>
                <w:szCs w:val="14"/>
                <w:i w:val="1"/>
                <w:iCs w:val="1"/>
                <w:color w:val="auto"/>
              </w:rPr>
              <w:t>(Address of principal executive offices)</w:t>
            </w:r>
          </w:p>
        </w:tc>
        <w:tc>
          <w:tcPr>
            <w:tcW w:w="4020" w:type="dxa"/>
            <w:vAlign w:val="bottom"/>
          </w:tcPr>
          <w:p>
            <w:pPr>
              <w:jc w:val="center"/>
              <w:ind w:left="2548"/>
              <w:spacing w:after="0"/>
              <w:rPr>
                <w:sz w:val="20"/>
                <w:szCs w:val="20"/>
                <w:color w:val="auto"/>
              </w:rPr>
            </w:pPr>
            <w:r>
              <w:rPr>
                <w:rFonts w:ascii="Arial" w:cs="Arial" w:eastAsia="Arial" w:hAnsi="Arial"/>
                <w:sz w:val="14"/>
                <w:szCs w:val="14"/>
                <w:i w:val="1"/>
                <w:iCs w:val="1"/>
                <w:color w:val="auto"/>
              </w:rPr>
              <w:t>(Zip Code)</w:t>
            </w:r>
          </w:p>
        </w:tc>
      </w:tr>
      <w:tr>
        <w:trPr>
          <w:trHeight w:val="270"/>
        </w:trPr>
        <w:tc>
          <w:tcPr>
            <w:tcW w:w="4320" w:type="dxa"/>
            <w:vAlign w:val="bottom"/>
          </w:tcPr>
          <w:p>
            <w:pPr>
              <w:jc w:val="right"/>
              <w:spacing w:after="0"/>
              <w:rPr>
                <w:sz w:val="20"/>
                <w:szCs w:val="20"/>
                <w:color w:val="auto"/>
              </w:rPr>
            </w:pPr>
            <w:r>
              <w:rPr>
                <w:rFonts w:ascii="Arial" w:cs="Arial" w:eastAsia="Arial" w:hAnsi="Arial"/>
                <w:sz w:val="14"/>
                <w:szCs w:val="14"/>
                <w:b w:val="1"/>
                <w:bCs w:val="1"/>
                <w:color w:val="auto"/>
              </w:rPr>
              <w:t>(973)</w:t>
            </w:r>
          </w:p>
        </w:tc>
        <w:tc>
          <w:tcPr>
            <w:tcW w:w="4020" w:type="dxa"/>
            <w:vAlign w:val="bottom"/>
          </w:tcPr>
          <w:p>
            <w:pPr>
              <w:jc w:val="right"/>
              <w:ind w:right="3288"/>
              <w:spacing w:after="0"/>
              <w:rPr>
                <w:sz w:val="20"/>
                <w:szCs w:val="20"/>
                <w:color w:val="auto"/>
              </w:rPr>
            </w:pPr>
            <w:r>
              <w:rPr>
                <w:rFonts w:ascii="Arial" w:cs="Arial" w:eastAsia="Arial" w:hAnsi="Arial"/>
                <w:sz w:val="14"/>
                <w:szCs w:val="14"/>
                <w:b w:val="1"/>
                <w:bCs w:val="1"/>
                <w:color w:val="auto"/>
              </w:rPr>
              <w:t>496-4700</w:t>
            </w:r>
          </w:p>
        </w:tc>
      </w:tr>
    </w:tbl>
    <w:p>
      <w:pPr>
        <w:spacing w:after="0" w:line="9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109" w:lineRule="exact"/>
        <w:rPr>
          <w:sz w:val="24"/>
          <w:szCs w:val="24"/>
          <w:color w:val="auto"/>
        </w:rPr>
      </w:pPr>
    </w:p>
    <w:p>
      <w:pPr>
        <w:ind w:right="80"/>
        <w:spacing w:after="0" w:line="26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0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87"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47" w:right="359" w:bottom="1440" w:gutter="0" w:footer="0" w:header="0"/>
        </w:sectPr>
      </w:pPr>
    </w:p>
    <w:p>
      <w:pPr>
        <w:spacing w:after="0" w:line="244"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4"/>
          <w:szCs w:val="14"/>
          <w:color w:val="auto"/>
        </w:rPr>
        <w:t xml:space="preserve"> Non-accelerated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9" w:lineRule="exact"/>
        <w:rPr>
          <w:sz w:val="24"/>
          <w:szCs w:val="24"/>
          <w:color w:val="auto"/>
        </w:rPr>
      </w:pPr>
    </w:p>
    <w:p>
      <w:pPr>
        <w:sectPr>
          <w:pgSz w:w="11900" w:h="16838" w:orient="portrait"/>
          <w:cols w:equalWidth="0" w:num="5">
            <w:col w:w="3160" w:space="720"/>
            <w:col w:w="180" w:space="80"/>
            <w:col w:w="2060" w:space="720"/>
            <w:col w:w="2320" w:space="720"/>
            <w:col w:w="1260"/>
          </w:cols>
          <w:pgMar w:left="320" w:top="247" w:right="359" w:bottom="1440" w:gutter="0" w:footer="0" w:header="0"/>
          <w:type w:val="continuous"/>
        </w:sectPr>
      </w:pPr>
    </w:p>
    <w:p>
      <w:pPr>
        <w:spacing w:after="0" w:line="114"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94" w:lineRule="exact"/>
        <w:rPr>
          <w:sz w:val="24"/>
          <w:szCs w:val="24"/>
          <w:color w:val="auto"/>
        </w:rPr>
      </w:pPr>
    </w:p>
    <w:p>
      <w:pPr>
        <w:sectPr>
          <w:pgSz w:w="11900" w:h="16838" w:orient="portrait"/>
          <w:cols w:equalWidth="0" w:num="4">
            <w:col w:w="3160" w:space="720"/>
            <w:col w:w="180" w:space="80"/>
            <w:col w:w="2060" w:space="720"/>
            <w:col w:w="4300"/>
          </w:cols>
          <w:pgMar w:left="320" w:top="247" w:right="359" w:bottom="1440" w:gutter="0" w:footer="0" w:header="0"/>
          <w:type w:val="continuous"/>
        </w:sectPr>
      </w:pPr>
    </w:p>
    <w:p>
      <w:pPr>
        <w:spacing w:after="0" w:line="31" w:lineRule="exact"/>
        <w:rPr>
          <w:sz w:val="24"/>
          <w:szCs w:val="24"/>
          <w:color w:val="auto"/>
        </w:rPr>
      </w:pPr>
    </w:p>
    <w:p>
      <w:pPr>
        <w:ind w:right="28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3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58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96"/>
        </w:trPr>
        <w:tc>
          <w:tcPr>
            <w:tcW w:w="4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960" w:type="dxa"/>
            <w:vAlign w:val="bottom"/>
          </w:tcPr>
          <w:p>
            <w:pPr>
              <w:jc w:val="center"/>
              <w:ind w:left="588"/>
              <w:spacing w:after="0"/>
              <w:rPr>
                <w:sz w:val="20"/>
                <w:szCs w:val="20"/>
                <w:color w:val="auto"/>
              </w:rPr>
            </w:pPr>
            <w:r>
              <w:rPr>
                <w:rFonts w:ascii="Arial" w:cs="Arial" w:eastAsia="Arial" w:hAnsi="Arial"/>
                <w:sz w:val="14"/>
                <w:szCs w:val="14"/>
                <w:b w:val="1"/>
                <w:bCs w:val="1"/>
                <w:color w:val="auto"/>
              </w:rPr>
              <w:t>Name of each exchange on which</w:t>
            </w:r>
          </w:p>
        </w:tc>
      </w:tr>
      <w:tr>
        <w:trPr>
          <w:trHeight w:val="190"/>
        </w:trPr>
        <w:tc>
          <w:tcPr>
            <w:tcW w:w="4320" w:type="dxa"/>
            <w:vAlign w:val="bottom"/>
          </w:tcPr>
          <w:p>
            <w:pPr>
              <w:jc w:val="center"/>
              <w:ind w:left="688"/>
              <w:spacing w:after="0"/>
              <w:rPr>
                <w:sz w:val="20"/>
                <w:szCs w:val="20"/>
                <w:color w:val="auto"/>
              </w:rPr>
            </w:pPr>
            <w:r>
              <w:rPr>
                <w:rFonts w:ascii="Arial" w:cs="Arial" w:eastAsia="Arial" w:hAnsi="Arial"/>
                <w:sz w:val="14"/>
                <w:szCs w:val="14"/>
                <w:b w:val="1"/>
                <w:bCs w:val="1"/>
                <w:color w:val="auto"/>
              </w:rPr>
              <w:t>Title of each class</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Trading Symbol(s)</w:t>
            </w:r>
          </w:p>
        </w:tc>
        <w:tc>
          <w:tcPr>
            <w:tcW w:w="2960" w:type="dxa"/>
            <w:vAlign w:val="bottom"/>
          </w:tcPr>
          <w:p>
            <w:pPr>
              <w:jc w:val="center"/>
              <w:ind w:left="568"/>
              <w:spacing w:after="0"/>
              <w:rPr>
                <w:sz w:val="20"/>
                <w:szCs w:val="20"/>
                <w:color w:val="auto"/>
              </w:rPr>
            </w:pPr>
            <w:r>
              <w:rPr>
                <w:rFonts w:ascii="Arial" w:cs="Arial" w:eastAsia="Arial" w:hAnsi="Arial"/>
                <w:sz w:val="14"/>
                <w:szCs w:val="14"/>
                <w:b w:val="1"/>
                <w:bCs w:val="1"/>
                <w:color w:val="auto"/>
              </w:rPr>
              <w:t>registered</w:t>
            </w:r>
          </w:p>
        </w:tc>
      </w:tr>
      <w:tr>
        <w:trPr>
          <w:trHeight w:val="216"/>
        </w:trPr>
        <w:tc>
          <w:tcPr>
            <w:tcW w:w="4320" w:type="dxa"/>
            <w:vAlign w:val="bottom"/>
          </w:tcPr>
          <w:p>
            <w:pPr>
              <w:jc w:val="center"/>
              <w:ind w:left="688"/>
              <w:spacing w:after="0"/>
              <w:rPr>
                <w:sz w:val="20"/>
                <w:szCs w:val="20"/>
                <w:color w:val="auto"/>
              </w:rPr>
            </w:pPr>
            <w:r>
              <w:rPr>
                <w:rFonts w:ascii="Arial" w:cs="Arial" w:eastAsia="Arial" w:hAnsi="Arial"/>
                <w:sz w:val="14"/>
                <w:szCs w:val="14"/>
                <w:color w:val="auto"/>
              </w:rPr>
              <w:t>Common Stock, Par Value $0.01</w:t>
            </w:r>
          </w:p>
        </w:tc>
        <w:tc>
          <w:tcPr>
            <w:tcW w:w="2580" w:type="dxa"/>
            <w:vAlign w:val="bottom"/>
          </w:tcPr>
          <w:p>
            <w:pPr>
              <w:jc w:val="center"/>
              <w:spacing w:after="0"/>
              <w:rPr>
                <w:sz w:val="20"/>
                <w:szCs w:val="20"/>
                <w:color w:val="auto"/>
              </w:rPr>
            </w:pPr>
            <w:r>
              <w:rPr>
                <w:rFonts w:ascii="Arial" w:cs="Arial" w:eastAsia="Arial" w:hAnsi="Arial"/>
                <w:sz w:val="14"/>
                <w:szCs w:val="14"/>
                <w:color w:val="auto"/>
              </w:rPr>
              <w:t>CAR</w:t>
            </w:r>
          </w:p>
        </w:tc>
        <w:tc>
          <w:tcPr>
            <w:tcW w:w="2960" w:type="dxa"/>
            <w:vAlign w:val="bottom"/>
          </w:tcPr>
          <w:p>
            <w:pPr>
              <w:jc w:val="center"/>
              <w:ind w:left="568"/>
              <w:spacing w:after="0"/>
              <w:rPr>
                <w:sz w:val="20"/>
                <w:szCs w:val="20"/>
                <w:color w:val="auto"/>
              </w:rPr>
            </w:pPr>
            <w:r>
              <w:rPr>
                <w:rFonts w:ascii="Arial" w:cs="Arial" w:eastAsia="Arial" w:hAnsi="Arial"/>
                <w:sz w:val="14"/>
                <w:szCs w:val="14"/>
                <w:color w:val="auto"/>
              </w:rPr>
              <w:t>The NASDAQ Global Select Market</w:t>
            </w:r>
          </w:p>
        </w:tc>
      </w:tr>
      <w:tr>
        <w:trPr>
          <w:trHeight w:val="216"/>
        </w:trPr>
        <w:tc>
          <w:tcPr>
            <w:tcW w:w="4320" w:type="dxa"/>
            <w:vAlign w:val="bottom"/>
          </w:tcPr>
          <w:p>
            <w:pPr>
              <w:jc w:val="center"/>
              <w:ind w:left="688"/>
              <w:spacing w:after="0"/>
              <w:rPr>
                <w:sz w:val="20"/>
                <w:szCs w:val="20"/>
                <w:color w:val="auto"/>
              </w:rPr>
            </w:pPr>
            <w:r>
              <w:rPr>
                <w:rFonts w:ascii="Arial" w:cs="Arial" w:eastAsia="Arial" w:hAnsi="Arial"/>
                <w:sz w:val="14"/>
                <w:szCs w:val="14"/>
                <w:color w:val="auto"/>
              </w:rPr>
              <w:t>Common Stock Purchase Rights</w:t>
            </w:r>
          </w:p>
        </w:tc>
        <w:tc>
          <w:tcPr>
            <w:tcW w:w="2580" w:type="dxa"/>
            <w:vAlign w:val="bottom"/>
          </w:tcPr>
          <w:p>
            <w:pPr>
              <w:jc w:val="center"/>
              <w:spacing w:after="0"/>
              <w:rPr>
                <w:sz w:val="20"/>
                <w:szCs w:val="20"/>
                <w:color w:val="auto"/>
              </w:rPr>
            </w:pPr>
            <w:r>
              <w:rPr>
                <w:rFonts w:ascii="Arial" w:cs="Arial" w:eastAsia="Arial" w:hAnsi="Arial"/>
                <w:sz w:val="14"/>
                <w:szCs w:val="14"/>
                <w:color w:val="auto"/>
              </w:rPr>
              <w:t>N/A</w:t>
            </w:r>
          </w:p>
        </w:tc>
        <w:tc>
          <w:tcPr>
            <w:tcW w:w="2960" w:type="dxa"/>
            <w:vAlign w:val="bottom"/>
          </w:tcPr>
          <w:p>
            <w:pPr>
              <w:jc w:val="center"/>
              <w:ind w:left="568"/>
              <w:spacing w:after="0"/>
              <w:rPr>
                <w:sz w:val="20"/>
                <w:szCs w:val="20"/>
                <w:color w:val="auto"/>
              </w:rPr>
            </w:pPr>
            <w:r>
              <w:rPr>
                <w:rFonts w:ascii="Arial" w:cs="Arial" w:eastAsia="Arial" w:hAnsi="Arial"/>
                <w:sz w:val="14"/>
                <w:szCs w:val="14"/>
                <w:color w:val="auto"/>
              </w:rPr>
              <w:t>The NASDAQ Global Select Market</w:t>
            </w:r>
          </w:p>
        </w:tc>
      </w:tr>
    </w:tbl>
    <w:p>
      <w:pPr>
        <w:spacing w:after="0" w:line="23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69,555,822 shares as of April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Page</w:t>
            </w:r>
          </w:p>
        </w:tc>
      </w:tr>
      <w:tr>
        <w:trPr>
          <w:trHeight w:val="264"/>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9"/>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Financial Information</w:t>
              </w:r>
            </w:hyperlink>
          </w:p>
        </w:tc>
        <w:tc>
          <w:tcPr>
            <w:tcW w:w="3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u w:val="single" w:color="auto"/>
                  <w:color w:val="0000EE"/>
                </w:rPr>
                <w:t>Financial Statement</w:t>
              </w:r>
            </w:hyperlink>
            <w:r>
              <w:rPr>
                <w:rFonts w:ascii="Arial" w:cs="Arial" w:eastAsia="Arial" w:hAnsi="Arial"/>
                <w:sz w:val="18"/>
                <w:szCs w:val="18"/>
                <w:color w:val="0000FF"/>
              </w:rPr>
              <w:t>s</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942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Comprehensive Income for the Three Months Ended March 31, 2020</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183"/>
        </w:trPr>
        <w:tc>
          <w:tcPr>
            <w:tcW w:w="1000" w:type="dxa"/>
            <w:vAlign w:val="bottom"/>
          </w:tcPr>
          <w:p>
            <w:pPr>
              <w:spacing w:after="0"/>
              <w:rPr>
                <w:sz w:val="15"/>
                <w:szCs w:val="15"/>
                <w:color w:val="auto"/>
              </w:rPr>
            </w:pPr>
          </w:p>
        </w:tc>
        <w:tc>
          <w:tcPr>
            <w:tcW w:w="87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and 2019 (Unaudited)</w:t>
              </w:r>
            </w:hyperlink>
          </w:p>
        </w:tc>
        <w:tc>
          <w:tcPr>
            <w:tcW w:w="7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77"/>
        </w:trPr>
        <w:tc>
          <w:tcPr>
            <w:tcW w:w="1000" w:type="dxa"/>
            <w:vAlign w:val="bottom"/>
          </w:tcPr>
          <w:p>
            <w:pPr>
              <w:spacing w:after="0"/>
              <w:rPr>
                <w:sz w:val="24"/>
                <w:szCs w:val="24"/>
                <w:color w:val="auto"/>
              </w:rPr>
            </w:pPr>
          </w:p>
        </w:tc>
        <w:tc>
          <w:tcPr>
            <w:tcW w:w="9420" w:type="dxa"/>
            <w:vAlign w:val="bottom"/>
            <w:gridSpan w:val="9"/>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Condensed Balance Sheets as of March 31, 2020 and December 31, 2019 (Unaudited)</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r>
      <w:tr>
        <w:trPr>
          <w:trHeight w:val="230"/>
        </w:trPr>
        <w:tc>
          <w:tcPr>
            <w:tcW w:w="1000" w:type="dxa"/>
            <w:vAlign w:val="bottom"/>
          </w:tcPr>
          <w:p>
            <w:pPr>
              <w:spacing w:after="0"/>
              <w:rPr>
                <w:sz w:val="19"/>
                <w:szCs w:val="19"/>
                <w:color w:val="auto"/>
              </w:rPr>
            </w:pPr>
          </w:p>
        </w:tc>
        <w:tc>
          <w:tcPr>
            <w:tcW w:w="9420" w:type="dxa"/>
            <w:vAlign w:val="bottom"/>
            <w:gridSpan w:val="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Condensed Statements of Cash Flows for the Three Months Ended March 31, 2020 and 2019</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6</w:t>
              </w:r>
            </w:hyperlink>
          </w:p>
        </w:tc>
      </w:tr>
      <w:tr>
        <w:trPr>
          <w:trHeight w:val="183"/>
        </w:trPr>
        <w:tc>
          <w:tcPr>
            <w:tcW w:w="1000" w:type="dxa"/>
            <w:vAlign w:val="bottom"/>
          </w:tcPr>
          <w:p>
            <w:pPr>
              <w:spacing w:after="0"/>
              <w:rPr>
                <w:sz w:val="15"/>
                <w:szCs w:val="15"/>
                <w:color w:val="auto"/>
              </w:rPr>
            </w:pPr>
          </w:p>
        </w:tc>
        <w:tc>
          <w:tcPr>
            <w:tcW w:w="85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(Unaudited)</w:t>
              </w:r>
            </w:hyperlink>
          </w:p>
        </w:tc>
        <w:tc>
          <w:tcPr>
            <w:tcW w:w="86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36"/>
        </w:trPr>
        <w:tc>
          <w:tcPr>
            <w:tcW w:w="1000" w:type="dxa"/>
            <w:vAlign w:val="bottom"/>
          </w:tcPr>
          <w:p>
            <w:pPr>
              <w:spacing w:after="0"/>
              <w:rPr>
                <w:sz w:val="20"/>
                <w:szCs w:val="20"/>
                <w:color w:val="auto"/>
              </w:rPr>
            </w:pPr>
          </w:p>
        </w:tc>
        <w:tc>
          <w:tcPr>
            <w:tcW w:w="9420" w:type="dxa"/>
            <w:vAlign w:val="bottom"/>
            <w:gridSpan w:val="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Consolidated Condensed Statements of Stockholders’ Equity for the Three Months Ended March 31, 2020 and</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8</w:t>
              </w:r>
            </w:hyperlink>
          </w:p>
        </w:tc>
      </w:tr>
      <w:tr>
        <w:trPr>
          <w:trHeight w:val="183"/>
        </w:trPr>
        <w:tc>
          <w:tcPr>
            <w:tcW w:w="100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2019 (Unaudited)</w:t>
              </w:r>
            </w:hyperlink>
          </w:p>
        </w:tc>
        <w:tc>
          <w:tcPr>
            <w:tcW w:w="7400" w:type="dxa"/>
            <w:vAlign w:val="bottom"/>
            <w:tcBorders>
              <w:top w:val="single" w:sz="8" w:color="0000EE"/>
            </w:tcBorders>
            <w:gridSpan w:val="6"/>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77"/>
        </w:trPr>
        <w:tc>
          <w:tcPr>
            <w:tcW w:w="1000" w:type="dxa"/>
            <w:vAlign w:val="bottom"/>
          </w:tcPr>
          <w:p>
            <w:pPr>
              <w:spacing w:after="0"/>
              <w:rPr>
                <w:sz w:val="24"/>
                <w:szCs w:val="24"/>
                <w:color w:val="auto"/>
              </w:rPr>
            </w:pPr>
          </w:p>
        </w:tc>
        <w:tc>
          <w:tcPr>
            <w:tcW w:w="9420" w:type="dxa"/>
            <w:vAlign w:val="bottom"/>
            <w:gridSpan w:val="9"/>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Notes to Consolidated Condensed Financial Statements (Unaudited)</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9</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9"/>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9"/>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Quantitative and Qualitative Disclosures about Market Risk</w:t>
              </w:r>
            </w:hyperlink>
          </w:p>
        </w:tc>
        <w:tc>
          <w:tcPr>
            <w:tcW w:w="700" w:type="dxa"/>
            <w:vAlign w:val="bottom"/>
            <w:gridSpan w:val="2"/>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35</w:t>
              </w:r>
            </w:hyperlink>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9"/>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Controls and Procedures</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35</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gridSpan w:val="9"/>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Other Information</w:t>
              </w:r>
            </w:hyperlink>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9"/>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Legal Proceedings</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36</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9"/>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700" w:type="dxa"/>
            <w:vAlign w:val="bottom"/>
            <w:gridSpan w:val="2"/>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36</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9"/>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Unregistered Sales of Equity Securities and Use of Proceeds</w:t>
              </w:r>
            </w:hyperlink>
          </w:p>
        </w:tc>
        <w:tc>
          <w:tcPr>
            <w:tcW w:w="700" w:type="dxa"/>
            <w:vAlign w:val="bottom"/>
            <w:gridSpan w:val="2"/>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38</w:t>
              </w:r>
            </w:hyperlink>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420" w:type="dxa"/>
            <w:vAlign w:val="bottom"/>
            <w:gridSpan w:val="9"/>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Exhibits</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38</w:t>
              </w:r>
            </w:hyperlink>
          </w:p>
        </w:tc>
      </w:tr>
      <w:tr>
        <w:trPr>
          <w:trHeight w:val="257"/>
        </w:trPr>
        <w:tc>
          <w:tcPr>
            <w:tcW w:w="1000" w:type="dxa"/>
            <w:vAlign w:val="bottom"/>
          </w:tcPr>
          <w:p>
            <w:pPr>
              <w:spacing w:after="0"/>
              <w:rPr>
                <w:sz w:val="22"/>
                <w:szCs w:val="22"/>
                <w:color w:val="auto"/>
              </w:rPr>
            </w:pPr>
          </w:p>
        </w:tc>
        <w:tc>
          <w:tcPr>
            <w:tcW w:w="9420" w:type="dxa"/>
            <w:vAlign w:val="bottom"/>
            <w:gridSpan w:val="9"/>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Signatures</w:t>
              </w:r>
            </w:hyperlink>
          </w:p>
        </w:tc>
        <w:tc>
          <w:tcPr>
            <w:tcW w:w="700" w:type="dxa"/>
            <w:vAlign w:val="bottom"/>
            <w:gridSpan w:val="2"/>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40</w:t>
              </w:r>
            </w:hyperlink>
          </w:p>
        </w:tc>
      </w:tr>
    </w:tbl>
    <w:p>
      <w:pPr>
        <w:sectPr>
          <w:pgSz w:w="11900" w:h="16838" w:orient="portrait"/>
          <w:cols w:equalWidth="0" w:num="1">
            <w:col w:w="11160"/>
          </w:cols>
          <w:pgMar w:left="320" w:top="140"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(“COVID-19”) outbreak, and the restrictions that have been placed on travel in many countries as a result of the outbreak and the adverse impact on the global economy from the outbreak. These factors include, but are not limited to:</w:t>
      </w:r>
    </w:p>
    <w:p>
      <w:pPr>
        <w:spacing w:after="0" w:line="211" w:lineRule="exact"/>
        <w:rPr>
          <w:sz w:val="20"/>
          <w:szCs w:val="20"/>
          <w:color w:val="auto"/>
        </w:rPr>
      </w:pPr>
    </w:p>
    <w:p>
      <w:pPr>
        <w:ind w:left="660" w:right="30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outbreak, which had, and is expected to continue to have, a significant impact on our operations, including an unprecedented decline in demand, as well as its current, and uncertain future impact, including, but not limited to, its effect on the ability or desire of people to travel due to travel restrictions, and stay-at-home and other orders, which is expected to continue to impact our results, operations, outlooks, plans, goals, growth, cash flows, liquidity, and stock price;</w:t>
      </w:r>
    </w:p>
    <w:p>
      <w:pPr>
        <w:spacing w:after="0" w:line="203"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our estimated cost savings on a timely basis, or at all, and the amount of cash expenditures made in connection with such cost saving efforts;</w:t>
      </w:r>
    </w:p>
    <w:p>
      <w:pPr>
        <w:spacing w:after="0" w:line="197"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97"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when COVID-19 related travel restrictions are lifted and travel demand increases;</w:t>
      </w:r>
    </w:p>
    <w:p>
      <w:pPr>
        <w:spacing w:after="0" w:line="203"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decline in travel demand as a result of COVID-19, including the current and any future disruptions in airline passenger traffic;</w:t>
      </w:r>
    </w:p>
    <w:p>
      <w:pPr>
        <w:spacing w:after="0" w:line="197"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absence of an improvement in, or further deterioration of, economic conditions, particularly during our peak season or in key market segments;</w:t>
      </w:r>
    </w:p>
    <w:p>
      <w:pPr>
        <w:spacing w:after="0" w:line="197"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civil unrest or political instability in the locations in which we operate;</w:t>
      </w:r>
    </w:p>
    <w:p>
      <w:pPr>
        <w:spacing w:after="0" w:line="197"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the current and any future impacts as a result of COVID-19;</w:t>
      </w:r>
    </w:p>
    <w:p>
      <w:pPr>
        <w:spacing w:after="0" w:line="197"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0"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right="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25" w:lineRule="exact"/>
        <w:rPr>
          <w:rFonts w:ascii="Arial" w:cs="Arial" w:eastAsia="Arial" w:hAnsi="Arial"/>
          <w:sz w:val="18"/>
          <w:szCs w:val="18"/>
          <w:color w:val="auto"/>
        </w:rPr>
      </w:pPr>
    </w:p>
    <w:p>
      <w:pPr>
        <w:jc w:val="both"/>
        <w:ind w:left="660" w:right="78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0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25"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01" w:lineRule="exact"/>
        <w:rPr>
          <w:rFonts w:ascii="Arial" w:cs="Arial" w:eastAsia="Arial" w:hAnsi="Arial"/>
          <w:sz w:val="18"/>
          <w:szCs w:val="18"/>
          <w:color w:val="auto"/>
        </w:rPr>
      </w:pPr>
    </w:p>
    <w:p>
      <w:pPr>
        <w:jc w:val="both"/>
        <w:ind w:left="660" w:right="60" w:hanging="328"/>
        <w:spacing w:after="0" w:line="27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184"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contractors;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25"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7"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further deterioration in general economic conditions due to COVID-19, which could be an indicator that our goodwill or other intangible assets are impaired and could result in a future impairment charge to earnings;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actions by activist stockholders and responses from our Board of Directors and senior management; and</w:t>
      </w:r>
    </w:p>
    <w:p>
      <w:pPr>
        <w:spacing w:after="0" w:line="225"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herein, including but not limited to, “Management’s Discussion and Analysis of Financial Condition and Results of Operations,” in Item 2 and “Risk Factors” in Item 1A and in similarly titled sections set forth in Item 7 and in Item 1A and in other portions of our 2019 Annual Report on Form 10-K filed with the Securities and Exchange Commission on February 20, 2020 (the “2019 Form 10-K”), may contain forward- looking statements and involve uncertainties that could cause actual results to differ materially from those projected in any forward-looking statements. Such statements are based upon assumptions and known risks and uncertainties.</w:t>
      </w:r>
    </w:p>
    <w:p>
      <w:pPr>
        <w:spacing w:after="0" w:line="20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0"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14605</wp:posOffset>
            </wp:positionV>
            <wp:extent cx="1800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8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473"/>
        </w:trPr>
        <w:tc>
          <w:tcPr>
            <w:tcW w:w="83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36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6"/>
        </w:trPr>
        <w:tc>
          <w:tcPr>
            <w:tcW w:w="836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36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836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7"/>
        </w:trPr>
        <w:tc>
          <w:tcPr>
            <w:tcW w:w="8360" w:type="dxa"/>
            <w:vAlign w:val="bottom"/>
          </w:tcPr>
          <w:p>
            <w:pPr>
              <w:ind w:left="220"/>
              <w:spacing w:after="0"/>
              <w:rPr>
                <w:sz w:val="20"/>
                <w:szCs w:val="20"/>
                <w:color w:val="auto"/>
              </w:rPr>
            </w:pPr>
            <w:r>
              <w:rPr>
                <w:rFonts w:ascii="Arial" w:cs="Arial" w:eastAsia="Arial" w:hAnsi="Arial"/>
                <w:sz w:val="18"/>
                <w:szCs w:val="18"/>
                <w:color w:val="auto"/>
              </w:rPr>
              <w:t>Transaction-related costs, net</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486"/>
        </w:trPr>
        <w:tc>
          <w:tcPr>
            <w:tcW w:w="83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7"/>
        </w:trPr>
        <w:tc>
          <w:tcPr>
            <w:tcW w:w="83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80"/>
        </w:trPr>
        <w:tc>
          <w:tcPr>
            <w:tcW w:w="83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6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73"/>
        </w:trPr>
        <w:tc>
          <w:tcPr>
            <w:tcW w:w="836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36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40"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6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4"/>
                <w:szCs w:val="24"/>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70"/>
        </w:trPr>
        <w:tc>
          <w:tcPr>
            <w:tcW w:w="7720" w:type="dxa"/>
            <w:vAlign w:val="bottom"/>
          </w:tcPr>
          <w:p>
            <w:pPr>
              <w:ind w:left="12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83"/>
        </w:trPr>
        <w:tc>
          <w:tcPr>
            <w:tcW w:w="772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459"/>
        </w:trPr>
        <w:tc>
          <w:tcPr>
            <w:tcW w:w="7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24"/>
                <w:szCs w:val="24"/>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2,686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6"/>
                <w:szCs w:val="16"/>
                <w:color w:val="auto"/>
              </w:rPr>
              <w:t>Other intangibles, net</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83"/>
        </w:trPr>
        <w:tc>
          <w:tcPr>
            <w:tcW w:w="7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9,252</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9,311</w:t>
            </w:r>
          </w:p>
        </w:tc>
        <w:tc>
          <w:tcPr>
            <w:tcW w:w="0" w:type="dxa"/>
            <w:vAlign w:val="bottom"/>
          </w:tcPr>
          <w:p>
            <w:pPr>
              <w:spacing w:after="0"/>
              <w:rPr>
                <w:sz w:val="1"/>
                <w:szCs w:val="1"/>
                <w:color w:val="auto"/>
              </w:rPr>
            </w:pPr>
          </w:p>
        </w:tc>
      </w:tr>
      <w:tr>
        <w:trPr>
          <w:trHeight w:val="413"/>
        </w:trPr>
        <w:tc>
          <w:tcPr>
            <w:tcW w:w="772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20" w:type="dxa"/>
            <w:vAlign w:val="bottom"/>
          </w:tcPr>
          <w:p>
            <w:pPr>
              <w:ind w:left="120"/>
              <w:spacing w:after="0"/>
              <w:rPr>
                <w:sz w:val="20"/>
                <w:szCs w:val="20"/>
                <w:color w:val="auto"/>
              </w:rPr>
            </w:pPr>
            <w:r>
              <w:rPr>
                <w:rFonts w:ascii="Arial" w:cs="Arial" w:eastAsia="Arial" w:hAnsi="Arial"/>
                <w:sz w:val="16"/>
                <w:szCs w:val="16"/>
                <w:color w:val="auto"/>
              </w:rPr>
              <w:t>Program cash</w:t>
            </w:r>
          </w:p>
        </w:tc>
        <w:tc>
          <w:tcPr>
            <w:tcW w:w="280" w:type="dxa"/>
            <w:vAlign w:val="bottom"/>
          </w:tcPr>
          <w:p>
            <w:pPr>
              <w:spacing w:after="0"/>
              <w:rPr>
                <w:sz w:val="24"/>
                <w:szCs w:val="24"/>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70"/>
        </w:trPr>
        <w:tc>
          <w:tcPr>
            <w:tcW w:w="7720" w:type="dxa"/>
            <w:vAlign w:val="bottom"/>
          </w:tcPr>
          <w:p>
            <w:pPr>
              <w:ind w:left="120"/>
              <w:spacing w:after="0"/>
              <w:rPr>
                <w:sz w:val="20"/>
                <w:szCs w:val="20"/>
                <w:color w:val="auto"/>
              </w:rPr>
            </w:pPr>
            <w:r>
              <w:rPr>
                <w:rFonts w:ascii="Arial" w:cs="Arial" w:eastAsia="Arial" w:hAnsi="Arial"/>
                <w:sz w:val="16"/>
                <w:szCs w:val="16"/>
                <w:color w:val="auto"/>
              </w:rPr>
              <w:t>Vehicles, net</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12,815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12,177</w:t>
            </w:r>
          </w:p>
        </w:tc>
        <w:tc>
          <w:tcPr>
            <w:tcW w:w="0" w:type="dxa"/>
            <w:vAlign w:val="bottom"/>
          </w:tcPr>
          <w:p>
            <w:pPr>
              <w:spacing w:after="0"/>
              <w:rPr>
                <w:sz w:val="1"/>
                <w:szCs w:val="1"/>
                <w:color w:val="auto"/>
              </w:rPr>
            </w:pPr>
          </w:p>
        </w:tc>
      </w:tr>
      <w:tr>
        <w:trPr>
          <w:trHeight w:val="270"/>
        </w:trPr>
        <w:tc>
          <w:tcPr>
            <w:tcW w:w="7720" w:type="dxa"/>
            <w:vAlign w:val="bottom"/>
          </w:tcPr>
          <w:p>
            <w:pPr>
              <w:ind w:left="120"/>
              <w:spacing w:after="0"/>
              <w:rPr>
                <w:sz w:val="20"/>
                <w:szCs w:val="20"/>
                <w:color w:val="auto"/>
              </w:rPr>
            </w:pPr>
            <w:r>
              <w:rPr>
                <w:rFonts w:ascii="Arial" w:cs="Arial" w:eastAsia="Arial" w:hAnsi="Arial"/>
                <w:sz w:val="16"/>
                <w:szCs w:val="16"/>
                <w:color w:val="auto"/>
              </w:rPr>
              <w:t>Receivables from vehicle manufacturers and other</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83"/>
        </w:trPr>
        <w:tc>
          <w:tcPr>
            <w:tcW w:w="7720" w:type="dxa"/>
            <w:vAlign w:val="bottom"/>
          </w:tcPr>
          <w:p>
            <w:pPr>
              <w:ind w:left="1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14,300</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13,815</w:t>
            </w: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23,552</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23,126</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720" w:type="dxa"/>
            <w:vAlign w:val="bottom"/>
          </w:tcPr>
          <w:p>
            <w:pPr>
              <w:ind w:left="120"/>
              <w:spacing w:after="0"/>
              <w:rPr>
                <w:sz w:val="20"/>
                <w:szCs w:val="20"/>
                <w:color w:val="auto"/>
              </w:rPr>
            </w:pPr>
            <w:r>
              <w:rPr>
                <w:rFonts w:ascii="Arial" w:cs="Arial" w:eastAsia="Arial" w:hAnsi="Arial"/>
                <w:sz w:val="16"/>
                <w:szCs w:val="16"/>
                <w:color w:val="auto"/>
              </w:rPr>
              <w:t>Accounts payable and other current liabilities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2,145</w:t>
            </w:r>
          </w:p>
        </w:tc>
        <w:tc>
          <w:tcPr>
            <w:tcW w:w="120" w:type="dxa"/>
            <w:vAlign w:val="bottom"/>
          </w:tcPr>
          <w:p>
            <w:pPr>
              <w:spacing w:after="0"/>
              <w:rPr>
                <w:sz w:val="24"/>
                <w:szCs w:val="24"/>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83"/>
        </w:trPr>
        <w:tc>
          <w:tcPr>
            <w:tcW w:w="772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2,263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459"/>
        </w:trPr>
        <w:tc>
          <w:tcPr>
            <w:tcW w:w="7720" w:type="dxa"/>
            <w:vAlign w:val="bottom"/>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4"/>
                <w:szCs w:val="24"/>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3,396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2,198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83"/>
        </w:trPr>
        <w:tc>
          <w:tcPr>
            <w:tcW w:w="7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8,603</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8,538</w:t>
            </w:r>
          </w:p>
        </w:tc>
        <w:tc>
          <w:tcPr>
            <w:tcW w:w="0" w:type="dxa"/>
            <w:vAlign w:val="bottom"/>
          </w:tcPr>
          <w:p>
            <w:pPr>
              <w:spacing w:after="0"/>
              <w:rPr>
                <w:sz w:val="1"/>
                <w:szCs w:val="1"/>
                <w:color w:val="auto"/>
              </w:rPr>
            </w:pPr>
          </w:p>
        </w:tc>
      </w:tr>
      <w:tr>
        <w:trPr>
          <w:trHeight w:val="412"/>
        </w:trPr>
        <w:tc>
          <w:tcPr>
            <w:tcW w:w="772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20" w:type="dxa"/>
            <w:vAlign w:val="bottom"/>
          </w:tcPr>
          <w:p>
            <w:pPr>
              <w:ind w:left="120"/>
              <w:spacing w:after="0"/>
              <w:rPr>
                <w:sz w:val="20"/>
                <w:szCs w:val="20"/>
                <w:color w:val="auto"/>
              </w:rPr>
            </w:pPr>
            <w:r>
              <w:rPr>
                <w:rFonts w:ascii="Arial" w:cs="Arial" w:eastAsia="Arial" w:hAnsi="Arial"/>
                <w:sz w:val="16"/>
                <w:szCs w:val="16"/>
                <w:color w:val="auto"/>
              </w:rPr>
              <w:t>Debt</w:t>
            </w:r>
          </w:p>
        </w:tc>
        <w:tc>
          <w:tcPr>
            <w:tcW w:w="280" w:type="dxa"/>
            <w:vAlign w:val="bottom"/>
          </w:tcPr>
          <w:p>
            <w:pPr>
              <w:spacing w:after="0"/>
              <w:rPr>
                <w:sz w:val="24"/>
                <w:szCs w:val="24"/>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2,648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3,132</w:t>
            </w:r>
          </w:p>
        </w:tc>
        <w:tc>
          <w:tcPr>
            <w:tcW w:w="0" w:type="dxa"/>
            <w:vAlign w:val="bottom"/>
          </w:tcPr>
          <w:p>
            <w:pPr>
              <w:spacing w:after="0"/>
              <w:rPr>
                <w:sz w:val="1"/>
                <w:szCs w:val="1"/>
                <w:color w:val="auto"/>
              </w:rPr>
            </w:pPr>
          </w:p>
        </w:tc>
      </w:tr>
      <w:tr>
        <w:trPr>
          <w:trHeight w:val="270"/>
        </w:trPr>
        <w:tc>
          <w:tcPr>
            <w:tcW w:w="7720" w:type="dxa"/>
            <w:vAlign w:val="bottom"/>
          </w:tcPr>
          <w:p>
            <w:pPr>
              <w:ind w:left="120"/>
              <w:spacing w:after="0"/>
              <w:rPr>
                <w:sz w:val="20"/>
                <w:szCs w:val="20"/>
                <w:color w:val="auto"/>
              </w:rPr>
            </w:pPr>
            <w:r>
              <w:rPr>
                <w:rFonts w:ascii="Arial" w:cs="Arial" w:eastAsia="Arial" w:hAnsi="Arial"/>
                <w:sz w:val="16"/>
                <w:szCs w:val="16"/>
                <w:color w:val="auto"/>
              </w:rPr>
              <w:t>Debt due to Avis Budget Rental Car Funding (AESOP) LLC—related party</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9,350</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7,936</w:t>
            </w:r>
          </w:p>
        </w:tc>
        <w:tc>
          <w:tcPr>
            <w:tcW w:w="0" w:type="dxa"/>
            <w:vAlign w:val="bottom"/>
          </w:tcPr>
          <w:p>
            <w:pPr>
              <w:spacing w:after="0"/>
              <w:rPr>
                <w:sz w:val="1"/>
                <w:szCs w:val="1"/>
                <w:color w:val="auto"/>
              </w:rPr>
            </w:pPr>
          </w:p>
        </w:tc>
      </w:tr>
      <w:tr>
        <w:trPr>
          <w:trHeight w:val="270"/>
        </w:trPr>
        <w:tc>
          <w:tcPr>
            <w:tcW w:w="772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2,204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83"/>
        </w:trPr>
        <w:tc>
          <w:tcPr>
            <w:tcW w:w="7720" w:type="dxa"/>
            <w:vAlign w:val="bottom"/>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14,657</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13,932</w:t>
            </w: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720" w:type="dxa"/>
            <w:vAlign w:val="bottom"/>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20" w:type="dxa"/>
            <w:vAlign w:val="bottom"/>
          </w:tcPr>
          <w:p>
            <w:pPr>
              <w:ind w:left="120"/>
              <w:spacing w:after="0"/>
              <w:rPr>
                <w:sz w:val="20"/>
                <w:szCs w:val="20"/>
                <w:color w:val="auto"/>
              </w:rPr>
            </w:pPr>
            <w:r>
              <w:rPr>
                <w:rFonts w:ascii="Arial" w:cs="Arial" w:eastAsia="Arial" w:hAnsi="Arial"/>
                <w:sz w:val="16"/>
                <w:szCs w:val="16"/>
                <w:color w:val="auto"/>
              </w:rPr>
              <w:t>Preferred stock, $0.01 par value—authorized 10 shares; none issued and outstanding, respectively</w:t>
            </w:r>
          </w:p>
        </w:tc>
        <w:tc>
          <w:tcPr>
            <w:tcW w:w="28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20" w:type="dxa"/>
            <w:vAlign w:val="bottom"/>
          </w:tcPr>
          <w:p>
            <w:pPr>
              <w:ind w:left="120"/>
              <w:spacing w:after="0"/>
              <w:rPr>
                <w:sz w:val="20"/>
                <w:szCs w:val="20"/>
                <w:color w:val="auto"/>
              </w:rPr>
            </w:pPr>
            <w:r>
              <w:rPr>
                <w:rFonts w:ascii="Arial" w:cs="Arial" w:eastAsia="Arial" w:hAnsi="Arial"/>
                <w:sz w:val="16"/>
                <w:szCs w:val="16"/>
                <w:color w:val="auto"/>
              </w:rPr>
              <w:t>Common stock, $0.01 par value—authorized 250 shares; issued 137 shares, respectively</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6,677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6,741</w:t>
            </w:r>
          </w:p>
        </w:tc>
        <w:tc>
          <w:tcPr>
            <w:tcW w:w="0" w:type="dxa"/>
            <w:vAlign w:val="bottom"/>
          </w:tcPr>
          <w:p>
            <w:pPr>
              <w:spacing w:after="0"/>
              <w:rPr>
                <w:sz w:val="1"/>
                <w:szCs w:val="1"/>
                <w:color w:val="auto"/>
              </w:rPr>
            </w:pPr>
          </w:p>
        </w:tc>
      </w:tr>
      <w:tr>
        <w:trPr>
          <w:trHeight w:val="270"/>
        </w:trPr>
        <w:tc>
          <w:tcPr>
            <w:tcW w:w="7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70"/>
        </w:trPr>
        <w:tc>
          <w:tcPr>
            <w:tcW w:w="7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83"/>
        </w:trPr>
        <w:tc>
          <w:tcPr>
            <w:tcW w:w="7720" w:type="dxa"/>
            <w:vAlign w:val="bottom"/>
          </w:tcPr>
          <w:p>
            <w:pPr>
              <w:ind w:left="120"/>
              <w:spacing w:after="0"/>
              <w:rPr>
                <w:sz w:val="20"/>
                <w:szCs w:val="20"/>
                <w:color w:val="auto"/>
              </w:rPr>
            </w:pPr>
            <w:r>
              <w:rPr>
                <w:rFonts w:ascii="Arial" w:cs="Arial" w:eastAsia="Arial" w:hAnsi="Arial"/>
                <w:sz w:val="16"/>
                <w:szCs w:val="16"/>
                <w:color w:val="auto"/>
              </w:rPr>
              <w:t>Treasury stock, at cost—68 and 63 shares, respectively</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23,552</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23,126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240"/>
          </w:cols>
          <w:pgMar w:left="320" w:top="140" w:right="3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4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09"/>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9"/>
              </w:rPr>
              <w:t>Avis Budget Group, Inc.</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540" w:type="dxa"/>
            <w:vAlign w:val="bottom"/>
            <w:gridSpan w:val="2"/>
          </w:tcPr>
          <w:p>
            <w:pPr>
              <w:jc w:val="center"/>
              <w:ind w:left="26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8"/>
              </w:rPr>
              <w:t>(In millions)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818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(Unaudited)</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2"/>
        </w:trPr>
        <w:tc>
          <w:tcPr>
            <w:tcW w:w="8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Three Months Ended</w:t>
            </w:r>
          </w:p>
        </w:tc>
      </w:tr>
      <w:tr>
        <w:trPr>
          <w:trHeight w:val="246"/>
        </w:trPr>
        <w:tc>
          <w:tcPr>
            <w:tcW w:w="8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8"/>
              </w:rPr>
              <w:t>March 31,</w:t>
            </w:r>
          </w:p>
        </w:tc>
        <w:tc>
          <w:tcPr>
            <w:tcW w:w="1020" w:type="dxa"/>
            <w:vAlign w:val="bottom"/>
            <w:tcBorders>
              <w:bottom w:val="single" w:sz="8" w:color="auto"/>
            </w:tcBorders>
          </w:tcPr>
          <w:p>
            <w:pPr>
              <w:spacing w:after="0"/>
              <w:rPr>
                <w:sz w:val="21"/>
                <w:szCs w:val="21"/>
                <w:color w:val="auto"/>
              </w:rPr>
            </w:pPr>
          </w:p>
        </w:tc>
      </w:tr>
      <w:tr>
        <w:trPr>
          <w:trHeight w:val="263"/>
        </w:trPr>
        <w:tc>
          <w:tcPr>
            <w:tcW w:w="8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9"/>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7"/>
        </w:trPr>
        <w:tc>
          <w:tcPr>
            <w:tcW w:w="81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4"/>
                <w:szCs w:val="24"/>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56"/>
        </w:trPr>
        <w:tc>
          <w:tcPr>
            <w:tcW w:w="818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180" w:type="dxa"/>
            <w:vAlign w:val="bottom"/>
          </w:tcPr>
          <w:p>
            <w:pPr>
              <w:ind w:left="140"/>
              <w:spacing w:after="0"/>
              <w:rPr>
                <w:sz w:val="20"/>
                <w:szCs w:val="20"/>
                <w:color w:val="auto"/>
              </w:rPr>
            </w:pPr>
            <w:r>
              <w:rPr>
                <w:rFonts w:ascii="Arial" w:cs="Arial" w:eastAsia="Arial" w:hAnsi="Arial"/>
                <w:sz w:val="18"/>
                <w:szCs w:val="18"/>
                <w:color w:val="auto"/>
              </w:rPr>
              <w:t>Vehicle depreciation</w:t>
            </w:r>
          </w:p>
        </w:tc>
        <w:tc>
          <w:tcPr>
            <w:tcW w:w="3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(Gain) loss on sale of vehicles, net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Amortization of debt financing fees</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Early extinguishment of debt costs</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8180" w:type="dxa"/>
            <w:vAlign w:val="bottom"/>
          </w:tcPr>
          <w:p>
            <w:pPr>
              <w:ind w:left="140"/>
              <w:spacing w:after="0"/>
              <w:rPr>
                <w:sz w:val="20"/>
                <w:szCs w:val="20"/>
                <w:color w:val="auto"/>
              </w:rPr>
            </w:pPr>
            <w:r>
              <w:rPr>
                <w:rFonts w:ascii="Arial" w:cs="Arial" w:eastAsia="Arial" w:hAnsi="Arial"/>
                <w:sz w:val="18"/>
                <w:szCs w:val="18"/>
                <w:color w:val="auto"/>
              </w:rPr>
              <w:t>Net change in assets and liabilities: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3"/>
        </w:trPr>
        <w:tc>
          <w:tcPr>
            <w:tcW w:w="818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8180" w:type="dxa"/>
            <w:vAlign w:val="bottom"/>
          </w:tcPr>
          <w:p>
            <w:pPr>
              <w:ind w:left="260"/>
              <w:spacing w:after="0"/>
              <w:rPr>
                <w:sz w:val="20"/>
                <w:szCs w:val="20"/>
                <w:color w:val="auto"/>
              </w:rPr>
            </w:pPr>
            <w:r>
              <w:rPr>
                <w:rFonts w:ascii="Arial" w:cs="Arial" w:eastAsia="Arial" w:hAnsi="Arial"/>
                <w:sz w:val="18"/>
                <w:szCs w:val="18"/>
                <w:color w:val="auto"/>
              </w:rPr>
              <w:t>Income taxes and deferred income taxes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8180" w:type="dxa"/>
            <w:vAlign w:val="bottom"/>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7"/>
        </w:trPr>
        <w:tc>
          <w:tcPr>
            <w:tcW w:w="81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r>
      <w:tr>
        <w:trPr>
          <w:trHeight w:val="527"/>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3"/>
        </w:trPr>
        <w:tc>
          <w:tcPr>
            <w:tcW w:w="8180" w:type="dxa"/>
            <w:vAlign w:val="bottom"/>
          </w:tcPr>
          <w:p>
            <w:pPr>
              <w:ind w:left="40"/>
              <w:spacing w:after="0"/>
              <w:rPr>
                <w:sz w:val="20"/>
                <w:szCs w:val="20"/>
                <w:color w:val="auto"/>
              </w:rPr>
            </w:pPr>
            <w:r>
              <w:rPr>
                <w:rFonts w:ascii="Arial" w:cs="Arial" w:eastAsia="Arial" w:hAnsi="Arial"/>
                <w:sz w:val="18"/>
                <w:szCs w:val="18"/>
                <w:color w:val="auto"/>
              </w:rPr>
              <w:t>Property and equipment additions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180" w:type="dxa"/>
            <w:vAlign w:val="bottom"/>
          </w:tcPr>
          <w:p>
            <w:pPr>
              <w:ind w:left="40"/>
              <w:spacing w:after="0"/>
              <w:rPr>
                <w:sz w:val="20"/>
                <w:szCs w:val="20"/>
                <w:color w:val="auto"/>
              </w:rPr>
            </w:pPr>
            <w:r>
              <w:rPr>
                <w:rFonts w:ascii="Arial" w:cs="Arial" w:eastAsia="Arial" w:hAnsi="Arial"/>
                <w:sz w:val="18"/>
                <w:szCs w:val="18"/>
                <w:color w:val="auto"/>
              </w:rPr>
              <w:t>Proceeds received on asset sales</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8180" w:type="dxa"/>
            <w:vAlign w:val="bottom"/>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81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526"/>
        </w:trPr>
        <w:tc>
          <w:tcPr>
            <w:tcW w:w="8180" w:type="dxa"/>
            <w:vAlign w:val="bottom"/>
          </w:tcPr>
          <w:p>
            <w:pPr>
              <w:ind w:left="40"/>
              <w:spacing w:after="0"/>
              <w:rPr>
                <w:sz w:val="20"/>
                <w:szCs w:val="20"/>
                <w:color w:val="auto"/>
              </w:rPr>
            </w:pPr>
            <w:r>
              <w:rPr>
                <w:rFonts w:ascii="Arial" w:cs="Arial" w:eastAsia="Arial" w:hAnsi="Arial"/>
                <w:sz w:val="18"/>
                <w:szCs w:val="18"/>
                <w:i w:val="1"/>
                <w:iCs w:val="1"/>
                <w:color w:val="auto"/>
              </w:rPr>
              <w:t>Vehicle programs: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180" w:type="dxa"/>
            <w:vAlign w:val="bottom"/>
          </w:tcPr>
          <w:p>
            <w:pPr>
              <w:ind w:left="140"/>
              <w:spacing w:after="0"/>
              <w:rPr>
                <w:sz w:val="20"/>
                <w:szCs w:val="20"/>
                <w:color w:val="auto"/>
              </w:rPr>
            </w:pPr>
            <w:r>
              <w:rPr>
                <w:rFonts w:ascii="Arial" w:cs="Arial" w:eastAsia="Arial" w:hAnsi="Arial"/>
                <w:sz w:val="18"/>
                <w:szCs w:val="18"/>
                <w:color w:val="auto"/>
              </w:rPr>
              <w:t>Investment in vehicles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(4,376)</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Proceeds received on disposition of vehicles</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3,083</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7"/>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r>
      <w:tr>
        <w:trPr>
          <w:trHeight w:val="648"/>
        </w:trPr>
        <w:tc>
          <w:tcPr>
            <w:tcW w:w="8180" w:type="dxa"/>
            <w:vAlign w:val="bottom"/>
          </w:tcPr>
          <w:p>
            <w:pPr>
              <w:jc w:val="center"/>
              <w:ind w:left="2990"/>
              <w:spacing w:after="0"/>
              <w:rPr>
                <w:sz w:val="20"/>
                <w:szCs w:val="20"/>
                <w:color w:val="auto"/>
              </w:rPr>
            </w:pPr>
            <w:r>
              <w:rPr>
                <w:rFonts w:ascii="Arial" w:cs="Arial" w:eastAsia="Arial" w:hAnsi="Arial"/>
                <w:sz w:val="18"/>
                <w:szCs w:val="18"/>
                <w:color w:val="auto"/>
                <w:w w:val="99"/>
              </w:rPr>
              <w:t>6</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598"/>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976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8"/>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1"/>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Three Months Ended</w:t>
            </w:r>
          </w:p>
        </w:tc>
      </w:tr>
      <w:tr>
        <w:trPr>
          <w:trHeight w:val="246"/>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8"/>
              </w:rPr>
              <w:t>March 31,</w:t>
            </w:r>
          </w:p>
        </w:tc>
        <w:tc>
          <w:tcPr>
            <w:tcW w:w="1020" w:type="dxa"/>
            <w:vAlign w:val="bottom"/>
            <w:tcBorders>
              <w:bottom w:val="single" w:sz="8" w:color="auto"/>
            </w:tcBorders>
          </w:tcPr>
          <w:p>
            <w:pPr>
              <w:spacing w:after="0"/>
              <w:rPr>
                <w:sz w:val="21"/>
                <w:szCs w:val="21"/>
                <w:color w:val="auto"/>
              </w:rPr>
            </w:pPr>
          </w:p>
        </w:tc>
      </w:tr>
      <w:tr>
        <w:trPr>
          <w:trHeight w:val="263"/>
        </w:trPr>
        <w:tc>
          <w:tcPr>
            <w:tcW w:w="8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30"/>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7"/>
        </w:trPr>
        <w:tc>
          <w:tcPr>
            <w:tcW w:w="8180" w:type="dxa"/>
            <w:vAlign w:val="bottom"/>
          </w:tcPr>
          <w:p>
            <w:pPr>
              <w:ind w:left="40"/>
              <w:spacing w:after="0"/>
              <w:rPr>
                <w:sz w:val="20"/>
                <w:szCs w:val="20"/>
                <w:color w:val="auto"/>
              </w:rPr>
            </w:pPr>
            <w:r>
              <w:rPr>
                <w:rFonts w:ascii="Arial" w:cs="Arial" w:eastAsia="Arial" w:hAnsi="Arial"/>
                <w:sz w:val="18"/>
                <w:szCs w:val="18"/>
                <w:color w:val="auto"/>
              </w:rPr>
              <w:t>Proceeds from long-term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80" w:type="dxa"/>
            <w:vAlign w:val="bottom"/>
          </w:tcPr>
          <w:p>
            <w:pPr>
              <w:ind w:left="40"/>
              <w:spacing w:after="0"/>
              <w:rPr>
                <w:sz w:val="20"/>
                <w:szCs w:val="20"/>
                <w:color w:val="auto"/>
              </w:rPr>
            </w:pPr>
            <w:r>
              <w:rPr>
                <w:rFonts w:ascii="Arial" w:cs="Arial" w:eastAsia="Arial" w:hAnsi="Arial"/>
                <w:sz w:val="18"/>
                <w:szCs w:val="18"/>
                <w:color w:val="auto"/>
              </w:rPr>
              <w:t>Payments on long-term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8180" w:type="dxa"/>
            <w:vAlign w:val="bottom"/>
          </w:tcPr>
          <w:p>
            <w:pPr>
              <w:ind w:left="40"/>
              <w:spacing w:after="0"/>
              <w:rPr>
                <w:sz w:val="20"/>
                <w:szCs w:val="20"/>
                <w:color w:val="auto"/>
              </w:rPr>
            </w:pPr>
            <w:r>
              <w:rPr>
                <w:rFonts w:ascii="Arial" w:cs="Arial" w:eastAsia="Arial" w:hAnsi="Arial"/>
                <w:sz w:val="18"/>
                <w:szCs w:val="18"/>
                <w:color w:val="auto"/>
              </w:rPr>
              <w:t>Issuance of common stock</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8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8180" w:type="dxa"/>
            <w:vAlign w:val="bottom"/>
          </w:tcPr>
          <w:p>
            <w:pPr>
              <w:ind w:left="40"/>
              <w:spacing w:after="0"/>
              <w:rPr>
                <w:sz w:val="20"/>
                <w:szCs w:val="20"/>
                <w:color w:val="auto"/>
              </w:rPr>
            </w:pPr>
            <w:r>
              <w:rPr>
                <w:rFonts w:ascii="Arial" w:cs="Arial" w:eastAsia="Arial" w:hAnsi="Arial"/>
                <w:sz w:val="18"/>
                <w:szCs w:val="18"/>
                <w:color w:val="auto"/>
              </w:rPr>
              <w:t>Debt financing fees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527"/>
        </w:trPr>
        <w:tc>
          <w:tcPr>
            <w:tcW w:w="8180" w:type="dxa"/>
            <w:vAlign w:val="bottom"/>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5,989</w:t>
            </w:r>
          </w:p>
        </w:tc>
      </w:tr>
      <w:tr>
        <w:trPr>
          <w:trHeight w:val="270"/>
        </w:trPr>
        <w:tc>
          <w:tcPr>
            <w:tcW w:w="8180" w:type="dxa"/>
            <w:vAlign w:val="bottom"/>
          </w:tcPr>
          <w:p>
            <w:pPr>
              <w:ind w:left="140"/>
              <w:spacing w:after="0"/>
              <w:rPr>
                <w:sz w:val="20"/>
                <w:szCs w:val="20"/>
                <w:color w:val="auto"/>
              </w:rPr>
            </w:pPr>
            <w:r>
              <w:rPr>
                <w:rFonts w:ascii="Arial" w:cs="Arial" w:eastAsia="Arial" w:hAnsi="Arial"/>
                <w:sz w:val="18"/>
                <w:szCs w:val="18"/>
                <w:color w:val="auto"/>
              </w:rPr>
              <w:t>Payments on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(5,038)</w:t>
            </w:r>
          </w:p>
        </w:tc>
      </w:tr>
      <w:tr>
        <w:trPr>
          <w:trHeight w:val="277"/>
        </w:trPr>
        <w:tc>
          <w:tcPr>
            <w:tcW w:w="8180" w:type="dxa"/>
            <w:vAlign w:val="bottom"/>
          </w:tcPr>
          <w:p>
            <w:pPr>
              <w:ind w:left="140"/>
              <w:spacing w:after="0"/>
              <w:rPr>
                <w:sz w:val="20"/>
                <w:szCs w:val="20"/>
                <w:color w:val="auto"/>
              </w:rPr>
            </w:pPr>
            <w:r>
              <w:rPr>
                <w:rFonts w:ascii="Arial" w:cs="Arial" w:eastAsia="Arial" w:hAnsi="Arial"/>
                <w:sz w:val="18"/>
                <w:szCs w:val="18"/>
                <w:color w:val="auto"/>
              </w:rPr>
              <w:t>Debt financing fees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946</w:t>
            </w: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w:t>
            </w:r>
          </w:p>
        </w:tc>
      </w:tr>
      <w:tr>
        <w:trPr>
          <w:trHeight w:val="547"/>
        </w:trPr>
        <w:tc>
          <w:tcPr>
            <w:tcW w:w="8180" w:type="dxa"/>
            <w:vAlign w:val="bottom"/>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540"/>
        </w:trPr>
        <w:tc>
          <w:tcPr>
            <w:tcW w:w="818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7"/>
        </w:trPr>
        <w:tc>
          <w:tcPr>
            <w:tcW w:w="818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40"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560" w:type="dxa"/>
            <w:vAlign w:val="bottom"/>
          </w:tcPr>
          <w:p>
            <w:pPr>
              <w:spacing w:after="0"/>
              <w:rPr>
                <w:sz w:val="14"/>
                <w:szCs w:val="14"/>
                <w:color w:val="auto"/>
              </w:rPr>
            </w:pPr>
          </w:p>
        </w:tc>
        <w:tc>
          <w:tcPr>
            <w:tcW w:w="174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 Other</w:t>
            </w:r>
          </w:p>
        </w:tc>
        <w:tc>
          <w:tcPr>
            <w:tcW w:w="1640" w:type="dxa"/>
            <w:vAlign w:val="bottom"/>
            <w:gridSpan w:val="5"/>
          </w:tcPr>
          <w:p>
            <w:pPr>
              <w:ind w:left="40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5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Additional Paid-in</w:t>
            </w: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98"/>
              </w:rPr>
              <w:t>Comprehensive Income</w:t>
            </w: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right"/>
              <w:ind w:right="66"/>
              <w:spacing w:after="0" w:line="100" w:lineRule="exact"/>
              <w:rPr>
                <w:sz w:val="20"/>
                <w:szCs w:val="20"/>
                <w:color w:val="auto"/>
              </w:rPr>
            </w:pPr>
            <w:r>
              <w:rPr>
                <w:rFonts w:ascii="Arial" w:cs="Arial" w:eastAsia="Arial" w:hAnsi="Arial"/>
                <w:sz w:val="11"/>
                <w:szCs w:val="11"/>
                <w:b w:val="1"/>
                <w:bCs w:val="1"/>
                <w:color w:val="auto"/>
                <w:w w:val="95"/>
              </w:rPr>
              <w:t>Total Stockholders’</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2"/>
                <w:szCs w:val="12"/>
                <w:color w:val="auto"/>
              </w:rPr>
            </w:pP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Accumulated Deficit</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(Loss)</w:t>
            </w: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20" w:type="dxa"/>
            <w:vAlign w:val="bottom"/>
          </w:tcPr>
          <w:p>
            <w:pPr>
              <w:jc w:val="right"/>
              <w:ind w:right="3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56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2019</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560" w:type="dxa"/>
            <w:vAlign w:val="bottom"/>
            <w:vMerge w:val="continue"/>
          </w:tcPr>
          <w:p>
            <w:pPr>
              <w:spacing w:after="0"/>
              <w:rPr>
                <w:sz w:val="19"/>
                <w:szCs w:val="19"/>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6,741</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(785)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(63.2)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(5,144)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392"/>
        </w:trPr>
        <w:tc>
          <w:tcPr>
            <w:tcW w:w="2560" w:type="dxa"/>
            <w:vAlign w:val="bottom"/>
          </w:tcPr>
          <w:p>
            <w:pPr>
              <w:spacing w:after="0"/>
              <w:rPr>
                <w:sz w:val="20"/>
                <w:szCs w:val="20"/>
                <w:color w:val="auto"/>
              </w:rPr>
            </w:pPr>
            <w:r>
              <w:rPr>
                <w:rFonts w:ascii="Arial" w:cs="Arial" w:eastAsia="Arial" w:hAnsi="Arial"/>
                <w:sz w:val="11"/>
                <w:szCs w:val="11"/>
                <w:color w:val="auto"/>
              </w:rPr>
              <w:t>Cumulative effect of accounting change</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391"/>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1"/>
                <w:szCs w:val="11"/>
                <w:color w:val="auto"/>
              </w:rPr>
              <w:t>Net loss</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(99)</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(257)</w:t>
            </w:r>
          </w:p>
        </w:tc>
        <w:tc>
          <w:tcPr>
            <w:tcW w:w="0" w:type="dxa"/>
            <w:vAlign w:val="bottom"/>
          </w:tcPr>
          <w:p>
            <w:pPr>
              <w:spacing w:after="0"/>
              <w:rPr>
                <w:sz w:val="1"/>
                <w:szCs w:val="1"/>
                <w:color w:val="auto"/>
              </w:rPr>
            </w:pPr>
          </w:p>
        </w:tc>
      </w:tr>
      <w:tr>
        <w:trPr>
          <w:trHeight w:val="392"/>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1"/>
                <w:szCs w:val="11"/>
                <w:color w:val="auto"/>
              </w:rPr>
              <w:t>Issuance of common stock</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March 31, 2020</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6,677</w:t>
            </w:r>
          </w:p>
        </w:tc>
        <w:tc>
          <w:tcPr>
            <w:tcW w:w="1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(944)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(256)</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(67.5)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(5,186)</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2018</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560" w:type="dxa"/>
            <w:vAlign w:val="bottom"/>
            <w:vMerge w:val="continue"/>
          </w:tcPr>
          <w:p>
            <w:pPr>
              <w:spacing w:after="0"/>
              <w:rPr>
                <w:sz w:val="24"/>
                <w:szCs w:val="2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4"/>
                <w:szCs w:val="24"/>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6,771</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(1,091)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4"/>
                <w:szCs w:val="24"/>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(5,134)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414</w:t>
            </w:r>
          </w:p>
        </w:tc>
        <w:tc>
          <w:tcPr>
            <w:tcW w:w="0" w:type="dxa"/>
            <w:vAlign w:val="bottom"/>
          </w:tcPr>
          <w:p>
            <w:pPr>
              <w:spacing w:after="0"/>
              <w:rPr>
                <w:sz w:val="1"/>
                <w:szCs w:val="1"/>
                <w:color w:val="auto"/>
              </w:rPr>
            </w:pPr>
          </w:p>
        </w:tc>
      </w:tr>
      <w:tr>
        <w:trPr>
          <w:trHeight w:val="392"/>
        </w:trPr>
        <w:tc>
          <w:tcPr>
            <w:tcW w:w="2560" w:type="dxa"/>
            <w:vAlign w:val="bottom"/>
          </w:tcPr>
          <w:p>
            <w:pPr>
              <w:spacing w:after="0"/>
              <w:rPr>
                <w:sz w:val="20"/>
                <w:szCs w:val="20"/>
                <w:color w:val="auto"/>
              </w:rPr>
            </w:pPr>
            <w:r>
              <w:rPr>
                <w:rFonts w:ascii="Arial" w:cs="Arial" w:eastAsia="Arial" w:hAnsi="Arial"/>
                <w:sz w:val="11"/>
                <w:szCs w:val="11"/>
                <w:color w:val="auto"/>
              </w:rPr>
              <w:t>Cumulative effect of accounting change</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92"/>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1"/>
                <w:szCs w:val="11"/>
                <w:color w:val="auto"/>
              </w:rPr>
              <w:t>Net loss</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(96)</w:t>
            </w:r>
          </w:p>
        </w:tc>
        <w:tc>
          <w:tcPr>
            <w:tcW w:w="0" w:type="dxa"/>
            <w:vAlign w:val="bottom"/>
          </w:tcPr>
          <w:p>
            <w:pPr>
              <w:spacing w:after="0"/>
              <w:rPr>
                <w:sz w:val="1"/>
                <w:szCs w:val="1"/>
                <w:color w:val="auto"/>
              </w:rPr>
            </w:pPr>
          </w:p>
        </w:tc>
      </w:tr>
      <w:tr>
        <w:trPr>
          <w:trHeight w:val="392"/>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(29)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March 31, 2019</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6,737</w:t>
            </w:r>
          </w:p>
        </w:tc>
        <w:tc>
          <w:tcPr>
            <w:tcW w:w="1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(1,178)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(61.1)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(5,099)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40" w:right="339" w:bottom="644"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40" w:right="339" w:bottom="644"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80" w:hanging="482"/>
        <w:spacing w:after="0" w:line="26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70" w:lineRule="exact"/>
        <w:rPr>
          <w:rFonts w:ascii="Arial" w:cs="Arial" w:eastAsia="Arial" w:hAnsi="Arial"/>
          <w:sz w:val="18"/>
          <w:szCs w:val="18"/>
          <w:color w:val="auto"/>
        </w:rPr>
      </w:pPr>
    </w:p>
    <w:p>
      <w:pPr>
        <w:ind w:left="1300" w:right="40" w:hanging="482"/>
        <w:spacing w:after="0" w:line="26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the Company does not operate directly.</w:t>
      </w:r>
    </w:p>
    <w:p>
      <w:pPr>
        <w:spacing w:after="0" w:line="193" w:lineRule="exact"/>
        <w:rPr>
          <w:sz w:val="20"/>
          <w:szCs w:val="20"/>
          <w:color w:val="auto"/>
        </w:rPr>
      </w:pPr>
    </w:p>
    <w:p>
      <w:pPr>
        <w:ind w:left="500" w:right="220"/>
        <w:spacing w:after="0" w:line="254"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The fair value of the assets acquired and liabilities assumed in connection with the Company’s 2019 acquisitions of various licensees has not yet been finalized; however, there have been no significant changes to the preliminary allocation of the purchase price during the three months ended March 31, 2020.</w:t>
      </w:r>
    </w:p>
    <w:p>
      <w:pPr>
        <w:spacing w:after="0" w:line="204"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2019 Form 10-K.</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247" w:lineRule="exact"/>
        <w:rPr>
          <w:sz w:val="20"/>
          <w:szCs w:val="20"/>
          <w:color w:val="auto"/>
        </w:rPr>
      </w:pPr>
    </w:p>
    <w:p>
      <w:pPr>
        <w:ind w:left="500" w:right="180"/>
        <w:spacing w:after="0" w:line="271" w:lineRule="auto"/>
        <w:rPr>
          <w:sz w:val="20"/>
          <w:szCs w:val="20"/>
          <w:color w:val="auto"/>
        </w:rPr>
      </w:pPr>
      <w:r>
        <w:rPr>
          <w:rFonts w:ascii="Arial" w:cs="Arial" w:eastAsia="Arial" w:hAnsi="Arial"/>
          <w:sz w:val="17"/>
          <w:szCs w:val="17"/>
          <w:color w:val="auto"/>
        </w:rPr>
        <w:t>The spread of COVID-19 and the recent developments surrounding the global pandemic are having a material negative impact on all aspects of the Company’s business. Significant events affecting travel have historically had an impact on vehicle rental volumes, with the full extent of the impact generally determined by the length of time the event influences travel decisions. The COVID-19 outbreak has had, and the Company believes will continue to have, a significant adverse impact on its operations and vehicle rental volumes, and on its financial results and liquidity, and such negative impact may continue well beyond the containment of the outbreak.</w:t>
      </w:r>
    </w:p>
    <w:p>
      <w:pPr>
        <w:spacing w:after="0" w:line="19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cannot assure its assumptions used to estimate its liquidity requirements will be correct because it has never previously experienced such a decrease in demand, and as a consequence, its ability to be predictive is uncertain. In addition, the magnitude, duration and speed of the global pandemic is uncertain. Therefore, the Company has taken, and plans to take further actions to manage its liquidity, including reducing capital expenditures, operating expenses and the number of vehicles in its fleet. The Company has no meaningful corporate debt maturities until 2023 and do not need to refinance any fleet debt in 2020. We plan to finance the routine 2020 ABS maturities with program cash on hand. As a result, based on current operational assumptions, the Company believes it has adequate liquidity for the balance of 2020 and into 2021.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In April 2020, the Company entered into an amendment (the “Amendment”) to its senior credit facilities, consisting of an approximately $1.2 billion term loan maturing in 2027 and a $1.8 billion revolving credit facility maturing in 2023, which remain in place after the Amendment. The Amendment provides for a relief from the quarterly-tested leverage covenant contained in the credit agreement governing the senior credit facilities until the end of a specific relief period, including a holiday from such leverage covenant through June 30, 2021, during which time (i) certain negative covenant exceptions are not available to the Company, (ii) pricing on the senior credit facilities is increased, (iii) the Company must comply with a liquidity covenant and additional reporting requirements and (iv) the Company must meet additional conditions to borrow loans under the revolving credit facility.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7"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2019 Form 10-K.</w:t>
      </w:r>
    </w:p>
    <w:p>
      <w:pPr>
        <w:spacing w:after="0" w:line="180" w:lineRule="exact"/>
        <w:rPr>
          <w:sz w:val="20"/>
          <w:szCs w:val="20"/>
          <w:color w:val="auto"/>
        </w:rPr>
      </w:pPr>
    </w:p>
    <w:p>
      <w:pPr>
        <w:ind w:left="500" w:right="200"/>
        <w:spacing w:after="0" w:line="266"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6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March 31,</w:t>
            </w:r>
          </w:p>
        </w:tc>
        <w:tc>
          <w:tcPr>
            <w:tcW w:w="440" w:type="dxa"/>
            <w:vAlign w:val="bottom"/>
            <w:tcBorders>
              <w:bottom w:val="single" w:sz="8" w:color="auto"/>
            </w:tcBorders>
          </w:tcPr>
          <w:p>
            <w:pPr>
              <w:spacing w:after="0"/>
              <w:rPr>
                <w:sz w:val="21"/>
                <w:szCs w:val="21"/>
                <w:color w:val="auto"/>
              </w:rPr>
            </w:pPr>
          </w:p>
        </w:tc>
      </w:tr>
      <w:tr>
        <w:trPr>
          <w:trHeight w:val="263"/>
        </w:trPr>
        <w:tc>
          <w:tcPr>
            <w:tcW w:w="66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2"/>
                <w:szCs w:val="22"/>
                <w:color w:val="auto"/>
              </w:rPr>
            </w:pPr>
          </w:p>
        </w:tc>
      </w:tr>
      <w:tr>
        <w:trPr>
          <w:trHeight w:val="243"/>
        </w:trPr>
        <w:tc>
          <w:tcPr>
            <w:tcW w:w="6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540</w:t>
            </w: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Program cash</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7"/>
        </w:trPr>
        <w:tc>
          <w:tcPr>
            <w:tcW w:w="666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auto"/>
                <w:vertAlign w:val="superscript"/>
              </w:rPr>
              <w:t>(a)</w:t>
            </w: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666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8255</wp:posOffset>
            </wp:positionV>
            <wp:extent cx="180022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25400"/>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208" w:lineRule="auto"/>
        <w:tabs>
          <w:tab w:leader="none" w:pos="8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183"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7"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83" w:lineRule="exact"/>
        <w:rPr>
          <w:sz w:val="20"/>
          <w:szCs w:val="20"/>
          <w:color w:val="auto"/>
        </w:rPr>
      </w:pPr>
    </w:p>
    <w:p>
      <w:pPr>
        <w:ind w:left="500" w:right="80"/>
        <w:spacing w:after="0" w:line="266"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March 31, 2020 and 2019, the Company recorded a $5 million loss and $5 million gain, respectively, related to such items.</w:t>
      </w:r>
    </w:p>
    <w:p>
      <w:pPr>
        <w:spacing w:after="0" w:line="176"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2018, the Company entered into a definitive stock purchase agreement to sell its 50% equity method investment in Anji</w:t>
      </w:r>
      <w:r>
        <w:rPr>
          <w:rFonts w:ascii="Arial" w:cs="Arial" w:eastAsia="Arial" w:hAnsi="Arial"/>
          <w:sz w:val="18"/>
          <w:szCs w:val="18"/>
          <w:i w:val="1"/>
          <w:iCs w:val="1"/>
          <w:color w:val="auto"/>
        </w:rPr>
        <w:t xml:space="preserve"> </w:t>
      </w:r>
      <w:r>
        <w:rPr>
          <w:rFonts w:ascii="Arial" w:cs="Arial" w:eastAsia="Arial" w:hAnsi="Arial"/>
          <w:sz w:val="18"/>
          <w:szCs w:val="18"/>
          <w:color w:val="auto"/>
        </w:rPr>
        <w:t>Car Rental &amp; Leasing Company Limited (“China”), located in China, to Shanghai Automotive Industry Sales Company, Ltd., a 50% owner of China. In 2019, the Company completed the sale for $64 million, net of cross-border withholding taxes and recorded a $44 million gain within operating expenses. China’s operations were reported within the Company’s International segment.</w:t>
      </w:r>
    </w:p>
    <w:p>
      <w:pPr>
        <w:spacing w:after="0" w:line="180" w:lineRule="exact"/>
        <w:rPr>
          <w:sz w:val="20"/>
          <w:szCs w:val="20"/>
          <w:color w:val="auto"/>
        </w:rPr>
      </w:pPr>
    </w:p>
    <w:p>
      <w:pPr>
        <w:ind w:left="500" w:right="40"/>
        <w:spacing w:after="0" w:line="266"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March 31, 2020 and December 31, 2019, the Company had equity method investments with a carrying value of $53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$56 million respectively, which are recorded within other non-current assets. Earnings from the Company’s equity method investments are reported within operating expenses.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right="440"/>
        <w:spacing w:after="0" w:line="261" w:lineRule="auto"/>
        <w:rPr>
          <w:sz w:val="20"/>
          <w:szCs w:val="20"/>
          <w:color w:val="auto"/>
        </w:rPr>
      </w:pPr>
      <w:r>
        <w:rPr>
          <w:rFonts w:ascii="Arial" w:cs="Arial" w:eastAsia="Arial" w:hAnsi="Arial"/>
          <w:sz w:val="18"/>
          <w:szCs w:val="18"/>
          <w:color w:val="auto"/>
        </w:rPr>
        <w:t>For the three months ended March 31, 2020 and 2019, the Company recorded an immaterial amount related to its equity method investments.</w:t>
      </w:r>
    </w:p>
    <w:p>
      <w:pPr>
        <w:spacing w:after="0" w:line="180" w:lineRule="exact"/>
        <w:rPr>
          <w:sz w:val="20"/>
          <w:szCs w:val="20"/>
          <w:color w:val="auto"/>
        </w:rPr>
      </w:pPr>
    </w:p>
    <w:p>
      <w:pPr>
        <w:jc w:val="both"/>
        <w:ind w:left="500" w:right="140"/>
        <w:spacing w:after="0" w:line="281" w:lineRule="auto"/>
        <w:rPr>
          <w:sz w:val="20"/>
          <w:szCs w:val="20"/>
          <w:color w:val="auto"/>
        </w:rPr>
      </w:pPr>
      <w:r>
        <w:rPr>
          <w:rFonts w:ascii="Arial" w:cs="Arial" w:eastAsia="Arial" w:hAnsi="Arial"/>
          <w:sz w:val="17"/>
          <w:szCs w:val="17"/>
          <w:i w:val="1"/>
          <w:iCs w:val="1"/>
          <w:color w:val="auto"/>
        </w:rPr>
        <w:t xml:space="preserve">Nonmarketable Equity Securities. </w:t>
      </w:r>
      <w:r>
        <w:rPr>
          <w:rFonts w:ascii="Arial" w:cs="Arial" w:eastAsia="Arial" w:hAnsi="Arial"/>
          <w:sz w:val="17"/>
          <w:szCs w:val="17"/>
          <w:color w:val="auto"/>
        </w:rPr>
        <w:t>As of March 31, 2020 and December 31, 2019, the Company had nonmarketable equity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with a carrying value of $8 million in each period, which are recorded within other non-current assets. During the three months ended March 31, 2019 the Company recorded a $12 million favorable adjustment to the carrying amount of nonmarketable equity securities within operating expense. No adjustments were made to the carrying amounts during the three months ended March 31, 2020.</w:t>
      </w:r>
    </w:p>
    <w:p>
      <w:pPr>
        <w:spacing w:after="0" w:line="165" w:lineRule="exact"/>
        <w:rPr>
          <w:sz w:val="20"/>
          <w:szCs w:val="20"/>
          <w:color w:val="auto"/>
        </w:rPr>
      </w:pPr>
    </w:p>
    <w:p>
      <w:pPr>
        <w:ind w:left="500" w:right="40"/>
        <w:spacing w:after="0" w:line="266" w:lineRule="auto"/>
        <w:rPr>
          <w:sz w:val="20"/>
          <w:szCs w:val="20"/>
          <w:color w:val="auto"/>
        </w:rPr>
      </w:pPr>
      <w:r>
        <w:rPr>
          <w:rFonts w:ascii="Arial" w:cs="Arial" w:eastAsia="Arial" w:hAnsi="Arial"/>
          <w:sz w:val="18"/>
          <w:szCs w:val="18"/>
          <w:i w:val="1"/>
          <w:iCs w:val="1"/>
          <w:color w:val="auto"/>
        </w:rPr>
        <w:t>Revenues. R</w:t>
      </w:r>
      <w:r>
        <w:rPr>
          <w:rFonts w:ascii="Arial" w:cs="Arial" w:eastAsia="Arial" w:hAnsi="Arial"/>
          <w:sz w:val="18"/>
          <w:szCs w:val="18"/>
          <w:color w:val="auto"/>
        </w:rPr>
        <w:t>evenues are recognized under “Leases (Topic 842),” with the exception of royalty fee revenue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licensees and revenue related to the Company’s customer loyalty program, which were approximately $32 million and $30 million during the three months ended March 31, 2020 and 2019, respectively.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geography.</w:t>
      </w:r>
    </w:p>
    <w:p>
      <w:pPr>
        <w:spacing w:after="0" w:line="149"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6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125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5"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60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Americas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1,327</w:t>
            </w: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04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7"/>
        </w:trPr>
        <w:tc>
          <w:tcPr>
            <w:tcW w:w="6600" w:type="dxa"/>
            <w:vAlign w:val="bottom"/>
          </w:tcPr>
          <w:p>
            <w:pPr>
              <w:spacing w:after="0"/>
              <w:rPr>
                <w:sz w:val="20"/>
                <w:szCs w:val="20"/>
                <w:color w:val="auto"/>
              </w:rPr>
            </w:pPr>
            <w:r>
              <w:rPr>
                <w:rFonts w:ascii="Arial" w:cs="Arial" w:eastAsia="Arial" w:hAnsi="Arial"/>
                <w:sz w:val="18"/>
                <w:szCs w:val="18"/>
                <w:color w:val="auto"/>
              </w:rPr>
              <w:t>Asia and Australasia</w:t>
            </w: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Total revenues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r>
      <w:tr>
        <w:trPr>
          <w:trHeight w:val="20"/>
        </w:trPr>
        <w:tc>
          <w:tcPr>
            <w:tcW w:w="6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The following table presents the Company’s revenues disaggregated by brand.</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85"/>
        </w:trPr>
        <w:tc>
          <w:tcPr>
            <w:tcW w:w="6640" w:type="dxa"/>
            <w:vAlign w:val="bottom"/>
          </w:tcPr>
          <w:p>
            <w:pPr>
              <w:spacing w:after="0"/>
              <w:rPr>
                <w:sz w:val="24"/>
                <w:szCs w:val="24"/>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r>
      <w:tr>
        <w:trPr>
          <w:trHeight w:val="264"/>
        </w:trPr>
        <w:tc>
          <w:tcPr>
            <w:tcW w:w="6640" w:type="dxa"/>
            <w:vAlign w:val="bottom"/>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2"/>
                <w:szCs w:val="22"/>
                <w:color w:val="auto"/>
              </w:rPr>
            </w:pPr>
          </w:p>
        </w:tc>
      </w:tr>
      <w:tr>
        <w:trPr>
          <w:trHeight w:val="243"/>
        </w:trPr>
        <w:tc>
          <w:tcPr>
            <w:tcW w:w="6640" w:type="dxa"/>
            <w:vAlign w:val="bottom"/>
          </w:tcPr>
          <w:p>
            <w:pPr>
              <w:ind w:left="320"/>
              <w:spacing w:after="0"/>
              <w:rPr>
                <w:sz w:val="20"/>
                <w:szCs w:val="20"/>
                <w:color w:val="auto"/>
              </w:rPr>
            </w:pPr>
            <w:r>
              <w:rPr>
                <w:rFonts w:ascii="Arial" w:cs="Arial" w:eastAsia="Arial" w:hAnsi="Arial"/>
                <w:sz w:val="18"/>
                <w:szCs w:val="18"/>
                <w:color w:val="auto"/>
              </w:rPr>
              <w:t>Avis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1,100</w:t>
            </w: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Budget</w:t>
            </w:r>
          </w:p>
        </w:tc>
        <w:tc>
          <w:tcPr>
            <w:tcW w:w="122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277"/>
        </w:trPr>
        <w:tc>
          <w:tcPr>
            <w:tcW w:w="6640" w:type="dxa"/>
            <w:vAlign w:val="bottom"/>
          </w:tcPr>
          <w:p>
            <w:pPr>
              <w:ind w:left="3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r>
      <w:tr>
        <w:trPr>
          <w:trHeight w:val="257"/>
        </w:trPr>
        <w:tc>
          <w:tcPr>
            <w:tcW w:w="66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2"/>
                <w:szCs w:val="22"/>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0</wp:posOffset>
            </wp:positionV>
            <wp:extent cx="241744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17445" cy="26035"/>
                    </a:xfrm>
                    <a:prstGeom prst="rect">
                      <a:avLst/>
                    </a:prstGeom>
                    <a:noFill/>
                  </pic:spPr>
                </pic:pic>
              </a:graphicData>
            </a:graphic>
          </wp:anchor>
        </w:drawing>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Intangibles—Goodwill and Other—Internal-Use Software</w:t>
      </w:r>
    </w:p>
    <w:p>
      <w:pPr>
        <w:spacing w:after="0" w:line="24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On January 1, 2020, as the result of a new accounting pronouncement, the Company adopted Accounting Standard Update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in this Update also require the entity to expense the capitalized implementation costs of a hosting arrangement that is a service contract over the term of the hosting arrangement, to present the expense in the same line in its statement of income as the fees associated with the hosting element (service) of the arrangement and classify payments for capitalized implementation costs in its statement of cash flows in the same manner as payments made for fees associated with the hosting element. The entity is also required to present the capitalized implementation costs in its balance sheet in the same line that a prepayment for the fees of the associated hosting arrangement would be presented. The adoption of this accounting pronouncement did not have a material impact on the Company's Consolidated Condensed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140" w:right="3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Measurement</w:t>
      </w:r>
    </w:p>
    <w:p>
      <w:pPr>
        <w:spacing w:after="0" w:line="24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On January 1, 2020, as the result of a new accounting pronouncement, the Company adopted ASU 2018-13, “Disclosure Framework— Changes to the Disclosure Requirements for Fair Value Measurement,” which adds, removes, and modifies disclosure requirements related to fair value measurements. The adoption of this accounting pronouncement did not have a material impact on the Company's Consolidated Condensed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43"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On January 1, 2020, as the result of a new accounting pronouncement, the Company adopted ASU 2016-13, “Financial Instruments— Credit Losses (Topic 326): Measurement of Credit Losses on Financial Instruments,” and related updates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The adoption of this accounting pronouncement did not have a material impact on the Company's Consolidated Condensed Financial Statements.</w:t>
      </w:r>
    </w:p>
    <w:p>
      <w:pPr>
        <w:spacing w:after="0" w:line="187" w:lineRule="exact"/>
        <w:rPr>
          <w:sz w:val="20"/>
          <w:szCs w:val="20"/>
          <w:color w:val="auto"/>
        </w:rPr>
      </w:pPr>
    </w:p>
    <w:p>
      <w:pPr>
        <w:ind w:left="500" w:right="840"/>
        <w:spacing w:after="0" w:line="282" w:lineRule="auto"/>
        <w:rPr>
          <w:sz w:val="20"/>
          <w:szCs w:val="20"/>
          <w:color w:val="auto"/>
        </w:rPr>
      </w:pPr>
      <w:r>
        <w:rPr>
          <w:rFonts w:ascii="Arial" w:cs="Arial" w:eastAsia="Arial" w:hAnsi="Arial"/>
          <w:sz w:val="18"/>
          <w:szCs w:val="18"/>
          <w:i w:val="1"/>
          <w:iCs w:val="1"/>
          <w:color w:val="auto"/>
        </w:rPr>
        <w:t>Financial Disclosures About Guarantors and Issuers of Guaranteed Securities and Affiliates Whose Securities Collateralize a Registrant’s Securities</w:t>
      </w:r>
    </w:p>
    <w:p>
      <w:pPr>
        <w:spacing w:after="0" w:line="180"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During first quarter 2020, the Company early adopted the Securities Exchange Commission’s, “Financial Disclosures About Guarantors and Issuers of Guaranteed Securities and Affiliates Whose Securities Collateralize a Registrant’s Securities” rules, which simplify the disclosure requirements related to the Company’s registered securities under Rule 3-10 of Regulation S-X. The final rule also allows for the simplified disclosure to be included within Management’s Discussion and Analysis of Financial Condition and Results of Operations.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43"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In December 2019, the FASB issued 2019-12, “Simplifying the Accounting for Income Taxes,” which simplifies the accounting for income taxes by removing certain exceptions and improving the application of existing guidance. ASU 2019-12 becomes effective for the Company on January 1, 2021. Early adoption is permitted. The Company is currently evaluating the impact of this accounting pronouncement on its Consolidated Condensed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43"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In August 2018, the FASB issued ASU 2018-14, “Disclosure Framework—Changes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ASU 2018-14 becomes effective for the Company on January 1, 2021. Early adoption is permitted. The adoption of this accounting pronouncement is not expected to have a material impact on the Company's Consolidated Condensed Financial Statements.</w:t>
      </w:r>
    </w:p>
    <w:p>
      <w:pPr>
        <w:spacing w:after="0" w:line="18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Company’s lease revenues disaggregated by geography.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14605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tbl>
      <w:tblPr>
        <w:tblLayout w:type="fixed"/>
        <w:tblInd w:w="860" w:type="dxa"/>
        <w:tblCellMar>
          <w:top w:w="0" w:type="dxa"/>
          <w:left w:w="0" w:type="dxa"/>
          <w:bottom w:w="0" w:type="dxa"/>
          <w:right w:w="0" w:type="dxa"/>
        </w:tblCellMar>
      </w:tblPr>
      <w:tr>
        <w:trPr>
          <w:trHeight w:val="246"/>
        </w:trPr>
        <w:tc>
          <w:tcPr>
            <w:tcW w:w="66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Americas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1,319</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0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7"/>
        </w:trPr>
        <w:tc>
          <w:tcPr>
            <w:tcW w:w="6680" w:type="dxa"/>
            <w:vAlign w:val="bottom"/>
          </w:tcPr>
          <w:p>
            <w:pPr>
              <w:spacing w:after="0"/>
              <w:rPr>
                <w:sz w:val="20"/>
                <w:szCs w:val="20"/>
                <w:color w:val="auto"/>
              </w:rPr>
            </w:pPr>
            <w:r>
              <w:rPr>
                <w:rFonts w:ascii="Arial" w:cs="Arial" w:eastAsia="Arial" w:hAnsi="Arial"/>
                <w:sz w:val="18"/>
                <w:szCs w:val="18"/>
                <w:color w:val="auto"/>
              </w:rPr>
              <w:t>Asia and Australasia</w:t>
            </w: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Total lease revenues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w:t>
            </w:r>
          </w:p>
        </w:tc>
      </w:tr>
      <w:tr>
        <w:trPr>
          <w:trHeight w:val="20"/>
        </w:trPr>
        <w:tc>
          <w:tcPr>
            <w:tcW w:w="6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brand.</w:t>
      </w:r>
    </w:p>
    <w:p>
      <w:pPr>
        <w:spacing w:after="0" w:line="149"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14605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tbl>
      <w:tblPr>
        <w:tblLayout w:type="fixed"/>
        <w:tblInd w:w="860" w:type="dxa"/>
        <w:tblCellMar>
          <w:top w:w="0" w:type="dxa"/>
          <w:left w:w="0" w:type="dxa"/>
          <w:bottom w:w="0" w:type="dxa"/>
          <w:right w:w="0" w:type="dxa"/>
        </w:tblCellMar>
      </w:tblPr>
      <w:tr>
        <w:trPr>
          <w:trHeight w:val="246"/>
        </w:trPr>
        <w:tc>
          <w:tcPr>
            <w:tcW w:w="66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Avis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1,083</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Budget</w:t>
            </w:r>
          </w:p>
        </w:tc>
        <w:tc>
          <w:tcPr>
            <w:tcW w:w="10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640</w:t>
            </w:r>
          </w:p>
        </w:tc>
      </w:tr>
      <w:tr>
        <w:trPr>
          <w:trHeight w:val="277"/>
        </w:trPr>
        <w:tc>
          <w:tcPr>
            <w:tcW w:w="66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Total lease revenues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0</wp:posOffset>
            </wp:positionV>
            <wp:extent cx="214312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25400"/>
                    </a:xfrm>
                    <a:prstGeom prst="rect">
                      <a:avLst/>
                    </a:prstGeom>
                    <a:noFill/>
                  </pic:spPr>
                </pic:pic>
              </a:graphicData>
            </a:graphic>
          </wp:anchor>
        </w:drawing>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The Company’s operating leases for rental locations often also require the Company to pay or reimburse operating expenses.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149"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65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14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5"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700" w:type="dxa"/>
            <w:vAlign w:val="bottom"/>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1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1"/>
                <w:szCs w:val="21"/>
                <w:b w:val="1"/>
                <w:bCs w:val="1"/>
                <w:color w:val="auto"/>
                <w:vertAlign w:val="superscript"/>
              </w:rPr>
              <w:t>(a)</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11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7"/>
        </w:trPr>
        <w:tc>
          <w:tcPr>
            <w:tcW w:w="670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1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property lease expense</w:t>
            </w:r>
          </w:p>
        </w:tc>
        <w:tc>
          <w:tcPr>
            <w:tcW w:w="11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Primarily included in operating expense.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8"/>
                <w:szCs w:val="18"/>
                <w:color w:val="auto"/>
              </w:rPr>
            </w:pPr>
          </w:p>
        </w:tc>
        <w:tc>
          <w:tcPr>
            <w:tcW w:w="2140" w:type="dxa"/>
            <w:vAlign w:val="bottom"/>
          </w:tcPr>
          <w:p>
            <w:pPr>
              <w:jc w:val="right"/>
              <w:ind w:right="910"/>
              <w:spacing w:after="0"/>
              <w:rPr>
                <w:sz w:val="20"/>
                <w:szCs w:val="20"/>
                <w:color w:val="auto"/>
              </w:rPr>
            </w:pPr>
            <w:r>
              <w:rPr>
                <w:rFonts w:ascii="Arial" w:cs="Arial" w:eastAsia="Arial" w:hAnsi="Arial"/>
                <w:sz w:val="18"/>
                <w:szCs w:val="18"/>
                <w:b w:val="1"/>
                <w:bCs w:val="1"/>
                <w:color w:val="auto"/>
              </w:rPr>
              <w:t>As of</w:t>
            </w:r>
          </w:p>
        </w:tc>
      </w:tr>
      <w:tr>
        <w:trPr>
          <w:trHeight w:val="246"/>
        </w:trPr>
        <w:tc>
          <w:tcPr>
            <w:tcW w:w="5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March 31, 2020</w:t>
            </w:r>
          </w:p>
        </w:tc>
        <w:tc>
          <w:tcPr>
            <w:tcW w:w="260" w:type="dxa"/>
            <w:vAlign w:val="bottom"/>
          </w:tcPr>
          <w:p>
            <w:pPr>
              <w:spacing w:after="0"/>
              <w:rPr>
                <w:sz w:val="21"/>
                <w:szCs w:val="21"/>
                <w:color w:val="auto"/>
              </w:rPr>
            </w:pPr>
          </w:p>
        </w:tc>
        <w:tc>
          <w:tcPr>
            <w:tcW w:w="214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2019</w:t>
            </w:r>
          </w:p>
        </w:tc>
      </w:tr>
      <w:tr>
        <w:trPr>
          <w:trHeight w:val="257"/>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Property leases</w:t>
            </w:r>
          </w:p>
        </w:tc>
        <w:tc>
          <w:tcPr>
            <w:tcW w:w="34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spacing w:after="0"/>
              <w:rPr>
                <w:sz w:val="22"/>
                <w:szCs w:val="22"/>
                <w:color w:val="auto"/>
              </w:rPr>
            </w:pPr>
          </w:p>
        </w:tc>
      </w:tr>
      <w:tr>
        <w:trPr>
          <w:trHeight w:val="270"/>
        </w:trPr>
        <w:tc>
          <w:tcPr>
            <w:tcW w:w="5180" w:type="dxa"/>
            <w:vAlign w:val="bottom"/>
          </w:tcPr>
          <w:p>
            <w:pPr>
              <w:ind w:left="260"/>
              <w:spacing w:after="0"/>
              <w:rPr>
                <w:sz w:val="20"/>
                <w:szCs w:val="20"/>
                <w:color w:val="auto"/>
              </w:rPr>
            </w:pPr>
            <w:r>
              <w:rPr>
                <w:rFonts w:ascii="Arial" w:cs="Arial" w:eastAsia="Arial" w:hAnsi="Arial"/>
                <w:sz w:val="18"/>
                <w:szCs w:val="18"/>
                <w:color w:val="auto"/>
              </w:rPr>
              <w:t>Operating lease ROU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10"/>
              <w:spacing w:after="0"/>
              <w:rPr>
                <w:sz w:val="20"/>
                <w:szCs w:val="20"/>
                <w:color w:val="auto"/>
              </w:rPr>
            </w:pPr>
            <w:r>
              <w:rPr>
                <w:rFonts w:ascii="Arial" w:cs="Arial" w:eastAsia="Arial" w:hAnsi="Arial"/>
                <w:sz w:val="18"/>
                <w:szCs w:val="18"/>
                <w:color w:val="auto"/>
              </w:rPr>
              <w:t>2,596</w:t>
            </w:r>
          </w:p>
        </w:tc>
      </w:tr>
      <w:tr>
        <w:trPr>
          <w:trHeight w:val="445"/>
        </w:trPr>
        <w:tc>
          <w:tcPr>
            <w:tcW w:w="5180" w:type="dxa"/>
            <w:vAlign w:val="bottom"/>
          </w:tcPr>
          <w:p>
            <w:pPr>
              <w:ind w:left="26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18"/>
                <w:szCs w:val="18"/>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10"/>
              <w:spacing w:after="0"/>
              <w:rPr>
                <w:sz w:val="20"/>
                <w:szCs w:val="20"/>
                <w:color w:val="auto"/>
              </w:rPr>
            </w:pPr>
            <w:r>
              <w:rPr>
                <w:rFonts w:ascii="Arial" w:cs="Arial" w:eastAsia="Arial" w:hAnsi="Arial"/>
                <w:sz w:val="18"/>
                <w:szCs w:val="18"/>
                <w:color w:val="auto"/>
              </w:rPr>
              <w:t>479</w:t>
            </w:r>
          </w:p>
        </w:tc>
      </w:tr>
      <w:tr>
        <w:trPr>
          <w:trHeight w:val="264"/>
        </w:trPr>
        <w:tc>
          <w:tcPr>
            <w:tcW w:w="518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2,140</w:t>
            </w:r>
          </w:p>
        </w:tc>
      </w:tr>
      <w:tr>
        <w:trPr>
          <w:trHeight w:val="250"/>
        </w:trPr>
        <w:tc>
          <w:tcPr>
            <w:tcW w:w="518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2,619</w:t>
            </w:r>
          </w:p>
        </w:tc>
      </w:tr>
      <w:tr>
        <w:trPr>
          <w:trHeight w:val="432"/>
        </w:trPr>
        <w:tc>
          <w:tcPr>
            <w:tcW w:w="5180" w:type="dxa"/>
            <w:vAlign w:val="bottom"/>
          </w:tcPr>
          <w:p>
            <w:pPr>
              <w:ind w:left="260"/>
              <w:spacing w:after="0"/>
              <w:rPr>
                <w:sz w:val="20"/>
                <w:szCs w:val="20"/>
                <w:color w:val="auto"/>
              </w:rPr>
            </w:pPr>
            <w:r>
              <w:rPr>
                <w:rFonts w:ascii="Arial" w:cs="Arial" w:eastAsia="Arial" w:hAnsi="Arial"/>
                <w:sz w:val="18"/>
                <w:szCs w:val="18"/>
                <w:color w:val="auto"/>
              </w:rPr>
              <w:t>Weighted average remaining lease term</w:t>
            </w:r>
          </w:p>
        </w:tc>
        <w:tc>
          <w:tcPr>
            <w:tcW w:w="340" w:type="dxa"/>
            <w:vAlign w:val="bottom"/>
          </w:tcPr>
          <w:p>
            <w:pPr>
              <w:spacing w:after="0"/>
              <w:rPr>
                <w:sz w:val="24"/>
                <w:szCs w:val="24"/>
                <w:color w:val="auto"/>
              </w:rPr>
            </w:pPr>
          </w:p>
        </w:tc>
        <w:tc>
          <w:tcPr>
            <w:tcW w:w="2160" w:type="dxa"/>
            <w:vAlign w:val="bottom"/>
            <w:gridSpan w:val="2"/>
          </w:tcPr>
          <w:p>
            <w:pPr>
              <w:ind w:left="1120"/>
              <w:spacing w:after="0"/>
              <w:rPr>
                <w:sz w:val="20"/>
                <w:szCs w:val="20"/>
                <w:color w:val="auto"/>
              </w:rPr>
            </w:pPr>
            <w:r>
              <w:rPr>
                <w:rFonts w:ascii="Arial" w:cs="Arial" w:eastAsia="Arial" w:hAnsi="Arial"/>
                <w:sz w:val="18"/>
                <w:szCs w:val="18"/>
                <w:color w:val="auto"/>
              </w:rPr>
              <w:t>9.0 years</w:t>
            </w:r>
          </w:p>
        </w:tc>
        <w:tc>
          <w:tcPr>
            <w:tcW w:w="260" w:type="dxa"/>
            <w:vAlign w:val="bottom"/>
          </w:tcPr>
          <w:p>
            <w:pPr>
              <w:spacing w:after="0"/>
              <w:rPr>
                <w:sz w:val="24"/>
                <w:szCs w:val="24"/>
                <w:color w:val="auto"/>
              </w:rPr>
            </w:pPr>
          </w:p>
        </w:tc>
        <w:tc>
          <w:tcPr>
            <w:tcW w:w="2140" w:type="dxa"/>
            <w:vAlign w:val="bottom"/>
          </w:tcPr>
          <w:p>
            <w:pPr>
              <w:jc w:val="right"/>
              <w:ind w:right="110"/>
              <w:spacing w:after="0"/>
              <w:rPr>
                <w:sz w:val="20"/>
                <w:szCs w:val="20"/>
                <w:color w:val="auto"/>
              </w:rPr>
            </w:pPr>
            <w:r>
              <w:rPr>
                <w:rFonts w:ascii="Arial" w:cs="Arial" w:eastAsia="Arial" w:hAnsi="Arial"/>
                <w:sz w:val="18"/>
                <w:szCs w:val="18"/>
                <w:color w:val="auto"/>
              </w:rPr>
              <w:t>8.9 years</w:t>
            </w:r>
          </w:p>
        </w:tc>
      </w:tr>
      <w:tr>
        <w:trPr>
          <w:trHeight w:val="270"/>
        </w:trPr>
        <w:tc>
          <w:tcPr>
            <w:tcW w:w="5180" w:type="dxa"/>
            <w:vAlign w:val="bottom"/>
          </w:tcPr>
          <w:p>
            <w:pPr>
              <w:ind w:left="26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_________</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spacing w:after="0"/>
              <w:rPr>
                <w:sz w:val="19"/>
                <w:szCs w:val="19"/>
                <w:color w:val="auto"/>
              </w:rPr>
            </w:pPr>
          </w:p>
        </w:tc>
      </w:tr>
    </w:tbl>
    <w:p>
      <w:pPr>
        <w:ind w:left="820" w:hanging="326"/>
        <w:spacing w:after="0" w:line="205" w:lineRule="auto"/>
        <w:tabs>
          <w:tab w:leader="none" w:pos="8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Included in Accounts payable and other current liabilities.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40"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7200" w:type="dxa"/>
            <w:vAlign w:val="bottom"/>
          </w:tcPr>
          <w:p>
            <w:pPr>
              <w:jc w:val="right"/>
              <w:ind w:right="5710"/>
              <w:spacing w:after="0"/>
              <w:rPr>
                <w:rFonts w:ascii="Arial" w:cs="Arial" w:eastAsia="Arial" w:hAnsi="Arial"/>
                <w:sz w:val="18"/>
                <w:szCs w:val="18"/>
                <w:u w:val="single" w:color="auto"/>
                <w:color w:val="0000EE"/>
                <w:w w:val="97"/>
              </w:rPr>
            </w:pPr>
            <w:hyperlink w:anchor="page2">
              <w:r>
                <w:rPr>
                  <w:rFonts w:ascii="Arial" w:cs="Arial" w:eastAsia="Arial" w:hAnsi="Arial"/>
                  <w:sz w:val="18"/>
                  <w:szCs w:val="18"/>
                  <w:u w:val="single" w:color="auto"/>
                  <w:color w:val="0000EE"/>
                  <w:w w:val="97"/>
                </w:rPr>
                <w:t>Table of Contents</w:t>
              </w:r>
            </w:hyperlink>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432"/>
        </w:trPr>
        <w:tc>
          <w:tcPr>
            <w:tcW w:w="7200" w:type="dxa"/>
            <w:vAlign w:val="bottom"/>
          </w:tcPr>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2"/>
        </w:trPr>
        <w:tc>
          <w:tcPr>
            <w:tcW w:w="7200" w:type="dxa"/>
            <w:vAlign w:val="bottom"/>
          </w:tcPr>
          <w:p>
            <w:pPr>
              <w:spacing w:after="0"/>
              <w:rPr>
                <w:sz w:val="24"/>
                <w:szCs w:val="24"/>
                <w:color w:val="auto"/>
              </w:rPr>
            </w:pPr>
          </w:p>
        </w:tc>
        <w:tc>
          <w:tcPr>
            <w:tcW w:w="28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9"/>
              </w:rPr>
              <w:t>Three Months Ended</w:t>
            </w:r>
          </w:p>
        </w:tc>
        <w:tc>
          <w:tcPr>
            <w:tcW w:w="540" w:type="dxa"/>
            <w:vAlign w:val="bottom"/>
          </w:tcPr>
          <w:p>
            <w:pPr>
              <w:spacing w:after="0"/>
              <w:rPr>
                <w:sz w:val="24"/>
                <w:szCs w:val="24"/>
                <w:color w:val="auto"/>
              </w:rPr>
            </w:pPr>
          </w:p>
        </w:tc>
      </w:tr>
      <w:tr>
        <w:trPr>
          <w:trHeight w:val="246"/>
        </w:trPr>
        <w:tc>
          <w:tcPr>
            <w:tcW w:w="72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1"/>
                <w:szCs w:val="21"/>
                <w:color w:val="auto"/>
              </w:rPr>
            </w:pPr>
          </w:p>
        </w:tc>
      </w:tr>
      <w:tr>
        <w:trPr>
          <w:trHeight w:val="263"/>
        </w:trPr>
        <w:tc>
          <w:tcPr>
            <w:tcW w:w="7200" w:type="dxa"/>
            <w:vAlign w:val="bottom"/>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57"/>
        </w:trPr>
        <w:tc>
          <w:tcPr>
            <w:tcW w:w="7200" w:type="dxa"/>
            <w:vAlign w:val="bottom"/>
          </w:tcPr>
          <w:p>
            <w:pPr>
              <w:ind w:left="520"/>
              <w:spacing w:after="0"/>
              <w:rPr>
                <w:sz w:val="20"/>
                <w:szCs w:val="20"/>
                <w:color w:val="auto"/>
              </w:rPr>
            </w:pPr>
            <w:r>
              <w:rPr>
                <w:rFonts w:ascii="Arial" w:cs="Arial" w:eastAsia="Arial" w:hAnsi="Arial"/>
                <w:sz w:val="18"/>
                <w:szCs w:val="18"/>
                <w:color w:val="auto"/>
              </w:rPr>
              <w:t>Cash payments for lease liabilities within operating activities:</w:t>
            </w: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0"/>
        </w:trPr>
        <w:tc>
          <w:tcPr>
            <w:tcW w:w="7200" w:type="dxa"/>
            <w:vAlign w:val="bottom"/>
          </w:tcPr>
          <w:p>
            <w:pPr>
              <w:ind w:left="760"/>
              <w:spacing w:after="0"/>
              <w:rPr>
                <w:sz w:val="20"/>
                <w:szCs w:val="20"/>
                <w:color w:val="auto"/>
              </w:rPr>
            </w:pPr>
            <w:r>
              <w:rPr>
                <w:rFonts w:ascii="Arial" w:cs="Arial" w:eastAsia="Arial" w:hAnsi="Arial"/>
                <w:sz w:val="18"/>
                <w:szCs w:val="18"/>
                <w:color w:val="auto"/>
              </w:rPr>
              <w:t>Property operating leases</w:t>
            </w:r>
          </w:p>
        </w:tc>
        <w:tc>
          <w:tcPr>
            <w:tcW w:w="11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110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42"/>
        </w:trPr>
        <w:tc>
          <w:tcPr>
            <w:tcW w:w="7200" w:type="dxa"/>
            <w:vAlign w:val="bottom"/>
          </w:tcPr>
          <w:p>
            <w:pPr>
              <w:ind w:left="520"/>
              <w:spacing w:after="0"/>
              <w:rPr>
                <w:sz w:val="20"/>
                <w:szCs w:val="20"/>
                <w:color w:val="auto"/>
              </w:rPr>
            </w:pPr>
            <w:r>
              <w:rPr>
                <w:rFonts w:ascii="Arial" w:cs="Arial" w:eastAsia="Arial" w:hAnsi="Arial"/>
                <w:sz w:val="18"/>
                <w:szCs w:val="18"/>
                <w:color w:val="auto"/>
              </w:rPr>
              <w:t>Non-cash activities - increase (decrease) in ROU assets in exchange for lease</w:t>
            </w: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17"/>
        </w:trPr>
        <w:tc>
          <w:tcPr>
            <w:tcW w:w="7200" w:type="dxa"/>
            <w:vAlign w:val="bottom"/>
          </w:tcPr>
          <w:p>
            <w:pPr>
              <w:jc w:val="right"/>
              <w:ind w:right="5690"/>
              <w:spacing w:after="0"/>
              <w:rPr>
                <w:sz w:val="20"/>
                <w:szCs w:val="20"/>
                <w:color w:val="auto"/>
              </w:rPr>
            </w:pPr>
            <w:r>
              <w:rPr>
                <w:rFonts w:ascii="Arial" w:cs="Arial" w:eastAsia="Arial" w:hAnsi="Arial"/>
                <w:sz w:val="18"/>
                <w:szCs w:val="18"/>
                <w:color w:val="auto"/>
              </w:rPr>
              <w:t>liabilities:</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83"/>
        </w:trPr>
        <w:tc>
          <w:tcPr>
            <w:tcW w:w="7200" w:type="dxa"/>
            <w:vAlign w:val="bottom"/>
          </w:tcPr>
          <w:p>
            <w:pPr>
              <w:ind w:left="760"/>
              <w:spacing w:after="0"/>
              <w:rPr>
                <w:sz w:val="20"/>
                <w:szCs w:val="20"/>
                <w:color w:val="auto"/>
              </w:rPr>
            </w:pPr>
            <w:r>
              <w:rPr>
                <w:rFonts w:ascii="Arial" w:cs="Arial" w:eastAsia="Arial" w:hAnsi="Arial"/>
                <w:sz w:val="18"/>
                <w:szCs w:val="18"/>
                <w:color w:val="auto"/>
              </w:rPr>
              <w:t xml:space="preserve">Property operating leases </w:t>
            </w:r>
            <w:r>
              <w:rPr>
                <w:rFonts w:ascii="Arial" w:cs="Arial" w:eastAsia="Arial" w:hAnsi="Arial"/>
                <w:sz w:val="18"/>
                <w:szCs w:val="18"/>
                <w:color w:val="auto"/>
                <w:vertAlign w:val="superscript"/>
              </w:rPr>
              <w:t>(a)</w:t>
            </w:r>
          </w:p>
        </w:tc>
        <w:tc>
          <w:tcPr>
            <w:tcW w:w="114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820" w:hanging="326"/>
        <w:spacing w:after="0" w:line="195" w:lineRule="auto"/>
        <w:tabs>
          <w:tab w:leader="none" w:pos="820" w:val="left"/>
        </w:tabs>
        <w:numPr>
          <w:ilvl w:val="1"/>
          <w:numId w:val="10"/>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March 31, 2019, ROU assets obtained in exchange for lease liabilities from initial recognition</w:t>
      </w:r>
      <w:r>
        <w:rPr>
          <w:rFonts w:ascii="Arial" w:cs="Arial" w:eastAsia="Arial" w:hAnsi="Arial"/>
          <w:sz w:val="14"/>
          <w:szCs w:val="14"/>
          <w:color w:val="auto"/>
        </w:rPr>
        <w:t>.</w:t>
      </w:r>
    </w:p>
    <w:p>
      <w:pPr>
        <w:spacing w:after="0" w:line="186" w:lineRule="exact"/>
        <w:rPr>
          <w:rFonts w:ascii="Arial" w:cs="Arial" w:eastAsia="Arial" w:hAnsi="Arial"/>
          <w:sz w:val="22"/>
          <w:szCs w:val="22"/>
          <w:color w:val="auto"/>
          <w:vertAlign w:val="superscript"/>
        </w:rPr>
      </w:pPr>
    </w:p>
    <w:p>
      <w:pPr>
        <w:ind w:left="500" w:right="7180" w:hanging="492"/>
        <w:spacing w:after="0" w:line="513" w:lineRule="auto"/>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spacing w:after="0" w:line="1" w:lineRule="exact"/>
        <w:rPr>
          <w:rFonts w:ascii="Arial" w:cs="Arial" w:eastAsia="Arial" w:hAnsi="Arial"/>
          <w:sz w:val="18"/>
          <w:szCs w:val="18"/>
          <w:b w:val="1"/>
          <w:bCs w:val="1"/>
          <w:color w:val="auto"/>
        </w:rPr>
      </w:pPr>
    </w:p>
    <w:p>
      <w:pPr>
        <w:ind w:left="50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2020, the Company initiated a global restructuring plan to reduce operating costs, such as headcount and facilities, due to declining reservations and revenue resulting from the COVID-19 outbreak (“2020 Optimization Plan”). During the three months ended March 31, 2020, as part of this process, the Company formally communicated the termination of employment to approximately 585 employees, and as of March 31, 2020, the Company had terminated approximately 450 of these employees. The Company expects further restructuring expense of approximately $15 million related to this initiative to be incurred in 2020.</w:t>
      </w:r>
    </w:p>
    <w:p>
      <w:pPr>
        <w:spacing w:after="0" w:line="205" w:lineRule="exact"/>
        <w:rPr>
          <w:rFonts w:ascii="Arial" w:cs="Arial" w:eastAsia="Arial" w:hAnsi="Arial"/>
          <w:sz w:val="18"/>
          <w:szCs w:val="18"/>
          <w:b w:val="1"/>
          <w:bCs w:val="1"/>
          <w:color w:val="auto"/>
        </w:rPr>
      </w:pPr>
    </w:p>
    <w:p>
      <w:pPr>
        <w:ind w:left="50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third quarter 2019, the Company initiated a restructuring plan to exit its operations in Brazil by closing rental facilities, disposing of assets and terminating personnel (“Brazil”). During the three months ended March 31, 2020, as part of this initiative, the Company formally communicated the termination of employment to approximately 20 employees. The Company expects further restructuring expense of approximately $7 million to be incurred.</w:t>
      </w:r>
    </w:p>
    <w:p>
      <w:pPr>
        <w:spacing w:after="0" w:line="203"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2019, the Company initiated a restructuring plan to drive global efficiency by improving processes and consolidating functions, and to create new objectives and strategies for its U.S. truck rental operations by reducing headcount, large vehicles and rental locations (“T19”). This initiative is substantially complete.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0"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identifies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left="234"/>
              <w:spacing w:after="0"/>
              <w:rPr>
                <w:sz w:val="20"/>
                <w:szCs w:val="20"/>
                <w:color w:val="auto"/>
              </w:rPr>
            </w:pPr>
            <w:r>
              <w:rPr>
                <w:rFonts w:ascii="Arial" w:cs="Arial" w:eastAsia="Arial" w:hAnsi="Arial"/>
                <w:sz w:val="16"/>
                <w:szCs w:val="16"/>
                <w:b w:val="1"/>
                <w:bCs w:val="1"/>
                <w:color w:val="auto"/>
                <w:w w:val="99"/>
              </w:rPr>
              <w:t>Americas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International</w:t>
            </w:r>
          </w:p>
        </w:tc>
        <w:tc>
          <w:tcPr>
            <w:tcW w:w="30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Balance as of January 1, 2020</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r>
      <w:tr>
        <w:trPr>
          <w:trHeight w:val="270"/>
        </w:trPr>
        <w:tc>
          <w:tcPr>
            <w:tcW w:w="448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4480" w:type="dxa"/>
            <w:vAlign w:val="bottom"/>
          </w:tcPr>
          <w:p>
            <w:pPr>
              <w:ind w:left="10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4480" w:type="dxa"/>
            <w:vAlign w:val="bottom"/>
          </w:tcPr>
          <w:p>
            <w:pPr>
              <w:ind w:left="24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4480" w:type="dxa"/>
            <w:vAlign w:val="bottom"/>
          </w:tcPr>
          <w:p>
            <w:pPr>
              <w:spacing w:after="0"/>
              <w:rPr>
                <w:sz w:val="20"/>
                <w:szCs w:val="20"/>
                <w:color w:val="auto"/>
              </w:rPr>
            </w:pPr>
            <w:r>
              <w:rPr>
                <w:rFonts w:ascii="Arial" w:cs="Arial" w:eastAsia="Arial" w:hAnsi="Arial"/>
                <w:sz w:val="18"/>
                <w:szCs w:val="18"/>
                <w:color w:val="auto"/>
              </w:rPr>
              <w:t>Balance as of March 31, 2020</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r>
      <w:tr>
        <w:trPr>
          <w:trHeight w:val="20"/>
        </w:trPr>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08"/>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left="234"/>
              <w:spacing w:after="0"/>
              <w:rPr>
                <w:sz w:val="20"/>
                <w:szCs w:val="20"/>
                <w:color w:val="auto"/>
              </w:rPr>
            </w:pPr>
            <w:r>
              <w:rPr>
                <w:rFonts w:ascii="Arial" w:cs="Arial" w:eastAsia="Arial" w:hAnsi="Arial"/>
                <w:sz w:val="16"/>
                <w:szCs w:val="16"/>
                <w:b w:val="1"/>
                <w:bCs w:val="1"/>
                <w:color w:val="auto"/>
              </w:rPr>
              <w:t>Facility</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Personnel</w:t>
            </w:r>
          </w:p>
        </w:tc>
        <w:tc>
          <w:tcPr>
            <w:tcW w:w="1040" w:type="dxa"/>
            <w:vAlign w:val="bottom"/>
          </w:tcPr>
          <w:p>
            <w:pPr>
              <w:jc w:val="center"/>
              <w:ind w:left="214"/>
              <w:spacing w:after="0"/>
              <w:rPr>
                <w:sz w:val="20"/>
                <w:szCs w:val="20"/>
                <w:color w:val="auto"/>
              </w:rPr>
            </w:pPr>
            <w:r>
              <w:rPr>
                <w:rFonts w:ascii="Arial" w:cs="Arial" w:eastAsia="Arial" w:hAnsi="Arial"/>
                <w:sz w:val="16"/>
                <w:szCs w:val="16"/>
                <w:b w:val="1"/>
                <w:bCs w:val="1"/>
                <w:color w:val="auto"/>
              </w:rPr>
              <w:t>Related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60"/>
              <w:spacing w:after="0" w:line="234" w:lineRule="exact"/>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(a)</w:t>
            </w:r>
          </w:p>
        </w:tc>
        <w:tc>
          <w:tcPr>
            <w:tcW w:w="30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Balance as of January 1, 2020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r>
      <w:tr>
        <w:trPr>
          <w:trHeight w:val="270"/>
        </w:trPr>
        <w:tc>
          <w:tcPr>
            <w:tcW w:w="448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4480" w:type="dxa"/>
            <w:vAlign w:val="bottom"/>
          </w:tcPr>
          <w:p>
            <w:pPr>
              <w:ind w:left="10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4480" w:type="dxa"/>
            <w:vAlign w:val="bottom"/>
          </w:tcPr>
          <w:p>
            <w:pPr>
              <w:ind w:left="24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6"/>
        </w:trPr>
        <w:tc>
          <w:tcPr>
            <w:tcW w:w="4480" w:type="dxa"/>
            <w:vAlign w:val="bottom"/>
          </w:tcPr>
          <w:p>
            <w:pPr>
              <w:spacing w:after="0"/>
              <w:rPr>
                <w:sz w:val="20"/>
                <w:szCs w:val="20"/>
                <w:color w:val="auto"/>
              </w:rPr>
            </w:pPr>
            <w:r>
              <w:rPr>
                <w:rFonts w:ascii="Arial" w:cs="Arial" w:eastAsia="Arial" w:hAnsi="Arial"/>
                <w:sz w:val="18"/>
                <w:szCs w:val="18"/>
                <w:color w:val="auto"/>
              </w:rPr>
              <w:t>Balance as of March 31, 2020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89" w:lineRule="auto"/>
        <w:tabs>
          <w:tab w:leader="none" w:pos="8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 (“LVOP”)</w:t>
      </w:r>
    </w:p>
    <w:p>
      <w:pPr>
        <w:spacing w:after="0" w:line="243"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During 2020, the Company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three months ended March 31, 2020, the Company recorded other related charges of approximately $15 million in connection with the LVOP. As of March 31, 2020, approximately 400 qualified employees elected to participate in the plan and approximately 280 of all participants had been terminated.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43" w:lineRule="exact"/>
        <w:rPr>
          <w:sz w:val="20"/>
          <w:szCs w:val="20"/>
          <w:color w:val="auto"/>
        </w:rPr>
      </w:pPr>
    </w:p>
    <w:p>
      <w:pPr>
        <w:ind w:left="500" w:right="120"/>
        <w:spacing w:after="0" w:line="291" w:lineRule="auto"/>
        <w:rPr>
          <w:sz w:val="20"/>
          <w:szCs w:val="20"/>
          <w:color w:val="auto"/>
        </w:rPr>
      </w:pPr>
      <w:r>
        <w:rPr>
          <w:rFonts w:ascii="Arial" w:cs="Arial" w:eastAsia="Arial" w:hAnsi="Arial"/>
          <w:sz w:val="17"/>
          <w:szCs w:val="17"/>
          <w:color w:val="auto"/>
        </w:rPr>
        <w:t>In March 2020, the Company announced the departure of Michael K. Tucker as Executive Vice President, General Counsel effective March 27, 2020. In connection with Mr. Tucker’s separation, the Company recorded other related charges of approximately $2 million.</w:t>
      </w:r>
    </w:p>
    <w:p>
      <w:pPr>
        <w:spacing w:after="0" w:line="174"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March 2019, the Company announced the resignation of Mark J. Servodidio as the Company’s President, International effective June 14, 2019. In connection with Mr. Servodidio’s departure, the Company recorded other related charges of approximately $3 million, inclusive of accelerated stock-based compensation expense.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9"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14605</wp:posOffset>
            </wp:positionV>
            <wp:extent cx="15087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1"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7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43"/>
        </w:trPr>
        <w:tc>
          <w:tcPr>
            <w:tcW w:w="7680" w:type="dxa"/>
            <w:vAlign w:val="bottom"/>
          </w:tcPr>
          <w:p>
            <w:pPr>
              <w:spacing w:after="0"/>
              <w:rPr>
                <w:sz w:val="20"/>
                <w:szCs w:val="20"/>
                <w:color w:val="auto"/>
              </w:rPr>
            </w:pPr>
            <w:r>
              <w:rPr>
                <w:rFonts w:ascii="Arial" w:cs="Arial" w:eastAsia="Arial" w:hAnsi="Arial"/>
                <w:sz w:val="18"/>
                <w:szCs w:val="18"/>
                <w:color w:val="auto"/>
              </w:rPr>
              <w:t>Net loss for basic and diluted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557"/>
        </w:trPr>
        <w:tc>
          <w:tcPr>
            <w:tcW w:w="7680" w:type="dxa"/>
            <w:vAlign w:val="bottom"/>
          </w:tcPr>
          <w:p>
            <w:pPr>
              <w:spacing w:after="0"/>
              <w:rPr>
                <w:sz w:val="20"/>
                <w:szCs w:val="20"/>
                <w:color w:val="auto"/>
              </w:rPr>
            </w:pPr>
            <w:r>
              <w:rPr>
                <w:rFonts w:ascii="Arial" w:cs="Arial" w:eastAsia="Arial" w:hAnsi="Arial"/>
                <w:sz w:val="18"/>
                <w:szCs w:val="18"/>
                <w:color w:val="auto"/>
              </w:rPr>
              <w:t xml:space="preserve">Basic and diluted weighted average shares outstanding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442"/>
        </w:trPr>
        <w:tc>
          <w:tcPr>
            <w:tcW w:w="7680" w:type="dxa"/>
            <w:vAlign w:val="bottom"/>
          </w:tcPr>
          <w:p>
            <w:pPr>
              <w:spacing w:after="0"/>
              <w:rPr>
                <w:sz w:val="20"/>
                <w:szCs w:val="20"/>
                <w:color w:val="auto"/>
              </w:rPr>
            </w:pPr>
            <w:r>
              <w:rPr>
                <w:rFonts w:ascii="Arial" w:cs="Arial" w:eastAsia="Arial" w:hAnsi="Arial"/>
                <w:sz w:val="18"/>
                <w:szCs w:val="18"/>
                <w:i w:val="1"/>
                <w:iCs w:val="1"/>
                <w:color w:val="auto"/>
              </w:rPr>
              <w:t>Loss per share: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2" w:lineRule="exact"/>
        <w:rPr>
          <w:sz w:val="20"/>
          <w:szCs w:val="20"/>
          <w:color w:val="auto"/>
        </w:rPr>
      </w:pPr>
    </w:p>
    <w:p>
      <w:pPr>
        <w:ind w:left="820" w:right="320" w:hanging="326"/>
        <w:spacing w:after="0" w:line="210" w:lineRule="auto"/>
        <w:tabs>
          <w:tab w:leader="none" w:pos="820" w:val="left"/>
        </w:tabs>
        <w:numPr>
          <w:ilvl w:val="1"/>
          <w:numId w:val="14"/>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March 31, 2020 and 2019, 1.3 million and 1.3 million non-vested stock awards, respectively, have an anti-dilutive effect and therefore are excluded from the computation of diluted weighted average shares outstanding.</w:t>
      </w:r>
    </w:p>
    <w:p>
      <w:pPr>
        <w:spacing w:after="0" w:line="159"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Avis and Budget Licensees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During first quarter 2020, the Company completed the acquisitions of various licensees in North America, for approximately $21 million, plus $21 million for acquired fleet. These investments were in-line with the Company’s strategy to re-acquire licensees when advantageous to expand its footprint of Company-operated locations. The acquired fleet was financed under the Company’s existing financing arrangements. In connection with these acquisitions, approximately $21 million was recorded in other intangibles related to license agreements. The license agreements are being amortized over a weighted average useful life of approximately two years. The fair value of the assets acquired and liabilities assumed has not yet been finalized and is therefore subject to change.</w:t>
      </w:r>
    </w:p>
    <w:p>
      <w:pPr>
        <w:spacing w:after="0" w:line="186"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4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As of</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4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As of December</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2020</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31, 2019</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Prepaid expenses</w:t>
            </w:r>
          </w:p>
        </w:tc>
        <w:tc>
          <w:tcPr>
            <w:tcW w:w="466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Sales and use taxes</w:t>
            </w:r>
          </w:p>
        </w:tc>
        <w:tc>
          <w:tcPr>
            <w:tcW w:w="3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7"/>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34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3320" w:type="dxa"/>
            <w:vAlign w:val="bottom"/>
          </w:tcPr>
          <w:p>
            <w:pPr>
              <w:spacing w:after="0"/>
              <w:rPr>
                <w:sz w:val="20"/>
                <w:szCs w:val="20"/>
                <w:color w:val="auto"/>
              </w:rPr>
            </w:pPr>
            <w:r>
              <w:rPr>
                <w:rFonts w:ascii="Arial" w:cs="Arial" w:eastAsia="Arial" w:hAnsi="Arial"/>
                <w:sz w:val="18"/>
                <w:szCs w:val="18"/>
                <w:color w:val="auto"/>
              </w:rPr>
              <w:t>Other current assets</w:t>
            </w:r>
          </w:p>
        </w:tc>
        <w:tc>
          <w:tcPr>
            <w:tcW w:w="466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420" w:type="dxa"/>
            <w:vAlign w:val="bottom"/>
            <w:vMerge w:val="restart"/>
          </w:tcPr>
          <w:p>
            <w:pPr>
              <w:jc w:val="right"/>
              <w:ind w:right="1450"/>
              <w:spacing w:after="0"/>
              <w:rPr>
                <w:sz w:val="20"/>
                <w:szCs w:val="20"/>
                <w:color w:val="auto"/>
              </w:rPr>
            </w:pPr>
            <w:r>
              <w:rPr>
                <w:rFonts w:ascii="Arial" w:cs="Arial" w:eastAsia="Arial" w:hAnsi="Arial"/>
                <w:sz w:val="18"/>
                <w:szCs w:val="18"/>
                <w:color w:val="auto"/>
              </w:rPr>
              <w:t>16</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3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As of March 31, 2020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6"/>
                <w:szCs w:val="16"/>
                <w:b w:val="1"/>
                <w:bCs w:val="1"/>
                <w:color w:val="auto"/>
              </w:rPr>
              <w:t>As of December 31, 2019</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5"/>
                <w:szCs w:val="15"/>
                <w:color w:val="auto"/>
              </w:rPr>
            </w:pPr>
          </w:p>
        </w:tc>
        <w:tc>
          <w:tcPr>
            <w:tcW w:w="92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17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2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6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2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6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640" w:type="dxa"/>
            <w:vAlign w:val="bottom"/>
          </w:tcPr>
          <w:p>
            <w:pPr>
              <w:spacing w:after="0"/>
              <w:rPr>
                <w:sz w:val="20"/>
                <w:szCs w:val="20"/>
                <w:color w:val="auto"/>
              </w:rPr>
            </w:pPr>
            <w:r>
              <w:rPr>
                <w:rFonts w:ascii="Arial" w:cs="Arial" w:eastAsia="Arial" w:hAnsi="Arial"/>
                <w:sz w:val="16"/>
                <w:szCs w:val="16"/>
                <w:i w:val="1"/>
                <w:iCs w:val="1"/>
                <w:color w:val="auto"/>
              </w:rPr>
              <w:t>Amortized Intangible Assets</w:t>
            </w: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40" w:type="dxa"/>
            <w:vAlign w:val="bottom"/>
          </w:tcPr>
          <w:p>
            <w:pPr>
              <w:spacing w:after="0"/>
              <w:rPr>
                <w:sz w:val="20"/>
                <w:szCs w:val="20"/>
                <w:color w:val="auto"/>
              </w:rPr>
            </w:pPr>
            <w:r>
              <w:rPr>
                <w:rFonts w:ascii="Arial" w:cs="Arial" w:eastAsia="Arial" w:hAnsi="Arial"/>
                <w:sz w:val="16"/>
                <w:szCs w:val="16"/>
                <w:color w:val="auto"/>
              </w:rPr>
              <w:t>License agreements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257</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241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7"/>
        </w:trPr>
        <w:tc>
          <w:tcPr>
            <w:tcW w:w="264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1"/>
        </w:trPr>
        <w:tc>
          <w:tcPr>
            <w:tcW w:w="2640" w:type="dxa"/>
            <w:vAlign w:val="bottom"/>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557</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546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64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6"/>
                <w:szCs w:val="16"/>
                <w:color w:val="auto"/>
              </w:rPr>
              <w:t>Trademarks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For the three months ended March 31, 2020 and 2019, amortization expense related to amortizable intangible assets was approximately $13 million and $17 million, respectively. Based on the Company’s amortizable intangible assets at March 31, 2020, the Company expects amortization expense of approximately $47 million for the remainder of 2020, $53 million for 2021, $32 million for 2022, $24 million for 2023, $21 million for 2024 and $16 million for 2025, excluding effects of currency exchange rates.</w:t>
      </w:r>
    </w:p>
    <w:p>
      <w:pPr>
        <w:spacing w:after="0" w:line="18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r>
      <w:tr>
        <w:trPr>
          <w:trHeight w:val="270"/>
        </w:trPr>
        <w:tc>
          <w:tcPr>
            <w:tcW w:w="6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70"/>
        </w:trPr>
        <w:tc>
          <w:tcPr>
            <w:tcW w:w="6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6740" w:type="dxa"/>
            <w:vAlign w:val="bottom"/>
          </w:tcPr>
          <w:p>
            <w:pPr>
              <w:spacing w:after="0"/>
              <w:rPr>
                <w:sz w:val="20"/>
                <w:szCs w:val="20"/>
                <w:color w:val="auto"/>
              </w:rPr>
            </w:pPr>
            <w:r>
              <w:rPr>
                <w:rFonts w:ascii="Arial" w:cs="Arial" w:eastAsia="Arial" w:hAnsi="Arial"/>
                <w:sz w:val="18"/>
                <w:szCs w:val="18"/>
                <w:color w:val="auto"/>
              </w:rPr>
              <w:t>Rental vehicles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13,001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13,461</w:t>
            </w:r>
          </w:p>
        </w:tc>
      </w:tr>
      <w:tr>
        <w:trPr>
          <w:trHeight w:val="277"/>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r>
      <w:tr>
        <w:trPr>
          <w:trHeight w:val="243"/>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11,840</w:t>
            </w:r>
          </w:p>
        </w:tc>
      </w:tr>
      <w:tr>
        <w:trPr>
          <w:trHeight w:val="277"/>
        </w:trPr>
        <w:tc>
          <w:tcPr>
            <w:tcW w:w="67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r>
      <w:tr>
        <w:trPr>
          <w:trHeight w:val="256"/>
        </w:trPr>
        <w:tc>
          <w:tcPr>
            <w:tcW w:w="6740" w:type="dxa"/>
            <w:vAlign w:val="bottom"/>
          </w:tcPr>
          <w:p>
            <w:pPr>
              <w:spacing w:after="0"/>
              <w:rPr>
                <w:sz w:val="20"/>
                <w:szCs w:val="20"/>
                <w:color w:val="auto"/>
              </w:rPr>
            </w:pPr>
            <w:r>
              <w:rPr>
                <w:rFonts w:ascii="Arial" w:cs="Arial" w:eastAsia="Arial" w:hAnsi="Arial"/>
                <w:sz w:val="18"/>
                <w:szCs w:val="18"/>
                <w:color w:val="auto"/>
              </w:rPr>
              <w:t>Vehicles,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12,177</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160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5"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Lease charges</w:t>
            </w:r>
          </w:p>
        </w:tc>
        <w:tc>
          <w:tcPr>
            <w:tcW w:w="1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7"/>
        </w:trPr>
        <w:tc>
          <w:tcPr>
            <w:tcW w:w="674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1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6"/>
        </w:trPr>
        <w:tc>
          <w:tcPr>
            <w:tcW w:w="67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r>
      <w:tr>
        <w:trPr>
          <w:trHeight w:val="20"/>
        </w:trPr>
        <w:tc>
          <w:tcPr>
            <w:tcW w:w="6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line="265" w:lineRule="auto"/>
        <w:rPr>
          <w:sz w:val="20"/>
          <w:szCs w:val="20"/>
          <w:color w:val="auto"/>
        </w:rPr>
      </w:pPr>
      <w:r>
        <w:rPr>
          <w:rFonts w:ascii="Arial" w:cs="Arial" w:eastAsia="Arial" w:hAnsi="Arial"/>
          <w:sz w:val="17"/>
          <w:szCs w:val="17"/>
          <w:color w:val="auto"/>
        </w:rPr>
        <w:t>At March 31, 2020 and 2019, the Company had payables related to vehicle purchases included in liabilities under vehicle programs - other of $240 million and $632 million, respectively, and receivables related to vehicle sales included in assets under vehicle programs</w:t>
      </w:r>
    </w:p>
    <w:p>
      <w:pPr>
        <w:ind w:left="500"/>
        <w:spacing w:after="0"/>
        <w:rPr>
          <w:sz w:val="20"/>
          <w:szCs w:val="20"/>
          <w:color w:val="auto"/>
        </w:rPr>
      </w:pPr>
      <w:r>
        <w:rPr>
          <w:rFonts w:ascii="Arial" w:cs="Arial" w:eastAsia="Arial" w:hAnsi="Arial"/>
          <w:sz w:val="18"/>
          <w:szCs w:val="18"/>
          <w:color w:val="auto"/>
        </w:rPr>
        <w:t>- receivables from vehicle manufacturers and other of $491 million and $474 million, respectively.</w:t>
      </w:r>
    </w:p>
    <w:p>
      <w:pPr>
        <w:spacing w:after="0" w:line="203"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2020 and 2019 were benefits of 40.4% and 33.1%, respectively. Such rates differed from the Federal statutory rate of 21.0% primarily due to foreign taxes on our international operations and state taxes.</w:t>
      </w:r>
    </w:p>
    <w:p>
      <w:pPr>
        <w:sectPr>
          <w:pgSz w:w="11900" w:h="16838" w:orient="portrait"/>
          <w:cols w:equalWidth="0" w:num="1">
            <w:col w:w="11160"/>
          </w:cols>
          <w:pgMar w:left="320" w:top="140" w:right="4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160"/>
          </w:cols>
          <w:pgMar w:left="320" w:top="140" w:right="4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b w:val="1"/>
                <w:bCs w:val="1"/>
                <w:color w:val="auto"/>
              </w:rPr>
              <w:t>10.   Accounts Payable and Other Current Liabilities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720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24"/>
                <w:szCs w:val="24"/>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r>
      <w:tr>
        <w:trPr>
          <w:trHeight w:val="270"/>
        </w:trPr>
        <w:tc>
          <w:tcPr>
            <w:tcW w:w="7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70"/>
        </w:trPr>
        <w:tc>
          <w:tcPr>
            <w:tcW w:w="7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7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7200" w:type="dxa"/>
            <w:vAlign w:val="bottom"/>
          </w:tcPr>
          <w:p>
            <w:pPr>
              <w:ind w:left="520"/>
              <w:spacing w:after="0"/>
              <w:rPr>
                <w:sz w:val="20"/>
                <w:szCs w:val="20"/>
                <w:color w:val="auto"/>
              </w:rPr>
            </w:pPr>
            <w:r>
              <w:rPr>
                <w:rFonts w:ascii="Arial" w:cs="Arial" w:eastAsia="Arial" w:hAnsi="Arial"/>
                <w:sz w:val="18"/>
                <w:szCs w:val="18"/>
                <w:color w:val="auto"/>
              </w:rPr>
              <w:t>Short-term operating lease liabilities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479</w:t>
            </w:r>
          </w:p>
        </w:tc>
      </w:tr>
      <w:tr>
        <w:trPr>
          <w:trHeight w:val="270"/>
        </w:trPr>
        <w:tc>
          <w:tcPr>
            <w:tcW w:w="720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0"/>
        </w:trPr>
        <w:tc>
          <w:tcPr>
            <w:tcW w:w="7200" w:type="dxa"/>
            <w:vAlign w:val="bottom"/>
          </w:tcPr>
          <w:p>
            <w:pPr>
              <w:ind w:left="520"/>
              <w:spacing w:after="0"/>
              <w:rPr>
                <w:sz w:val="20"/>
                <w:szCs w:val="20"/>
                <w:color w:val="auto"/>
              </w:rPr>
            </w:pPr>
            <w:r>
              <w:rPr>
                <w:rFonts w:ascii="Arial" w:cs="Arial" w:eastAsia="Arial" w:hAnsi="Arial"/>
                <w:sz w:val="18"/>
                <w:szCs w:val="18"/>
                <w:color w:val="auto"/>
              </w:rPr>
              <w:t>Accrued sales and use taxes</w:t>
            </w:r>
          </w:p>
        </w:tc>
        <w:tc>
          <w:tcPr>
            <w:tcW w:w="2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0"/>
        </w:trPr>
        <w:tc>
          <w:tcPr>
            <w:tcW w:w="7200" w:type="dxa"/>
            <w:vAlign w:val="bottom"/>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2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0"/>
        </w:trPr>
        <w:tc>
          <w:tcPr>
            <w:tcW w:w="7200" w:type="dxa"/>
            <w:vAlign w:val="bottom"/>
          </w:tcPr>
          <w:p>
            <w:pPr>
              <w:ind w:left="520"/>
              <w:spacing w:after="0"/>
              <w:rPr>
                <w:sz w:val="20"/>
                <w:szCs w:val="20"/>
                <w:color w:val="auto"/>
              </w:rPr>
            </w:pPr>
            <w:r>
              <w:rPr>
                <w:rFonts w:ascii="Arial" w:cs="Arial" w:eastAsia="Arial" w:hAnsi="Arial"/>
                <w:sz w:val="18"/>
                <w:szCs w:val="18"/>
                <w:color w:val="auto"/>
              </w:rPr>
              <w:t>Accrued advertising and marketing</w:t>
            </w:r>
          </w:p>
        </w:tc>
        <w:tc>
          <w:tcPr>
            <w:tcW w:w="2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0"/>
        </w:trPr>
        <w:tc>
          <w:tcPr>
            <w:tcW w:w="7200" w:type="dxa"/>
            <w:vAlign w:val="bottom"/>
          </w:tcPr>
          <w:p>
            <w:pPr>
              <w:ind w:left="520"/>
              <w:spacing w:after="0"/>
              <w:rPr>
                <w:sz w:val="20"/>
                <w:szCs w:val="20"/>
                <w:color w:val="auto"/>
              </w:rPr>
            </w:pPr>
            <w:r>
              <w:rPr>
                <w:rFonts w:ascii="Arial" w:cs="Arial" w:eastAsia="Arial" w:hAnsi="Arial"/>
                <w:sz w:val="18"/>
                <w:szCs w:val="18"/>
                <w:color w:val="auto"/>
              </w:rPr>
              <w:t>Accrued payroll and related</w:t>
            </w:r>
          </w:p>
        </w:tc>
        <w:tc>
          <w:tcPr>
            <w:tcW w:w="2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7"/>
        </w:trPr>
        <w:tc>
          <w:tcPr>
            <w:tcW w:w="7200" w:type="dxa"/>
            <w:vAlign w:val="bottom"/>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562</w:t>
            </w:r>
          </w:p>
        </w:tc>
      </w:tr>
      <w:tr>
        <w:trPr>
          <w:trHeight w:val="256"/>
        </w:trPr>
        <w:tc>
          <w:tcPr>
            <w:tcW w:w="7200" w:type="dxa"/>
            <w:vAlign w:val="bottom"/>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2,206</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right="5140" w:hanging="492"/>
        <w:spacing w:after="0" w:line="488" w:lineRule="auto"/>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tbl>
      <w:tblPr>
        <w:tblLayout w:type="fixed"/>
        <w:tblInd w:w="52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182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Maturity</w:t>
            </w:r>
          </w:p>
        </w:tc>
        <w:tc>
          <w:tcPr>
            <w:tcW w:w="24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534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8"/>
        </w:trPr>
        <w:tc>
          <w:tcPr>
            <w:tcW w:w="5340" w:type="dxa"/>
            <w:vAlign w:val="bottom"/>
          </w:tcPr>
          <w:p>
            <w:pPr>
              <w:spacing w:after="0"/>
              <w:rPr>
                <w:sz w:val="19"/>
                <w:szCs w:val="19"/>
                <w:color w:val="auto"/>
              </w:rPr>
            </w:pPr>
          </w:p>
        </w:tc>
        <w:tc>
          <w:tcPr>
            <w:tcW w:w="1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340" w:type="dxa"/>
            <w:vAlign w:val="bottom"/>
          </w:tcPr>
          <w:p>
            <w:pPr>
              <w:spacing w:after="0"/>
              <w:rPr>
                <w:sz w:val="20"/>
                <w:szCs w:val="20"/>
                <w:color w:val="auto"/>
              </w:rPr>
            </w:pPr>
            <w:r>
              <w:rPr>
                <w:rFonts w:ascii="Arial" w:cs="Arial" w:eastAsia="Arial" w:hAnsi="Arial"/>
                <w:sz w:val="16"/>
                <w:szCs w:val="16"/>
                <w:color w:val="auto"/>
              </w:rPr>
              <w:t xml:space="preserve">5½% Senior Notes </w:t>
            </w:r>
            <w:r>
              <w:rPr>
                <w:rFonts w:ascii="Arial" w:cs="Arial" w:eastAsia="Arial" w:hAnsi="Arial"/>
                <w:sz w:val="21"/>
                <w:szCs w:val="21"/>
                <w:color w:val="auto"/>
                <w:vertAlign w:val="superscript"/>
              </w:rPr>
              <w:t>(a)</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20"/>
                <w:szCs w:val="20"/>
                <w:color w:val="auto"/>
              </w:rPr>
            </w:pPr>
            <w:r>
              <w:rPr>
                <w:rFonts w:ascii="Arial" w:cs="Arial" w:eastAsia="Arial" w:hAnsi="Arial"/>
                <w:sz w:val="16"/>
                <w:szCs w:val="16"/>
                <w:color w:val="auto"/>
              </w:rPr>
              <w:t>6⅜% Senior Notes</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24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6"/>
                <w:szCs w:val="16"/>
                <w:color w:val="auto"/>
              </w:rPr>
              <w:t>4⅛% euro-denominated Senior Notes</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6"/>
                <w:szCs w:val="16"/>
                <w:color w:val="auto"/>
              </w:rPr>
              <w:t>5¼% Senior Notes</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6"/>
                <w:szCs w:val="16"/>
                <w:color w:val="auto"/>
              </w:rPr>
              <w:t>4½% euro-denominated Senior Notes</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6"/>
                <w:szCs w:val="16"/>
                <w:color w:val="auto"/>
              </w:rPr>
              <w:t>4¾% euro-denominated Senior Notes</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6"/>
                <w:szCs w:val="16"/>
                <w:color w:val="auto"/>
              </w:rPr>
              <w:t>5¾% Senior Notes</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340"/>
        </w:trPr>
        <w:tc>
          <w:tcPr>
            <w:tcW w:w="5340" w:type="dxa"/>
            <w:vAlign w:val="bottom"/>
          </w:tcPr>
          <w:p>
            <w:pPr>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2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75"/>
        </w:trPr>
        <w:tc>
          <w:tcPr>
            <w:tcW w:w="5340" w:type="dxa"/>
            <w:vAlign w:val="bottom"/>
          </w:tcPr>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6"/>
                <w:szCs w:val="16"/>
                <w:color w:val="auto"/>
              </w:rPr>
              <w:t>Total</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83"/>
        </w:trPr>
        <w:tc>
          <w:tcPr>
            <w:tcW w:w="534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0"/>
        </w:trPr>
        <w:tc>
          <w:tcPr>
            <w:tcW w:w="5340" w:type="dxa"/>
            <w:vAlign w:val="bottom"/>
          </w:tcPr>
          <w:p>
            <w:pPr>
              <w:spacing w:after="0"/>
              <w:rPr>
                <w:sz w:val="20"/>
                <w:szCs w:val="20"/>
                <w:color w:val="auto"/>
              </w:rPr>
            </w:pPr>
            <w:r>
              <w:rPr>
                <w:rFonts w:ascii="Arial" w:cs="Arial" w:eastAsia="Arial" w:hAnsi="Arial"/>
                <w:sz w:val="16"/>
                <w:szCs w:val="16"/>
                <w:color w:val="auto"/>
              </w:rPr>
              <w:t>Long-term debt</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6" w:lineRule="auto"/>
        <w:tabs>
          <w:tab w:leader="none" w:pos="8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 portion of these notes have been called for early redemption.</w:t>
      </w:r>
    </w:p>
    <w:p>
      <w:pPr>
        <w:ind w:left="820" w:hanging="326"/>
        <w:spacing w:after="0" w:line="225" w:lineRule="auto"/>
        <w:tabs>
          <w:tab w:leader="none" w:pos="8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March 31, 2020, the floating rate term loan due 2027 bears interest at one-month LIBOR plus 175 basis points, for an aggregate rate of 2.74%. The Company has entered into a swap to hedge $700 million of its interest rate exposure related to the floating rate term loan at an aggregate rate of 3.42%.</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1"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In February 2020, the Company amended its Floating Rate Term Loan due 2025 to extend its maturity term to 2027 and reduce its interest to one-month LIBOR plus 1.75%. The Company increased the outstanding borrowing principal amount of the Floating Rate Term Loan to $1.2 billion and on April 1, 2020 used the additional loan amount to redeem $100 million of its outstanding 5½% Senior Notes due 2023.</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2020,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6"/>
                <w:szCs w:val="16"/>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58"/>
        </w:trPr>
        <w:tc>
          <w:tcPr>
            <w:tcW w:w="41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17"/>
                <w:szCs w:val="17"/>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590</w:t>
            </w:r>
          </w:p>
        </w:tc>
      </w:tr>
      <w:tr>
        <w:trPr>
          <w:trHeight w:val="187"/>
        </w:trPr>
        <w:tc>
          <w:tcPr>
            <w:tcW w:w="4120" w:type="dxa"/>
            <w:vAlign w:val="bottom"/>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right="60" w:hanging="326"/>
        <w:spacing w:after="0" w:line="217" w:lineRule="auto"/>
        <w:tabs>
          <w:tab w:leader="none" w:pos="8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facilities, which include the floating rate term loan and the senior revolving credit facility, and which are secured by pledges</w:t>
      </w:r>
    </w:p>
    <w:p>
      <w:pPr>
        <w:sectPr>
          <w:pgSz w:w="11900" w:h="16838" w:orient="portrait"/>
          <w:cols w:equalWidth="0" w:num="1">
            <w:col w:w="11080"/>
          </w:cols>
          <w:pgMar w:left="320" w:top="140" w:right="499" w:bottom="1440" w:gutter="0" w:footer="0" w:header="0"/>
        </w:sect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080"/>
          </w:cols>
          <w:pgMar w:left="320" w:top="140" w:right="4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left="820"/>
        <w:spacing w:after="0"/>
        <w:rPr>
          <w:sz w:val="20"/>
          <w:szCs w:val="20"/>
          <w:color w:val="auto"/>
        </w:rPr>
      </w:pPr>
      <w:r>
        <w:rPr>
          <w:rFonts w:ascii="Arial" w:cs="Arial" w:eastAsia="Arial" w:hAnsi="Arial"/>
          <w:sz w:val="14"/>
          <w:szCs w:val="14"/>
          <w:color w:val="auto"/>
        </w:rPr>
        <w:t>of capital stock of certain subsidiaries of the Company, liens on substantially all of the Company’s intellectual property and certain other real and personal property.</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right="10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facilities also contain a consolidated first lien leverage ratio requirement. As of March 31, 2020, the Company was in compliance with the financial covenants governing its indebtedness.</w:t>
      </w:r>
    </w:p>
    <w:p>
      <w:pPr>
        <w:spacing w:after="0" w:line="183"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Americas - Debt due to Avis Budget Rental Car Funding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9,392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color w:val="auto"/>
              </w:rPr>
              <w:t>International - Debt borrowings</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color w:val="auto"/>
              </w:rPr>
              <w:t>International - Finance leases</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7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67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320" w:hanging="326"/>
        <w:spacing w:after="0" w:line="217"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March 31, 2020 and December 31, 2019 was $42 million and $40 million, respectively.</w:t>
      </w:r>
    </w:p>
    <w:p>
      <w:pPr>
        <w:spacing w:after="0" w:line="202"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color w:val="auto"/>
        </w:rPr>
        <w:t>In January 2020, the Company’s Avis Budget Rental Car Funding subsidiary issued approximately $700 million in asset-backed notes with an expected final payment date of August 2025 incurring interest at a weighted average rate of 2.42%.</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47"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March 31, 2020.</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right="154"/>
              <w:spacing w:after="0"/>
              <w:rPr>
                <w:sz w:val="20"/>
                <w:szCs w:val="20"/>
                <w:color w:val="auto"/>
              </w:rPr>
            </w:pPr>
            <w:r>
              <w:rPr>
                <w:rFonts w:ascii="Arial" w:cs="Arial" w:eastAsia="Arial" w:hAnsi="Arial"/>
                <w:sz w:val="18"/>
                <w:szCs w:val="18"/>
                <w:b w:val="1"/>
                <w:bCs w:val="1"/>
                <w:color w:val="auto"/>
              </w:rPr>
              <w:t>Debt under</w:t>
            </w:r>
          </w:p>
        </w:tc>
      </w:tr>
      <w:tr>
        <w:trPr>
          <w:trHeight w:val="210"/>
        </w:trPr>
        <w:tc>
          <w:tcPr>
            <w:tcW w:w="85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Vehicle Programs</w:t>
            </w:r>
          </w:p>
        </w:tc>
      </w:tr>
      <w:tr>
        <w:trPr>
          <w:trHeight w:val="142"/>
        </w:trPr>
        <w:tc>
          <w:tcPr>
            <w:tcW w:w="8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54"/>
              <w:spacing w:after="0"/>
              <w:rPr>
                <w:sz w:val="20"/>
                <w:szCs w:val="20"/>
                <w:color w:val="auto"/>
              </w:rPr>
            </w:pPr>
            <w:r>
              <w:rPr>
                <w:rFonts w:ascii="Arial" w:cs="Arial" w:eastAsia="Arial" w:hAnsi="Arial"/>
                <w:sz w:val="11"/>
                <w:szCs w:val="11"/>
                <w:b w:val="1"/>
                <w:bCs w:val="1"/>
                <w:color w:val="auto"/>
                <w:w w:val="88"/>
              </w:rPr>
              <w:t>(a)</w:t>
            </w:r>
          </w:p>
        </w:tc>
      </w:tr>
      <w:tr>
        <w:trPr>
          <w:trHeight w:val="22"/>
        </w:trPr>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8500" w:type="dxa"/>
            <w:vAlign w:val="bottom"/>
          </w:tcPr>
          <w:p>
            <w:pPr>
              <w:spacing w:after="0"/>
              <w:rPr>
                <w:sz w:val="20"/>
                <w:szCs w:val="20"/>
                <w:color w:val="auto"/>
              </w:rPr>
            </w:pPr>
            <w:r>
              <w:rPr>
                <w:rFonts w:ascii="Arial" w:cs="Arial" w:eastAsia="Arial" w:hAnsi="Arial"/>
                <w:sz w:val="18"/>
                <w:szCs w:val="18"/>
                <w:color w:val="auto"/>
              </w:rPr>
              <w:t>Within 1 year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1,694</w:t>
            </w:r>
          </w:p>
        </w:tc>
      </w:tr>
      <w:tr>
        <w:trPr>
          <w:trHeight w:val="296"/>
        </w:trPr>
        <w:tc>
          <w:tcPr>
            <w:tcW w:w="8500" w:type="dxa"/>
            <w:vAlign w:val="bottom"/>
          </w:tcPr>
          <w:p>
            <w:pPr>
              <w:spacing w:after="0"/>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1"/>
                <w:szCs w:val="21"/>
                <w:color w:val="auto"/>
                <w:vertAlign w:val="superscript"/>
              </w:rPr>
              <w:t>(b)</w:t>
            </w:r>
          </w:p>
        </w:tc>
        <w:tc>
          <w:tcPr>
            <w:tcW w:w="240" w:type="dxa"/>
            <w:vAlign w:val="bottom"/>
          </w:tcPr>
          <w:p>
            <w:pPr>
              <w:spacing w:after="0"/>
              <w:rPr>
                <w:sz w:val="24"/>
                <w:szCs w:val="24"/>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5,607</w:t>
            </w:r>
          </w:p>
        </w:tc>
      </w:tr>
      <w:tr>
        <w:trPr>
          <w:trHeight w:val="217"/>
        </w:trPr>
        <w:tc>
          <w:tcPr>
            <w:tcW w:w="8500" w:type="dxa"/>
            <w:vAlign w:val="bottom"/>
          </w:tcPr>
          <w:p>
            <w:pPr>
              <w:spacing w:after="0"/>
              <w:rPr>
                <w:sz w:val="20"/>
                <w:szCs w:val="20"/>
                <w:color w:val="auto"/>
              </w:rPr>
            </w:pPr>
            <w:r>
              <w:rPr>
                <w:rFonts w:ascii="Arial" w:cs="Arial" w:eastAsia="Arial" w:hAnsi="Arial"/>
                <w:sz w:val="18"/>
                <w:szCs w:val="18"/>
                <w:color w:val="auto"/>
              </w:rPr>
              <w:t>Between 2 and 3 years</w:t>
            </w:r>
          </w:p>
        </w:tc>
        <w:tc>
          <w:tcPr>
            <w:tcW w:w="24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1,406</w:t>
            </w:r>
          </w:p>
        </w:tc>
      </w:tr>
      <w:tr>
        <w:trPr>
          <w:trHeight w:val="257"/>
        </w:trPr>
        <w:tc>
          <w:tcPr>
            <w:tcW w:w="8500" w:type="dxa"/>
            <w:vAlign w:val="bottom"/>
          </w:tcPr>
          <w:p>
            <w:pPr>
              <w:spacing w:after="0"/>
              <w:rPr>
                <w:sz w:val="20"/>
                <w:szCs w:val="20"/>
                <w:color w:val="auto"/>
              </w:rPr>
            </w:pPr>
            <w:r>
              <w:rPr>
                <w:rFonts w:ascii="Arial" w:cs="Arial" w:eastAsia="Arial" w:hAnsi="Arial"/>
                <w:sz w:val="18"/>
                <w:szCs w:val="18"/>
                <w:color w:val="auto"/>
              </w:rPr>
              <w:t>Between 3 and 4 years</w:t>
            </w:r>
          </w:p>
        </w:tc>
        <w:tc>
          <w:tcPr>
            <w:tcW w:w="240" w:type="dxa"/>
            <w:vAlign w:val="bottom"/>
          </w:tcPr>
          <w:p>
            <w:pPr>
              <w:spacing w:after="0"/>
              <w:rPr>
                <w:sz w:val="22"/>
                <w:szCs w:val="22"/>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1,136</w:t>
            </w:r>
          </w:p>
        </w:tc>
      </w:tr>
      <w:tr>
        <w:trPr>
          <w:trHeight w:val="256"/>
        </w:trPr>
        <w:tc>
          <w:tcPr>
            <w:tcW w:w="8500" w:type="dxa"/>
            <w:vAlign w:val="bottom"/>
          </w:tcPr>
          <w:p>
            <w:pPr>
              <w:spacing w:after="0"/>
              <w:rPr>
                <w:sz w:val="20"/>
                <w:szCs w:val="20"/>
                <w:color w:val="auto"/>
              </w:rPr>
            </w:pPr>
            <w:r>
              <w:rPr>
                <w:rFonts w:ascii="Arial" w:cs="Arial" w:eastAsia="Arial" w:hAnsi="Arial"/>
                <w:sz w:val="18"/>
                <w:szCs w:val="18"/>
                <w:color w:val="auto"/>
              </w:rPr>
              <w:t>Between 4 and 5 years</w:t>
            </w:r>
          </w:p>
        </w:tc>
        <w:tc>
          <w:tcPr>
            <w:tcW w:w="240" w:type="dxa"/>
            <w:vAlign w:val="bottom"/>
          </w:tcPr>
          <w:p>
            <w:pPr>
              <w:spacing w:after="0"/>
              <w:rPr>
                <w:sz w:val="22"/>
                <w:szCs w:val="22"/>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1,583</w:t>
            </w:r>
          </w:p>
        </w:tc>
      </w:tr>
      <w:tr>
        <w:trPr>
          <w:trHeight w:val="263"/>
        </w:trPr>
        <w:tc>
          <w:tcPr>
            <w:tcW w:w="850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622</w:t>
            </w:r>
          </w:p>
        </w:tc>
      </w:tr>
      <w:tr>
        <w:trPr>
          <w:trHeight w:val="257"/>
        </w:trPr>
        <w:tc>
          <w:tcPr>
            <w:tcW w:w="85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12,048</w:t>
            </w:r>
          </w:p>
        </w:tc>
      </w:tr>
      <w:tr>
        <w:trPr>
          <w:trHeight w:val="20"/>
        </w:trPr>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6"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Vehicle-backed debt primarily represents asset-backed securities.</w:t>
      </w:r>
    </w:p>
    <w:p>
      <w:pPr>
        <w:ind w:left="820" w:hanging="326"/>
        <w:spacing w:after="0" w:line="199"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$4.8 billion of bank and bank-sponsored facilities.</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140"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As of March 31, 2020, available funding under the Company’s vehicle programs, including related party debt due to Avis Budget Rental Car Funding, consisted of:</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Outstanding</w:t>
            </w:r>
          </w:p>
        </w:tc>
        <w:tc>
          <w:tcPr>
            <w:tcW w:w="260" w:type="dxa"/>
            <w:vAlign w:val="bottom"/>
          </w:tcPr>
          <w:p>
            <w:pPr>
              <w:spacing w:after="0"/>
              <w:rPr>
                <w:sz w:val="17"/>
                <w:szCs w:val="17"/>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Available</w:t>
            </w:r>
          </w:p>
        </w:tc>
      </w:tr>
      <w:tr>
        <w:trPr>
          <w:trHeight w:val="252"/>
        </w:trPr>
        <w:tc>
          <w:tcPr>
            <w:tcW w:w="5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 xml:space="preserve">Capacity </w:t>
            </w:r>
            <w:r>
              <w:rPr>
                <w:rFonts w:ascii="Arial" w:cs="Arial" w:eastAsia="Arial" w:hAnsi="Arial"/>
                <w:sz w:val="18"/>
                <w:szCs w:val="18"/>
                <w:color w:val="auto"/>
                <w:w w:val="97"/>
                <w:vertAlign w:val="superscript"/>
              </w:rPr>
              <w:t>(a)</w:t>
            </w:r>
          </w:p>
        </w:tc>
        <w:tc>
          <w:tcPr>
            <w:tcW w:w="16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 xml:space="preserve">Borrowings </w:t>
            </w:r>
            <w:r>
              <w:rPr>
                <w:rFonts w:ascii="Arial" w:cs="Arial" w:eastAsia="Arial" w:hAnsi="Arial"/>
                <w:sz w:val="18"/>
                <w:szCs w:val="18"/>
                <w:color w:val="auto"/>
                <w:w w:val="96"/>
                <w:vertAlign w:val="superscript"/>
              </w:rPr>
              <w:t>(b)</w:t>
            </w:r>
          </w:p>
        </w:tc>
        <w:tc>
          <w:tcPr>
            <w:tcW w:w="260" w:type="dxa"/>
            <w:vAlign w:val="bottom"/>
          </w:tcPr>
          <w:p>
            <w:pPr>
              <w:spacing w:after="0"/>
              <w:rPr>
                <w:sz w:val="21"/>
                <w:szCs w:val="21"/>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1,101</w:t>
            </w: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7"/>
        </w:trPr>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1,340</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6"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right="300" w:hanging="326"/>
        <w:spacing w:after="0" w:line="217"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vehicles and related assets of $10.5 billion for Americas - Debt due to Avis Budget Rental Car Funding; $0.8 billion for Americas - Debt borrowings; $2.1 billion for International - Debt borrowings; and $0.2 billion for International - Finance leases.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March 31, 2020, the Company is not aware of any instances of non-compliance with any of the financial covenants contained in the debt agreements under its vehicle-backed funding programs.</w:t>
      </w:r>
    </w:p>
    <w:p>
      <w:pPr>
        <w:spacing w:after="0" w:line="183" w:lineRule="exact"/>
        <w:rPr>
          <w:sz w:val="20"/>
          <w:szCs w:val="20"/>
          <w:color w:val="auto"/>
        </w:rPr>
      </w:pPr>
    </w:p>
    <w:p>
      <w:pPr>
        <w:ind w:left="500" w:right="7860" w:hanging="492"/>
        <w:spacing w:after="0" w:line="513" w:lineRule="auto"/>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1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208" w:lineRule="exact"/>
        <w:rPr>
          <w:rFonts w:ascii="Arial" w:cs="Arial" w:eastAsia="Arial" w:hAnsi="Arial"/>
          <w:sz w:val="18"/>
          <w:szCs w:val="18"/>
          <w:b w:val="1"/>
          <w:bCs w:val="1"/>
          <w:color w:val="auto"/>
        </w:rPr>
      </w:pPr>
    </w:p>
    <w:p>
      <w:pPr>
        <w:ind w:left="500" w:right="4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fourth quarter 2019, the Company appealed both verdicts resulting in a reversal of the opinions rendered. The plaintiffs filed a petition to have the Georgia Supreme Court review the state appellate court’s reversal of the opinion.</w:t>
      </w: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has recognized a liability related to these cases, net of recoverable insurance proceeds, of approximately $12 million.</w:t>
      </w:r>
    </w:p>
    <w:p>
      <w:pPr>
        <w:spacing w:after="0" w:line="225"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is currently involved, and in the future may be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current legal proceedings in which it is reasonably possible that a loss may be incurred could, in the aggregate, be up to approximately $40 million in excess of amounts accrued as of March 31, 2020. The Company does not believe that the impact should result in a material liability to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0"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 in relation to its consolidated financial condition or results of operations.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$2.7 billion of vehicles from manufacturers over the next 12 months, a $5.1 billion decrease compared to December 31, 2019,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420"/>
        <w:spacing w:after="0" w:line="253" w:lineRule="auto"/>
        <w:rPr>
          <w:sz w:val="20"/>
          <w:szCs w:val="20"/>
          <w:color w:val="auto"/>
        </w:rPr>
      </w:pPr>
      <w:r>
        <w:rPr>
          <w:rFonts w:ascii="Arial" w:cs="Arial" w:eastAsia="Arial" w:hAnsi="Arial"/>
          <w:sz w:val="18"/>
          <w:szCs w:val="18"/>
          <w:color w:val="auto"/>
        </w:rPr>
        <w:t>Concentrations of credit risk at March 31, 2020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$24 million and $15 million, respectively, related to certain contingent, income tax and other corporate liabilities assumed by Realogy and Wyndham in connection with their disposition.</w:t>
      </w:r>
    </w:p>
    <w:p>
      <w:pPr>
        <w:spacing w:after="0" w:line="183" w:lineRule="exact"/>
        <w:rPr>
          <w:sz w:val="20"/>
          <w:szCs w:val="20"/>
          <w:color w:val="auto"/>
        </w:rPr>
      </w:pPr>
    </w:p>
    <w:p>
      <w:pPr>
        <w:ind w:left="500" w:right="8960" w:hanging="492"/>
        <w:spacing w:after="0" w:line="543" w:lineRule="auto"/>
        <w:tabs>
          <w:tab w:leader="none" w:pos="5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spacing w:after="0" w:line="1" w:lineRule="exact"/>
        <w:rPr>
          <w:rFonts w:ascii="Arial" w:cs="Arial" w:eastAsia="Arial" w:hAnsi="Arial"/>
          <w:sz w:val="17"/>
          <w:szCs w:val="17"/>
          <w:b w:val="1"/>
          <w:bCs w:val="1"/>
          <w:color w:val="auto"/>
        </w:rPr>
      </w:pPr>
    </w:p>
    <w:p>
      <w:pPr>
        <w:ind w:left="500" w:right="20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$1.8 billion of its common stock under a plan originally approved in 2013 and subsequently expanded, most recently in August 2019. During the three months ended March 31, 2020, the Company repurchased approximately 5.0 million shares of common stock at a cost of approximately $113 million at an average price of $22.49 under the program. As of March 31, 2020, approximately $76 million of authorization remains available to repurchase common stock under this plan.</w:t>
      </w:r>
    </w:p>
    <w:p>
      <w:pPr>
        <w:spacing w:after="0" w:line="183"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Issuances</w:t>
      </w:r>
    </w:p>
    <w:p>
      <w:pPr>
        <w:spacing w:after="0" w:line="247" w:lineRule="exact"/>
        <w:rPr>
          <w:rFonts w:ascii="Arial" w:cs="Arial" w:eastAsia="Arial" w:hAnsi="Arial"/>
          <w:sz w:val="17"/>
          <w:szCs w:val="17"/>
          <w:b w:val="1"/>
          <w:bCs w:val="1"/>
          <w:color w:val="auto"/>
        </w:rPr>
      </w:pPr>
    </w:p>
    <w:p>
      <w:pPr>
        <w:ind w:left="500" w:right="2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On February 10, 2020, the Company announced it had appointed a new Chairman of the Board of Directors and in connection with this appointment, the new Chairman purchased an aggregate $15 million of unregistered shares of the Company’s common stock at a price per share equal to the closing price of the Company’s common stock on February 7, 2020.</w:t>
      </w:r>
    </w:p>
    <w:p>
      <w:pPr>
        <w:spacing w:after="0" w:line="17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 (Loss)</w:t>
      </w:r>
    </w:p>
    <w:p>
      <w:pPr>
        <w:spacing w:after="0" w:line="247" w:lineRule="exact"/>
        <w:rPr>
          <w:rFonts w:ascii="Arial" w:cs="Arial" w:eastAsia="Arial" w:hAnsi="Arial"/>
          <w:sz w:val="17"/>
          <w:szCs w:val="17"/>
          <w:b w:val="1"/>
          <w:bCs w:val="1"/>
          <w:color w:val="auto"/>
        </w:rPr>
      </w:pPr>
    </w:p>
    <w:p>
      <w:pPr>
        <w:ind w:left="50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197"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components of other comprehensive income (loss) were as follows:</w:t>
      </w:r>
    </w:p>
    <w:p>
      <w:pPr>
        <w:spacing w:after="0" w:line="149" w:lineRule="exact"/>
        <w:rPr>
          <w:sz w:val="20"/>
          <w:szCs w:val="20"/>
          <w:color w:val="auto"/>
        </w:rPr>
      </w:pPr>
    </w:p>
    <w:p>
      <w:pPr>
        <w:jc w:val="center"/>
        <w:ind w:left="70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19030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5"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7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 $(4), and $(6) respectively)</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 (net of tax of $6 and $3 respectively)</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716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 $0 and $0, respectively)</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7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71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160" w:type="dxa"/>
            <w:vAlign w:val="bottom"/>
          </w:tcPr>
          <w:p>
            <w:pPr>
              <w:ind w:left="50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Net Unrealized</w:t>
            </w:r>
          </w:p>
        </w:tc>
        <w:tc>
          <w:tcPr>
            <w:tcW w:w="280" w:type="dxa"/>
            <w:vAlign w:val="bottom"/>
          </w:tcPr>
          <w:p>
            <w:pPr>
              <w:spacing w:after="0"/>
              <w:rPr>
                <w:sz w:val="13"/>
                <w:szCs w:val="13"/>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Minimum</w:t>
            </w:r>
          </w:p>
        </w:tc>
        <w:tc>
          <w:tcPr>
            <w:tcW w:w="220" w:type="dxa"/>
            <w:vAlign w:val="bottom"/>
          </w:tcPr>
          <w:p>
            <w:pPr>
              <w:spacing w:after="0"/>
              <w:rPr>
                <w:sz w:val="13"/>
                <w:szCs w:val="13"/>
                <w:color w:val="auto"/>
              </w:rPr>
            </w:pPr>
          </w:p>
        </w:tc>
        <w:tc>
          <w:tcPr>
            <w:tcW w:w="1480" w:type="dxa"/>
            <w:vAlign w:val="bottom"/>
          </w:tcPr>
          <w:p>
            <w:pPr>
              <w:jc w:val="center"/>
              <w:ind w:right="17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340" w:type="dxa"/>
            <w:vAlign w:val="bottom"/>
          </w:tcPr>
          <w:p>
            <w:pPr>
              <w:jc w:val="center"/>
              <w:ind w:left="317"/>
              <w:spacing w:after="0" w:line="135" w:lineRule="exact"/>
              <w:rPr>
                <w:sz w:val="20"/>
                <w:szCs w:val="20"/>
                <w:color w:val="auto"/>
              </w:rPr>
            </w:pPr>
            <w:r>
              <w:rPr>
                <w:rFonts w:ascii="Arial" w:cs="Arial" w:eastAsia="Arial" w:hAnsi="Arial"/>
                <w:sz w:val="13"/>
                <w:szCs w:val="13"/>
                <w:b w:val="1"/>
                <w:bCs w:val="1"/>
                <w:color w:val="auto"/>
                <w:w w:val="98"/>
              </w:rPr>
              <w:t>Currency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280" w:type="dxa"/>
            <w:vAlign w:val="bottom"/>
          </w:tcPr>
          <w:p>
            <w:pPr>
              <w:spacing w:after="0"/>
              <w:rPr>
                <w:sz w:val="11"/>
                <w:szCs w:val="11"/>
                <w:color w:val="auto"/>
              </w:rPr>
            </w:pPr>
          </w:p>
        </w:tc>
        <w:tc>
          <w:tcPr>
            <w:tcW w:w="15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8"/>
              </w:rPr>
              <w:t>Pension</w:t>
            </w:r>
          </w:p>
        </w:tc>
        <w:tc>
          <w:tcPr>
            <w:tcW w:w="220" w:type="dxa"/>
            <w:vAlign w:val="bottom"/>
          </w:tcPr>
          <w:p>
            <w:pPr>
              <w:spacing w:after="0"/>
              <w:rPr>
                <w:sz w:val="11"/>
                <w:szCs w:val="11"/>
                <w:color w:val="auto"/>
              </w:rPr>
            </w:pPr>
          </w:p>
        </w:tc>
        <w:tc>
          <w:tcPr>
            <w:tcW w:w="148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340" w:type="dxa"/>
            <w:vAlign w:val="bottom"/>
          </w:tcPr>
          <w:p>
            <w:pPr>
              <w:jc w:val="center"/>
              <w:ind w:left="31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280" w:type="dxa"/>
            <w:vAlign w:val="bottom"/>
          </w:tcPr>
          <w:p>
            <w:pPr>
              <w:spacing w:after="0"/>
              <w:rPr>
                <w:sz w:val="11"/>
                <w:szCs w:val="11"/>
                <w:color w:val="auto"/>
              </w:rPr>
            </w:pPr>
          </w:p>
        </w:tc>
        <w:tc>
          <w:tcPr>
            <w:tcW w:w="15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3"/>
              </w:rPr>
              <w:t>Liability</w:t>
            </w:r>
          </w:p>
        </w:tc>
        <w:tc>
          <w:tcPr>
            <w:tcW w:w="220" w:type="dxa"/>
            <w:vAlign w:val="bottom"/>
          </w:tcPr>
          <w:p>
            <w:pPr>
              <w:spacing w:after="0"/>
              <w:rPr>
                <w:sz w:val="11"/>
                <w:szCs w:val="11"/>
                <w:color w:val="auto"/>
              </w:rPr>
            </w:pPr>
          </w:p>
        </w:tc>
        <w:tc>
          <w:tcPr>
            <w:tcW w:w="148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77"/>
        </w:trPr>
        <w:tc>
          <w:tcPr>
            <w:tcW w:w="2920" w:type="dxa"/>
            <w:vAlign w:val="bottom"/>
          </w:tcPr>
          <w:p>
            <w:pPr>
              <w:spacing w:after="0"/>
              <w:rPr>
                <w:sz w:val="15"/>
                <w:szCs w:val="15"/>
                <w:color w:val="auto"/>
              </w:rPr>
            </w:pPr>
          </w:p>
        </w:tc>
        <w:tc>
          <w:tcPr>
            <w:tcW w:w="134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Adjustments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Hedges</w:t>
            </w:r>
            <w:r>
              <w:rPr>
                <w:rFonts w:ascii="Arial" w:cs="Arial" w:eastAsia="Arial" w:hAnsi="Arial"/>
                <w:sz w:val="8"/>
                <w:szCs w:val="8"/>
                <w:b w:val="1"/>
                <w:bCs w:val="1"/>
                <w:color w:val="auto"/>
                <w:w w:val="98"/>
              </w:rPr>
              <w:t>(a)</w:t>
            </w:r>
          </w:p>
        </w:tc>
        <w:tc>
          <w:tcPr>
            <w:tcW w:w="28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220" w:type="dxa"/>
            <w:vAlign w:val="bottom"/>
          </w:tcPr>
          <w:p>
            <w:pPr>
              <w:spacing w:after="0"/>
              <w:rPr>
                <w:sz w:val="15"/>
                <w:szCs w:val="15"/>
                <w:color w:val="auto"/>
              </w:rPr>
            </w:pPr>
          </w:p>
        </w:tc>
        <w:tc>
          <w:tcPr>
            <w:tcW w:w="1480" w:type="dxa"/>
            <w:vAlign w:val="bottom"/>
          </w:tcPr>
          <w:p>
            <w:pPr>
              <w:jc w:val="center"/>
              <w:ind w:right="177"/>
              <w:spacing w:after="0"/>
              <w:rPr>
                <w:sz w:val="20"/>
                <w:szCs w:val="20"/>
                <w:color w:val="auto"/>
              </w:rPr>
            </w:pPr>
            <w:r>
              <w:rPr>
                <w:rFonts w:ascii="Arial" w:cs="Arial" w:eastAsia="Arial" w:hAnsi="Arial"/>
                <w:sz w:val="13"/>
                <w:szCs w:val="13"/>
                <w:b w:val="1"/>
                <w:bCs w:val="1"/>
                <w:color w:val="auto"/>
                <w:w w:val="95"/>
              </w:rPr>
              <w:t>Income (Loss)</w:t>
            </w:r>
          </w:p>
        </w:tc>
        <w:tc>
          <w:tcPr>
            <w:tcW w:w="0" w:type="dxa"/>
            <w:vAlign w:val="bottom"/>
          </w:tcPr>
          <w:p>
            <w:pPr>
              <w:spacing w:after="0"/>
              <w:rPr>
                <w:sz w:val="1"/>
                <w:szCs w:val="1"/>
                <w:color w:val="auto"/>
              </w:rPr>
            </w:pPr>
          </w:p>
        </w:tc>
      </w:tr>
      <w:tr>
        <w:trPr>
          <w:trHeight w:val="241"/>
        </w:trPr>
        <w:tc>
          <w:tcPr>
            <w:tcW w:w="2920" w:type="dxa"/>
            <w:vAlign w:val="bottom"/>
          </w:tcPr>
          <w:p>
            <w:pPr>
              <w:ind w:left="20"/>
              <w:spacing w:after="0"/>
              <w:rPr>
                <w:sz w:val="20"/>
                <w:szCs w:val="20"/>
                <w:color w:val="auto"/>
              </w:rPr>
            </w:pPr>
            <w:r>
              <w:rPr>
                <w:rFonts w:ascii="Arial" w:cs="Arial" w:eastAsia="Arial" w:hAnsi="Arial"/>
                <w:sz w:val="13"/>
                <w:szCs w:val="13"/>
                <w:color w:val="auto"/>
              </w:rPr>
              <w:t>Balance, January 1, 2020</w:t>
            </w:r>
          </w:p>
        </w:tc>
        <w:tc>
          <w:tcPr>
            <w:tcW w:w="1340" w:type="dxa"/>
            <w:vAlign w:val="bottom"/>
            <w:tcBorders>
              <w:top w:val="single" w:sz="8" w:color="auto"/>
            </w:tcBorders>
          </w:tcPr>
          <w:p>
            <w:pPr>
              <w:jc w:val="right"/>
              <w:ind w:right="1177"/>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72"/>
        </w:trPr>
        <w:tc>
          <w:tcPr>
            <w:tcW w:w="2920" w:type="dxa"/>
            <w:vAlign w:val="bottom"/>
          </w:tcPr>
          <w:p>
            <w:pPr>
              <w:ind w:left="140"/>
              <w:spacing w:after="0"/>
              <w:rPr>
                <w:sz w:val="20"/>
                <w:szCs w:val="20"/>
                <w:color w:val="auto"/>
              </w:rPr>
            </w:pPr>
            <w:r>
              <w:rPr>
                <w:rFonts w:ascii="Arial" w:cs="Arial" w:eastAsia="Arial" w:hAnsi="Arial"/>
                <w:sz w:val="13"/>
                <w:szCs w:val="13"/>
                <w:color w:val="auto"/>
              </w:rPr>
              <w:t>Other comprehensive income (loss) before</w:t>
            </w: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2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3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2"/>
        </w:trPr>
        <w:tc>
          <w:tcPr>
            <w:tcW w:w="2920" w:type="dxa"/>
            <w:vAlign w:val="bottom"/>
          </w:tcPr>
          <w:p>
            <w:pPr>
              <w:ind w:left="140"/>
              <w:spacing w:after="0"/>
              <w:rPr>
                <w:sz w:val="20"/>
                <w:szCs w:val="20"/>
                <w:color w:val="auto"/>
              </w:rPr>
            </w:pPr>
            <w:r>
              <w:rPr>
                <w:rFonts w:ascii="Arial" w:cs="Arial" w:eastAsia="Arial" w:hAnsi="Arial"/>
                <w:sz w:val="13"/>
                <w:szCs w:val="13"/>
                <w:color w:val="auto"/>
              </w:rPr>
              <w:t>Amounts reclassified from accumulated other</w:t>
            </w: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34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3"/>
        </w:trPr>
        <w:tc>
          <w:tcPr>
            <w:tcW w:w="292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 income</w:t>
            </w:r>
          </w:p>
        </w:tc>
        <w:tc>
          <w:tcPr>
            <w:tcW w:w="1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80"/>
              <w:spacing w:after="0"/>
              <w:rPr>
                <w:sz w:val="20"/>
                <w:szCs w:val="20"/>
                <w:color w:val="auto"/>
              </w:rPr>
            </w:pPr>
            <w:r>
              <w:rPr>
                <w:rFonts w:ascii="Arial" w:cs="Arial" w:eastAsia="Arial" w:hAnsi="Arial"/>
                <w:sz w:val="13"/>
                <w:szCs w:val="13"/>
                <w:color w:val="auto"/>
              </w:rPr>
              <w:t>(loss)</w:t>
            </w:r>
          </w:p>
        </w:tc>
        <w:tc>
          <w:tcPr>
            <w:tcW w:w="1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42"/>
        </w:trPr>
        <w:tc>
          <w:tcPr>
            <w:tcW w:w="2920" w:type="dxa"/>
            <w:vAlign w:val="bottom"/>
          </w:tcPr>
          <w:p>
            <w:pPr>
              <w:ind w:left="20"/>
              <w:spacing w:after="0"/>
              <w:rPr>
                <w:sz w:val="20"/>
                <w:szCs w:val="20"/>
                <w:color w:val="auto"/>
              </w:rPr>
            </w:pPr>
            <w:r>
              <w:rPr>
                <w:rFonts w:ascii="Arial" w:cs="Arial" w:eastAsia="Arial" w:hAnsi="Arial"/>
                <w:sz w:val="13"/>
                <w:szCs w:val="13"/>
                <w:color w:val="auto"/>
              </w:rPr>
              <w:t>Balance, March 31, 2020</w:t>
            </w:r>
          </w:p>
        </w:tc>
        <w:tc>
          <w:tcPr>
            <w:tcW w:w="1340" w:type="dxa"/>
            <w:vAlign w:val="bottom"/>
            <w:tcBorders>
              <w:bottom w:val="single" w:sz="8" w:color="auto"/>
            </w:tcBorders>
          </w:tcPr>
          <w:p>
            <w:pPr>
              <w:jc w:val="right"/>
              <w:ind w:right="11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920" w:type="dxa"/>
            <w:vAlign w:val="bottom"/>
          </w:tcPr>
          <w:p>
            <w:pPr>
              <w:ind w:left="20"/>
              <w:spacing w:after="0"/>
              <w:rPr>
                <w:sz w:val="20"/>
                <w:szCs w:val="20"/>
                <w:color w:val="auto"/>
              </w:rPr>
            </w:pPr>
            <w:r>
              <w:rPr>
                <w:rFonts w:ascii="Arial" w:cs="Arial" w:eastAsia="Arial" w:hAnsi="Arial"/>
                <w:sz w:val="13"/>
                <w:szCs w:val="13"/>
                <w:color w:val="auto"/>
              </w:rPr>
              <w:t>Balance, December 31, 2018</w:t>
            </w:r>
          </w:p>
        </w:tc>
        <w:tc>
          <w:tcPr>
            <w:tcW w:w="1340" w:type="dxa"/>
            <w:vAlign w:val="bottom"/>
          </w:tcPr>
          <w:p>
            <w:pPr>
              <w:jc w:val="right"/>
              <w:ind w:right="1177"/>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4"/>
                <w:szCs w:val="2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79"/>
        </w:trPr>
        <w:tc>
          <w:tcPr>
            <w:tcW w:w="2920" w:type="dxa"/>
            <w:vAlign w:val="bottom"/>
          </w:tcPr>
          <w:p>
            <w:pPr>
              <w:ind w:left="140"/>
              <w:spacing w:after="0"/>
              <w:rPr>
                <w:sz w:val="20"/>
                <w:szCs w:val="20"/>
                <w:color w:val="auto"/>
              </w:rPr>
            </w:pPr>
            <w:r>
              <w:rPr>
                <w:rFonts w:ascii="Arial" w:cs="Arial" w:eastAsia="Arial" w:hAnsi="Arial"/>
                <w:sz w:val="13"/>
                <w:szCs w:val="13"/>
                <w:color w:val="auto"/>
              </w:rPr>
              <w:t>Cumulative effect of accounting change</w:t>
            </w:r>
          </w:p>
        </w:tc>
        <w:tc>
          <w:tcPr>
            <w:tcW w:w="1340" w:type="dxa"/>
            <w:vAlign w:val="bottom"/>
          </w:tcPr>
          <w:p>
            <w:pPr>
              <w:spacing w:after="0"/>
              <w:rPr>
                <w:sz w:val="24"/>
                <w:szCs w:val="2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4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50"/>
        </w:trPr>
        <w:tc>
          <w:tcPr>
            <w:tcW w:w="2920" w:type="dxa"/>
            <w:vAlign w:val="bottom"/>
          </w:tcPr>
          <w:p>
            <w:pPr>
              <w:ind w:left="20"/>
              <w:spacing w:after="0"/>
              <w:rPr>
                <w:sz w:val="20"/>
                <w:szCs w:val="20"/>
                <w:color w:val="auto"/>
              </w:rPr>
            </w:pPr>
            <w:r>
              <w:rPr>
                <w:rFonts w:ascii="Arial" w:cs="Arial" w:eastAsia="Arial" w:hAnsi="Arial"/>
                <w:sz w:val="13"/>
                <w:szCs w:val="13"/>
                <w:color w:val="auto"/>
              </w:rPr>
              <w:t>Balance, January 1, 2019</w:t>
            </w:r>
          </w:p>
        </w:tc>
        <w:tc>
          <w:tcPr>
            <w:tcW w:w="1340" w:type="dxa"/>
            <w:vAlign w:val="bottom"/>
            <w:tcBorders>
              <w:top w:val="single" w:sz="8" w:color="auto"/>
              <w:bottom w:val="single" w:sz="8" w:color="auto"/>
            </w:tcBorders>
          </w:tcPr>
          <w:p>
            <w:pPr>
              <w:jc w:val="right"/>
              <w:ind w:right="1177"/>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43"/>
        </w:trPr>
        <w:tc>
          <w:tcPr>
            <w:tcW w:w="2920" w:type="dxa"/>
            <w:vAlign w:val="bottom"/>
          </w:tcPr>
          <w:p>
            <w:pPr>
              <w:ind w:left="140"/>
              <w:spacing w:after="0" w:line="143" w:lineRule="exact"/>
              <w:rPr>
                <w:sz w:val="20"/>
                <w:szCs w:val="20"/>
                <w:color w:val="auto"/>
              </w:rPr>
            </w:pPr>
            <w:r>
              <w:rPr>
                <w:rFonts w:ascii="Arial" w:cs="Arial" w:eastAsia="Arial" w:hAnsi="Arial"/>
                <w:sz w:val="13"/>
                <w:szCs w:val="13"/>
                <w:color w:val="auto"/>
              </w:rPr>
              <w:t>Other comprehensive income (loss) before</w:t>
            </w: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2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340" w:type="dxa"/>
            <w:vAlign w:val="bottom"/>
          </w:tcPr>
          <w:p>
            <w:pPr>
              <w:spacing w:after="0"/>
              <w:rPr>
                <w:sz w:val="13"/>
                <w:szCs w:val="1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2"/>
        </w:trPr>
        <w:tc>
          <w:tcPr>
            <w:tcW w:w="2920" w:type="dxa"/>
            <w:vAlign w:val="bottom"/>
          </w:tcPr>
          <w:p>
            <w:pPr>
              <w:ind w:left="140"/>
              <w:spacing w:after="0"/>
              <w:rPr>
                <w:sz w:val="20"/>
                <w:szCs w:val="20"/>
                <w:color w:val="auto"/>
              </w:rPr>
            </w:pPr>
            <w:r>
              <w:rPr>
                <w:rFonts w:ascii="Arial" w:cs="Arial" w:eastAsia="Arial" w:hAnsi="Arial"/>
                <w:sz w:val="13"/>
                <w:szCs w:val="13"/>
                <w:color w:val="auto"/>
              </w:rPr>
              <w:t>Amounts reclassified from accumulated other</w:t>
            </w: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34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92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 income</w:t>
            </w:r>
          </w:p>
        </w:tc>
        <w:tc>
          <w:tcPr>
            <w:tcW w:w="1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80"/>
              <w:spacing w:after="0"/>
              <w:rPr>
                <w:sz w:val="20"/>
                <w:szCs w:val="20"/>
                <w:color w:val="auto"/>
              </w:rPr>
            </w:pPr>
            <w:r>
              <w:rPr>
                <w:rFonts w:ascii="Arial" w:cs="Arial" w:eastAsia="Arial" w:hAnsi="Arial"/>
                <w:sz w:val="13"/>
                <w:szCs w:val="13"/>
                <w:color w:val="auto"/>
              </w:rPr>
              <w:t>(loss)</w:t>
            </w:r>
          </w:p>
        </w:tc>
        <w:tc>
          <w:tcPr>
            <w:tcW w:w="1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41"/>
        </w:trPr>
        <w:tc>
          <w:tcPr>
            <w:tcW w:w="2920" w:type="dxa"/>
            <w:vAlign w:val="bottom"/>
          </w:tcPr>
          <w:p>
            <w:pPr>
              <w:ind w:left="20"/>
              <w:spacing w:after="0"/>
              <w:rPr>
                <w:sz w:val="20"/>
                <w:szCs w:val="20"/>
                <w:color w:val="auto"/>
              </w:rPr>
            </w:pPr>
            <w:r>
              <w:rPr>
                <w:rFonts w:ascii="Arial" w:cs="Arial" w:eastAsia="Arial" w:hAnsi="Arial"/>
                <w:sz w:val="13"/>
                <w:szCs w:val="13"/>
                <w:color w:val="auto"/>
              </w:rPr>
              <w:t>Balance, March 31, 2019</w:t>
            </w:r>
          </w:p>
        </w:tc>
        <w:tc>
          <w:tcPr>
            <w:tcW w:w="1340" w:type="dxa"/>
            <w:vAlign w:val="bottom"/>
            <w:tcBorders>
              <w:bottom w:val="single" w:sz="8" w:color="auto"/>
            </w:tcBorders>
          </w:tcPr>
          <w:p>
            <w:pPr>
              <w:jc w:val="right"/>
              <w:ind w:right="11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2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right="220"/>
        <w:spacing w:after="0" w:line="238"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$92 million gain, net of tax, as of March 31, 2020 related to the Company’s hedge of its net investment in euro-denominated foreign operations (see Note 16–Financial Instruments).</w:t>
      </w:r>
    </w:p>
    <w:p>
      <w:pPr>
        <w:spacing w:after="0" w:line="7" w:lineRule="exact"/>
        <w:rPr>
          <w:sz w:val="20"/>
          <w:szCs w:val="20"/>
          <w:color w:val="auto"/>
        </w:rPr>
      </w:pPr>
    </w:p>
    <w:p>
      <w:pPr>
        <w:ind w:left="820" w:hanging="326"/>
        <w:spacing w:after="0" w:line="211" w:lineRule="auto"/>
        <w:tabs>
          <w:tab w:leader="none" w:pos="820" w:val="left"/>
        </w:tabs>
        <w:numPr>
          <w:ilvl w:val="1"/>
          <w:numId w:val="29"/>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31,2019, the amount reclassified from accumulated other comprehensive income (loss) into corporate interest expense was $2 million ($1 million, net of tax).</w:t>
      </w:r>
    </w:p>
    <w:p>
      <w:pPr>
        <w:ind w:left="820" w:right="40" w:hanging="326"/>
        <w:spacing w:after="0" w:line="217" w:lineRule="auto"/>
        <w:tabs>
          <w:tab w:leader="none" w:pos="820" w:val="left"/>
        </w:tabs>
        <w:numPr>
          <w:ilvl w:val="1"/>
          <w:numId w:val="29"/>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2020 and March 31, 2019, amounts reclassified from accumulated other comprehensive income (loss) into selling, general and administrative expenses were $2 million ($1 million, net of tax) and $2 million ($1 million, net of tax), respectively.</w:t>
      </w:r>
    </w:p>
    <w:p>
      <w:pPr>
        <w:spacing w:after="0" w:line="125"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of $(2) million net, due to reversal of expenses recorded in previous quarters, and $5 million expense ($(1) million and $4 million, net of tax) during the three months ended March 31, 2020 and 2019, respectively.</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140" w:right="4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restricted stock units (“RSUs”) consisted of (in thousands of shares):</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260" w:type="dxa"/>
            <w:vAlign w:val="bottom"/>
          </w:tcPr>
          <w:p>
            <w:pPr>
              <w:spacing w:after="0"/>
              <w:rPr>
                <w:sz w:val="16"/>
                <w:szCs w:val="16"/>
                <w:color w:val="auto"/>
              </w:rPr>
            </w:pPr>
          </w:p>
        </w:tc>
      </w:tr>
      <w:tr>
        <w:trPr>
          <w:trHeight w:val="189"/>
        </w:trPr>
        <w:tc>
          <w:tcPr>
            <w:tcW w:w="10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1260" w:type="dxa"/>
            <w:vAlign w:val="bottom"/>
          </w:tcPr>
          <w:p>
            <w:pPr>
              <w:spacing w:after="0"/>
              <w:rPr>
                <w:sz w:val="16"/>
                <w:szCs w:val="16"/>
                <w:color w:val="auto"/>
              </w:rPr>
            </w:pPr>
          </w:p>
        </w:tc>
      </w:tr>
      <w:tr>
        <w:trPr>
          <w:trHeight w:val="189"/>
        </w:trPr>
        <w:tc>
          <w:tcPr>
            <w:tcW w:w="10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1260" w:type="dxa"/>
            <w:vAlign w:val="bottom"/>
          </w:tcPr>
          <w:p>
            <w:pPr>
              <w:jc w:val="center"/>
              <w:ind w:left="5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106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Number of</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Grant Date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Intrinsic Value</w:t>
            </w:r>
          </w:p>
        </w:tc>
      </w:tr>
      <w:tr>
        <w:trPr>
          <w:trHeight w:val="215"/>
        </w:trPr>
        <w:tc>
          <w:tcPr>
            <w:tcW w:w="1060" w:type="dxa"/>
            <w:vAlign w:val="bottom"/>
          </w:tcPr>
          <w:p>
            <w:pPr>
              <w:jc w:val="center"/>
              <w:ind w:right="159"/>
              <w:spacing w:after="0"/>
              <w:rPr>
                <w:sz w:val="20"/>
                <w:szCs w:val="20"/>
                <w:color w:val="auto"/>
              </w:rPr>
            </w:pPr>
            <w:r>
              <w:rPr>
                <w:rFonts w:ascii="Arial" w:cs="Arial" w:eastAsia="Arial" w:hAnsi="Arial"/>
                <w:sz w:val="16"/>
                <w:szCs w:val="16"/>
                <w:b w:val="1"/>
                <w:bCs w:val="1"/>
                <w:color w:val="auto"/>
              </w:rPr>
              <w:t>Shares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12065</wp:posOffset>
            </wp:positionV>
            <wp:extent cx="3300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Time-based RSUs</w:t>
      </w:r>
    </w:p>
    <w:p>
      <w:pPr>
        <w:sectPr>
          <w:pgSz w:w="11900" w:h="16838" w:orient="portrait"/>
          <w:cols w:equalWidth="0" w:num="1">
            <w:col w:w="11200"/>
          </w:cols>
          <w:pgMar w:left="320" w:top="140" w:right="379" w:bottom="1440" w:gutter="0" w:footer="0" w:header="0"/>
        </w:sectPr>
      </w:pPr>
    </w:p>
    <w:p>
      <w:pPr>
        <w:spacing w:after="0" w:line="12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January 1, 2020</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p>
      <w:pPr>
        <w:spacing w:after="0" w:line="3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Forfeited</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Outstanding and expected to vest at March 31, 2020 </w:t>
      </w:r>
      <w:r>
        <w:rPr>
          <w:rFonts w:ascii="Arial" w:cs="Arial" w:eastAsia="Arial" w:hAnsi="Arial"/>
          <w:sz w:val="21"/>
          <w:szCs w:val="21"/>
          <w:color w:val="auto"/>
          <w:vertAlign w:val="superscript"/>
        </w:rPr>
        <w:t>(c)</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Performance-based RSUs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January 1, 2020</w:t>
      </w:r>
    </w:p>
    <w:p>
      <w:pPr>
        <w:spacing w:after="0" w:line="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p>
      <w:pPr>
        <w:spacing w:after="0" w:line="3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Forfeited</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March 31, 2020</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Outstanding and expected to vest at March 31, 2020 </w:t>
      </w:r>
      <w:r>
        <w:rPr>
          <w:rFonts w:ascii="Arial" w:cs="Arial" w:eastAsia="Arial" w:hAnsi="Arial"/>
          <w:sz w:val="21"/>
          <w:szCs w:val="21"/>
          <w:color w:val="auto"/>
          <w:vertAlign w:val="superscript"/>
        </w:rPr>
        <w:t>(c)</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840" w:type="dxa"/>
        <w:tblCellMar>
          <w:top w:w="0" w:type="dxa"/>
          <w:left w:w="0" w:type="dxa"/>
          <w:bottom w:w="0" w:type="dxa"/>
          <w:right w:w="0" w:type="dxa"/>
        </w:tblCellMar>
      </w:tblPr>
      <w:tr>
        <w:trPr>
          <w:trHeight w:val="195"/>
        </w:trPr>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847</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36.99</w:t>
            </w:r>
          </w:p>
        </w:tc>
      </w:tr>
      <w:tr>
        <w:trPr>
          <w:trHeight w:val="270"/>
        </w:trPr>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568</w:t>
            </w: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21.67</w:t>
            </w:r>
          </w:p>
        </w:tc>
      </w:tr>
    </w:tbl>
    <w:p>
      <w:pPr>
        <w:spacing w:after="0" w:line="75" w:lineRule="exact"/>
        <w:rPr>
          <w:sz w:val="20"/>
          <w:szCs w:val="20"/>
          <w:color w:val="auto"/>
        </w:rPr>
      </w:pPr>
    </w:p>
    <w:p>
      <w:pPr>
        <w:ind w:left="2040" w:hanging="1255"/>
        <w:spacing w:after="0"/>
        <w:tabs>
          <w:tab w:leader="none" w:pos="2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38.29</w:t>
      </w:r>
    </w:p>
    <w:p>
      <w:pPr>
        <w:spacing w:after="0" w:line="86" w:lineRule="exact"/>
        <w:rPr>
          <w:sz w:val="20"/>
          <w:szCs w:val="20"/>
          <w:color w:val="auto"/>
        </w:rPr>
      </w:pPr>
    </w:p>
    <w:p>
      <w:pPr>
        <w:ind w:left="2040" w:hanging="1165"/>
        <w:spacing w:after="0"/>
        <w:tabs>
          <w:tab w:leader="none" w:pos="2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38.91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62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1,005</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99"/>
              <w:spacing w:after="0"/>
              <w:rPr>
                <w:sz w:val="20"/>
                <w:szCs w:val="20"/>
                <w:color w:val="auto"/>
              </w:rPr>
            </w:pPr>
            <w:r>
              <w:rPr>
                <w:rFonts w:ascii="Arial" w:cs="Arial" w:eastAsia="Arial" w:hAnsi="Arial"/>
                <w:sz w:val="16"/>
                <w:szCs w:val="16"/>
                <w:color w:val="auto"/>
              </w:rPr>
              <w:t>27.78</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04"/>
        </w:trPr>
        <w:tc>
          <w:tcPr>
            <w:tcW w:w="120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99"/>
              <w:spacing w:after="0"/>
              <w:rPr>
                <w:sz w:val="20"/>
                <w:szCs w:val="20"/>
                <w:color w:val="auto"/>
              </w:rPr>
            </w:pPr>
            <w:r>
              <w:rPr>
                <w:rFonts w:ascii="Arial" w:cs="Arial" w:eastAsia="Arial" w:hAnsi="Arial"/>
                <w:sz w:val="16"/>
                <w:szCs w:val="16"/>
                <w:color w:val="auto"/>
              </w:rPr>
              <w:t>38.89</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75" w:lineRule="exact"/>
        <w:rPr>
          <w:sz w:val="20"/>
          <w:szCs w:val="20"/>
          <w:color w:val="auto"/>
        </w:rPr>
      </w:pPr>
    </w:p>
    <w:p>
      <w:pPr>
        <w:ind w:left="2040" w:hanging="1201"/>
        <w:spacing w:after="0"/>
        <w:tabs>
          <w:tab w:leader="none" w:pos="2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21.09</w:t>
      </w:r>
    </w:p>
    <w:p>
      <w:pPr>
        <w:spacing w:after="0" w:line="86" w:lineRule="exact"/>
        <w:rPr>
          <w:rFonts w:ascii="Arial" w:cs="Arial" w:eastAsia="Arial" w:hAnsi="Arial"/>
          <w:sz w:val="16"/>
          <w:szCs w:val="16"/>
          <w:color w:val="auto"/>
        </w:rPr>
      </w:pPr>
    </w:p>
    <w:p>
      <w:pPr>
        <w:ind w:left="2040" w:hanging="1165"/>
        <w:spacing w:after="0"/>
        <w:tabs>
          <w:tab w:leader="none" w:pos="2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36.64</w:t>
      </w:r>
    </w:p>
    <w:p>
      <w:pPr>
        <w:spacing w:after="0" w:line="86" w:lineRule="exact"/>
        <w:rPr>
          <w:sz w:val="20"/>
          <w:szCs w:val="20"/>
          <w:color w:val="auto"/>
        </w:rPr>
      </w:pPr>
    </w:p>
    <w:p>
      <w:pPr>
        <w:ind w:left="2040" w:hanging="1255"/>
        <w:spacing w:after="0"/>
        <w:tabs>
          <w:tab w:leader="none" w:pos="2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35.54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62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1,123</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99"/>
              <w:spacing w:after="0"/>
              <w:rPr>
                <w:sz w:val="20"/>
                <w:szCs w:val="20"/>
                <w:color w:val="auto"/>
              </w:rPr>
            </w:pPr>
            <w:r>
              <w:rPr>
                <w:rFonts w:ascii="Arial" w:cs="Arial" w:eastAsia="Arial" w:hAnsi="Arial"/>
                <w:sz w:val="16"/>
                <w:szCs w:val="16"/>
                <w:color w:val="auto"/>
              </w:rPr>
              <w:t>32.01</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7"/>
        </w:trPr>
        <w:tc>
          <w:tcPr>
            <w:tcW w:w="12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99"/>
              <w:spacing w:after="0"/>
              <w:rPr>
                <w:sz w:val="20"/>
                <w:szCs w:val="20"/>
                <w:color w:val="auto"/>
              </w:rPr>
            </w:pPr>
            <w:r>
              <w:rPr>
                <w:rFonts w:ascii="Arial" w:cs="Arial" w:eastAsia="Arial" w:hAnsi="Arial"/>
                <w:sz w:val="16"/>
                <w:szCs w:val="16"/>
                <w:color w:val="auto"/>
              </w:rPr>
              <w:t>21.09</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40" w:lineRule="exact"/>
        <w:rPr>
          <w:sz w:val="20"/>
          <w:szCs w:val="20"/>
          <w:color w:val="auto"/>
        </w:rPr>
      </w:pPr>
    </w:p>
    <w:p>
      <w:pPr>
        <w:sectPr>
          <w:pgSz w:w="11900" w:h="16838" w:orient="portrait"/>
          <w:cols w:equalWidth="0" w:num="2">
            <w:col w:w="4740" w:space="720"/>
            <w:col w:w="5740"/>
          </w:cols>
          <w:pgMar w:left="320" w:top="140" w:right="379" w:bottom="1440" w:gutter="0" w:footer="0" w:header="0"/>
          <w:type w:val="continuous"/>
        </w:sectPr>
      </w:pPr>
    </w:p>
    <w:p>
      <w:pPr>
        <w:ind w:left="820" w:hanging="326"/>
        <w:spacing w:after="0" w:line="211" w:lineRule="auto"/>
        <w:tabs>
          <w:tab w:leader="none" w:pos="820" w:val="left"/>
        </w:tabs>
        <w:numPr>
          <w:ilvl w:val="1"/>
          <w:numId w:val="35"/>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and time-vesting criteria and does not include those for non-employee directors. The weighted-average fair value of time-based RSUs and performance-based RSUs granted during the three months ended March 31, 2019 was $34.82.</w:t>
      </w:r>
    </w:p>
    <w:p>
      <w:pPr>
        <w:ind w:left="820" w:hanging="326"/>
        <w:spacing w:after="0" w:line="187" w:lineRule="auto"/>
        <w:tabs>
          <w:tab w:leader="none" w:pos="820" w:val="left"/>
        </w:tabs>
        <w:numPr>
          <w:ilvl w:val="1"/>
          <w:numId w:val="35"/>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March 31, 2020 and 2019 was $17 million and $12 million, respectively.</w:t>
      </w:r>
    </w:p>
    <w:p>
      <w:pPr>
        <w:ind w:left="820" w:right="40" w:hanging="326"/>
        <w:spacing w:after="0" w:line="217" w:lineRule="auto"/>
        <w:tabs>
          <w:tab w:leader="none" w:pos="820" w:val="left"/>
        </w:tabs>
        <w:numPr>
          <w:ilvl w:val="1"/>
          <w:numId w:val="35"/>
        </w:numPr>
        <w:rPr>
          <w:rFonts w:ascii="Arial" w:cs="Arial" w:eastAsia="Arial" w:hAnsi="Arial"/>
          <w:sz w:val="18"/>
          <w:szCs w:val="18"/>
          <w:color w:val="auto"/>
          <w:vertAlign w:val="superscript"/>
        </w:rPr>
      </w:pPr>
      <w:r>
        <w:rPr>
          <w:rFonts w:ascii="Arial" w:cs="Arial" w:eastAsia="Arial" w:hAnsi="Arial"/>
          <w:sz w:val="14"/>
          <w:szCs w:val="14"/>
          <w:color w:val="auto"/>
        </w:rPr>
        <w:t>Aggregate unrecognized compensation expense related to time-based RSUs and performance-based RSUs amounted to $32 million and will be recognized over a weighted average vesting period of 1.9 years.</w:t>
      </w:r>
    </w:p>
    <w:p>
      <w:pPr>
        <w:spacing w:after="0" w:line="125"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ind w:left="500" w:right="1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8" w:lineRule="exact"/>
        <w:rPr>
          <w:rFonts w:ascii="Arial" w:cs="Arial" w:eastAsia="Arial" w:hAnsi="Arial"/>
          <w:sz w:val="18"/>
          <w:szCs w:val="18"/>
          <w:b w:val="1"/>
          <w:bCs w:val="1"/>
          <w:color w:val="auto"/>
        </w:rPr>
      </w:pPr>
    </w:p>
    <w:p>
      <w:pPr>
        <w:ind w:left="500" w:righ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 months is not material.</w:t>
      </w:r>
    </w:p>
    <w:p>
      <w:pPr>
        <w:spacing w:after="0" w:line="179"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changes in the fair value of its cash flow hedges to other comprehensive income (loss), net of tax, and subsequently reclassifies these amounts into earnings in the period during which the hedged transaction affects earnings and is presented in the same income statement line item as the earnings effect of the hedged item. The Company records the gains or losses related to freestanding derivatives, which are not designated as a hedge for accounting purposes, currently in earnings and are presented in the same line of the income statement expected for the hedged item. The Company estimates that approximately $14 million of losses currently recorded in accumulated other comprehensive income (loss) will be recognized in earnings over the next 12 months.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40" w:right="37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both"/>
        <w:ind w:left="500" w:right="2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gasoline. These instruments were designated as freestanding derivatives and the changes in fair value are recorded in earnings and are presented in the same line of the income statement expected for the hedged item.</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b w:val="1"/>
                <w:bCs w:val="1"/>
                <w:color w:val="auto"/>
              </w:rPr>
              <w:t>As of March 31,</w:t>
            </w:r>
          </w:p>
        </w:tc>
      </w:tr>
      <w:tr>
        <w:trPr>
          <w:trHeight w:val="228"/>
        </w:trPr>
        <w:tc>
          <w:tcPr>
            <w:tcW w:w="8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1,685</w:t>
            </w:r>
          </w:p>
        </w:tc>
      </w:tr>
      <w:tr>
        <w:trPr>
          <w:trHeight w:val="291"/>
        </w:trPr>
        <w:tc>
          <w:tcPr>
            <w:tcW w:w="852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80" w:type="dxa"/>
            <w:vAlign w:val="bottom"/>
          </w:tcPr>
          <w:p>
            <w:pPr>
              <w:spacing w:after="0"/>
              <w:rPr>
                <w:sz w:val="24"/>
                <w:szCs w:val="24"/>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8,192</w:t>
            </w:r>
          </w:p>
        </w:tc>
      </w:tr>
      <w:tr>
        <w:trPr>
          <w:trHeight w:val="195"/>
        </w:trPr>
        <w:tc>
          <w:tcPr>
            <w:tcW w:w="85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80" w:type="dxa"/>
            <w:vAlign w:val="bottom"/>
          </w:tcPr>
          <w:p>
            <w:pPr>
              <w:spacing w:after="0"/>
              <w:rPr>
                <w:sz w:val="16"/>
                <w:szCs w:val="16"/>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2,250</w:t>
            </w:r>
          </w:p>
        </w:tc>
      </w:tr>
      <w:tr>
        <w:trPr>
          <w:trHeight w:val="473"/>
        </w:trPr>
        <w:tc>
          <w:tcPr>
            <w:tcW w:w="852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180" w:type="dxa"/>
            <w:vAlign w:val="bottom"/>
          </w:tcPr>
          <w:p>
            <w:pPr>
              <w:spacing w:after="0"/>
              <w:rPr>
                <w:sz w:val="24"/>
                <w:szCs w:val="24"/>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35"/>
        </w:trPr>
        <w:tc>
          <w:tcPr>
            <w:tcW w:w="852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5" w:lineRule="exact"/>
        <w:rPr>
          <w:sz w:val="20"/>
          <w:szCs w:val="20"/>
          <w:color w:val="auto"/>
        </w:rPr>
      </w:pPr>
    </w:p>
    <w:p>
      <w:pPr>
        <w:ind w:left="820" w:hanging="326"/>
        <w:spacing w:after="0" w:line="217" w:lineRule="auto"/>
        <w:tabs>
          <w:tab w:leader="none" w:pos="8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Represents $5.6 billion of interest rate caps sold, partially offset by approximately $2.6 billion of interest rate caps purchased. These amounts exclude $3.0 billion of interest rate caps purchased by the Company’s Avis Budget Rental Car Funding subsidiary as it is not consolidated by the Company.</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26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As of March 31, 2020</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2019</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Derivative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Derivative</w:t>
            </w: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rPr>
              <w:t>Derivative</w:t>
            </w:r>
          </w:p>
        </w:tc>
        <w:tc>
          <w:tcPr>
            <w:tcW w:w="0" w:type="dxa"/>
            <w:vAlign w:val="bottom"/>
          </w:tcPr>
          <w:p>
            <w:pPr>
              <w:spacing w:after="0"/>
              <w:rPr>
                <w:sz w:val="1"/>
                <w:szCs w:val="1"/>
                <w:color w:val="auto"/>
              </w:rPr>
            </w:pPr>
          </w:p>
        </w:tc>
      </w:tr>
      <w:tr>
        <w:trPr>
          <w:trHeight w:val="228"/>
        </w:trPr>
        <w:tc>
          <w:tcPr>
            <w:tcW w:w="4160" w:type="dxa"/>
            <w:vAlign w:val="bottom"/>
          </w:tcPr>
          <w:p>
            <w:pPr>
              <w:spacing w:after="0"/>
              <w:rPr>
                <w:sz w:val="19"/>
                <w:szCs w:val="19"/>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left="199"/>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51"/>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16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2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16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4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416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40" w:type="dxa"/>
            <w:vAlign w:val="bottom"/>
          </w:tcPr>
          <w:p>
            <w:pPr>
              <w:spacing w:after="0"/>
              <w:rPr>
                <w:sz w:val="23"/>
                <w:szCs w:val="2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16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(b)</w:t>
            </w:r>
          </w:p>
        </w:tc>
        <w:tc>
          <w:tcPr>
            <w:tcW w:w="114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12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6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14–Stockholders’ Equity.</w:t>
      </w:r>
    </w:p>
    <w:p>
      <w:pPr>
        <w:ind w:left="820" w:hanging="326"/>
        <w:spacing w:after="0" w:line="194" w:lineRule="auto"/>
        <w:tabs>
          <w:tab w:leader="none" w:pos="8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ind w:left="820" w:hanging="326"/>
        <w:spacing w:after="0" w:line="199" w:lineRule="auto"/>
        <w:tabs>
          <w:tab w:leader="none" w:pos="8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19050</wp:posOffset>
            </wp:positionV>
            <wp:extent cx="18859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46"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7160" w:type="dxa"/>
            <w:vAlign w:val="bottom"/>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21"/>
        </w:trPr>
        <w:tc>
          <w:tcPr>
            <w:tcW w:w="716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160" w:type="dxa"/>
            <w:vAlign w:val="bottom"/>
          </w:tcPr>
          <w:p>
            <w:pPr>
              <w:ind w:left="1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55"/>
        </w:trPr>
        <w:tc>
          <w:tcPr>
            <w:tcW w:w="7160" w:type="dxa"/>
            <w:vAlign w:val="bottom"/>
          </w:tcPr>
          <w:p>
            <w:pPr>
              <w:ind w:left="100"/>
              <w:spacing w:after="0"/>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100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85"/>
        </w:trPr>
        <w:tc>
          <w:tcPr>
            <w:tcW w:w="716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16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1000" w:type="dxa"/>
            <w:vAlign w:val="bottom"/>
          </w:tcPr>
          <w:p>
            <w:pPr>
              <w:spacing w:after="0"/>
              <w:rPr>
                <w:sz w:val="23"/>
                <w:szCs w:val="23"/>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19"/>
        </w:trPr>
        <w:tc>
          <w:tcPr>
            <w:tcW w:w="716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(f)</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r>
      <w:tr>
        <w:trPr>
          <w:trHeight w:val="230"/>
        </w:trPr>
        <w:tc>
          <w:tcPr>
            <w:tcW w:w="7160" w:type="dxa"/>
            <w:vAlign w:val="bottom"/>
          </w:tcPr>
          <w:p>
            <w:pPr>
              <w:ind w:left="100"/>
              <w:spacing w:after="0"/>
              <w:rPr>
                <w:sz w:val="20"/>
                <w:szCs w:val="20"/>
                <w:color w:val="auto"/>
              </w:rPr>
            </w:pPr>
            <w:r>
              <w:rPr>
                <w:rFonts w:ascii="Arial" w:cs="Arial" w:eastAsia="Arial" w:hAnsi="Arial"/>
                <w:sz w:val="16"/>
                <w:szCs w:val="16"/>
                <w:color w:val="auto"/>
              </w:rPr>
              <w:t>Total</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3810</wp:posOffset>
            </wp:positionV>
            <wp:extent cx="18859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right="460" w:hanging="326"/>
        <w:spacing w:after="0" w:line="217"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14–Stockholders’ Equity for amounts reclassified from accumulated other comprehensive income into earnings.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right="20" w:hanging="326"/>
        <w:spacing w:after="0" w:line="211"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2020, included a $28 million gain in interest expense and a $1 million loss in operating expense. For the three months ended March 31, 2019, included $4 million loss in interest expense and a $5 million gain in operating expense.</w:t>
      </w:r>
    </w:p>
    <w:p>
      <w:pPr>
        <w:ind w:left="820" w:hanging="326"/>
        <w:spacing w:after="0" w:line="199"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As of March 31, 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2019</w:t>
            </w:r>
          </w:p>
        </w:tc>
      </w:tr>
      <w:tr>
        <w:trPr>
          <w:trHeight w:val="198"/>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Estimated</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rPr>
              <w:t>Fair</w:t>
            </w:r>
          </w:p>
        </w:tc>
      </w:tr>
      <w:tr>
        <w:trPr>
          <w:trHeight w:val="228"/>
        </w:trPr>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9"/>
                <w:szCs w:val="19"/>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70"/>
        </w:trPr>
        <w:tc>
          <w:tcPr>
            <w:tcW w:w="416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416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3,572</w:t>
            </w:r>
          </w:p>
        </w:tc>
      </w:tr>
      <w:tr>
        <w:trPr>
          <w:trHeight w:val="499"/>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7"/>
        </w:trPr>
        <w:tc>
          <w:tcPr>
            <w:tcW w:w="416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95"/>
        </w:trPr>
        <w:tc>
          <w:tcPr>
            <w:tcW w:w="4160" w:type="dxa"/>
            <w:vAlign w:val="bottom"/>
          </w:tcPr>
          <w:p>
            <w:pPr>
              <w:ind w:left="30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9,350</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8,989</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7,936</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8,077</w:t>
            </w:r>
          </w:p>
        </w:tc>
      </w:tr>
      <w:tr>
        <w:trPr>
          <w:trHeight w:val="270"/>
        </w:trPr>
        <w:tc>
          <w:tcPr>
            <w:tcW w:w="416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3,142</w:t>
            </w:r>
          </w:p>
        </w:tc>
      </w:tr>
      <w:tr>
        <w:trPr>
          <w:trHeight w:val="289"/>
        </w:trPr>
        <w:tc>
          <w:tcPr>
            <w:tcW w:w="416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41"/>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4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3"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COVID-19 charges and income taxes. Net charges for unprecedented personal-injury legal matters and gain on sale of equity method investment in China are recorded within operating expenses in the Company’s Consolidated Condensed Statement of Comprehensive Income. Non-operational charges related to shareholder activist activity include third party advisory, legal and other professional service fees and are recorded within selling, general and administrative expenses in the Company’s Consolidated Condensed Statement of Comprehensive Income. COVID-19 charges include unusual, direct and incremental costs due to the COVID-19 global pandemic such as overflow parking for idle vehicles, incremental cleaning supplies to sanitize vehicles and facilities, and losses associated with vehicles damaged in overflow parking lots and are recorded within operating expenses in the Company’s Consolidated Condensed Statement of Comprehensive Income. The Company has revised its definition of Adjusted EBITDA to exclude COVID-19 charges. The Company has not revised prior years' Adjusted EBITDA amounts because there were no other charges similar in nature to these. The Company’s presentation of Adjusted EBITDA may not be comparable to similarly-titled measures used by other companies.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614"/>
        </w:trPr>
        <w:tc>
          <w:tcPr>
            <w:tcW w:w="4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49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spacing w:after="0"/>
              <w:rPr>
                <w:sz w:val="22"/>
                <w:szCs w:val="22"/>
                <w:color w:val="auto"/>
              </w:rPr>
            </w:pPr>
          </w:p>
        </w:tc>
      </w:tr>
      <w:tr>
        <w:trPr>
          <w:trHeight w:val="20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Adjusted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4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4980" w:type="dxa"/>
            <w:vAlign w:val="bottom"/>
          </w:tcPr>
          <w:p>
            <w:pPr>
              <w:ind w:left="520"/>
              <w:spacing w:after="0"/>
              <w:rPr>
                <w:sz w:val="20"/>
                <w:szCs w:val="20"/>
                <w:color w:val="auto"/>
              </w:rPr>
            </w:pPr>
            <w:r>
              <w:rPr>
                <w:rFonts w:ascii="Arial" w:cs="Arial" w:eastAsia="Arial" w:hAnsi="Arial"/>
                <w:sz w:val="18"/>
                <w:szCs w:val="18"/>
                <w:color w:val="auto"/>
              </w:rPr>
              <w:t>Americas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4980" w:type="dxa"/>
            <w:vAlign w:val="bottom"/>
          </w:tcPr>
          <w:p>
            <w:pPr>
              <w:ind w:left="5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3"/>
        </w:trPr>
        <w:tc>
          <w:tcPr>
            <w:tcW w:w="4980" w:type="dxa"/>
            <w:vAlign w:val="bottom"/>
          </w:tcPr>
          <w:p>
            <w:pPr>
              <w:ind w:left="5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4980" w:type="dxa"/>
            <w:vAlign w:val="bottom"/>
          </w:tcPr>
          <w:p>
            <w:pPr>
              <w:ind w:left="92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0" w:right="379" w:bottom="1440" w:gutter="0" w:footer="0" w:header="0"/>
        </w:sectPr>
      </w:pPr>
    </w:p>
    <w:p>
      <w:pPr>
        <w:spacing w:after="0" w:line="47"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Reconciliation of Adjusted EBITDA to loss before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800" w:type="dxa"/>
            <w:vAlign w:val="bottom"/>
          </w:tcPr>
          <w:p>
            <w:pPr>
              <w:ind w:left="20"/>
              <w:spacing w:after="0"/>
              <w:rPr>
                <w:sz w:val="20"/>
                <w:szCs w:val="20"/>
                <w:color w:val="auto"/>
              </w:rPr>
            </w:pPr>
            <w:r>
              <w:rPr>
                <w:rFonts w:ascii="Arial" w:cs="Arial" w:eastAsia="Arial" w:hAnsi="Arial"/>
                <w:sz w:val="18"/>
                <w:szCs w:val="18"/>
                <w:color w:val="auto"/>
              </w:rPr>
              <w:t>Less:</w:t>
            </w:r>
          </w:p>
        </w:tc>
        <w:tc>
          <w:tcPr>
            <w:tcW w:w="5140" w:type="dxa"/>
            <w:vAlign w:val="bottom"/>
          </w:tcPr>
          <w:p>
            <w:pPr>
              <w:ind w:left="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0"/>
        </w:trPr>
        <w:tc>
          <w:tcPr>
            <w:tcW w:w="800" w:type="dxa"/>
            <w:vAlign w:val="bottom"/>
          </w:tcPr>
          <w:p>
            <w:pPr>
              <w:spacing w:after="0"/>
              <w:rPr>
                <w:sz w:val="24"/>
                <w:szCs w:val="24"/>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21"/>
                <w:szCs w:val="21"/>
                <w:color w:val="auto"/>
                <w:vertAlign w:val="superscript"/>
              </w:rPr>
              <w:t>(b)</w:t>
            </w:r>
          </w:p>
        </w:tc>
        <w:tc>
          <w:tcPr>
            <w:tcW w:w="30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140" w:type="dxa"/>
            <w:vAlign w:val="bottom"/>
          </w:tcPr>
          <w:p>
            <w:pPr>
              <w:ind w:left="20"/>
              <w:spacing w:after="0" w:line="203" w:lineRule="exact"/>
              <w:rPr>
                <w:sz w:val="20"/>
                <w:szCs w:val="20"/>
                <w:color w:val="auto"/>
              </w:rPr>
            </w:pPr>
            <w:r>
              <w:rPr>
                <w:rFonts w:ascii="Arial" w:cs="Arial" w:eastAsia="Arial" w:hAnsi="Arial"/>
                <w:sz w:val="18"/>
                <w:szCs w:val="18"/>
                <w:color w:val="auto"/>
              </w:rPr>
              <w:t>Non-operational charges related to shareholder activist activity</w:t>
            </w:r>
          </w:p>
        </w:tc>
        <w:tc>
          <w:tcPr>
            <w:tcW w:w="300" w:type="dxa"/>
            <w:vAlign w:val="bottom"/>
          </w:tcPr>
          <w:p>
            <w:pPr>
              <w:spacing w:after="0"/>
              <w:rPr>
                <w:sz w:val="17"/>
                <w:szCs w:val="17"/>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5140" w:type="dxa"/>
            <w:vAlign w:val="bottom"/>
          </w:tcPr>
          <w:p>
            <w:pPr>
              <w:ind w:left="20"/>
              <w:spacing w:after="0"/>
              <w:rPr>
                <w:sz w:val="20"/>
                <w:szCs w:val="20"/>
                <w:color w:val="auto"/>
              </w:rPr>
            </w:pPr>
            <w:r>
              <w:rPr>
                <w:rFonts w:ascii="Arial" w:cs="Arial" w:eastAsia="Arial" w:hAnsi="Arial"/>
                <w:sz w:val="9"/>
                <w:szCs w:val="9"/>
                <w:color w:val="auto"/>
              </w:rPr>
              <w:t>(c)</w:t>
            </w: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Transaction-related costs,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vMerge w:val="continue"/>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187" w:lineRule="auto"/>
        <w:tabs>
          <w:tab w:leader="none" w:pos="8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w:t>
      </w:r>
    </w:p>
    <w:p>
      <w:pPr>
        <w:ind w:left="820" w:hanging="326"/>
        <w:spacing w:after="0" w:line="199" w:lineRule="auto"/>
        <w:tabs>
          <w:tab w:leader="none" w:pos="8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45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8483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-142240</wp:posOffset>
            </wp:positionV>
            <wp:extent cx="848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65" w:lineRule="exact"/>
        <w:rPr>
          <w:sz w:val="20"/>
          <w:szCs w:val="20"/>
          <w:color w:val="auto"/>
        </w:rPr>
      </w:pPr>
    </w:p>
    <w:p>
      <w:pPr>
        <w:ind w:left="1050" w:hanging="1050"/>
        <w:spacing w:after="0"/>
        <w:tabs>
          <w:tab w:leader="none" w:pos="10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w:t>
      </w:r>
    </w:p>
    <w:p>
      <w:pPr>
        <w:spacing w:after="0" w:line="63" w:lineRule="exact"/>
        <w:rPr>
          <w:rFonts w:ascii="Arial" w:cs="Arial" w:eastAsia="Arial" w:hAnsi="Arial"/>
          <w:sz w:val="18"/>
          <w:szCs w:val="18"/>
          <w:color w:val="auto"/>
        </w:rPr>
      </w:pPr>
    </w:p>
    <w:p>
      <w:pPr>
        <w:ind w:left="1010"/>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333" w:lineRule="exact"/>
        <w:rPr>
          <w:sz w:val="20"/>
          <w:szCs w:val="20"/>
          <w:color w:val="auto"/>
        </w:rPr>
      </w:pPr>
    </w:p>
    <w:p>
      <w:pPr>
        <w:ind w:left="1010"/>
        <w:spacing w:after="0"/>
        <w:rPr>
          <w:sz w:val="20"/>
          <w:szCs w:val="20"/>
          <w:color w:val="auto"/>
        </w:rPr>
      </w:pPr>
      <w:r>
        <w:rPr>
          <w:rFonts w:ascii="Arial" w:cs="Arial" w:eastAsia="Arial" w:hAnsi="Arial"/>
          <w:sz w:val="18"/>
          <w:szCs w:val="18"/>
          <w:color w:val="auto"/>
        </w:rPr>
        <w:t>42</w:t>
      </w:r>
    </w:p>
    <w:p>
      <w:pPr>
        <w:spacing w:after="0" w:line="63" w:lineRule="exact"/>
        <w:rPr>
          <w:sz w:val="20"/>
          <w:szCs w:val="20"/>
          <w:color w:val="auto"/>
        </w:rPr>
      </w:pPr>
    </w:p>
    <w:p>
      <w:pPr>
        <w:ind w:left="103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010"/>
        <w:spacing w:after="0"/>
        <w:rPr>
          <w:sz w:val="20"/>
          <w:szCs w:val="20"/>
          <w:color w:val="auto"/>
        </w:rPr>
      </w:pPr>
      <w:r>
        <w:rPr>
          <w:rFonts w:ascii="Arial" w:cs="Arial" w:eastAsia="Arial" w:hAnsi="Arial"/>
          <w:sz w:val="18"/>
          <w:szCs w:val="18"/>
          <w:color w:val="auto"/>
        </w:rPr>
        <w:t>21</w:t>
      </w:r>
    </w:p>
    <w:p>
      <w:pPr>
        <w:spacing w:after="0" w:line="63" w:lineRule="exact"/>
        <w:rPr>
          <w:sz w:val="20"/>
          <w:szCs w:val="20"/>
          <w:color w:val="auto"/>
        </w:rPr>
      </w:pPr>
    </w:p>
    <w:p>
      <w:pPr>
        <w:ind w:left="103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483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43" w:lineRule="exact"/>
        <w:rPr>
          <w:sz w:val="20"/>
          <w:szCs w:val="20"/>
          <w:color w:val="auto"/>
        </w:rPr>
      </w:pPr>
    </w:p>
    <w:p>
      <w:pPr>
        <w:ind w:left="850" w:hanging="850"/>
        <w:spacing w:after="0"/>
        <w:tabs>
          <w:tab w:leader="none" w:pos="85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22225</wp:posOffset>
            </wp:positionV>
            <wp:extent cx="8483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39370</wp:posOffset>
            </wp:positionV>
            <wp:extent cx="8483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884" w:lineRule="exact"/>
        <w:rPr>
          <w:sz w:val="20"/>
          <w:szCs w:val="20"/>
          <w:color w:val="auto"/>
        </w:rPr>
      </w:pPr>
    </w:p>
    <w:p>
      <w:pPr>
        <w:sectPr>
          <w:pgSz w:w="11900" w:h="16838" w:orient="portrait"/>
          <w:cols w:equalWidth="0" w:num="2">
            <w:col w:w="8630" w:space="720"/>
            <w:col w:w="1850"/>
          </w:cols>
          <w:pgMar w:left="320" w:top="140" w:right="379" w:bottom="1440" w:gutter="0" w:footer="0" w:header="0"/>
          <w:type w:val="continuous"/>
        </w:sectPr>
      </w:pPr>
    </w:p>
    <w:p>
      <w:pPr>
        <w:jc w:val="both"/>
        <w:ind w:left="500" w:right="880"/>
        <w:spacing w:after="0" w:line="256" w:lineRule="auto"/>
        <w:rPr>
          <w:sz w:val="20"/>
          <w:szCs w:val="20"/>
          <w:color w:val="auto"/>
        </w:rPr>
      </w:pPr>
      <w:r>
        <w:rPr>
          <w:rFonts w:ascii="Arial" w:cs="Arial" w:eastAsia="Arial" w:hAnsi="Arial"/>
          <w:sz w:val="18"/>
          <w:szCs w:val="18"/>
          <w:color w:val="auto"/>
        </w:rPr>
        <w:t>As of March 31, 2020 and December 31, 2019, Americas’ segment assets exclusive of assets under vehicle programs were approximately $6.2 billion, respectively, and International segment assets exclusive of assets under vehicle programs were approximately $2.9 billion and $3.0 billion, respectively.</w:t>
      </w:r>
    </w:p>
    <w:p>
      <w:pPr>
        <w:spacing w:after="0" w:line="202"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As of March 31, 2020 and December 31, 2019, Americas’ assets under vehicle programs were approximately $11.6 billion and $10.5 billion, respectively, and International assets under vehicle programs were approximately $2.7 billion and $3.3 billion, respectively. The changes in assets under vehicle programs is primarily due to the timing of seasonal changes in vehicle fleet.</w:t>
      </w:r>
    </w:p>
    <w:p>
      <w:pPr>
        <w:spacing w:after="0" w:line="180"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April 2020, the Company redeemed $100 million of its Senior Notes due April 2023.</w:t>
      </w:r>
    </w:p>
    <w:p>
      <w:pPr>
        <w:spacing w:after="0" w:line="225"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April 2020, the Company experienced a fire at an overflow parking lot near Southwest Florida International Airport. Vehicles with an estimated carrying value of approximately $50 million are a total loss. The Company estimates a loss of up to $10 million related to this incident, net of insurance proceeds.</w:t>
      </w:r>
    </w:p>
    <w:p>
      <w:pPr>
        <w:spacing w:after="0" w:line="201" w:lineRule="exact"/>
        <w:rPr>
          <w:rFonts w:ascii="Arial" w:cs="Arial" w:eastAsia="Arial" w:hAnsi="Arial"/>
          <w:sz w:val="18"/>
          <w:szCs w:val="18"/>
          <w:b w:val="1"/>
          <w:bCs w:val="1"/>
          <w:color w:val="auto"/>
        </w:rPr>
      </w:pPr>
    </w:p>
    <w:p>
      <w:pPr>
        <w:ind w:left="50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April 2020, the Company amended the credit agreement governing its senior credit facilities to, among other things, waive the quarterly-tested leverage covenant through June 30, 2021 and increase its interest and fees payable on the senior credit facilities until the termination of a specific relief period.</w:t>
      </w:r>
    </w:p>
    <w:p>
      <w:pPr>
        <w:spacing w:after="0" w:line="200" w:lineRule="exact"/>
        <w:rPr>
          <w:sz w:val="20"/>
          <w:szCs w:val="20"/>
          <w:color w:val="auto"/>
        </w:rPr>
      </w:pPr>
    </w:p>
    <w:p>
      <w:pPr>
        <w:spacing w:after="0" w:line="22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140" w:right="37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2019 Form 10-K. Our actual results of operations may differ materially from those discussed in forward-looking statements as a result of various factors, including but not limited to those included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2019 Form 10-K. Unless otherwise noted, all dollar amounts in tables are in millions.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during 2019 of nearly 660,000 vehicles. We also license the use of our trademarks to licensees in the areas in which we do not operate directly. We and our licensees operate our brands in approximately 180 countries throughout the world.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color w:val="auto"/>
        </w:rPr>
        <w:t xml:space="preserve">We categorize our operations into two reportable business segments: </w:t>
      </w:r>
      <w:r>
        <w:rPr>
          <w:rFonts w:ascii="Arial" w:cs="Arial" w:eastAsia="Arial" w:hAnsi="Arial"/>
          <w:sz w:val="17"/>
          <w:szCs w:val="17"/>
          <w:i w:val="1"/>
          <w:iCs w:val="1"/>
          <w:color w:val="auto"/>
        </w:rPr>
        <w:t>Americas</w:t>
      </w:r>
      <w:r>
        <w:rPr>
          <w:rFonts w:ascii="Arial" w:cs="Arial" w:eastAsia="Arial" w:hAnsi="Arial"/>
          <w:sz w:val="17"/>
          <w:szCs w:val="17"/>
          <w:color w:val="auto"/>
        </w:rPr>
        <w:t xml:space="preserve">, consisting primarily of our vehicle rental operations in North America, South America, Central America and the Caribbean, car sharing operations in certain of these markets, and licensees in the areas in which we do not operate directly; and </w:t>
      </w:r>
      <w:r>
        <w:rPr>
          <w:rFonts w:ascii="Arial" w:cs="Arial" w:eastAsia="Arial" w:hAnsi="Arial"/>
          <w:sz w:val="17"/>
          <w:szCs w:val="17"/>
          <w:i w:val="1"/>
          <w:iCs w:val="1"/>
          <w:color w:val="auto"/>
        </w:rPr>
        <w:t>International</w:t>
      </w:r>
      <w:r>
        <w:rPr>
          <w:rFonts w:ascii="Arial" w:cs="Arial" w:eastAsia="Arial" w:hAnsi="Arial"/>
          <w:sz w:val="17"/>
          <w:szCs w:val="17"/>
          <w:color w:val="auto"/>
        </w:rPr>
        <w:t>, consisting primarily of our vehicle rental operations in Europe, the Middle East, Africa, Asia and Australasia, car sharing operations in certain of these markets, and licensees in the areas in which we do not operate directly.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spread of the novel coronavirus (“COVID-19”) and the impact on travel demand and the global economy are having significant negative impacts on all aspects of our business.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Significant events affecting travel, have historically had an impact on vehicle rental volumes, with the full extent of the impact generally determined by the length of time the event influences travel decisions. COVID-19 has had, and the Company believes will continue to have, a significant negative impact on our operations and vehicle rental volumes and consequently our financial results, and such negative impact may continue well beyond the containment of this outbreak. In particular:</w:t>
      </w:r>
    </w:p>
    <w:p>
      <w:pPr>
        <w:spacing w:after="0" w:line="204" w:lineRule="exact"/>
        <w:rPr>
          <w:sz w:val="20"/>
          <w:szCs w:val="20"/>
          <w:color w:val="auto"/>
        </w:rPr>
      </w:pPr>
    </w:p>
    <w:p>
      <w:pPr>
        <w:ind w:left="660" w:right="34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Reservation volume for the remainder of 2020 is significantly behind prior year on a comparable basis as a result of the effects of COVID-19, which could impact our peak summer season. The third quarter of the year has historically been our most profitable quarter, as measured by net income and Adjusted EBITDA, due to increased summer leisure travel.</w:t>
      </w:r>
    </w:p>
    <w:p>
      <w:pPr>
        <w:spacing w:after="0" w:line="201" w:lineRule="exact"/>
        <w:rPr>
          <w:rFonts w:ascii="Arial" w:cs="Arial" w:eastAsia="Arial" w:hAnsi="Arial"/>
          <w:sz w:val="18"/>
          <w:szCs w:val="18"/>
          <w:color w:val="auto"/>
        </w:rPr>
      </w:pPr>
    </w:p>
    <w:p>
      <w:pPr>
        <w:ind w:left="660" w:right="180" w:hanging="328"/>
        <w:spacing w:after="0" w:line="25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used vehicle market has been disrupted, impacting our ability to dispose of used vehicles. As the market for used vehicles is impacted by general economic conditions resulting from COVID-19, a reduction in residual values for risk vehicles in our fleet could cause us to sustain a substantial loss on the ultimate sale of such vehicles or require us to depreciate those at a more accelerated rate than we have anticipated. If our ability to sell vehicles in the used vehicle market becomes severely limited, we may have difficulty meeting collateral requirements due under our asset-backed financing facilities.</w:t>
      </w:r>
    </w:p>
    <w:p>
      <w:pPr>
        <w:spacing w:after="0" w:line="205" w:lineRule="exact"/>
        <w:rPr>
          <w:rFonts w:ascii="Arial" w:cs="Arial" w:eastAsia="Arial" w:hAnsi="Arial"/>
          <w:sz w:val="18"/>
          <w:szCs w:val="18"/>
          <w:color w:val="auto"/>
        </w:rPr>
      </w:pPr>
    </w:p>
    <w:p>
      <w:pPr>
        <w:ind w:left="660" w:right="40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April 2020, Moody’s and S&amp;P Global (the “Rating Agencies”) downgraded our long-term corporate debt rating. If we were to experience a further downgrade, this could negatively impact our ability to respond to adverse changes in the general economic, industry and competitive conditions, as well as changes in government regulation and changes to our business.</w:t>
      </w:r>
    </w:p>
    <w:p>
      <w:pPr>
        <w:spacing w:after="0" w:line="201"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a result of decreased rental volume, we have parked our vehicles in overflow parking lots. In April 2020, we experienced a fire at an overflow parking lot near Southwest Florida International Airport. As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right="220"/>
        <w:spacing w:after="0" w:line="256" w:lineRule="auto"/>
        <w:rPr>
          <w:sz w:val="20"/>
          <w:szCs w:val="20"/>
          <w:color w:val="auto"/>
        </w:rPr>
      </w:pPr>
      <w:r>
        <w:rPr>
          <w:rFonts w:ascii="Arial" w:cs="Arial" w:eastAsia="Arial" w:hAnsi="Arial"/>
          <w:sz w:val="18"/>
          <w:szCs w:val="18"/>
          <w:color w:val="auto"/>
        </w:rPr>
        <w:t>result, we have lost vehicles with an estimated carrying value of approximately $50 million. We estimate a loss of up to $10 million related to this incident, which will be treated as COVID-19 charges and excluded from Adjusted EBITDA. We could experience similar casualty losses in other overflow parking lots.</w:t>
      </w:r>
    </w:p>
    <w:p>
      <w:pPr>
        <w:spacing w:after="0" w:line="202" w:lineRule="exact"/>
        <w:rPr>
          <w:sz w:val="20"/>
          <w:szCs w:val="20"/>
          <w:color w:val="auto"/>
        </w:rPr>
      </w:pPr>
    </w:p>
    <w:p>
      <w:pPr>
        <w:ind w:left="660" w:hanging="328"/>
        <w:spacing w:after="0" w:line="25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taken cost removal and mitigation actions by eliminating all non-essential capital and operating expenditures and we are continuing to negotiate with partners and suppliers for further reductions. We have reduced or furloughed our global workforce, reduced base compensation at the level of vice presidents and above, froze merit increases, eliminated our 401(k) match for highly compensated employees, and canceled all future hiring. We aggressively reduced the size of our global fleet beginning in March and continuing in April, and currently estimate that we will end June with over 20% fewer units than the prior year. Our vehicle dispositions will occur through both traditional methods and by utilizing our alternative distribution strategy by selling directly to dealers and consumers. Finally, we have negotiated a significant number of new vehicle cancellations to improve utilization and shrink the fleet size.</w:t>
      </w:r>
    </w:p>
    <w:p>
      <w:pPr>
        <w:spacing w:after="0" w:line="20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have never previously experienced such a decrease in demand, and as a result, our ability to be predictive regarding the impact of such a decrease is uncertain. In addition, the magnitude, speed and duration of the global pandemic is uncertain. As a consequence, we cannot estimate the impact on our business, financial condition or forecast financial or operational results with reasonable certainty.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1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COVID-19 charges and income taxes. Net charges for unprecedented personal-injury legal matters and gain on sale of equity method investment in China are recorded within operating expenses in our consolidated condensed statement of operations. Non-operational charges related to shareholder activist activity include third party advisory, legal and other professional service fees and are recorded within selling, general and administrative expenses in our consolidated results of operations. COVID-19 charges include unusual, direct and incremental costs due to COVID-19 global pandemic such as overflow parking for idle vehicles, incremental cleaning supplies to sanitize vehicles and facilities, and losses associated with vehicles damaged in overflow parking lots and are recorded within operating expenses in our consolidated condensed statement of operations. We have revised our definition of Adjusted EBITDA to exclude COVID-19 charges. We did not revise prior years' Adjusted EBITDA amounts because there were no other charges similar in nature to these.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0"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revenues totaled $1.8 billion and decreased 9% compared to the similar period in 2019, primarily due to reduced rental volume.</w:t>
      </w:r>
    </w:p>
    <w:p>
      <w:pPr>
        <w:spacing w:after="0" w:line="225" w:lineRule="exact"/>
        <w:rPr>
          <w:rFonts w:ascii="Arial" w:cs="Arial" w:eastAsia="Arial" w:hAnsi="Arial"/>
          <w:sz w:val="18"/>
          <w:szCs w:val="18"/>
          <w:color w:val="auto"/>
        </w:rPr>
      </w:pPr>
    </w:p>
    <w:p>
      <w:pPr>
        <w:ind w:left="660" w:right="340" w:hanging="328"/>
        <w:spacing w:after="0" w:line="26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net loss was $158 million and our Adjusted EBITDA loss was $87 million, representing an additional loss of $86 million year-over-year, primarily due to impacts directly related to COVID-19.</w:t>
      </w:r>
    </w:p>
    <w:p>
      <w:pPr>
        <w:spacing w:after="0" w:line="197"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repurchased $113 million of our common stock at an average price of $22.49, reducing our shares outstanding by approximately 5.0 million shares, or 7%.</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acquired various licensees in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vs. Three Months Ended March 31, 2019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86"/>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8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88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8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588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88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88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588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88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588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58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6"/>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7"/>
        </w:trPr>
        <w:tc>
          <w:tcPr>
            <w:tcW w:w="588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86"/>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80" w:type="dxa"/>
            <w:vAlign w:val="bottom"/>
          </w:tcPr>
          <w:p>
            <w:pPr>
              <w:spacing w:after="0"/>
              <w:rPr>
                <w:sz w:val="20"/>
                <w:szCs w:val="20"/>
                <w:color w:val="auto"/>
              </w:rPr>
            </w:pPr>
            <w:r>
              <w:rPr>
                <w:rFonts w:ascii="Arial" w:cs="Arial" w:eastAsia="Arial" w:hAnsi="Arial"/>
                <w:sz w:val="14"/>
                <w:szCs w:val="14"/>
                <w:color w:val="auto"/>
              </w:rPr>
              <w:t>n/m Not meaningful.</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Revenues decreased during the three months ended March 31, 2020 compared to the similar period in 2019, primarily as a result of a 7% decrease in volume, $20 million negative impact from currency exchange rate movements and a 1% decrease in revenue per day excluding exchange rate movements. Total expenses decreased during the three months ended March 31, 2020, compared to the similar period in 2019, primarily due to lower salaries, wages and related benefits, vehicle depreciation and facilities expense, partially offset by higher restructuring and other related charges.</w:t>
      </w: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Operating expenses increased to 60.3% of revenue during the three months ended March 31, 2020 compared to 55.8% during the similar period in 2019, primarily due to impacts directly related to COVID-19. Vehicle depreciation and lease charges increased to 26.2% of revenue during the three months ended March 31, 2020 compared to 25.3% during the similar period in 2019, primarily due to lower revenues, partially offset by Americas’ lower per-unit fleet costs. Selling, general and administrative costs decreased to 14.3% of revenue during the three months ended March 31, 2020 compared to 14.8% during the similar period in 2019, primarily due to lower</w:t>
      </w:r>
    </w:p>
    <w:p>
      <w:pPr>
        <w:sectPr>
          <w:pgSz w:w="11900" w:h="16838" w:orient="portrait"/>
          <w:cols w:equalWidth="0" w:num="1">
            <w:col w:w="11220"/>
          </w:cols>
          <w:pgMar w:left="320" w:top="140" w:right="3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20"/>
          </w:cols>
          <w:pgMar w:left="320" w:top="140" w:right="3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salaries, wages and related benefits. Vehicle interest costs increased to 4.7% of revenue during the three months ended March 31, 2020 compared to 4.2% during the similar period in 2019, primarily due to lower revenues.</w:t>
      </w:r>
    </w:p>
    <w:p>
      <w:pPr>
        <w:spacing w:after="0" w:line="19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Our effective tax rates were benefits of 40% and 33% for the three months ended March 31, 2020 and 2019, respectively. As a result of these items, our net loss increased by $67 million compared to the similar period in 2019.</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the three months ended March 31, 2020, the Company reported a loss of $2.16 per diluted share. For the three months ended March 31, 2019, the Company reported a loss of $1.20 per diluted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loss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49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64"/>
        </w:trPr>
        <w:tc>
          <w:tcPr>
            <w:tcW w:w="4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22"/>
                <w:szCs w:val="22"/>
                <w:color w:val="auto"/>
              </w:rPr>
            </w:pPr>
          </w:p>
        </w:tc>
      </w:tr>
      <w:tr>
        <w:trPr>
          <w:trHeight w:val="207"/>
        </w:trPr>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49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rPr>
              <w:t>EBITDA</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3"/>
        </w:trPr>
        <w:tc>
          <w:tcPr>
            <w:tcW w:w="496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4960" w:type="dxa"/>
            <w:vAlign w:val="bottom"/>
          </w:tcPr>
          <w:p>
            <w:pPr>
              <w:ind w:left="10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73"/>
        </w:trPr>
        <w:tc>
          <w:tcPr>
            <w:tcW w:w="4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Reconciliation to Adjusted EBITDA</w:t>
            </w:r>
          </w:p>
        </w:tc>
      </w:tr>
      <w:tr>
        <w:trPr>
          <w:trHeight w:val="264"/>
        </w:trPr>
        <w:tc>
          <w:tcPr>
            <w:tcW w:w="4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2019</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7"/>
        </w:trPr>
        <w:tc>
          <w:tcPr>
            <w:tcW w:w="49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500"/>
        </w:trPr>
        <w:tc>
          <w:tcPr>
            <w:tcW w:w="4960" w:type="dxa"/>
            <w:vAlign w:val="bottom"/>
          </w:tcPr>
          <w:p>
            <w:pPr>
              <w:spacing w:after="0"/>
              <w:rPr>
                <w:sz w:val="20"/>
                <w:szCs w:val="20"/>
                <w:color w:val="auto"/>
              </w:rPr>
            </w:pPr>
            <w:r>
              <w:rPr>
                <w:rFonts w:ascii="Arial" w:cs="Arial" w:eastAsia="Arial" w:hAnsi="Arial"/>
                <w:sz w:val="18"/>
                <w:szCs w:val="18"/>
                <w:color w:val="auto"/>
              </w:rPr>
              <w:t>Add:  Non-vehicle related depreciation and amortization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0"/>
        </w:trPr>
        <w:tc>
          <w:tcPr>
            <w:tcW w:w="4960" w:type="dxa"/>
            <w:vAlign w:val="bottom"/>
          </w:tcPr>
          <w:p>
            <w:pPr>
              <w:ind w:left="5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pacing w:after="0" w:line="53" w:lineRule="exact"/>
        <w:rPr>
          <w:sz w:val="20"/>
          <w:szCs w:val="20"/>
          <w:color w:val="auto"/>
        </w:rPr>
      </w:pPr>
    </w:p>
    <w:p>
      <w:pPr>
        <w:sectPr>
          <w:pgSz w:w="11900" w:h="16838" w:orient="portrait"/>
          <w:cols w:equalWidth="0" w:num="1">
            <w:col w:w="11220"/>
          </w:cols>
          <w:pgMar w:left="320" w:top="140" w:right="359" w:bottom="1440" w:gutter="0" w:footer="0" w:header="0"/>
        </w:sectPr>
      </w:pPr>
    </w:p>
    <w:p>
      <w:pPr>
        <w:ind w:left="82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18"/>
          <w:szCs w:val="18"/>
          <w:color w:val="auto"/>
          <w:vertAlign w:val="superscript"/>
        </w:rPr>
        <w:t>(b)</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18"/>
          <w:szCs w:val="18"/>
          <w:color w:val="auto"/>
          <w:vertAlign w:val="superscript"/>
        </w:rPr>
        <w:t>(c)</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EBITDA</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40" w:hanging="332"/>
        <w:spacing w:after="0" w:line="196"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condensed results of operations.</w:t>
      </w:r>
    </w:p>
    <w:p>
      <w:pPr>
        <w:ind w:left="340" w:hanging="332"/>
        <w:spacing w:after="0" w:line="187"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in our consolidated condensed results of operations.</w:t>
      </w:r>
    </w:p>
    <w:p>
      <w:pPr>
        <w:ind w:left="340" w:hanging="332"/>
        <w:spacing w:after="0" w:line="199"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20" w:type="dxa"/>
        <w:tblCellMar>
          <w:top w:w="0" w:type="dxa"/>
          <w:left w:w="0" w:type="dxa"/>
          <w:bottom w:w="0" w:type="dxa"/>
          <w:right w:w="0" w:type="dxa"/>
        </w:tblCellMar>
      </w:tblPr>
      <w:tr>
        <w:trPr>
          <w:trHeight w:val="217"/>
        </w:trPr>
        <w:tc>
          <w:tcPr>
            <w:tcW w:w="6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0"/>
        </w:trPr>
        <w:tc>
          <w:tcPr>
            <w:tcW w:w="6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0"/>
        </w:trPr>
        <w:tc>
          <w:tcPr>
            <w:tcW w:w="6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50"/>
        </w:trPr>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800"/>
        <w:spacing w:after="0"/>
        <w:rPr>
          <w:sz w:val="20"/>
          <w:szCs w:val="20"/>
          <w:color w:val="auto"/>
        </w:rPr>
      </w:pPr>
      <w:r>
        <w:rPr>
          <w:rFonts w:ascii="Arial" w:cs="Arial" w:eastAsia="Arial" w:hAnsi="Arial"/>
          <w:sz w:val="17"/>
          <w:szCs w:val="17"/>
          <w:b w:val="1"/>
          <w:bCs w:val="1"/>
          <w:color w:val="auto"/>
        </w:rPr>
        <w:t>Three Months Ended</w:t>
      </w:r>
    </w:p>
    <w:p>
      <w:pPr>
        <w:spacing w:after="0" w:line="29" w:lineRule="exact"/>
        <w:rPr>
          <w:sz w:val="20"/>
          <w:szCs w:val="20"/>
          <w:color w:val="auto"/>
        </w:rPr>
      </w:pPr>
    </w:p>
    <w:p>
      <w:pPr>
        <w:jc w:val="center"/>
        <w:ind w:right="17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14605</wp:posOffset>
            </wp:positionV>
            <wp:extent cx="24517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6920" w:space="720"/>
            <w:col w:w="3580"/>
          </w:cols>
          <w:pgMar w:left="320" w:top="140" w:right="35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7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3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07"/>
        </w:trPr>
        <w:tc>
          <w:tcPr>
            <w:tcW w:w="7360" w:type="dxa"/>
            <w:vAlign w:val="bottom"/>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72"/>
        </w:trPr>
        <w:tc>
          <w:tcPr>
            <w:tcW w:w="7360" w:type="dxa"/>
            <w:vAlign w:val="bottom"/>
          </w:tcPr>
          <w:p>
            <w:pPr>
              <w:spacing w:after="0"/>
              <w:rPr>
                <w:sz w:val="20"/>
                <w:szCs w:val="20"/>
                <w:color w:val="auto"/>
              </w:rPr>
            </w:pPr>
            <w:r>
              <w:rPr>
                <w:rFonts w:ascii="Arial" w:cs="Arial" w:eastAsia="Arial" w:hAnsi="Arial"/>
                <w:sz w:val="14"/>
                <w:szCs w:val="14"/>
                <w:color w:val="auto"/>
              </w:rPr>
              <w:t>n/m Not meaningful.</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20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Revenues decreased 5% during the three months ended March 31, 2020 compared to the similar period in 2019, primarily due to a 5% decrease in volume.</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expenses increased to 58.7% of revenue during the three months ended March 31, 2020 compared to 52.5% during the similar period in 2019, primarily due to impacts directly related to COVID-19. Vehicle depreciation and lease charges decreased to 26.4% of revenue during the three months ended March 31, 2020 compared to 26.6% during the similar period in 2019. Selling, general and administrative costs decreased to</w:t>
      </w:r>
    </w:p>
    <w:p>
      <w:pPr>
        <w:sectPr>
          <w:pgSz w:w="11900" w:h="16838" w:orient="portrait"/>
          <w:cols w:equalWidth="0" w:num="1">
            <w:col w:w="11220"/>
          </w:cols>
          <w:pgMar w:left="320" w:top="140" w:right="35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20"/>
          </w:cols>
          <w:pgMar w:left="320" w:top="140" w:right="3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12.3% of revenue during the three months ended March 31, 2020 compared to 13.3% during the similar period in 2019, primarily due to lower salaries, wages and related benefits. Vehicle interest costs increased to 5.6% of revenue during the three months ended March 31, 2020 compared to 5.0% during the similar period in 2019, primarily due to lower revenues.</w:t>
      </w:r>
    </w:p>
    <w:p>
      <w:pPr>
        <w:spacing w:after="0" w:line="2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Adjusted EBITDA was $65 million lower in first quarter 2020 compared to the similar period in 2019, primarily due to lower revenues directly related to COVID-19, partially offset by a 10% decrease in per-unit fleet costs excluding exchange rate effects.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42"/>
        </w:trPr>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1380" w:type="dxa"/>
            <w:vAlign w:val="bottom"/>
          </w:tcPr>
          <w:p>
            <w:pPr>
              <w:spacing w:after="0"/>
              <w:rPr>
                <w:sz w:val="24"/>
                <w:szCs w:val="24"/>
                <w:color w:val="auto"/>
              </w:rPr>
            </w:pPr>
          </w:p>
        </w:tc>
      </w:tr>
      <w:tr>
        <w:trPr>
          <w:trHeight w:val="246"/>
        </w:trPr>
        <w:tc>
          <w:tcPr>
            <w:tcW w:w="7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8"/>
              </w:rPr>
              <w:t>March 31,</w:t>
            </w:r>
          </w:p>
        </w:tc>
        <w:tc>
          <w:tcPr>
            <w:tcW w:w="1380" w:type="dxa"/>
            <w:vAlign w:val="bottom"/>
          </w:tcPr>
          <w:p>
            <w:pPr>
              <w:spacing w:after="0"/>
              <w:rPr>
                <w:sz w:val="21"/>
                <w:szCs w:val="21"/>
                <w:color w:val="auto"/>
              </w:rPr>
            </w:pPr>
          </w:p>
        </w:tc>
      </w:tr>
      <w:tr>
        <w:trPr>
          <w:trHeight w:val="263"/>
        </w:trPr>
        <w:tc>
          <w:tcPr>
            <w:tcW w:w="73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3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Revenues decreased 16% during the three months ended March 31, 2020, compared to the similar period in 2019, primarily due to a 11% decrease in volume, 2% decrease in revenue per day excluding exchange rate movements and a $20 million negative impact from currency exchange rate movements.</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expenses increased to 63.9% of revenue during the three months ended March 31, 2020 compared to 62.8% during the similar period in 2019, primarily due to impacts directly related to COVID-19. Vehicle depreciation and lease charges increased to 25.6% of revenue during the three months ended March 31, 2020 compared to 22.3% during the similar period in 2019, primarily due to lower revenues and a 2% increase in per-unit fleet costs excluding exchange rate effects. Selling, general and administrative costs decreased to 16.0% of revenue during the three months ended March 31, 2020 compared to 16.1% during similar period in 2019. Vehicle interest costs increased to 2.6% of revenue during the three months ended March 31, 2020 compared to 2.4% during the similar period in 2019.</w:t>
      </w:r>
    </w:p>
    <w:p>
      <w:pPr>
        <w:spacing w:after="0" w:line="20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Adjusted EBITDA was $19 million lower in first quarter 2020 compared to the similar period in 2019, primarily due to lower revenues directly related to COVID-19.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4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42"/>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6"/>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2019</w:t>
            </w:r>
          </w:p>
        </w:tc>
        <w:tc>
          <w:tcPr>
            <w:tcW w:w="30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9,252</w:t>
            </w:r>
          </w:p>
        </w:tc>
        <w:tc>
          <w:tcPr>
            <w:tcW w:w="120" w:type="dxa"/>
            <w:vAlign w:val="bottom"/>
          </w:tcPr>
          <w:p>
            <w:pPr>
              <w:spacing w:after="0"/>
              <w:rPr>
                <w:sz w:val="21"/>
                <w:szCs w:val="21"/>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8,603</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14,300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13,815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2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14,657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w:t>
            </w:r>
          </w:p>
        </w:tc>
      </w:tr>
    </w:tbl>
    <w:p>
      <w:pPr>
        <w:spacing w:after="0" w:line="2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The decrease in stockholders’ equity is primarily due to our comprehensive loss and share repurchases.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three months ended March 31, 2020, our Avis Budget Rental Car Funding subsidiary issued approximately $700 million in asset-backed notes with an expected final payment date of August 2025, and a weighted average interest rate of 2.42%. The proceeds from these borrowings were used to fund the repayment of maturing vehicle-backed debt and the acquisition of rental cars in the United States. During the three months ended March 31, 2020, we repurchased approximately 5.0 million shares of our outstanding common stock for approximately $113 million at an average price of $22.49. We have no corporate debt maturities until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660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8"/>
        </w:trPr>
        <w:tc>
          <w:tcPr>
            <w:tcW w:w="6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7"/>
          </w:tcPr>
          <w:p>
            <w:pPr>
              <w:jc w:val="right"/>
              <w:ind w:right="85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66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0"/>
        </w:trPr>
        <w:tc>
          <w:tcPr>
            <w:tcW w:w="66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3"/>
                <w:szCs w:val="23"/>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660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660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42"/>
        </w:trPr>
        <w:tc>
          <w:tcPr>
            <w:tcW w:w="6600" w:type="dxa"/>
            <w:vAlign w:val="bottom"/>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6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7"/>
        </w:trPr>
        <w:tc>
          <w:tcPr>
            <w:tcW w:w="660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r>
      <w:tr>
        <w:trPr>
          <w:trHeight w:val="250"/>
        </w:trPr>
        <w:tc>
          <w:tcPr>
            <w:tcW w:w="660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decrease in cash provided by operating activities during the three months ended March 31, 2020 compared with the same period in 2019 is principally due to changes in the components of working capital.</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increase in cash used in investing activities during the three months ended March 31, 2020 compared with the same period in 2019 is primarily due to an increase in investment in debt securities of AESOP and net assets of acquired businesses partially offset by reduced net investment in vehicles.</w:t>
      </w:r>
    </w:p>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increase in cash provided by financing activities during the three months ended March 31, 2020 compared with the same period in 2019 is primarily due to an increase in net borrowings under vehicle programs.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March 31, 2020, we had approximately $15.5 billion of indebtedness, including corporate indebtedness of approximately $ 3.5 billion and debt under vehicle programs of approximately $12.0 billion. For information regarding our debt and borrowing arrangements, see Notes 1, 11 and 12 to our Consolidated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Guarantor Financial Information</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following financial information presents summarized financial information presented from the Consolidated Condensed Statements of Comprehensive Income for the three months ended March 31, 2020 and Consolidated Condensed Balance Sheets as of March 31, 2020 and December 31, 2019 for: Avis Budget Group, Inc. (the “Parent”), ABCR and Avis Budget Finance, Inc. (the “Subsidiary Issuers”) and the guarantor subsidiaries (the “Guarantor Subsidiaries”). The Subsidiary Issuers and the Guarantor Subsidiaries are 100% owned by the Parent, either directly or indirectly. All guarantees are full and unconditional and joint and several. This financial information is being presented in relation to the Company’s guarantee of the payment of principal, premium (if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40"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any) and interest on the Senior Notes issued by the Subsidiary Issuers. For a description of these guaranteed notes, see Note 11 to our Consolidated Condensed Financial Statements. The Senior Notes are guaranteed by the Parent and certain subsidiaries.</w:t>
      </w:r>
    </w:p>
    <w:p>
      <w:pPr>
        <w:spacing w:after="0" w:line="198"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 following tables present summarized financial information for the Parent, the Subsidiary Issuer and the Guarantor Subsidiaries on a combined basis after intercompany transactions have been eliminated, including adjustments to remove the receivable and payable balances, investment in, and equity in earnings from the subsidiaries that do not guarantee the Senior Notes (the “Non-Guarantor Subsidiaries”).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60" w:type="dxa"/>
            <w:vAlign w:val="bottom"/>
          </w:tcPr>
          <w:p>
            <w:pPr>
              <w:spacing w:after="0"/>
              <w:rPr>
                <w:sz w:val="20"/>
                <w:szCs w:val="20"/>
                <w:color w:val="auto"/>
              </w:rPr>
            </w:pPr>
            <w:r>
              <w:rPr>
                <w:rFonts w:ascii="Arial" w:cs="Arial" w:eastAsia="Arial" w:hAnsi="Arial"/>
                <w:sz w:val="18"/>
                <w:szCs w:val="18"/>
                <w:b w:val="1"/>
                <w:bCs w:val="1"/>
                <w:i w:val="1"/>
                <w:iCs w:val="1"/>
                <w:color w:val="auto"/>
              </w:rPr>
              <w:t>Summarized Income Statement</w:t>
            </w:r>
          </w:p>
        </w:tc>
        <w:tc>
          <w:tcPr>
            <w:tcW w:w="5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35"/>
        </w:trPr>
        <w:tc>
          <w:tcPr>
            <w:tcW w:w="8760" w:type="dxa"/>
            <w:vAlign w:val="bottom"/>
          </w:tcPr>
          <w:p>
            <w:pPr>
              <w:spacing w:after="0"/>
              <w:rPr>
                <w:sz w:val="11"/>
                <w:szCs w:val="11"/>
                <w:color w:val="auto"/>
              </w:rPr>
            </w:pPr>
          </w:p>
        </w:tc>
        <w:tc>
          <w:tcPr>
            <w:tcW w:w="2480" w:type="dxa"/>
            <w:vAlign w:val="bottom"/>
            <w:tcBorders>
              <w:bottom w:val="single" w:sz="8" w:color="auto"/>
            </w:tcBorders>
            <w:gridSpan w:val="2"/>
          </w:tcPr>
          <w:p>
            <w:pPr>
              <w:spacing w:after="0"/>
              <w:rPr>
                <w:sz w:val="11"/>
                <w:szCs w:val="11"/>
                <w:color w:val="auto"/>
              </w:rPr>
            </w:pPr>
          </w:p>
        </w:tc>
      </w:tr>
      <w:tr>
        <w:trPr>
          <w:trHeight w:val="200"/>
        </w:trPr>
        <w:tc>
          <w:tcPr>
            <w:tcW w:w="8760" w:type="dxa"/>
            <w:vAlign w:val="bottom"/>
          </w:tcPr>
          <w:p>
            <w:pPr>
              <w:spacing w:after="0"/>
              <w:rPr>
                <w:sz w:val="17"/>
                <w:szCs w:val="17"/>
                <w:color w:val="auto"/>
              </w:rPr>
            </w:pPr>
          </w:p>
        </w:tc>
        <w:tc>
          <w:tcPr>
            <w:tcW w:w="248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Three Months Ended March</w:t>
            </w:r>
          </w:p>
        </w:tc>
      </w:tr>
      <w:tr>
        <w:trPr>
          <w:trHeight w:val="246"/>
        </w:trPr>
        <w:tc>
          <w:tcPr>
            <w:tcW w:w="87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31, 2020</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Revenues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1,131</w:t>
            </w:r>
          </w:p>
        </w:tc>
      </w:tr>
      <w:tr>
        <w:trPr>
          <w:trHeight w:val="263"/>
        </w:trPr>
        <w:tc>
          <w:tcPr>
            <w:tcW w:w="8760" w:type="dxa"/>
            <w:vAlign w:val="bottom"/>
          </w:tcPr>
          <w:p>
            <w:pPr>
              <w:ind w:left="40"/>
              <w:spacing w:after="0"/>
              <w:rPr>
                <w:sz w:val="20"/>
                <w:szCs w:val="20"/>
                <w:color w:val="auto"/>
              </w:rPr>
            </w:pPr>
            <w:r>
              <w:rPr>
                <w:rFonts w:ascii="Arial" w:cs="Arial" w:eastAsia="Arial" w:hAnsi="Arial"/>
                <w:sz w:val="18"/>
                <w:szCs w:val="18"/>
                <w:color w:val="auto"/>
              </w:rPr>
              <w:t>Expenses</w:t>
            </w:r>
          </w:p>
        </w:tc>
        <w:tc>
          <w:tcPr>
            <w:tcW w:w="5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1,589</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5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63"/>
        </w:trPr>
        <w:tc>
          <w:tcPr>
            <w:tcW w:w="876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5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8760" w:type="dxa"/>
            <w:vAlign w:val="bottom"/>
          </w:tcPr>
          <w:p>
            <w:pPr>
              <w:ind w:left="40"/>
              <w:spacing w:after="0"/>
              <w:rPr>
                <w:sz w:val="20"/>
                <w:szCs w:val="20"/>
                <w:color w:val="auto"/>
              </w:rPr>
            </w:pPr>
            <w:r>
              <w:rPr>
                <w:rFonts w:ascii="Arial" w:cs="Arial" w:eastAsia="Arial" w:hAnsi="Arial"/>
                <w:sz w:val="18"/>
                <w:szCs w:val="18"/>
                <w:color w:val="auto"/>
              </w:rPr>
              <w:t>Net loss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0</wp:posOffset>
            </wp:positionV>
            <wp:extent cx="15773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17145</wp:posOffset>
            </wp:positionV>
            <wp:extent cx="15773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March 31, 2020, the above amounts include expenses of $574 million associated with intercompany charges from the Non-Guarantor Subsidiaries.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60" w:type="dxa"/>
            <w:vAlign w:val="bottom"/>
          </w:tcPr>
          <w:p>
            <w:pPr>
              <w:spacing w:after="0"/>
              <w:rPr>
                <w:sz w:val="20"/>
                <w:szCs w:val="20"/>
                <w:color w:val="auto"/>
              </w:rPr>
            </w:pPr>
            <w:r>
              <w:rPr>
                <w:rFonts w:ascii="Arial" w:cs="Arial" w:eastAsia="Arial" w:hAnsi="Arial"/>
                <w:sz w:val="18"/>
                <w:szCs w:val="18"/>
                <w:b w:val="1"/>
                <w:bCs w:val="1"/>
                <w:i w:val="1"/>
                <w:iCs w:val="1"/>
                <w:color w:val="auto"/>
              </w:rPr>
              <w:t>Summarized Balance Sheets</w:t>
            </w: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135"/>
        </w:trPr>
        <w:tc>
          <w:tcPr>
            <w:tcW w:w="7060" w:type="dxa"/>
            <w:vAlign w:val="bottom"/>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r>
      <w:tr>
        <w:trPr>
          <w:trHeight w:val="200"/>
        </w:trPr>
        <w:tc>
          <w:tcPr>
            <w:tcW w:w="7060" w:type="dxa"/>
            <w:vAlign w:val="bottom"/>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March 31,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46"/>
        </w:trPr>
        <w:tc>
          <w:tcPr>
            <w:tcW w:w="7060" w:type="dxa"/>
            <w:vAlign w:val="bottom"/>
          </w:tcPr>
          <w:p>
            <w:pPr>
              <w:spacing w:after="0"/>
              <w:rPr>
                <w:sz w:val="21"/>
                <w:szCs w:val="21"/>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December 31, 2019</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Non-current assets</w:t>
            </w:r>
          </w:p>
        </w:tc>
        <w:tc>
          <w:tcPr>
            <w:tcW w:w="1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5,067</w:t>
            </w: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Assets under vehicle programs</w:t>
            </w:r>
          </w:p>
        </w:tc>
        <w:tc>
          <w:tcPr>
            <w:tcW w:w="1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540"/>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1,244</w:t>
            </w: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1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4,441</w:t>
            </w: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Liabilities under vehicle programs</w:t>
            </w:r>
          </w:p>
        </w:tc>
        <w:tc>
          <w:tcPr>
            <w:tcW w:w="1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2,311</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As of March 31, 2020 and December 31, 2019, the above amounts exclude receivables of $2 million, respectively from the Non-Guarantor Subsidiaries. As of March 31, 2020 and December 31, 2019, the above amounts exclude payables of approximately $1.0 billion, respectively, to the Non-Guarantor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liquidity position has been impacted by COVID-19 as a result of significant volume declines and we expect the impact of COVID-19 on the U.S. and worldwide economies to continue to affect our volumes even after the outbreak is contained. Our liquidity could be further negatively affected by any financial market disruptions or a further downturn in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March 31, 2020, we had access to $0.7 billion of available cash and cash equivalents and estimate available borrowings under our revolving credit facility to be approximately $0.6 billion after taking into account requirements for letters of credit, providing us with access to an estimated $1.3 billion of total liquidity. In addition, we have access of up to $1.0 billion of available cash and cash equivalents from AESOP. See Note 1 to our Consolidated Condensed Financial Statements for detailed information on liquidity and management’s plans.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new liquidity covenant, the consolidated first lien leverage ratio requirement after the end of the waiver period on June 30, 2021 and other covenants associated with our senior credit facilities and other borrowings. As of March 31, 2020, we were in compliance with the financial covenants governing our indebtedness. For additional information regarding our liquidity risks, see Part I, Item 1A, “Risk Factors” of our 2019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2019 Form 10-K with the exception of our commitment to purchase vehicles, which decreased by approximately $5.1 billion from December 31, 2019, to approximately $2.7 billion at March 31, 2020 due to the COVID-19 impact on our business. Changes to our obligations related to corporate indebtedness and debt under vehicle programs are presented above within the section titled “Liquidity and Capital Resources—Debt and Financing Arrangements” and also within Notes 11 and 12 to our Consolidated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2019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2020 reported results. There have been no significant changes to those accounting policies or our assessment of which accounting policies we would consider to be critical accounting policies.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and other indefinite-lived intangible assets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 the fourth quarter of each year at the reporting unit level, or more frequently if events or circumstances indicate that the carrying amount of goodwill and other indefinite-lived intangible assets may be impaired. During the quarter ended March 31, 2020, we observed reduced demand as a result of the impact of COVID-19 on our business. We evaluated qualitative factors and determined that an interim impairment test was not required as we believe it is more likely than not that the fair value of our goodwill and other indefinite-lived intangible assets exceeds the carrying value. When making this determination we made key assumptions such as our ability to remove costs, shrink the size of our vehicle fleet and experience improvement in reservations in June and throughout the summer. We also made assumptions related to our cost of capital and market information when performing our impairment analysis.</w:t>
      </w:r>
    </w:p>
    <w:p>
      <w:pPr>
        <w:spacing w:after="0" w:line="2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Subsequent to March 31, 2020, there has been a further deterioration in the general economic conditions in the travel industry that if continue, would result in an interim impairment test of our goodwill and indefinite-lived trademarks, which may result in an impairment charge to earnings in future quarters.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weighted average cost of capital and market multiples. If our expectations of the operating results, both in magnitude or timing, do not materialize, or if our weighed average cost of capital increases or if market multiples decline, we may be required to record goodwill and indefinite-lived intangible asset impairment charges, which may be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2020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March 31, 2020. For additional information regarding our long-term borrowings and financial instruments, see Notes 11, 12 and 16 to our Consolidated Condensed Financial Statements.</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right="20" w:hanging="332"/>
        <w:spacing w:after="0" w:line="258"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2020.</w:t>
      </w:r>
    </w:p>
    <w:p>
      <w:pPr>
        <w:spacing w:after="0" w:line="183" w:lineRule="exact"/>
        <w:rPr>
          <w:rFonts w:ascii="Arial" w:cs="Arial" w:eastAsia="Arial" w:hAnsi="Arial"/>
          <w:sz w:val="18"/>
          <w:szCs w:val="18"/>
          <w:color w:val="auto"/>
        </w:rPr>
      </w:pPr>
    </w:p>
    <w:p>
      <w:pPr>
        <w:ind w:left="340" w:hanging="332"/>
        <w:spacing w:after="0" w:line="266"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During the quarter ended March 31, 2020, the Company had no material developments to report with respect to its legal proceedings. For additional information regarding the Company’s legal proceedings, see Note 13 to our Consolidated Condensed Financial Statements and refer to the Company’s 2019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risk factors are provided to update the risk factors of the Company previously disclosed in periodic reports filed with the SEC, including its 2019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has disrupted, and may continue to disrupt, our business and financial performance.</w:t>
      </w:r>
    </w:p>
    <w:p>
      <w:pPr>
        <w:spacing w:after="0" w:line="247"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outbreak of COVID-19 in multiple countries across the globe, including North America, Europe and Asia, has adversely impacted the U.S., U.K. and global economy. We have experienced disruptions to our business thus far from COVID-19, and the pandemic continues to spread in most of our markets. Governmental authorities are taking increasingly severe countermeasures to slow the outbreak, including a number of shelter-in-place orders and large-scale restrictions on travel. The pandemic is a highly fluid and rapidly evolving situation and we cannot anticipate with any certainty the length, scope or severity of such restrictions in each of the jurisdictions that we operate.</w:t>
      </w:r>
    </w:p>
    <w:p>
      <w:pPr>
        <w:spacing w:after="0" w:line="20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full impact that COVID-19 will have on our business cannot be predicted at this time due to numerous uncertainties, including the ultimate geographic spread of the disease, the duration and severity of the outbreak, travel restrictions and business closures, the effectiveness of actions taken to contain the disease, the length of time it takes for rental volume and pricing to return and normal economic and operating conditions to resume, and other unintended consequences. This impact could include, but is not limited to, those discussed below:</w:t>
      </w:r>
    </w:p>
    <w:p>
      <w:pPr>
        <w:spacing w:after="0" w:line="187" w:lineRule="exact"/>
        <w:rPr>
          <w:sz w:val="20"/>
          <w:szCs w:val="20"/>
          <w:color w:val="auto"/>
        </w:rPr>
      </w:pPr>
    </w:p>
    <w:p>
      <w:pPr>
        <w:ind w:left="980" w:hanging="324"/>
        <w:spacing w:after="0" w:line="25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changes in our revenues and customer demand: </w:t>
      </w:r>
      <w:r>
        <w:rPr>
          <w:rFonts w:ascii="Arial" w:cs="Arial" w:eastAsia="Arial" w:hAnsi="Arial"/>
          <w:sz w:val="18"/>
          <w:szCs w:val="18"/>
          <w:color w:val="auto"/>
        </w:rPr>
        <w:t>Our revenues and profitability have been materially impacted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of 2020 and in the second fiscal quarter of 2020 to date compared to the prior year periods, and we expect they will continue to be materially adversely affected. Although we believe that renting a vehicle will continue to be a safe, clean and attractive alternative when people return to a normal way of life, we cannot predict when that will occur and how long our revenues and customer demand will be affected by the COVID-19 pandemic. As we typically generate approximately 64% of our revenues from on-airport locations, our business is highly dependent on travel and both commercial demand and weekend leisure demand. In addition, our truck rental business is significantly affected by the housing, light commercial and consumer sectors, all of which have been adversely impacted by the COVID-19 pandemic, and we cannot predict the pace of recovery in those sectors.</w:t>
      </w:r>
    </w:p>
    <w:p>
      <w:pPr>
        <w:spacing w:after="0" w:line="18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our expenses: </w:t>
      </w:r>
      <w:r>
        <w:rPr>
          <w:rFonts w:ascii="Arial" w:cs="Arial" w:eastAsia="Arial" w:hAnsi="Arial"/>
          <w:sz w:val="17"/>
          <w:szCs w:val="17"/>
          <w:color w:val="auto"/>
        </w:rPr>
        <w:t>To date we have incurred, and expect to continue to incur, increased costs related to COVID-19,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procurement of overflow parking for our idle vehicles and costs associated with sanitizing our vehicles and facilities. In addition, the industry may be subject to enhanced health and hygiene requirements in attempts to counteract future outbreaks, which requirements may increase our costs and take a significant amount of time to implement across our global operations. These additional costs may be required by regulators or expected by consumers even after the immediate effects of COVID-19 subside.</w:t>
      </w:r>
    </w:p>
    <w:p>
      <w:pPr>
        <w:spacing w:after="0" w:line="167" w:lineRule="exact"/>
        <w:rPr>
          <w:rFonts w:ascii="Arial" w:cs="Arial" w:eastAsia="Arial" w:hAnsi="Arial"/>
          <w:sz w:val="17"/>
          <w:szCs w:val="17"/>
          <w:color w:val="auto"/>
        </w:rPr>
      </w:pPr>
    </w:p>
    <w:p>
      <w:pPr>
        <w:ind w:left="980" w:right="40" w:hanging="324"/>
        <w:spacing w:after="0" w:line="258"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our workforce: </w:t>
      </w:r>
      <w:r>
        <w:rPr>
          <w:rFonts w:ascii="Arial" w:cs="Arial" w:eastAsia="Arial" w:hAnsi="Arial"/>
          <w:sz w:val="18"/>
          <w:szCs w:val="18"/>
          <w:color w:val="auto"/>
        </w:rPr>
        <w:t>The COVID-19 outbreak has also caused us to reduce and furlough employees in order to right size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for vehicle rental demand by reducing operating costs. These actions could create risks, including but not limited to, our ability to manage the size of our workforce given uncertain future demand. Further, we may incur additional costs as a result of negotiations with labor unions that represent our employees or severance payments in the event our workforce is further reduced, and we could experience labor disputes or disruptions as we continue to implement our mitigation plans.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0"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ind w:left="980" w:right="20" w:hanging="324"/>
        <w:spacing w:after="0" w:line="261"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our relationship with, and the financial and operational capacities of, vehicle manufacturers and other suppliers: </w:t>
      </w:r>
      <w:r>
        <w:rPr>
          <w:rFonts w:ascii="Arial" w:cs="Arial" w:eastAsia="Arial" w:hAnsi="Arial"/>
          <w:sz w:val="18"/>
          <w:szCs w:val="18"/>
          <w:color w:val="auto"/>
        </w:rPr>
        <w:t>We could face</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disruptions in the supply of vehicles from vehicle manufacturers, whether due to outbreaks of COVID-19 at their manufacturing facilities, measures they take in response to COVID-19 or otherwise. We may also face delays in receiving delivery of vehicles or other supplies that may make it more difficult to meet consumer demand.</w:t>
      </w:r>
    </w:p>
    <w:p>
      <w:pPr>
        <w:spacing w:after="0" w:line="179" w:lineRule="exact"/>
        <w:rPr>
          <w:rFonts w:ascii="Arial" w:cs="Arial" w:eastAsia="Arial" w:hAnsi="Arial"/>
          <w:sz w:val="18"/>
          <w:szCs w:val="18"/>
          <w:color w:val="auto"/>
        </w:rPr>
      </w:pPr>
    </w:p>
    <w:p>
      <w:pPr>
        <w:jc w:val="both"/>
        <w:ind w:left="980" w:right="60" w:hanging="324"/>
        <w:spacing w:after="0" w:line="266"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the used car market: </w:t>
      </w:r>
      <w:r>
        <w:rPr>
          <w:rFonts w:ascii="Arial" w:cs="Arial" w:eastAsia="Arial" w:hAnsi="Arial"/>
          <w:sz w:val="18"/>
          <w:szCs w:val="18"/>
          <w:color w:val="auto"/>
        </w:rPr>
        <w:t>We depend on the used car market to sell vehicles and enable us to refresh our fleet. The used car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has faced and may continue to experience lower demand due to the slowdown in overall global economic activity due to COVID-19, rising unemployment rates, depressed consumer demand and related factors.</w:t>
      </w:r>
    </w:p>
    <w:p>
      <w:pPr>
        <w:spacing w:after="0" w:line="175" w:lineRule="exact"/>
        <w:rPr>
          <w:rFonts w:ascii="Arial" w:cs="Arial" w:eastAsia="Arial" w:hAnsi="Arial"/>
          <w:sz w:val="18"/>
          <w:szCs w:val="18"/>
          <w:color w:val="auto"/>
        </w:rPr>
      </w:pPr>
    </w:p>
    <w:p>
      <w:pPr>
        <w:ind w:left="980" w:right="40" w:hanging="324"/>
        <w:spacing w:after="0" w:line="255"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risks associated with our indebtedness (including available borrowing capacity and ability to refinance indebtedness on favorable terms, among other things) and the adequacy of our cash flow and earnings and other conditions which may affect our liquidity: </w:t>
      </w:r>
      <w:r>
        <w:rPr>
          <w:rFonts w:ascii="Arial" w:cs="Arial" w:eastAsia="Arial" w:hAnsi="Arial"/>
          <w:sz w:val="18"/>
          <w:szCs w:val="18"/>
          <w:color w:val="auto"/>
        </w:rPr>
        <w:t>We have taken a number of actions in anticipation of, and in response to, COVID-19 that have increased our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As we manage through the effects of the pandemic, our level of indebtedness may increase substantially. A default under our senior secured credit facility would enable the lenders to terminate their commitments thereunder and could trigger a cross-default, acceleration or other consequences under our other indebtedness or financial instruments. There is no guarantee that debt financings will be available in the future to fund our obligations or will be available on terms consistent with our expectations.</w:t>
      </w: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generally subject to and impacted by, international, national and local economic conditions and travel demands. We do not expect economic and operating conditions for our business to improve until consumers are once again willing and able to travel. This may not occur until well after the broader global economy begins to improve. Additionally, our business is also dependent on consumer sentiment and discretionary spending patterns. To date there have been significant increases in unemployment in the United States and other regions due to the adoption of social distancing and other policies to slow the spread of the virus, which are likely to continue to have a significant negative impact on consumer discretionary spending, including in the mobility industry. Even when economic and operating conditions for our business improve, we cannot predict the long-term effects of the pandemic on our business or the mobility industry as a whole. If the mobility industry is fundamentally changed by the COVID-19 outbreak in ways that are detrimental to our operating model, our business may continue to be adversely affected even as the broader global economy recovers.</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that business disruption relating to the COVID-19 pandemic will continue to negatively impact the global economy and may materially affect our businesses as outlined above, all of which would adversely impact our business and results of operations. To the extent that the COVID-19 outbreak continues to adversely affect our business and financial performance, it may also have the effect of heightening many of the other risks identified below and in the “Risk Factors” section of our 2019 10-K, such as those relating to our substantial amount of outstanding indebtedness.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any or all of our estimated cost savings, which may have a negative effect on our results of operations.</w:t>
      </w:r>
    </w:p>
    <w:p>
      <w:pPr>
        <w:spacing w:after="0" w:line="24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have identified several areas that present opportunities for cost savings and efficiencies to potentially improve our results of operations while our business is being impacted by the COVID-19 crisis, including improved working capital management and other initiatives, such as initiatives related to reductions in fleet, staffing and compensation expense. The potential cost savings that have been estimated based on these opportunities are based on a number of assumptions and expectations which, if achieved, would improve our profitability and cash flows from operating activities. However, there can be no assurance that the expected results will be achieved. These and any future spend reductions, if any, may also negatively impact our other initiatives or our efforts to grow our business in a recovery, which may negatively impact our future results of operations and increase the burden on existing management, systems and resources. In addition, these cost savings may be negated or offset by unexpected or increased costs, including as a result of declining prices in the used car market, which could impact the contribution of our fleet reduction initiatives.</w:t>
      </w:r>
    </w:p>
    <w:p>
      <w:pPr>
        <w:spacing w:after="0" w:line="19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are dependent on a functioning used vehicle market and highly exposed to residual value risk in the event that vehicle prices decline, which may both be exacerbated by COVID-19.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dispose of a significant number of vehicles in the used car market, including at wholesale automotive auctions, through sales to vehicle dealers, and directly to consumers. The COVID-19 crisis has effectively closed many of the automotive auctions and vehicle dealerships across the globe, as well as retail locations that we operate directly. Additionally, unprecedented increases in unemployment rates may severely impact vehicle demand from consumers and increase the number of loan and lease defaults, leading to repossessions which are typically sold by lenders in the wholesale market. Further, car manufacturers may increase incentives to stimulate new vehicle sales, which may depress used vehicle values. In the event of a sustained revenue decline, we would attempt to further reduce the size of our global vehicle fleet. In such event, our competitors may likely also be attempting to sell vehicles. This confluence of events may lead to sharp and sustained declines in vehicle residual values, which may require increased compliance payments pursuant to our ABS securitization facility. In the event of extreme declines in residual values, the sale of vehicle inventory might result in no incremental recovery of our equity capital or even the requirement to fund additional capital to dispose of vehicles, or to choose to continue to idle the vehicle fleet until demand or market values recover, which cannot be assured. The foregoing factors could have a material adverse impact on our business,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impacted by impairment charges for goodwill and intangible assets.</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and indefinite-lived intangible assets for impairment each year, or more frequently if circumstances suggest an impairment may have occurred. We have determined in the past and may again determine in the future that a significant impairment has occurred in the value of our goodwill. Additionally, we have a significant amount of identifiable intangible assets and fixed assets that could also be subject to impairment. If we determine that a significant impairment has occurred in the value of our unamortized intangible assets or fixed assets, we could be required to write off a portion of our assets, which could adversely affect our consolidated financial condition or our reported results of operations.</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March 31,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00" w:type="dxa"/>
            <w:vAlign w:val="bottom"/>
          </w:tcPr>
          <w:p>
            <w:pPr>
              <w:spacing w:after="0"/>
              <w:rPr>
                <w:sz w:val="17"/>
                <w:szCs w:val="17"/>
                <w:color w:val="auto"/>
              </w:rPr>
            </w:pPr>
          </w:p>
        </w:tc>
        <w:tc>
          <w:tcPr>
            <w:tcW w:w="19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Value of Shares That</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May Yet Be</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9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00" w:type="dxa"/>
            <w:vAlign w:val="bottom"/>
          </w:tcPr>
          <w:p>
            <w:pPr>
              <w:spacing w:after="0"/>
              <w:rPr>
                <w:sz w:val="17"/>
                <w:szCs w:val="17"/>
                <w:color w:val="auto"/>
              </w:rPr>
            </w:pPr>
          </w:p>
        </w:tc>
        <w:tc>
          <w:tcPr>
            <w:tcW w:w="19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per Share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38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January 2020</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189,013,105</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rPr>
              <w:t>February 2020</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724,200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724,200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164,842,043</w:t>
            </w:r>
          </w:p>
        </w:tc>
        <w:tc>
          <w:tcPr>
            <w:tcW w:w="0" w:type="dxa"/>
            <w:vAlign w:val="bottom"/>
          </w:tcPr>
          <w:p>
            <w:pPr>
              <w:spacing w:after="0"/>
              <w:rPr>
                <w:sz w:val="1"/>
                <w:szCs w:val="1"/>
                <w:color w:val="auto"/>
              </w:rPr>
            </w:pPr>
          </w:p>
        </w:tc>
      </w:tr>
      <w:tr>
        <w:trPr>
          <w:trHeight w:val="277"/>
        </w:trPr>
        <w:tc>
          <w:tcPr>
            <w:tcW w:w="3380" w:type="dxa"/>
            <w:vAlign w:val="bottom"/>
          </w:tcPr>
          <w:p>
            <w:pPr>
              <w:ind w:left="40"/>
              <w:spacing w:after="0"/>
              <w:rPr>
                <w:sz w:val="20"/>
                <w:szCs w:val="20"/>
                <w:color w:val="auto"/>
              </w:rPr>
            </w:pPr>
            <w:r>
              <w:rPr>
                <w:rFonts w:ascii="Arial" w:cs="Arial" w:eastAsia="Arial" w:hAnsi="Arial"/>
                <w:sz w:val="18"/>
                <w:szCs w:val="18"/>
                <w:color w:val="auto"/>
              </w:rPr>
              <w:t>March 2020</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4,292,647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4,292,647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76,199,276</w:t>
            </w:r>
          </w:p>
        </w:tc>
        <w:tc>
          <w:tcPr>
            <w:tcW w:w="0" w:type="dxa"/>
            <w:vAlign w:val="bottom"/>
          </w:tcPr>
          <w:p>
            <w:pPr>
              <w:spacing w:after="0"/>
              <w:rPr>
                <w:sz w:val="1"/>
                <w:szCs w:val="1"/>
                <w:color w:val="auto"/>
              </w:rPr>
            </w:pPr>
          </w:p>
        </w:tc>
      </w:tr>
      <w:tr>
        <w:trPr>
          <w:trHeight w:val="257"/>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5,016,847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22"/>
                <w:szCs w:val="22"/>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5,016,847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76,199,276</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right="140" w:hanging="332"/>
        <w:spacing w:after="0" w:line="217"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Excludes, for the three months ended March 31, 2020, 191,428 shares which were withheld by the Company to satisfy employees’ income tax liabilities attributable to the vesting of restricted stock unit awards.</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$1.8 billion of its common stock under a plan originally approved in 2013 and subsequently expanded, most recently in August 2019</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62626"/>
        </w:rPr>
        <w:t>On February 10, 2020, the Company’s new Chairman purchased an aggregate $15 million of unregistered shares of the Company’s common stock at a price per share equal to the closing price of the Company’s common stock on February 7, 2020.</w:t>
      </w:r>
    </w:p>
    <w:p>
      <w:pPr>
        <w:spacing w:after="0" w:line="1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139"/>
          </w:cols>
          <w:pgMar w:left="320" w:top="140" w:right="1440"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1780" w:val="left"/>
          <w:tab w:leader="none" w:pos="3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7"/>
          <w:szCs w:val="17"/>
          <w:color w:val="auto"/>
        </w:rPr>
        <w:t>/s/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23495</wp:posOffset>
            </wp:positionV>
            <wp:extent cx="48431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5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Cathleen DeGenova</w:t>
      </w:r>
    </w:p>
    <w:p>
      <w:pPr>
        <w:spacing w:after="0" w:line="5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Vice President and</w:t>
      </w:r>
    </w:p>
    <w:p>
      <w:pPr>
        <w:spacing w:after="0" w:line="6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Chief Accounting Officer</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140" w:right="4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00" w:type="dxa"/>
            <w:vAlign w:val="bottom"/>
            <w:gridSpan w:val="15"/>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9900" w:type="dxa"/>
            <w:vAlign w:val="bottom"/>
            <w:gridSpan w:val="15"/>
          </w:tcPr>
          <w:p>
            <w:pPr>
              <w:ind w:left="452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0"/>
                <w:szCs w:val="20"/>
                <w:color w:val="auto"/>
              </w:rPr>
            </w:pPr>
          </w:p>
        </w:tc>
        <w:tc>
          <w:tcPr>
            <w:tcW w:w="9900" w:type="dxa"/>
            <w:vAlign w:val="bottom"/>
            <w:gridSpan w:val="15"/>
          </w:tcPr>
          <w:p>
            <w:pPr>
              <w:spacing w:after="0"/>
              <w:rPr>
                <w:rFonts w:ascii="Arial" w:cs="Arial" w:eastAsia="Arial" w:hAnsi="Arial"/>
                <w:sz w:val="18"/>
                <w:szCs w:val="18"/>
                <w:color w:val="0000FF"/>
              </w:rPr>
            </w:pPr>
            <w:hyperlink r:id="rId40">
              <w:r>
                <w:rPr>
                  <w:rFonts w:ascii="Arial" w:cs="Arial" w:eastAsia="Arial" w:hAnsi="Arial"/>
                  <w:sz w:val="18"/>
                  <w:szCs w:val="18"/>
                  <w:color w:val="0000FF"/>
                </w:rPr>
                <w:t>Rights Agreement, dated as of January 27, 2020, between Avis Budget Group, Inc. and Computer Share Inc., as Rights</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900" w:type="dxa"/>
            <w:vAlign w:val="bottom"/>
            <w:gridSpan w:val="15"/>
          </w:tcPr>
          <w:p>
            <w:pPr>
              <w:spacing w:after="0"/>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Agent (Incorporated by reference to Exhibit 4.1 to the Company’s Current Report on Form 8-K dated January 28, 2020).</w:t>
              </w:r>
            </w:hyperlink>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2"/>
                <w:szCs w:val="22"/>
                <w:color w:val="auto"/>
              </w:rPr>
            </w:pPr>
          </w:p>
        </w:tc>
        <w:tc>
          <w:tcPr>
            <w:tcW w:w="9900" w:type="dxa"/>
            <w:vAlign w:val="bottom"/>
            <w:gridSpan w:val="15"/>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Avis Budget Group, Inc. Amended and Restated Employee Stock Purchase Plan.</w:t>
              </w:r>
            </w:hyperlink>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9840" w:type="dxa"/>
            <w:vAlign w:val="bottom"/>
            <w:tcBorders>
              <w:bottom w:val="single" w:sz="8" w:color="0000FF"/>
            </w:tcBorders>
            <w:gridSpan w:val="13"/>
          </w:tcPr>
          <w:p>
            <w:pPr>
              <w:spacing w:after="0"/>
              <w:rPr>
                <w:rFonts w:ascii="Arial" w:cs="Arial" w:eastAsia="Arial" w:hAnsi="Arial"/>
                <w:sz w:val="18"/>
                <w:szCs w:val="18"/>
                <w:color w:val="0000FF"/>
                <w:w w:val="99"/>
              </w:rPr>
            </w:pPr>
            <w:hyperlink r:id="rId41">
              <w:r>
                <w:rPr>
                  <w:rFonts w:ascii="Arial" w:cs="Arial" w:eastAsia="Arial" w:hAnsi="Arial"/>
                  <w:sz w:val="18"/>
                  <w:szCs w:val="18"/>
                  <w:color w:val="0000FF"/>
                  <w:w w:val="99"/>
                </w:rPr>
                <w:t>Series 2020-1 Supplement, dated as of January 29, 2020, between Avis Budget Rental Car Funding (AESOP) LLC and The</w:t>
              </w:r>
            </w:hyperlink>
          </w:p>
        </w:tc>
        <w:tc>
          <w:tcPr>
            <w:tcW w:w="60" w:type="dxa"/>
            <w:vAlign w:val="bottom"/>
            <w:gridSpan w:val="2"/>
          </w:tcPr>
          <w:p>
            <w:pPr>
              <w:spacing w:after="0"/>
              <w:rPr>
                <w:sz w:val="18"/>
                <w:szCs w:val="18"/>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Bank of New York Mellon Trust Company, N.A, as trustee and as Series 2020-1 Agent (Incorporated by reference to Exhibit</w:t>
              </w:r>
            </w:hyperlink>
          </w:p>
        </w:tc>
        <w:tc>
          <w:tcPr>
            <w:tcW w:w="100" w:type="dxa"/>
            <w:vAlign w:val="bottom"/>
            <w:gridSpan w:val="3"/>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1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Company’s Current Report on Form 8-K dated January 29, 2020).</w:t>
              </w:r>
            </w:hyperlink>
          </w:p>
        </w:tc>
        <w:tc>
          <w:tcPr>
            <w:tcW w:w="3760" w:type="dxa"/>
            <w:vAlign w:val="bottom"/>
            <w:gridSpan w:val="11"/>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0"/>
                <w:szCs w:val="20"/>
                <w:color w:val="auto"/>
              </w:rPr>
            </w:pPr>
          </w:p>
        </w:tc>
        <w:tc>
          <w:tcPr>
            <w:tcW w:w="9900" w:type="dxa"/>
            <w:vAlign w:val="bottom"/>
            <w:gridSpan w:val="15"/>
          </w:tcPr>
          <w:p>
            <w:pPr>
              <w:spacing w:after="0"/>
              <w:rPr>
                <w:rFonts w:ascii="Arial" w:cs="Arial" w:eastAsia="Arial" w:hAnsi="Arial"/>
                <w:sz w:val="18"/>
                <w:szCs w:val="18"/>
                <w:color w:val="0000FF"/>
              </w:rPr>
            </w:pPr>
            <w:hyperlink r:id="rId42">
              <w:r>
                <w:rPr>
                  <w:rFonts w:ascii="Arial" w:cs="Arial" w:eastAsia="Arial" w:hAnsi="Arial"/>
                  <w:sz w:val="18"/>
                  <w:szCs w:val="18"/>
                  <w:color w:val="0000FF"/>
                </w:rPr>
                <w:t>First Amendment to the Fifth Amended and Restated Credit Agreement dated as of February 13, 2018, among Avis Budget</w:t>
              </w:r>
            </w:hyperlink>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Holdings, LLC, Avis Budget Car Rental, LLC, Avis Budget Group, Inc., the Subsidiary Borrowers from time to time parties</w:t>
              </w:r>
            </w:hyperlink>
          </w:p>
        </w:tc>
        <w:tc>
          <w:tcPr>
            <w:tcW w:w="160" w:type="dxa"/>
            <w:vAlign w:val="bottom"/>
            <w:tcBorders>
              <w:top w:val="single" w:sz="8" w:color="0000FF"/>
            </w:tcBorders>
            <w:gridSpan w:val="2"/>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18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thereto, JPMorgan Chase Bank, N.A., as Administrative Agent, and the other lenders party thereto (Incorporated by</w:t>
              </w:r>
            </w:hyperlink>
          </w:p>
        </w:tc>
        <w:tc>
          <w:tcPr>
            <w:tcW w:w="720" w:type="dxa"/>
            <w:vAlign w:val="bottom"/>
            <w:gridSpan w:val="8"/>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7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reference to Exhibit 10.1 to the Company’s Current Report on Form 8-K dated February 7, 2020).</w:t>
              </w:r>
            </w:hyperlink>
          </w:p>
        </w:tc>
        <w:tc>
          <w:tcPr>
            <w:tcW w:w="2180" w:type="dxa"/>
            <w:vAlign w:val="bottom"/>
            <w:gridSpan w:val="10"/>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0"/>
                <w:szCs w:val="20"/>
                <w:color w:val="auto"/>
              </w:rPr>
            </w:pPr>
          </w:p>
        </w:tc>
        <w:tc>
          <w:tcPr>
            <w:tcW w:w="9900" w:type="dxa"/>
            <w:vAlign w:val="bottom"/>
            <w:gridSpan w:val="15"/>
          </w:tcPr>
          <w:p>
            <w:pPr>
              <w:spacing w:after="0"/>
              <w:rPr>
                <w:rFonts w:ascii="Arial" w:cs="Arial" w:eastAsia="Arial" w:hAnsi="Arial"/>
                <w:sz w:val="18"/>
                <w:szCs w:val="18"/>
                <w:color w:val="0000FF"/>
                <w:w w:val="99"/>
              </w:rPr>
            </w:pPr>
            <w:hyperlink r:id="rId43">
              <w:r>
                <w:rPr>
                  <w:rFonts w:ascii="Arial" w:cs="Arial" w:eastAsia="Arial" w:hAnsi="Arial"/>
                  <w:sz w:val="18"/>
                  <w:szCs w:val="18"/>
                  <w:color w:val="0000FF"/>
                  <w:w w:val="99"/>
                </w:rPr>
                <w:t>Second Amendment, dated as of April 27, 2020, to the Fifth Amended and Restated Credit Agreement, dated as of February</w:t>
              </w:r>
            </w:hyperlink>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1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13, 2018, among Avis Budget Car Rental, LLC, Avis Budget Holdings, LLC, Avis Budget Group, Inc., the Subsidiary</w:t>
              </w:r>
            </w:hyperlink>
          </w:p>
        </w:tc>
        <w:tc>
          <w:tcPr>
            <w:tcW w:w="70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90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Borrowers from time to time party thereto, JPMorgan Chase Bank, N.A., as Administrative Agent, and the other lenders party</w:t>
              </w:r>
            </w:hyperlink>
          </w:p>
        </w:tc>
      </w:tr>
      <w:tr>
        <w:trPr>
          <w:trHeight w:val="223"/>
        </w:trPr>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900" w:type="dxa"/>
            <w:vAlign w:val="bottom"/>
            <w:gridSpan w:val="15"/>
          </w:tcPr>
          <w:p>
            <w:pPr>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thereto (Incorporated by reference to Exhibit 10.1 to the Company’s Current Report on Form 8-K dated April 27, 2020).</w:t>
              </w:r>
            </w:hyperlink>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9900" w:type="dxa"/>
            <w:vAlign w:val="bottom"/>
            <w:gridSpan w:val="15"/>
          </w:tcPr>
          <w:p>
            <w:pPr>
              <w:spacing w:after="0"/>
              <w:rPr>
                <w:rFonts w:ascii="Arial" w:cs="Arial" w:eastAsia="Arial" w:hAnsi="Arial"/>
                <w:sz w:val="18"/>
                <w:szCs w:val="18"/>
                <w:color w:val="0000FF"/>
              </w:rPr>
            </w:pPr>
            <w:hyperlink r:id="rId44">
              <w:r>
                <w:rPr>
                  <w:rFonts w:ascii="Arial" w:cs="Arial" w:eastAsia="Arial" w:hAnsi="Arial"/>
                  <w:sz w:val="18"/>
                  <w:szCs w:val="18"/>
                  <w:color w:val="0000FF"/>
                </w:rPr>
                <w:t>Third Amended and Restated Cooperation Agreement, dated as of February 23, 2020, by and among Avis Budget Group,</w:t>
              </w:r>
            </w:hyperlink>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1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Inc., SRS Investment Management, LLC and certain of its affiliates (Incorporated by reference to Exhibit 10.1 to the</w:t>
              </w:r>
            </w:hyperlink>
          </w:p>
        </w:tc>
        <w:tc>
          <w:tcPr>
            <w:tcW w:w="500" w:type="dxa"/>
            <w:vAlign w:val="bottom"/>
            <w:tcBorders>
              <w:top w:val="single" w:sz="8" w:color="0000FF"/>
            </w:tcBorders>
            <w:gridSpan w:val="4"/>
          </w:tcPr>
          <w:p>
            <w:pPr>
              <w:spacing w:after="0"/>
              <w:rPr>
                <w:sz w:val="15"/>
                <w:szCs w:val="15"/>
                <w:color w:val="auto"/>
              </w:rPr>
            </w:pPr>
          </w:p>
        </w:tc>
        <w:tc>
          <w:tcPr>
            <w:tcW w:w="240" w:type="dxa"/>
            <w:vAlign w:val="bottom"/>
            <w:gridSpan w:val="5"/>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2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Company’s Current Report on Form 8-K dated February 24, 2020).</w:t>
              </w:r>
            </w:hyperlink>
          </w:p>
        </w:tc>
        <w:tc>
          <w:tcPr>
            <w:tcW w:w="4580" w:type="dxa"/>
            <w:vAlign w:val="bottom"/>
            <w:gridSpan w:val="13"/>
          </w:tcPr>
          <w:p>
            <w:pPr>
              <w:spacing w:after="0"/>
              <w:rPr>
                <w:sz w:val="15"/>
                <w:szCs w:val="15"/>
                <w:color w:val="auto"/>
              </w:rPr>
            </w:pPr>
          </w:p>
        </w:tc>
      </w:tr>
    </w:tbl>
    <w:p>
      <w:pPr>
        <w:spacing w:after="0" w:line="67" w:lineRule="exact"/>
        <w:rPr>
          <w:sz w:val="20"/>
          <w:szCs w:val="20"/>
          <w:color w:val="auto"/>
        </w:rPr>
      </w:pPr>
    </w:p>
    <w:p>
      <w:pPr>
        <w:ind w:left="1280" w:hanging="1245"/>
        <w:spacing w:after="0"/>
        <w:tabs>
          <w:tab w:leader="none" w:pos="1280" w:val="left"/>
        </w:tabs>
        <w:numPr>
          <w:ilvl w:val="0"/>
          <w:numId w:val="55"/>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List of Guarantor Subsidiaries</w:t>
        </w:r>
      </w:hyperlink>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40" w:type="dxa"/>
            <w:vAlign w:val="bottom"/>
          </w:tcPr>
          <w:p>
            <w:pPr>
              <w:jc w:val="right"/>
              <w:ind w:right="810"/>
              <w:spacing w:after="0"/>
              <w:rPr>
                <w:sz w:val="20"/>
                <w:szCs w:val="20"/>
                <w:color w:val="auto"/>
              </w:rPr>
            </w:pPr>
            <w:r>
              <w:rPr>
                <w:rFonts w:ascii="Arial" w:cs="Arial" w:eastAsia="Arial" w:hAnsi="Arial"/>
                <w:sz w:val="18"/>
                <w:szCs w:val="18"/>
                <w:color w:val="auto"/>
                <w:w w:val="91"/>
              </w:rPr>
              <w:t>31.1</w:t>
            </w:r>
          </w:p>
        </w:tc>
        <w:tc>
          <w:tcPr>
            <w:tcW w:w="944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Certification of Chief Executive Officer pursuant to Rules 13(a)-14(a) and 15(d)-14(a) promulgated under the Securities</w:t>
              </w:r>
            </w:hyperlink>
          </w:p>
        </w:tc>
      </w:tr>
      <w:tr>
        <w:trPr>
          <w:trHeight w:val="183"/>
        </w:trPr>
        <w:tc>
          <w:tcPr>
            <w:tcW w:w="124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Exchange Act of 1934, as amended.</w:t>
              </w:r>
            </w:hyperlink>
          </w:p>
        </w:tc>
        <w:tc>
          <w:tcPr>
            <w:tcW w:w="6540" w:type="dxa"/>
            <w:vAlign w:val="bottom"/>
            <w:gridSpan w:val="2"/>
          </w:tcPr>
          <w:p>
            <w:pPr>
              <w:spacing w:after="0"/>
              <w:rPr>
                <w:sz w:val="15"/>
                <w:szCs w:val="15"/>
                <w:color w:val="auto"/>
              </w:rPr>
            </w:pPr>
          </w:p>
        </w:tc>
      </w:tr>
      <w:tr>
        <w:trPr>
          <w:trHeight w:val="237"/>
        </w:trPr>
        <w:tc>
          <w:tcPr>
            <w:tcW w:w="1240" w:type="dxa"/>
            <w:vAlign w:val="bottom"/>
          </w:tcPr>
          <w:p>
            <w:pPr>
              <w:jc w:val="right"/>
              <w:ind w:right="810"/>
              <w:spacing w:after="0"/>
              <w:rPr>
                <w:sz w:val="20"/>
                <w:szCs w:val="20"/>
                <w:color w:val="auto"/>
              </w:rPr>
            </w:pPr>
            <w:r>
              <w:rPr>
                <w:rFonts w:ascii="Arial" w:cs="Arial" w:eastAsia="Arial" w:hAnsi="Arial"/>
                <w:sz w:val="18"/>
                <w:szCs w:val="18"/>
                <w:color w:val="auto"/>
                <w:w w:val="91"/>
              </w:rPr>
              <w:t>31.2</w:t>
            </w:r>
          </w:p>
        </w:tc>
        <w:tc>
          <w:tcPr>
            <w:tcW w:w="938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Certification of Chief Financial Officer pursuant to Rules 13(a)-14(a) and 15(d)-14(a) promulgated under the Securities</w:t>
              </w:r>
            </w:hyperlink>
          </w:p>
        </w:tc>
        <w:tc>
          <w:tcPr>
            <w:tcW w:w="60" w:type="dxa"/>
            <w:vAlign w:val="bottom"/>
          </w:tcPr>
          <w:p>
            <w:pPr>
              <w:spacing w:after="0"/>
              <w:rPr>
                <w:sz w:val="20"/>
                <w:szCs w:val="20"/>
                <w:color w:val="auto"/>
              </w:rPr>
            </w:pPr>
          </w:p>
        </w:tc>
      </w:tr>
      <w:tr>
        <w:trPr>
          <w:trHeight w:val="183"/>
        </w:trPr>
        <w:tc>
          <w:tcPr>
            <w:tcW w:w="124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2">
              <w:r>
                <w:rPr>
                  <w:rFonts w:ascii="Arial" w:cs="Arial" w:eastAsia="Arial" w:hAnsi="Arial"/>
                  <w:sz w:val="18"/>
                  <w:szCs w:val="18"/>
                  <w:color w:val="0000FF"/>
                  <w:w w:val="99"/>
                </w:rPr>
                <w:t>Exchange Act of 1934, as amended.</w:t>
              </w:r>
            </w:hyperlink>
          </w:p>
        </w:tc>
        <w:tc>
          <w:tcPr>
            <w:tcW w:w="6540" w:type="dxa"/>
            <w:vAlign w:val="bottom"/>
            <w:gridSpan w:val="2"/>
          </w:tcPr>
          <w:p>
            <w:pPr>
              <w:spacing w:after="0"/>
              <w:rPr>
                <w:sz w:val="15"/>
                <w:szCs w:val="15"/>
                <w:color w:val="auto"/>
              </w:rPr>
            </w:pPr>
          </w:p>
        </w:tc>
      </w:tr>
    </w:tbl>
    <w:p>
      <w:pPr>
        <w:spacing w:after="0" w:line="67" w:lineRule="exact"/>
        <w:rPr>
          <w:sz w:val="20"/>
          <w:szCs w:val="20"/>
          <w:color w:val="auto"/>
        </w:rPr>
      </w:pPr>
    </w:p>
    <w:p>
      <w:pPr>
        <w:ind w:left="1280" w:hanging="1245"/>
        <w:spacing w:after="0"/>
        <w:tabs>
          <w:tab w:leader="none" w:pos="1280" w:val="left"/>
        </w:tabs>
        <w:numPr>
          <w:ilvl w:val="0"/>
          <w:numId w:val="56"/>
        </w:numPr>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pursuant to 18 U.S.C. Section 1350, as adopted pursuant to Section 906 of the Sarbanes-Oxley Act of 2002.</w:t>
        </w:r>
      </w:hyperlink>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tcPr>
          <w:p>
            <w:pPr>
              <w:ind w:left="26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17"/>
        </w:trPr>
        <w:tc>
          <w:tcPr>
            <w:tcW w:w="98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embedded within the Inline XBRL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40" w:lineRule="exact"/>
        <w:rPr>
          <w:sz w:val="20"/>
          <w:szCs w:val="20"/>
          <w:color w:val="auto"/>
        </w:rPr>
      </w:pPr>
    </w:p>
    <w:p>
      <w:pPr>
        <w:ind w:left="5520" w:right="2720" w:hanging="5485"/>
        <w:spacing w:after="0" w:line="528" w:lineRule="auto"/>
        <w:tabs>
          <w:tab w:leader="none" w:pos="12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 41</w:t>
      </w:r>
    </w:p>
    <w:p>
      <w:pPr>
        <w:sectPr>
          <w:pgSz w:w="11900" w:h="16838" w:orient="portrait"/>
          <w:cols w:equalWidth="0" w:num="1">
            <w:col w:w="11180"/>
          </w:cols>
          <w:pgMar w:left="320" w:top="140" w:right="3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EMPLOYEE STOCK PURCHASE PLAN</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AND SCOPE OF THE PLAN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Purpose</w:t>
      </w:r>
    </w:p>
    <w:p>
      <w:pPr>
        <w:spacing w:after="0" w:line="235" w:lineRule="exact"/>
        <w:rPr>
          <w:sz w:val="20"/>
          <w:szCs w:val="20"/>
          <w:color w:val="auto"/>
        </w:rPr>
      </w:pPr>
    </w:p>
    <w:p>
      <w:pPr>
        <w:ind w:right="860"/>
        <w:spacing w:after="0" w:line="276" w:lineRule="auto"/>
        <w:rPr>
          <w:sz w:val="20"/>
          <w:szCs w:val="20"/>
          <w:color w:val="auto"/>
        </w:rPr>
      </w:pPr>
      <w:r>
        <w:rPr>
          <w:rFonts w:ascii="Arial" w:cs="Arial" w:eastAsia="Arial" w:hAnsi="Arial"/>
          <w:sz w:val="22"/>
          <w:szCs w:val="22"/>
          <w:color w:val="auto"/>
        </w:rPr>
        <w:t>The Avis Budget Group, Inc. Amended and Restated Employee Stock Purchase Plan is intended to encourage employee participation in the ownership and economic progress of the Company.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Definitions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Unless the context clearly indicates otherwise, the following terms have the meaning set forth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Board of Directors </w:t>
      </w:r>
      <w:r>
        <w:rPr>
          <w:rFonts w:ascii="Arial" w:cs="Arial" w:eastAsia="Arial" w:hAnsi="Arial"/>
          <w:sz w:val="22"/>
          <w:szCs w:val="22"/>
          <w:color w:val="auto"/>
        </w:rPr>
        <w:t>or</w:t>
      </w:r>
      <w:r>
        <w:rPr>
          <w:rFonts w:ascii="Arial" w:cs="Arial" w:eastAsia="Arial" w:hAnsi="Arial"/>
          <w:sz w:val="22"/>
          <w:szCs w:val="22"/>
          <w:i w:val="1"/>
          <w:iCs w:val="1"/>
          <w:color w:val="auto"/>
        </w:rPr>
        <w:t xml:space="preserve"> Board </w:t>
      </w:r>
      <w:r>
        <w:rPr>
          <w:rFonts w:ascii="Arial" w:cs="Arial" w:eastAsia="Arial" w:hAnsi="Arial"/>
          <w:sz w:val="22"/>
          <w:szCs w:val="22"/>
          <w:color w:val="auto"/>
        </w:rPr>
        <w:t>shall mean the Board of Directors of the Company.</w:t>
      </w:r>
    </w:p>
    <w:p>
      <w:pPr>
        <w:spacing w:after="0" w:line="233" w:lineRule="exact"/>
        <w:rPr>
          <w:sz w:val="20"/>
          <w:szCs w:val="20"/>
          <w:color w:val="auto"/>
        </w:rPr>
      </w:pPr>
    </w:p>
    <w:p>
      <w:pPr>
        <w:ind w:right="440"/>
        <w:spacing w:after="0" w:line="276"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shall mean the Internal Revenue Code of 1986, as amended from time to time, together with any applicable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issued thereunder.</w:t>
      </w:r>
    </w:p>
    <w:p>
      <w:pPr>
        <w:spacing w:after="0" w:line="174" w:lineRule="exact"/>
        <w:rPr>
          <w:sz w:val="20"/>
          <w:szCs w:val="20"/>
          <w:color w:val="auto"/>
        </w:rPr>
      </w:pPr>
    </w:p>
    <w:p>
      <w:pPr>
        <w:ind w:right="800"/>
        <w:spacing w:after="0" w:line="276" w:lineRule="auto"/>
        <w:rPr>
          <w:sz w:val="20"/>
          <w:szCs w:val="20"/>
          <w:color w:val="auto"/>
        </w:rPr>
      </w:pPr>
      <w:r>
        <w:rPr>
          <w:rFonts w:ascii="Arial" w:cs="Arial" w:eastAsia="Arial" w:hAnsi="Arial"/>
          <w:sz w:val="22"/>
          <w:szCs w:val="22"/>
          <w:i w:val="1"/>
          <w:iCs w:val="1"/>
          <w:color w:val="auto"/>
        </w:rPr>
        <w:t xml:space="preserve">Committee </w:t>
      </w:r>
      <w:r>
        <w:rPr>
          <w:rFonts w:ascii="Arial" w:cs="Arial" w:eastAsia="Arial" w:hAnsi="Arial"/>
          <w:sz w:val="22"/>
          <w:szCs w:val="22"/>
          <w:color w:val="auto"/>
        </w:rPr>
        <w:t>shall mean the Board, or a committee designated by the Board to administer the Plan, which Committee shall</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administer the Plan as provided in Section 1.3 hereof.</w:t>
      </w:r>
    </w:p>
    <w:p>
      <w:pPr>
        <w:spacing w:after="0" w:line="174" w:lineRule="exact"/>
        <w:rPr>
          <w:sz w:val="20"/>
          <w:szCs w:val="20"/>
          <w:color w:val="auto"/>
        </w:rPr>
      </w:pPr>
    </w:p>
    <w:p>
      <w:pPr>
        <w:ind w:right="100"/>
        <w:spacing w:after="0" w:line="276" w:lineRule="auto"/>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shall mean Avis Budget Group, Inc., a corporation organized under the laws of the State of Delaware, or any successor</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w:t>
      </w:r>
    </w:p>
    <w:p>
      <w:pPr>
        <w:spacing w:after="0" w:line="174" w:lineRule="exact"/>
        <w:rPr>
          <w:sz w:val="20"/>
          <w:szCs w:val="20"/>
          <w:color w:val="auto"/>
        </w:rPr>
      </w:pPr>
    </w:p>
    <w:p>
      <w:pPr>
        <w:spacing w:after="0" w:line="311" w:lineRule="auto"/>
        <w:rPr>
          <w:sz w:val="20"/>
          <w:szCs w:val="20"/>
          <w:color w:val="auto"/>
        </w:rPr>
      </w:pPr>
      <w:r>
        <w:rPr>
          <w:rFonts w:ascii="Arial" w:cs="Arial" w:eastAsia="Arial" w:hAnsi="Arial"/>
          <w:sz w:val="19"/>
          <w:szCs w:val="19"/>
          <w:i w:val="1"/>
          <w:iCs w:val="1"/>
          <w:color w:val="auto"/>
        </w:rPr>
        <w:t xml:space="preserve">Compensation </w:t>
      </w:r>
      <w:r>
        <w:rPr>
          <w:rFonts w:ascii="Arial" w:cs="Arial" w:eastAsia="Arial" w:hAnsi="Arial"/>
          <w:sz w:val="19"/>
          <w:szCs w:val="19"/>
          <w:color w:val="auto"/>
        </w:rPr>
        <w:t>shall mean the fixed salary or base hourly wage paid by the Company to an Employee as reported by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to the United States government (or other applicable government) for income tax purposes, including an Employee’s portion of salary deferral contributions pursuant to Section 401(k) of the Code and any amount excludable pursuant to Section 125 of the Code, but excluding any commissions, bonus, fee, overtime pay, severance pay, expenses, stock option or other equity incentive income, or other special emolument or any credit or benefit under any employee plan maintained by the Company.</w:t>
      </w:r>
    </w:p>
    <w:p>
      <w:pPr>
        <w:spacing w:after="0" w:line="150" w:lineRule="exact"/>
        <w:rPr>
          <w:sz w:val="20"/>
          <w:szCs w:val="20"/>
          <w:color w:val="auto"/>
        </w:rPr>
      </w:pPr>
    </w:p>
    <w:p>
      <w:pPr>
        <w:ind w:right="60"/>
        <w:spacing w:after="0" w:line="262" w:lineRule="auto"/>
        <w:rPr>
          <w:sz w:val="20"/>
          <w:szCs w:val="20"/>
          <w:color w:val="auto"/>
        </w:rPr>
      </w:pPr>
      <w:r>
        <w:rPr>
          <w:rFonts w:ascii="Arial" w:cs="Arial" w:eastAsia="Arial" w:hAnsi="Arial"/>
          <w:sz w:val="22"/>
          <w:szCs w:val="22"/>
          <w:i w:val="1"/>
          <w:iCs w:val="1"/>
          <w:color w:val="auto"/>
        </w:rPr>
        <w:t xml:space="preserve">Continuous Service </w:t>
      </w:r>
      <w:r>
        <w:rPr>
          <w:rFonts w:ascii="Arial" w:cs="Arial" w:eastAsia="Arial" w:hAnsi="Arial"/>
          <w:sz w:val="22"/>
          <w:szCs w:val="22"/>
          <w:color w:val="auto"/>
        </w:rPr>
        <w:t>shall mean the period of time, uninterrupted by a termination of employment (other than a termination as a</w:t>
      </w:r>
      <w:r>
        <w:rPr>
          <w:rFonts w:ascii="Arial" w:cs="Arial" w:eastAsia="Arial" w:hAnsi="Arial"/>
          <w:sz w:val="22"/>
          <w:szCs w:val="22"/>
          <w:i w:val="1"/>
          <w:iCs w:val="1"/>
          <w:color w:val="auto"/>
        </w:rPr>
        <w:t xml:space="preserve"> </w:t>
      </w:r>
      <w:r>
        <w:rPr>
          <w:rFonts w:ascii="Arial" w:cs="Arial" w:eastAsia="Arial" w:hAnsi="Arial"/>
          <w:sz w:val="22"/>
          <w:szCs w:val="22"/>
          <w:color w:val="auto"/>
        </w:rPr>
        <w:t>result of a transfer of employment among the Company or a Designated Subsidiary), that an Employee has been employed by the Company or a Designated Subsidiary (or any combination of the foregoing) immediately preceding an Offering Date. Such period of time shall include any approved leave of absence.</w:t>
      </w:r>
    </w:p>
    <w:p>
      <w:pPr>
        <w:spacing w:after="0" w:line="191" w:lineRule="exact"/>
        <w:rPr>
          <w:sz w:val="20"/>
          <w:szCs w:val="20"/>
          <w:color w:val="auto"/>
        </w:rPr>
      </w:pPr>
    </w:p>
    <w:p>
      <w:pPr>
        <w:ind w:right="40"/>
        <w:spacing w:after="0" w:line="276" w:lineRule="auto"/>
        <w:rPr>
          <w:sz w:val="20"/>
          <w:szCs w:val="20"/>
          <w:color w:val="auto"/>
        </w:rPr>
      </w:pPr>
      <w:r>
        <w:rPr>
          <w:rFonts w:ascii="Arial" w:cs="Arial" w:eastAsia="Arial" w:hAnsi="Arial"/>
          <w:sz w:val="22"/>
          <w:szCs w:val="22"/>
          <w:i w:val="1"/>
          <w:iCs w:val="1"/>
          <w:color w:val="auto"/>
        </w:rPr>
        <w:t xml:space="preserve">Designated Subsidiary </w:t>
      </w:r>
      <w:r>
        <w:rPr>
          <w:rFonts w:ascii="Arial" w:cs="Arial" w:eastAsia="Arial" w:hAnsi="Arial"/>
          <w:sz w:val="22"/>
          <w:szCs w:val="22"/>
          <w:color w:val="auto"/>
        </w:rPr>
        <w:t>shall mean any subsidiary of the Company that has been designated by the Committee to participate in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w:t>
      </w:r>
    </w:p>
    <w:p>
      <w:pPr>
        <w:spacing w:after="0" w:line="174" w:lineRule="exact"/>
        <w:rPr>
          <w:sz w:val="20"/>
          <w:szCs w:val="20"/>
          <w:color w:val="auto"/>
        </w:rPr>
      </w:pPr>
    </w:p>
    <w:p>
      <w:pPr>
        <w:ind w:right="20"/>
        <w:spacing w:after="0" w:line="301" w:lineRule="auto"/>
        <w:rPr>
          <w:sz w:val="20"/>
          <w:szCs w:val="20"/>
          <w:color w:val="auto"/>
        </w:rPr>
      </w:pPr>
      <w:r>
        <w:rPr>
          <w:rFonts w:ascii="Arial" w:cs="Arial" w:eastAsia="Arial" w:hAnsi="Arial"/>
          <w:sz w:val="21"/>
          <w:szCs w:val="21"/>
          <w:i w:val="1"/>
          <w:iCs w:val="1"/>
          <w:color w:val="auto"/>
        </w:rPr>
        <w:t xml:space="preserve">Employee </w:t>
      </w:r>
      <w:r>
        <w:rPr>
          <w:rFonts w:ascii="Arial" w:cs="Arial" w:eastAsia="Arial" w:hAnsi="Arial"/>
          <w:sz w:val="21"/>
          <w:szCs w:val="21"/>
          <w:color w:val="auto"/>
        </w:rPr>
        <w:t>shall mean any full-time or part-time employee of the Company or a Designated Subsidiary who customarily works for</w:t>
      </w:r>
      <w:r>
        <w:rPr>
          <w:rFonts w:ascii="Arial" w:cs="Arial" w:eastAsia="Arial" w:hAnsi="Arial"/>
          <w:sz w:val="21"/>
          <w:szCs w:val="21"/>
          <w:i w:val="1"/>
          <w:iCs w:val="1"/>
          <w:color w:val="auto"/>
        </w:rPr>
        <w:t xml:space="preserve"> </w:t>
      </w:r>
      <w:r>
        <w:rPr>
          <w:rFonts w:ascii="Arial" w:cs="Arial" w:eastAsia="Arial" w:hAnsi="Arial"/>
          <w:sz w:val="21"/>
          <w:szCs w:val="21"/>
          <w:color w:val="auto"/>
        </w:rPr>
        <w:t>the Company or Designated Subsidiary, as the case may be, for a minimum of twenty hours per week.</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Exercise Date </w:t>
      </w:r>
      <w:r>
        <w:rPr>
          <w:rFonts w:ascii="Arial" w:cs="Arial" w:eastAsia="Arial" w:hAnsi="Arial"/>
          <w:sz w:val="21"/>
          <w:szCs w:val="21"/>
          <w:color w:val="auto"/>
        </w:rPr>
        <w:t>shall mean the last day of each month of each Plan Year, unless otherwise determined by the Committee.</w:t>
      </w:r>
    </w:p>
    <w:p>
      <w:pPr>
        <w:spacing w:after="0" w:line="245" w:lineRule="exact"/>
        <w:rPr>
          <w:sz w:val="20"/>
          <w:szCs w:val="20"/>
          <w:color w:val="auto"/>
        </w:rPr>
      </w:pPr>
    </w:p>
    <w:p>
      <w:pPr>
        <w:ind w:right="100"/>
        <w:spacing w:after="0" w:line="305" w:lineRule="auto"/>
        <w:rPr>
          <w:sz w:val="20"/>
          <w:szCs w:val="20"/>
          <w:color w:val="auto"/>
        </w:rPr>
      </w:pPr>
      <w:r>
        <w:rPr>
          <w:rFonts w:ascii="Arial" w:cs="Arial" w:eastAsia="Arial" w:hAnsi="Arial"/>
          <w:sz w:val="19"/>
          <w:szCs w:val="19"/>
          <w:i w:val="1"/>
          <w:iCs w:val="1"/>
          <w:color w:val="auto"/>
        </w:rPr>
        <w:t xml:space="preserve">Fair Market Value </w:t>
      </w:r>
      <w:r>
        <w:rPr>
          <w:rFonts w:ascii="Arial" w:cs="Arial" w:eastAsia="Arial" w:hAnsi="Arial"/>
          <w:sz w:val="19"/>
          <w:szCs w:val="19"/>
          <w:color w:val="auto"/>
        </w:rPr>
        <w:t>of a share of Stock means the fair market value of such Stock determined by such methods or procedures as</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established from time to time by the Committee. Unless otherwise determined by the Committee in good faith, the per share Fair Market Value of Stock as of a particular date shall mean (i) the closing price per share of Stock on the national securities exchange on which the Stock is principally traded, for the last preceding date on which there was a sale of such Stock on such exchange, or (ii) if the shares of Stock are then traded in an over-the- counter market, the average of the closing bid and asked prices for the shares of Stock in such over-the-counter market for the last preceding date on which there was a sale of such Stock in such market, or (iii) if the shares of Stock are not then listed on a national securities exchange or traded in an over-the-counter market, such value as the Committee, in its sole discretion, shall determine.</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Offering Date </w:t>
      </w:r>
      <w:r>
        <w:rPr>
          <w:rFonts w:ascii="Arial" w:cs="Arial" w:eastAsia="Arial" w:hAnsi="Arial"/>
          <w:sz w:val="21"/>
          <w:szCs w:val="21"/>
          <w:color w:val="auto"/>
        </w:rPr>
        <w:t>shall mean the first day of each month of each Plan Year, unless otherwise determined by the Committee.</w:t>
      </w:r>
    </w:p>
    <w:p>
      <w:pPr>
        <w:spacing w:after="0" w:line="245"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i w:val="1"/>
          <w:iCs w:val="1"/>
          <w:color w:val="auto"/>
        </w:rPr>
        <w:t xml:space="preserve">Option Period </w:t>
      </w:r>
      <w:r>
        <w:rPr>
          <w:rFonts w:ascii="Arial" w:cs="Arial" w:eastAsia="Arial" w:hAnsi="Arial"/>
          <w:sz w:val="22"/>
          <w:szCs w:val="22"/>
          <w:color w:val="auto"/>
        </w:rPr>
        <w:t>or</w:t>
      </w:r>
      <w:r>
        <w:rPr>
          <w:rFonts w:ascii="Arial" w:cs="Arial" w:eastAsia="Arial" w:hAnsi="Arial"/>
          <w:sz w:val="22"/>
          <w:szCs w:val="22"/>
          <w:i w:val="1"/>
          <w:iCs w:val="1"/>
          <w:color w:val="auto"/>
        </w:rPr>
        <w:t xml:space="preserve"> Period </w:t>
      </w:r>
      <w:r>
        <w:rPr>
          <w:rFonts w:ascii="Arial" w:cs="Arial" w:eastAsia="Arial" w:hAnsi="Arial"/>
          <w:sz w:val="22"/>
          <w:szCs w:val="22"/>
          <w:color w:val="auto"/>
        </w:rPr>
        <w:t>shall mean the period beginning on an Offering Date and ending on the next succeeding Exercise Date,</w:t>
      </w:r>
      <w:r>
        <w:rPr>
          <w:rFonts w:ascii="Arial" w:cs="Arial" w:eastAsia="Arial" w:hAnsi="Arial"/>
          <w:sz w:val="22"/>
          <w:szCs w:val="22"/>
          <w:i w:val="1"/>
          <w:iCs w:val="1"/>
          <w:color w:val="auto"/>
        </w:rPr>
        <w:t xml:space="preserve"> </w:t>
      </w:r>
      <w:r>
        <w:rPr>
          <w:rFonts w:ascii="Arial" w:cs="Arial" w:eastAsia="Arial" w:hAnsi="Arial"/>
          <w:sz w:val="22"/>
          <w:szCs w:val="22"/>
          <w:color w:val="auto"/>
        </w:rPr>
        <w:t>or such other period as determined by the Committee.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Option Price </w:t>
      </w:r>
      <w:r>
        <w:rPr>
          <w:rFonts w:ascii="Arial" w:cs="Arial" w:eastAsia="Arial" w:hAnsi="Arial"/>
          <w:sz w:val="22"/>
          <w:szCs w:val="22"/>
          <w:color w:val="auto"/>
        </w:rPr>
        <w:t>shall mean the purchase price of a share of Stock hereunder as provided in Section 3.1 hereof.</w:t>
      </w:r>
    </w:p>
    <w:p>
      <w:pPr>
        <w:spacing w:after="0" w:line="233" w:lineRule="exact"/>
        <w:rPr>
          <w:sz w:val="20"/>
          <w:szCs w:val="20"/>
          <w:color w:val="auto"/>
        </w:rPr>
      </w:pPr>
    </w:p>
    <w:p>
      <w:pPr>
        <w:ind w:right="580"/>
        <w:spacing w:after="0" w:line="276" w:lineRule="auto"/>
        <w:rPr>
          <w:sz w:val="20"/>
          <w:szCs w:val="20"/>
          <w:color w:val="auto"/>
        </w:rPr>
      </w:pPr>
      <w:r>
        <w:rPr>
          <w:rFonts w:ascii="Arial" w:cs="Arial" w:eastAsia="Arial" w:hAnsi="Arial"/>
          <w:sz w:val="22"/>
          <w:szCs w:val="22"/>
          <w:i w:val="1"/>
          <w:iCs w:val="1"/>
          <w:color w:val="auto"/>
        </w:rPr>
        <w:t xml:space="preserve">Participant </w:t>
      </w:r>
      <w:r>
        <w:rPr>
          <w:rFonts w:ascii="Arial" w:cs="Arial" w:eastAsia="Arial" w:hAnsi="Arial"/>
          <w:sz w:val="22"/>
          <w:szCs w:val="22"/>
          <w:color w:val="auto"/>
        </w:rPr>
        <w:t>shall mean any Employee who (i) is eligible to participate in the Plan under Section 2.1 hereof and (ii) elects to</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participate.</w:t>
      </w:r>
    </w:p>
    <w:p>
      <w:pPr>
        <w:sectPr>
          <w:pgSz w:w="11900" w:h="16838" w:orient="portrait"/>
          <w:cols w:equalWidth="0" w:num="1">
            <w:col w:w="11240"/>
          </w:cols>
          <w:pgMar w:left="320" w:top="351" w:right="339" w:bottom="0" w:gutter="0" w:footer="0" w:header="0"/>
        </w:sectPr>
      </w:pPr>
    </w:p>
    <w:bookmarkStart w:id="45" w:name="page46"/>
    <w:bookmarkEnd w:id="45"/>
    <w:p>
      <w:pPr>
        <w:spacing w:after="0"/>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shall mean the Company’s Employee Stock Purchase Plan, as the same may be amended from time to time.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Plan Account </w:t>
      </w:r>
      <w:r>
        <w:rPr>
          <w:rFonts w:ascii="Arial" w:cs="Arial" w:eastAsia="Arial" w:hAnsi="Arial"/>
          <w:sz w:val="22"/>
          <w:szCs w:val="22"/>
          <w:color w:val="auto"/>
        </w:rPr>
        <w:t>or</w:t>
      </w:r>
      <w:r>
        <w:rPr>
          <w:rFonts w:ascii="Arial" w:cs="Arial" w:eastAsia="Arial" w:hAnsi="Arial"/>
          <w:sz w:val="22"/>
          <w:szCs w:val="22"/>
          <w:i w:val="1"/>
          <w:iCs w:val="1"/>
          <w:color w:val="auto"/>
        </w:rPr>
        <w:t xml:space="preserve"> Account </w:t>
      </w:r>
      <w:r>
        <w:rPr>
          <w:rFonts w:ascii="Arial" w:cs="Arial" w:eastAsia="Arial" w:hAnsi="Arial"/>
          <w:sz w:val="22"/>
          <w:szCs w:val="22"/>
          <w:color w:val="auto"/>
        </w:rPr>
        <w:t>shall mean an account established and maintained in the name of each Participant.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Plan Manager </w:t>
      </w:r>
      <w:r>
        <w:rPr>
          <w:rFonts w:ascii="Arial" w:cs="Arial" w:eastAsia="Arial" w:hAnsi="Arial"/>
          <w:sz w:val="22"/>
          <w:szCs w:val="22"/>
          <w:color w:val="auto"/>
        </w:rPr>
        <w:t>shall mean any Employee appointed pursuant to Section 1.3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Plan Year </w:t>
      </w:r>
      <w:r>
        <w:rPr>
          <w:rFonts w:ascii="Arial" w:cs="Arial" w:eastAsia="Arial" w:hAnsi="Arial"/>
          <w:sz w:val="22"/>
          <w:szCs w:val="22"/>
          <w:color w:val="auto"/>
        </w:rPr>
        <w:t>shall mean the twelve (12) month period beginning January 1 and ending on the following December 31.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Stock </w:t>
      </w:r>
      <w:r>
        <w:rPr>
          <w:rFonts w:ascii="Arial" w:cs="Arial" w:eastAsia="Arial" w:hAnsi="Arial"/>
          <w:sz w:val="22"/>
          <w:szCs w:val="22"/>
          <w:color w:val="auto"/>
        </w:rPr>
        <w:t>means shares of the common stock, par value $0.01 per share, of the Company.</w:t>
      </w:r>
    </w:p>
    <w:p>
      <w:pPr>
        <w:spacing w:after="0" w:line="2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Administration of Plan</w:t>
      </w:r>
    </w:p>
    <w:p>
      <w:pPr>
        <w:spacing w:after="0" w:line="235" w:lineRule="exact"/>
        <w:rPr>
          <w:sz w:val="20"/>
          <w:szCs w:val="20"/>
          <w:color w:val="auto"/>
        </w:rPr>
      </w:pPr>
    </w:p>
    <w:p>
      <w:pPr>
        <w:ind w:right="20"/>
        <w:spacing w:after="0" w:line="311" w:lineRule="auto"/>
        <w:rPr>
          <w:sz w:val="20"/>
          <w:szCs w:val="20"/>
          <w:color w:val="auto"/>
        </w:rPr>
      </w:pPr>
      <w:r>
        <w:rPr>
          <w:rFonts w:ascii="Arial" w:cs="Arial" w:eastAsia="Arial" w:hAnsi="Arial"/>
          <w:sz w:val="19"/>
          <w:szCs w:val="19"/>
          <w:color w:val="auto"/>
        </w:rPr>
        <w:t>Subject to oversight by the Board of Directors or the Board’s Compensation Committee, the Committee shall have the authority to administer the Plan and to make and adopt rules and regulations not inconsistent with the provisions of the Plan or the Code. Its interpretations and decisions in respect of the Plan shall, subject to the aforesaid, be final and conclusive. The Committee shall have the authority to appoint an Employee as Plan Manager and to delegate to the Plan Manager such authority with respect to the administration of the Plan as the Committee, in its sole discretion, deems advisable from time to time.</w:t>
      </w:r>
    </w:p>
    <w:p>
      <w:pPr>
        <w:spacing w:after="0" w:line="1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Effective Date of Plan</w:t>
      </w:r>
    </w:p>
    <w:p>
      <w:pPr>
        <w:spacing w:after="0" w:line="235" w:lineRule="exact"/>
        <w:rPr>
          <w:sz w:val="20"/>
          <w:szCs w:val="20"/>
          <w:color w:val="auto"/>
        </w:rPr>
      </w:pPr>
    </w:p>
    <w:p>
      <w:pPr>
        <w:jc w:val="both"/>
        <w:ind w:right="80"/>
        <w:spacing w:after="0" w:line="266" w:lineRule="auto"/>
        <w:rPr>
          <w:sz w:val="20"/>
          <w:szCs w:val="20"/>
          <w:color w:val="auto"/>
        </w:rPr>
      </w:pPr>
      <w:r>
        <w:rPr>
          <w:rFonts w:ascii="Arial" w:cs="Arial" w:eastAsia="Arial" w:hAnsi="Arial"/>
          <w:sz w:val="22"/>
          <w:szCs w:val="22"/>
          <w:color w:val="auto"/>
        </w:rPr>
        <w:t xml:space="preserve">The Plan became effective on June 12, 2009 (the </w:t>
      </w:r>
      <w:r>
        <w:rPr>
          <w:rFonts w:ascii="Arial" w:cs="Arial" w:eastAsia="Arial" w:hAnsi="Arial"/>
          <w:sz w:val="22"/>
          <w:szCs w:val="22"/>
          <w:i w:val="1"/>
          <w:iCs w:val="1"/>
          <w:color w:val="auto"/>
        </w:rPr>
        <w:t>Effective Date</w:t>
      </w:r>
      <w:r>
        <w:rPr>
          <w:rFonts w:ascii="Arial" w:cs="Arial" w:eastAsia="Arial" w:hAnsi="Arial"/>
          <w:sz w:val="22"/>
          <w:szCs w:val="22"/>
          <w:color w:val="auto"/>
        </w:rPr>
        <w:t>), as established by the Committee, upon the affirmative vote of a majority of the Company’s shareholders, prior to which the Plan had been adopted by the Board. The Effective Date constituted an Offering Date under the Plan.</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Extension or Termination of Plan</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22"/>
          <w:szCs w:val="22"/>
          <w:color w:val="auto"/>
        </w:rPr>
        <w:t>The Plan shall continue in effect through, and including December 31, 2029 unless terminated prior thereto pursuant to Section 4.3 hereof, or by the Board of Directors or the Compensation Committee of the Board, each of which shall have the right to extend the term of or terminate the Plan at any time. Upon any such termination, the balance, if any, in each Participant’s Account shall be refunded to him, or otherwise disposed of in accordance with the policies and procedures prescribed by the Committee in cases where such a refund may not be possible.</w:t>
      </w:r>
    </w:p>
    <w:p>
      <w:pPr>
        <w:spacing w:after="0" w:line="19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010000"/>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Eligibility</w:t>
      </w:r>
    </w:p>
    <w:p>
      <w:pPr>
        <w:spacing w:after="0" w:line="235" w:lineRule="exact"/>
        <w:rPr>
          <w:sz w:val="20"/>
          <w:szCs w:val="20"/>
          <w:color w:val="auto"/>
        </w:rPr>
      </w:pPr>
    </w:p>
    <w:p>
      <w:pPr>
        <w:spacing w:after="0" w:line="305" w:lineRule="auto"/>
        <w:rPr>
          <w:sz w:val="20"/>
          <w:szCs w:val="20"/>
          <w:color w:val="auto"/>
        </w:rPr>
      </w:pPr>
      <w:r>
        <w:rPr>
          <w:rFonts w:ascii="Arial" w:cs="Arial" w:eastAsia="Arial" w:hAnsi="Arial"/>
          <w:sz w:val="19"/>
          <w:szCs w:val="19"/>
          <w:color w:val="auto"/>
        </w:rPr>
        <w:t>Participation in the Plan is limited to Employees who meet the requirements of this Section 2.1. Each Employee who, on an Offering Date, will have at least ninety days of Continuous Service may become a Participant by completing the enrollment procedures prescribed by, or on behalf of, the Plan Manager, as revised from time to time. No Employee may participate in the Plan if such Employee, immediately after an Offering Date, would be deemed for purposes of Section 423(b)(3) of the Code to possess 5% or more of the total combined voting power or value of all classes of stock of the Company or any subsidiary. To the extent determined by the Committee prior to the commencement of the Option Period, no Employee may participate in the Plan if such Employee, at the time of the commencement of the Option Period, is an officer of the Company subject to the reporting requirements of Section 16(a) of the Securities Exchange Act of 1934.</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Payroll Deductions</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Payment for shares of Stock purchased hereunder shall be made by authorized payroll deductions from each payment of Compensation in accordance with instructions received from a Participant. Such deductions shall be expressed as a whole number percentage which shall be at least 2% but not more than 10%. A Participant may not increase or decrease the deduction during an Option Period. However, a Participant may change the percentage deduction for any subsequent Option Period by filing notice thereof with the Company prior to the Offering Date on which such Period commences. During an Option Period, a Participant may discontinue payroll deductions but have the payroll deductions previously made during that Option Period remain in the Participant’s Account to purchase Stock on the next Exercise Date, provided that he or she is an Employee as of that Exercise Date. Any amount remaining in the Participant’s Account after the purchase of Stock shall be refunded without interest. Any Participant who discontinues payroll deductions during an Option Period may again become a Participant for a subsequent Option Period upon completion of the enrollment procedures prescribed by, or on behalf of, the Plan Manager, as revised from time to time. Amounts deducted from a Participant’s Compensation pursuant to this Section 2.2 shall be credited to such Participant’s Account.</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010000"/>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OF SHARES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Option Price</w:t>
      </w:r>
    </w:p>
    <w:p>
      <w:pPr>
        <w:sectPr>
          <w:pgSz w:w="11900" w:h="16838" w:orient="portrait"/>
          <w:cols w:equalWidth="0" w:num="1">
            <w:col w:w="11240"/>
          </w:cols>
          <w:pgMar w:left="320" w:top="132" w:right="339" w:bottom="0" w:gutter="0" w:footer="0" w:header="0"/>
        </w:sectPr>
      </w:pPr>
    </w:p>
    <w:bookmarkStart w:id="46" w:name="page47"/>
    <w:bookmarkEnd w:id="46"/>
    <w:p>
      <w:pPr>
        <w:ind w:right="60"/>
        <w:spacing w:after="0" w:line="284" w:lineRule="auto"/>
        <w:rPr>
          <w:sz w:val="20"/>
          <w:szCs w:val="20"/>
          <w:color w:val="auto"/>
        </w:rPr>
      </w:pPr>
      <w:r>
        <w:rPr>
          <w:rFonts w:ascii="Arial" w:cs="Arial" w:eastAsia="Arial" w:hAnsi="Arial"/>
          <w:sz w:val="21"/>
          <w:szCs w:val="21"/>
          <w:color w:val="auto"/>
        </w:rPr>
        <w:t>The Option Price per share of the Stock sold to Participants hereunder shall be 95% of the Fair Market Value of such share on the Exercise Date of an Option Period (or such greater percentage as is determined by the Committee in advance of an Option Period), but in no event shall the Option Price per share be less than the par value of the Stock.</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Purchase of Shares</w:t>
      </w:r>
    </w:p>
    <w:p>
      <w:pPr>
        <w:spacing w:after="0" w:line="235" w:lineRule="exact"/>
        <w:rPr>
          <w:sz w:val="20"/>
          <w:szCs w:val="20"/>
          <w:color w:val="auto"/>
        </w:rPr>
      </w:pPr>
    </w:p>
    <w:p>
      <w:pPr>
        <w:ind w:right="460"/>
        <w:spacing w:after="0" w:line="266" w:lineRule="auto"/>
        <w:rPr>
          <w:sz w:val="20"/>
          <w:szCs w:val="20"/>
          <w:color w:val="auto"/>
        </w:rPr>
      </w:pPr>
      <w:r>
        <w:rPr>
          <w:rFonts w:ascii="Arial" w:cs="Arial" w:eastAsia="Arial" w:hAnsi="Arial"/>
          <w:sz w:val="22"/>
          <w:szCs w:val="22"/>
          <w:color w:val="auto"/>
        </w:rPr>
        <w:t>On each Exercise Date, the amount in a Participant’s Account shall be charged with the aggregate Option Price of the largest number of shares of Stock which can be purchased with such amount. The balance, if any, in such account shall be carried forward to the next succeeding Option Period.</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Limitations on Purchase</w:t>
      </w:r>
    </w:p>
    <w:p>
      <w:pPr>
        <w:spacing w:after="0" w:line="235" w:lineRule="exact"/>
        <w:rPr>
          <w:sz w:val="20"/>
          <w:szCs w:val="20"/>
          <w:color w:val="auto"/>
        </w:rPr>
      </w:pPr>
    </w:p>
    <w:p>
      <w:pPr>
        <w:spacing w:after="0" w:line="303" w:lineRule="auto"/>
        <w:rPr>
          <w:sz w:val="20"/>
          <w:szCs w:val="20"/>
          <w:color w:val="auto"/>
        </w:rPr>
      </w:pPr>
      <w:r>
        <w:rPr>
          <w:rFonts w:ascii="Arial" w:cs="Arial" w:eastAsia="Arial" w:hAnsi="Arial"/>
          <w:sz w:val="19"/>
          <w:szCs w:val="19"/>
          <w:color w:val="auto"/>
        </w:rPr>
        <w:t xml:space="preserve">Notwithstanding any provisions of the Plan to the contrary, no Employee shall be granted an option under the Plan if, immediately after the grant, such Employee’s right to purchase shares under all employee stock purchase plans (as described in Section 423 of the Code) of the Company and any subsidiary of the Company would accrue at a rate per Option Period which exceeds the lesser of: (a) twenty-five thousand dollars ($25,000) or (b) an amount equal to ten percent (10%) of the Employee’s annualized base salary in effect at the start of such Option Period, in each case of the Fair Market Value of such shares (determined at the time such option is granted);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any calendar year in which such option would be outstanding at any time, an Employee’s right to purchase shares under all employee stock purchase plans (as described in Section 423 of the Code) of the Company and any subsidiary of the Company may not accrue at a rate which exceeds twenty-five thousand dollars ($25,000) in the aggregate (as determined at the time such option is granted). The maximum number of shares of Stock that may be purchased by each Participant in any Option Period shall be 10,000 shares.</w:t>
      </w:r>
    </w:p>
    <w:p>
      <w:pPr>
        <w:spacing w:after="0" w:line="158" w:lineRule="exact"/>
        <w:rPr>
          <w:sz w:val="20"/>
          <w:szCs w:val="20"/>
          <w:color w:val="auto"/>
        </w:rPr>
      </w:pPr>
    </w:p>
    <w:p>
      <w:pPr>
        <w:ind w:right="40"/>
        <w:spacing w:after="0" w:line="308" w:lineRule="auto"/>
        <w:rPr>
          <w:sz w:val="20"/>
          <w:szCs w:val="20"/>
          <w:color w:val="auto"/>
        </w:rPr>
      </w:pPr>
      <w:r>
        <w:rPr>
          <w:rFonts w:ascii="Arial" w:cs="Arial" w:eastAsia="Arial" w:hAnsi="Arial"/>
          <w:sz w:val="19"/>
          <w:szCs w:val="19"/>
          <w:color w:val="auto"/>
        </w:rPr>
        <w:t>To the extent necessary to comply with Section 423(b)(8) of the Code and the limitations on purchase in this Section 3.3, a Participant’s payroll deductions may be decreased to 0% during any Option Period which is scheduled to end during any calendar year, such that the aggregate of all payroll deductions accumulated with respect to such Option Period and any other Option Period ending within the same calendar year is no greater than twenty-five thousand dollars ($25,000). Payroll deductions shall re-commence at the rate provided for by the Participant’s prior election at the beginning of the first Option Period which is scheduled to end in the following calendar year, unless suspended by the Participant pursuant to Section 2.2 of the Plan.</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Transferability of Rights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Rights to purchase shares hereunder shall be exercisable only by the Participant. Such rights shall not be transferable.</w:t>
      </w: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010000"/>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RELATING TO COMMON STOCK</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Stock Reserved; Delivery of Stock</w:t>
      </w:r>
    </w:p>
    <w:p>
      <w:pPr>
        <w:spacing w:after="0" w:line="235"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A maximum of 2,500,000 shares of Stock may be purchased under the Plan, of which up to 125,000 shares of Stock purchased under the Plan per Option Period may be either newly issued shares or existing treasury shares, and up to 1,000,000 shares of Stock purchased under the Plan in the aggregate may be either newly issued shares or existing treasury shares (in each case, subject to adjustment in accordance with Section 4.2 hereof). Subject to the limitation in the preceding sentence, as determined by the Committee in its sole discretion, any shares of Stock purchased under the Plan may be either newly issued shares, existing treasury shares, or new purchases in the open market.</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Adjustment for Changes in Stock</w:t>
      </w:r>
    </w:p>
    <w:p>
      <w:pPr>
        <w:spacing w:after="0" w:line="235" w:lineRule="exact"/>
        <w:rPr>
          <w:sz w:val="20"/>
          <w:szCs w:val="20"/>
          <w:color w:val="auto"/>
        </w:rPr>
      </w:pPr>
    </w:p>
    <w:p>
      <w:pPr>
        <w:ind w:right="120"/>
        <w:spacing w:after="0" w:line="311" w:lineRule="auto"/>
        <w:rPr>
          <w:sz w:val="20"/>
          <w:szCs w:val="20"/>
          <w:color w:val="auto"/>
        </w:rPr>
      </w:pPr>
      <w:r>
        <w:rPr>
          <w:rFonts w:ascii="Arial" w:cs="Arial" w:eastAsia="Arial" w:hAnsi="Arial"/>
          <w:sz w:val="19"/>
          <w:szCs w:val="19"/>
          <w:color w:val="auto"/>
        </w:rPr>
        <w:t>In the event that adjustments are made in the number of outstanding shares of Stock or such shares are exchanged for a different class of stock of the Company or for shares of stock of any other corporation by reason of merger, consolidation, stock dividend, stock split or otherwise, the Committee may make appropriate adjustments in (i) the number and class of shares or other securities that may be reserved for purchase, or purchased, hereunder, and (ii) the Option Price. All such adjustments shall be made in the sole discretion of the Committee, and its decision shall be binding and conclusive.</w:t>
      </w:r>
    </w:p>
    <w:p>
      <w:pPr>
        <w:spacing w:after="0" w:line="1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Insufficient Shares</w:t>
      </w:r>
    </w:p>
    <w:p>
      <w:pPr>
        <w:spacing w:after="0" w:line="235" w:lineRule="exact"/>
        <w:rPr>
          <w:sz w:val="20"/>
          <w:szCs w:val="20"/>
          <w:color w:val="auto"/>
        </w:rPr>
      </w:pPr>
    </w:p>
    <w:p>
      <w:pPr>
        <w:ind w:right="120"/>
        <w:spacing w:after="0" w:line="262" w:lineRule="auto"/>
        <w:rPr>
          <w:sz w:val="20"/>
          <w:szCs w:val="20"/>
          <w:color w:val="auto"/>
        </w:rPr>
      </w:pPr>
      <w:r>
        <w:rPr>
          <w:rFonts w:ascii="Arial" w:cs="Arial" w:eastAsia="Arial" w:hAnsi="Arial"/>
          <w:sz w:val="22"/>
          <w:szCs w:val="22"/>
          <w:color w:val="auto"/>
        </w:rPr>
        <w:t>If the aggregate funds available for the purchase of Stock on any Exercise Date would cause an issuance of shares in excess of the number provided for in Section 4.1 hereof, (i) the Committee shall proportionately reduce the number of shares which would otherwise be purchased by each Participant in order to eliminate such excess and (ii) the Plan shall automatically terminate immediately after such Exercise Date.</w:t>
      </w:r>
    </w:p>
    <w:p>
      <w:pPr>
        <w:spacing w:after="0" w:line="19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Confirmation</w:t>
      </w:r>
    </w:p>
    <w:p>
      <w:pPr>
        <w:sectPr>
          <w:pgSz w:w="11900" w:h="16838" w:orient="portrait"/>
          <w:cols w:equalWidth="0" w:num="1">
            <w:col w:w="11240"/>
          </w:cols>
          <w:pgMar w:left="320" w:top="132" w:right="339" w:bottom="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Confirmation of each purchase of Stock hereunder shall be made available to the Participant in either written or electronic format.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 record of purchases shall be maintained by appropriate entries on the books of the Company.</w:t>
      </w:r>
    </w:p>
    <w:p>
      <w:pPr>
        <w:sectPr>
          <w:pgSz w:w="11900" w:h="16838" w:orient="portrait"/>
          <w:cols w:equalWidth="0" w:num="1">
            <w:col w:w="11240"/>
          </w:cols>
          <w:pgMar w:left="320" w:top="132" w:right="339" w:bottom="0" w:gutter="0" w:footer="0" w:header="0"/>
          <w:type w:val="continuous"/>
        </w:sectPr>
      </w:pPr>
    </w:p>
    <w:bookmarkStart w:id="47" w:name="page48"/>
    <w:bookmarkEnd w:id="47"/>
    <w:p>
      <w:pPr>
        <w:spacing w:after="0"/>
        <w:tabs>
          <w:tab w:leader="none" w:pos="40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Rights as Shareholders</w:t>
      </w:r>
    </w:p>
    <w:p>
      <w:pPr>
        <w:spacing w:after="0" w:line="235" w:lineRule="exact"/>
        <w:rPr>
          <w:sz w:val="20"/>
          <w:szCs w:val="20"/>
          <w:color w:val="auto"/>
        </w:rPr>
      </w:pPr>
    </w:p>
    <w:p>
      <w:pPr>
        <w:jc w:val="both"/>
        <w:ind w:right="240"/>
        <w:spacing w:after="0" w:line="266" w:lineRule="auto"/>
        <w:rPr>
          <w:sz w:val="20"/>
          <w:szCs w:val="20"/>
          <w:color w:val="auto"/>
        </w:rPr>
      </w:pPr>
      <w:r>
        <w:rPr>
          <w:rFonts w:ascii="Arial" w:cs="Arial" w:eastAsia="Arial" w:hAnsi="Arial"/>
          <w:sz w:val="22"/>
          <w:szCs w:val="22"/>
          <w:color w:val="auto"/>
        </w:rPr>
        <w:t>The shares of Stock purchased by a Participant on an Exercise Date shall, for all purposes, be deemed to have been issued and sold as of the close of business on such Exercise Date. Prior to that time, none of the rights or privileges of a shareholder of the Company shall exist with respect to such shares.</w:t>
      </w:r>
    </w:p>
    <w:p>
      <w:pPr>
        <w:spacing w:after="0" w:line="18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010000"/>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PARTICIPATION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Voluntary Withdrawal</w:t>
      </w:r>
    </w:p>
    <w:p>
      <w:pPr>
        <w:spacing w:after="0" w:line="235" w:lineRule="exact"/>
        <w:rPr>
          <w:sz w:val="20"/>
          <w:szCs w:val="20"/>
          <w:color w:val="auto"/>
        </w:rPr>
      </w:pPr>
    </w:p>
    <w:p>
      <w:pPr>
        <w:ind w:right="60"/>
        <w:spacing w:after="0" w:line="327" w:lineRule="auto"/>
        <w:rPr>
          <w:sz w:val="20"/>
          <w:szCs w:val="20"/>
          <w:color w:val="auto"/>
        </w:rPr>
      </w:pPr>
      <w:r>
        <w:rPr>
          <w:rFonts w:ascii="Arial" w:cs="Arial" w:eastAsia="Arial" w:hAnsi="Arial"/>
          <w:sz w:val="19"/>
          <w:szCs w:val="19"/>
          <w:color w:val="auto"/>
        </w:rPr>
        <w:t>A Participant may withdraw from the Plan at any time by filing notice of withdrawal prior to the close of business on an Exercise Date. Upon withdrawal, the entire amount, if any, in a Participant’s Account shall be refunded to him without interest. Any Participant who withdraws from the Plan may again become a Participant in accordance with Section 2.1 hereof.</w:t>
      </w:r>
    </w:p>
    <w:p>
      <w:pPr>
        <w:spacing w:after="0" w:line="1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Termination of Eligibility</w:t>
      </w:r>
    </w:p>
    <w:p>
      <w:pPr>
        <w:spacing w:after="0" w:line="235" w:lineRule="exact"/>
        <w:rPr>
          <w:sz w:val="20"/>
          <w:szCs w:val="20"/>
          <w:color w:val="auto"/>
        </w:rPr>
      </w:pPr>
    </w:p>
    <w:p>
      <w:pPr>
        <w:ind w:right="20"/>
        <w:spacing w:after="0" w:line="262" w:lineRule="auto"/>
        <w:rPr>
          <w:sz w:val="20"/>
          <w:szCs w:val="20"/>
          <w:color w:val="auto"/>
        </w:rPr>
      </w:pPr>
      <w:r>
        <w:rPr>
          <w:rFonts w:ascii="Arial" w:cs="Arial" w:eastAsia="Arial" w:hAnsi="Arial"/>
          <w:sz w:val="22"/>
          <w:szCs w:val="22"/>
          <w:color w:val="auto"/>
        </w:rPr>
        <w:t>If a Participant ceases to be eligible under Section 2.1 hereof for any reason, the dollar amount and the number of unissued shares in such Participant’s Account will be refunded or distributed to the Participant, or in the case of death, the Participant’s designated beneficiary or estate, or otherwise disposed of in accordance with policies and procedures prescribed by the Committee in cases where such a refund or distribution may not be possible.</w:t>
      </w:r>
    </w:p>
    <w:p>
      <w:pPr>
        <w:spacing w:after="0" w:line="19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010000"/>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Notices</w:t>
      </w:r>
    </w:p>
    <w:p>
      <w:pPr>
        <w:spacing w:after="0" w:line="235" w:lineRule="exact"/>
        <w:rPr>
          <w:sz w:val="20"/>
          <w:szCs w:val="20"/>
          <w:color w:val="auto"/>
        </w:rPr>
      </w:pPr>
    </w:p>
    <w:p>
      <w:pPr>
        <w:ind w:right="640"/>
        <w:spacing w:after="0" w:line="276" w:lineRule="auto"/>
        <w:rPr>
          <w:sz w:val="20"/>
          <w:szCs w:val="20"/>
          <w:color w:val="auto"/>
        </w:rPr>
      </w:pPr>
      <w:r>
        <w:rPr>
          <w:rFonts w:ascii="Arial" w:cs="Arial" w:eastAsia="Arial" w:hAnsi="Arial"/>
          <w:sz w:val="22"/>
          <w:szCs w:val="22"/>
          <w:color w:val="auto"/>
        </w:rPr>
        <w:t>Any notice which a Participant files pursuant to the Plan shall be made on forms prescribed by the Committee and shall be effective only when received by the Company.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Condition of Employment</w:t>
      </w:r>
    </w:p>
    <w:p>
      <w:pPr>
        <w:spacing w:after="0" w:line="235" w:lineRule="exact"/>
        <w:rPr>
          <w:sz w:val="20"/>
          <w:szCs w:val="20"/>
          <w:color w:val="auto"/>
        </w:rPr>
      </w:pPr>
    </w:p>
    <w:p>
      <w:pPr>
        <w:ind w:right="220"/>
        <w:spacing w:after="0" w:line="276" w:lineRule="auto"/>
        <w:rPr>
          <w:sz w:val="20"/>
          <w:szCs w:val="20"/>
          <w:color w:val="auto"/>
        </w:rPr>
      </w:pPr>
      <w:r>
        <w:rPr>
          <w:rFonts w:ascii="Arial" w:cs="Arial" w:eastAsia="Arial" w:hAnsi="Arial"/>
          <w:sz w:val="22"/>
          <w:szCs w:val="22"/>
          <w:color w:val="auto"/>
        </w:rPr>
        <w:t>Neither the creation of the Plan nor participation therein shall be deemed to create any right of continued employment or in any way affect the right of the Company or a Designated Subsidiary to terminate an Employee.</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Withholding of Taxes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2"/>
          <w:szCs w:val="22"/>
          <w:color w:val="auto"/>
        </w:rPr>
        <w:t>Each Participant shall, no later than the date as of which the value of an option under the Plan and/or shares of Stock first becomes includible in the income of the Participant for income tax purposes, pay to the Company, or make arrangements satisfactory to the Committee regarding payment of, any taxes of any kind required by law to be withheld with respect to such option or shares of Stock. The obligations of the Company under the Plan shall be conditioned upon the making of such payments or arrangements, and the Company shall, to the extent permitted by law, have the right to deduct any such taxes from any payment of any kind otherwise due to the Participant.</w:t>
      </w:r>
    </w:p>
    <w:p>
      <w:pPr>
        <w:spacing w:after="0" w:line="192" w:lineRule="exact"/>
        <w:rPr>
          <w:sz w:val="20"/>
          <w:szCs w:val="20"/>
          <w:color w:val="auto"/>
        </w:rPr>
      </w:pPr>
    </w:p>
    <w:p>
      <w:pPr>
        <w:ind w:right="160"/>
        <w:spacing w:after="0" w:line="308" w:lineRule="auto"/>
        <w:rPr>
          <w:sz w:val="20"/>
          <w:szCs w:val="20"/>
          <w:color w:val="auto"/>
        </w:rPr>
      </w:pPr>
      <w:r>
        <w:rPr>
          <w:rFonts w:ascii="Arial" w:cs="Arial" w:eastAsia="Arial" w:hAnsi="Arial"/>
          <w:sz w:val="19"/>
          <w:szCs w:val="19"/>
          <w:color w:val="auto"/>
        </w:rPr>
        <w:t>In particular, to the extent a Participant is subject to taxation under U.S. Federal income tax law, if the Participant makes a disposition, within the meaning of Section 424(c) of the Code of any share or shares of Stock issued to Participant pursuant to Participant’s exercise of an option, and such disposition occurs within the two-year period commencing on the day after the Offering or within the one-year period commencing on the day after the Exercise Date, Participant shall, within ten (10) days of such disposition, notify the Company thereof and thereafter immediately deliver to the Company any amount of federal, state or local income taxes and other amounts which the Company informs the Participant the Company may be required to withhold.</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Amendment of the Plan</w:t>
      </w:r>
    </w:p>
    <w:p>
      <w:pPr>
        <w:spacing w:after="0" w:line="235" w:lineRule="exact"/>
        <w:rPr>
          <w:sz w:val="20"/>
          <w:szCs w:val="20"/>
          <w:color w:val="auto"/>
        </w:rPr>
      </w:pPr>
    </w:p>
    <w:p>
      <w:pPr>
        <w:ind w:right="100"/>
        <w:spacing w:after="0" w:line="274" w:lineRule="auto"/>
        <w:rPr>
          <w:sz w:val="20"/>
          <w:szCs w:val="20"/>
          <w:color w:val="auto"/>
        </w:rPr>
      </w:pPr>
      <w:r>
        <w:rPr>
          <w:rFonts w:ascii="Arial" w:cs="Arial" w:eastAsia="Arial" w:hAnsi="Arial"/>
          <w:sz w:val="21"/>
          <w:szCs w:val="21"/>
          <w:color w:val="auto"/>
        </w:rPr>
        <w:t>The Board of Directors or the Board’s Compensation Committee may at any time, or from time to time, amend the Plan in any respect, except that, without approval of the shareholders, no amendment may increase the aggregate number of shares reserved under the Plan other than as provided in Section 4.2 hereof, materially increase the benefits accruing to Participants or materially modify the requirements as to eligibility for participation in the Plan. Any amendment of the Plan must be made in accordance with applicable provisions of the Code and/or any regulations issued thereunder, any other applicable law or regulations, and the requirements of the principal exchange upon which the Stock is listed.</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Application of Funds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All funds received by the Company by reason of purchases of Stock hereunder may be used for any corporate purpose.</w:t>
      </w:r>
    </w:p>
    <w:p>
      <w:pPr>
        <w:sectPr>
          <w:pgSz w:w="11900" w:h="16838" w:orient="portrait"/>
          <w:cols w:equalWidth="0" w:num="1">
            <w:col w:w="11240"/>
          </w:cols>
          <w:pgMar w:left="320" w:top="135" w:right="339" w:bottom="164" w:gutter="0" w:footer="0" w:header="0"/>
        </w:sectPr>
      </w:pP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color w:val="auto"/>
        </w:rPr>
        <w:t>Legal Restrictions</w:t>
      </w:r>
    </w:p>
    <w:p>
      <w:pPr>
        <w:sectPr>
          <w:pgSz w:w="11900" w:h="16838" w:orient="portrait"/>
          <w:cols w:equalWidth="0" w:num="1">
            <w:col w:w="11240"/>
          </w:cols>
          <w:pgMar w:left="320" w:top="135" w:right="339" w:bottom="164" w:gutter="0" w:footer="0" w:header="0"/>
          <w:type w:val="continuous"/>
        </w:sectPr>
      </w:pPr>
    </w:p>
    <w:bookmarkStart w:id="48" w:name="page49"/>
    <w:bookmarkEnd w:id="48"/>
    <w:p>
      <w:pPr>
        <w:spacing w:after="0" w:line="276" w:lineRule="auto"/>
        <w:rPr>
          <w:sz w:val="20"/>
          <w:szCs w:val="20"/>
          <w:color w:val="auto"/>
        </w:rPr>
      </w:pPr>
      <w:r>
        <w:rPr>
          <w:rFonts w:ascii="Arial" w:cs="Arial" w:eastAsia="Arial" w:hAnsi="Arial"/>
          <w:sz w:val="22"/>
          <w:szCs w:val="22"/>
          <w:color w:val="auto"/>
        </w:rPr>
        <w:t>The Company shall not be obligated to sell shares of Stock hereunder if counsel to the Company determines that such sale would violate any applicable law or regulation.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Gender</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Whenever used herein, use of any gender shall be applicable to both genders.</w:t>
      </w:r>
    </w:p>
    <w:p>
      <w:pPr>
        <w:spacing w:after="0" w:line="2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Governing Law</w:t>
      </w:r>
    </w:p>
    <w:p>
      <w:pPr>
        <w:spacing w:after="0" w:line="235"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color w:val="auto"/>
        </w:rPr>
        <w:t>The Plan and all rights and obligations thereunder shall be constructed and enforced in accordance with the laws of the State of Delaware and any applicable provisions of the Code and the related regulations.</w:t>
      </w:r>
    </w:p>
    <w:p>
      <w:pPr>
        <w:spacing w:after="0" w:line="3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320" w:top="132" w:right="4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Issuer and Guarantor Subsidiaries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subsidiaries of Avis Budget Group, Inc. (the "Parent") were, as of March 31, 2020, guarantors of the Company's senior notes: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2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Entity</w:t>
            </w:r>
          </w:p>
        </w:tc>
        <w:tc>
          <w:tcPr>
            <w:tcW w:w="220" w:type="dxa"/>
            <w:vAlign w:val="bottom"/>
          </w:tcPr>
          <w:p>
            <w:pPr>
              <w:spacing w:after="0"/>
              <w:rPr>
                <w:sz w:val="19"/>
                <w:szCs w:val="19"/>
                <w:color w:val="auto"/>
              </w:rPr>
            </w:pPr>
          </w:p>
        </w:tc>
        <w:tc>
          <w:tcPr>
            <w:tcW w:w="33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Jurisdiction of Incorporation</w:t>
            </w:r>
          </w:p>
        </w:tc>
        <w:tc>
          <w:tcPr>
            <w:tcW w:w="40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Senior Notes</w:t>
            </w:r>
          </w:p>
        </w:tc>
      </w:tr>
      <w:tr>
        <w:trPr>
          <w:trHeight w:val="257"/>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AB Car Rental Services,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Avis Budget Car Rental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Issuer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Avis Budget Holdings,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Avis Car Rental Group,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Avis Caribbean, Limited</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Avis Group Holdings,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Avis International, Ltd.</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Avis Rent A Car System,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Budget Rent A Car System,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Budget Truck Rental LLC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PR Holdco,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Wizard Services,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Wizard Co.,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Zipcar, Inc.</w:t>
            </w:r>
          </w:p>
        </w:tc>
        <w:tc>
          <w:tcPr>
            <w:tcW w:w="336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480"/>
              <w:spacing w:after="0"/>
              <w:rPr>
                <w:sz w:val="20"/>
                <w:szCs w:val="20"/>
                <w:color w:val="auto"/>
              </w:rPr>
            </w:pPr>
            <w:r>
              <w:rPr>
                <w:rFonts w:ascii="Arial" w:cs="Arial" w:eastAsia="Arial" w:hAnsi="Arial"/>
                <w:sz w:val="18"/>
                <w:szCs w:val="18"/>
                <w:color w:val="auto"/>
              </w:rPr>
              <w:t>Guarantor</w:t>
            </w:r>
          </w:p>
        </w:tc>
      </w:tr>
    </w:tbl>
    <w:p>
      <w:pPr>
        <w:sectPr>
          <w:pgSz w:w="11900" w:h="16838" w:orient="portrait"/>
          <w:cols w:equalWidth="0" w:num="1">
            <w:col w:w="11240"/>
          </w:cols>
          <w:pgMar w:left="320" w:top="54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17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3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320"/>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4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320"/>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14605</wp:posOffset>
            </wp:positionV>
            <wp:extent cx="28632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President and Chief Executive Officer</w:t>
      </w:r>
    </w:p>
    <w:p>
      <w:pPr>
        <w:sectPr>
          <w:pgSz w:w="11900" w:h="16838" w:orient="portrait"/>
          <w:cols w:equalWidth="0" w:num="1">
            <w:col w:w="11240"/>
          </w:cols>
          <w:pgMar w:left="320" w:top="54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F. North, III, certify that:</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3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4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87"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F. North,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14605</wp:posOffset>
            </wp:positionV>
            <wp:extent cx="41744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549"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2020, as filed with the Securities and Exchange Commission on the date hereof (the “Report”), Joseph A. Ferraro, as Interim Chief Executive Officer of the Company, and John F. North, III,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JOSEPH A. FERRARO</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A. Ferraro</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and Chief Executive Officer</w:t>
      </w:r>
    </w:p>
    <w:p>
      <w:pPr>
        <w:spacing w:after="0" w:line="50"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April 30, 2020</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JOHN F. NORTH, III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F. North, III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April 30, 2020</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lvl w:ilvl="1">
      <w:lvlJc w:val="left"/>
      <w:lvlText w:val="•"/>
      <w:numFmt w:val="bullet"/>
      <w:start w:val="1"/>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decimal"/>
      <w:start w:val="2"/>
    </w:lvl>
  </w:abstractNum>
  <w:abstractNum w:abstractNumId="7">
    <w:nsid w:val="614FD4A1"/>
    <w:multiLevelType w:val="hybridMultilevel"/>
    <w:lvl w:ilvl="0">
      <w:lvlJc w:val="left"/>
      <w:lvlText w:val="(%1)"/>
      <w:numFmt w:val="lowerLetter"/>
      <w:start w:val="1"/>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decimal"/>
      <w:start w:val="1"/>
    </w:lvl>
    <w:lvl w:ilvl="1">
      <w:lvlJc w:val="left"/>
      <w:lvlText w:val="(%2)"/>
      <w:numFmt w:val="lowerLetter"/>
      <w:start w:val="1"/>
    </w:lvl>
  </w:abstractNum>
  <w:abstractNum w:abstractNumId="10">
    <w:nsid w:val="440BADFC"/>
    <w:multiLevelType w:val="hybridMultilevel"/>
    <w:lvl w:ilvl="0">
      <w:lvlJc w:val="left"/>
      <w:lvlText w:val="%1."/>
      <w:numFmt w:val="decimal"/>
      <w:start w:val="3"/>
    </w:lvl>
    <w:lvl w:ilvl="1">
      <w:lvlJc w:val="left"/>
      <w:lvlText w:val="%2"/>
      <w:numFmt w:val="lowerLetter"/>
      <w:start w:val="1"/>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decimal"/>
      <w:start w:val="4"/>
    </w:lvl>
  </w:abstractNum>
  <w:abstractNum w:abstractNumId="13">
    <w:nsid w:val="77465F01"/>
    <w:multiLevelType w:val="hybridMultilevel"/>
    <w:lvl w:ilvl="0">
      <w:lvlJc w:val="left"/>
      <w:lvlText w:val="%1"/>
      <w:numFmt w:val="decimal"/>
      <w:start w:val="1"/>
    </w:lvl>
    <w:lvl w:ilvl="1">
      <w:lvlJc w:val="left"/>
      <w:lvlText w:val="(%2)"/>
      <w:numFmt w:val="lowerLetter"/>
      <w:start w:val="1"/>
    </w:lvl>
  </w:abstractNum>
  <w:abstractNum w:abstractNumId="14">
    <w:nsid w:val="7724C67E"/>
    <w:multiLevelType w:val="hybridMultilevel"/>
    <w:lvl w:ilvl="0">
      <w:lvlJc w:val="left"/>
      <w:lvlText w:val="%1."/>
      <w:numFmt w:val="decimal"/>
      <w:start w:val="5"/>
    </w:lvl>
    <w:lvl w:ilvl="1">
      <w:lvlJc w:val="left"/>
      <w:lvlText w:val="%2"/>
      <w:numFmt w:val="lowerLetter"/>
      <w:start w:val="1"/>
    </w:lvl>
  </w:abstractNum>
  <w:abstractNum w:abstractNumId="15">
    <w:nsid w:val="5C482A97"/>
    <w:multiLevelType w:val="hybridMultilevel"/>
    <w:lvl w:ilvl="0">
      <w:lvlJc w:val="left"/>
      <w:lvlText w:val="%1."/>
      <w:numFmt w:val="decimal"/>
      <w:start w:val="6"/>
    </w:lvl>
  </w:abstractNum>
  <w:abstractNum w:abstractNumId="16">
    <w:nsid w:val="2463B9EA"/>
    <w:multiLevelType w:val="hybridMultilevel"/>
    <w:lvl w:ilvl="0">
      <w:lvlJc w:val="left"/>
      <w:lvlText w:val="%1."/>
      <w:numFmt w:val="decimal"/>
      <w:start w:val="7"/>
    </w:lvl>
  </w:abstractNum>
  <w:abstractNum w:abstractNumId="17">
    <w:nsid w:val="5E884ADC"/>
    <w:multiLevelType w:val="hybridMultilevel"/>
    <w:lvl w:ilvl="0">
      <w:lvlJc w:val="left"/>
      <w:lvlText w:val="%1."/>
      <w:numFmt w:val="decimal"/>
      <w:start w:val="8"/>
    </w:lvl>
  </w:abstractNum>
  <w:abstractNum w:abstractNumId="18">
    <w:nsid w:val="51EAD36B"/>
    <w:multiLevelType w:val="hybridMultilevel"/>
    <w:lvl w:ilvl="0">
      <w:lvlJc w:val="left"/>
      <w:lvlText w:val="%1."/>
      <w:numFmt w:val="decimal"/>
      <w:start w:val="9"/>
    </w:lvl>
  </w:abstractNum>
  <w:abstractNum w:abstractNumId="19">
    <w:nsid w:val="2D517796"/>
    <w:multiLevelType w:val="hybridMultilevel"/>
    <w:lvl w:ilvl="0">
      <w:lvlJc w:val="left"/>
      <w:lvlText w:val="%1."/>
      <w:numFmt w:val="decimal"/>
      <w:start w:val="11"/>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1."/>
      <w:numFmt w:val="decimal"/>
      <w:start w:val="12"/>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decimal"/>
      <w:start w:val="13"/>
    </w:lvl>
  </w:abstractNum>
  <w:abstractNum w:abstractNumId="27">
    <w:nsid w:val="725A06FB"/>
    <w:multiLevelType w:val="hybridMultilevel"/>
    <w:lvl w:ilvl="0">
      <w:lvlJc w:val="left"/>
      <w:lvlText w:val="%1."/>
      <w:numFmt w:val="decimal"/>
      <w:start w:val="14"/>
    </w:lvl>
  </w:abstractNum>
  <w:abstractNum w:abstractNumId="28">
    <w:nsid w:val="2CD89A32"/>
    <w:multiLevelType w:val="hybridMultilevel"/>
    <w:lvl w:ilvl="0">
      <w:lvlJc w:val="left"/>
      <w:lvlText w:val="%1"/>
      <w:numFmt w:val="decimal"/>
      <w:start w:val="1"/>
    </w:lvl>
    <w:lvl w:ilvl="1">
      <w:lvlJc w:val="left"/>
      <w:lvlText w:val="(%2)"/>
      <w:numFmt w:val="lowerLetter"/>
      <w:start w:val="1"/>
    </w:lvl>
  </w:abstractNum>
  <w:abstractNum w:abstractNumId="29">
    <w:nsid w:val="57E4CCAF"/>
    <w:multiLevelType w:val="hybridMultilevel"/>
    <w:lvl w:ilvl="0">
      <w:lvlJc w:val="left"/>
      <w:lvlText w:val="%1."/>
      <w:numFmt w:val="decimal"/>
      <w:start w:val="15"/>
    </w:lvl>
    <w:lvl w:ilvl="1">
      <w:lvlJc w:val="left"/>
      <w:lvlText w:val="%2"/>
      <w:numFmt w:val="lowerLetter"/>
      <w:start w:val="1"/>
    </w:lvl>
  </w:abstractNum>
  <w:abstractNum w:abstractNumId="30">
    <w:nsid w:val="7A6D8D3C"/>
    <w:multiLevelType w:val="hybridMultilevel"/>
    <w:lvl w:ilvl="0">
      <w:lvlJc w:val="left"/>
      <w:lvlText w:val="(%1)"/>
      <w:numFmt w:val="decimal"/>
      <w:start w:val="376"/>
    </w:lvl>
  </w:abstractNum>
  <w:abstractNum w:abstractNumId="31">
    <w:nsid w:val="4B588F54"/>
    <w:multiLevelType w:val="hybridMultilevel"/>
    <w:lvl w:ilvl="0">
      <w:lvlJc w:val="left"/>
      <w:lvlText w:val="(%1)"/>
      <w:numFmt w:val="decimal"/>
      <w:start w:val="34"/>
    </w:lvl>
  </w:abstractNum>
  <w:abstractNum w:abstractNumId="32">
    <w:nsid w:val="542289EC"/>
    <w:multiLevelType w:val="hybridMultilevel"/>
    <w:lvl w:ilvl="0">
      <w:lvlJc w:val="left"/>
      <w:lvlText w:val="%1"/>
      <w:numFmt w:val="decimal"/>
      <w:start w:val="515"/>
    </w:lvl>
    <w:lvl w:ilvl="1">
      <w:lvlJc w:val="left"/>
      <w:lvlText w:val="(%2)"/>
      <w:numFmt w:val="decimal"/>
      <w:start w:val="73"/>
    </w:lvl>
  </w:abstractNum>
  <w:abstractNum w:abstractNumId="33">
    <w:nsid w:val="6DE91B18"/>
    <w:multiLevelType w:val="hybridMultilevel"/>
    <w:lvl w:ilvl="0">
      <w:lvlJc w:val="left"/>
      <w:lvlText w:val="(%1)"/>
      <w:numFmt w:val="decimal"/>
      <w:start w:val="380"/>
    </w:lvl>
  </w:abstractNum>
  <w:abstractNum w:abstractNumId="34">
    <w:nsid w:val="38437FDB"/>
    <w:multiLevelType w:val="hybridMultilevel"/>
    <w:lvl w:ilvl="0">
      <w:lvlJc w:val="left"/>
      <w:lvlText w:val="%1"/>
      <w:numFmt w:val="decimal"/>
      <w:start w:val="1"/>
    </w:lvl>
    <w:lvl w:ilvl="1">
      <w:lvlJc w:val="left"/>
      <w:lvlText w:val="(%2)"/>
      <w:numFmt w:val="lowerLetter"/>
      <w:start w:val="1"/>
    </w:lvl>
  </w:abstractNum>
  <w:abstractNum w:abstractNumId="35">
    <w:nsid w:val="7644A45C"/>
    <w:multiLevelType w:val="hybridMultilevel"/>
    <w:lvl w:ilvl="0">
      <w:lvlJc w:val="left"/>
      <w:lvlText w:val="%1."/>
      <w:numFmt w:val="decimal"/>
      <w:start w:val="16"/>
    </w:lvl>
    <w:lvl w:ilvl="1">
      <w:lvlJc w:val="left"/>
      <w:lvlText w:val="%2"/>
      <w:numFmt w:val="lowerLetter"/>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3"/>
    </w:lvl>
  </w:abstractNum>
  <w:abstractNum w:abstractNumId="40">
    <w:nsid w:val="3DC240FB"/>
    <w:multiLevelType w:val="hybridMultilevel"/>
    <w:lvl w:ilvl="0">
      <w:lvlJc w:val="left"/>
      <w:lvlText w:val="%1"/>
      <w:numFmt w:val="decimal"/>
      <w:start w:val="1"/>
    </w:lvl>
    <w:lvl w:ilvl="1">
      <w:lvlJc w:val="left"/>
      <w:lvlText w:val="(%2)"/>
      <w:numFmt w:val="lowerLetter"/>
      <w:start w:val="1"/>
    </w:lvl>
  </w:abstractNum>
  <w:abstractNum w:abstractNumId="41">
    <w:nsid w:val="1BA026FA"/>
    <w:multiLevelType w:val="hybridMultilevel"/>
    <w:lvl w:ilvl="0">
      <w:lvlJc w:val="left"/>
      <w:lvlText w:val="%1."/>
      <w:numFmt w:val="decimal"/>
      <w:start w:val="17"/>
    </w:lvl>
    <w:lvl w:ilvl="1">
      <w:lvlJc w:val="left"/>
      <w:lvlText w:val="%2"/>
      <w:numFmt w:val="lowerLetter"/>
      <w:start w:val="1"/>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8"/>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22"/>
    </w:lvl>
  </w:abstractNum>
  <w:abstractNum w:abstractNumId="55">
    <w:nsid w:val="235BA861"/>
    <w:multiLevelType w:val="hybridMultilevel"/>
    <w:lvl w:ilvl="0">
      <w:lvlJc w:val="left"/>
      <w:lvlText w:val="%1"/>
      <w:numFmt w:val="decimal"/>
      <w:start w:val="32"/>
    </w:lvl>
  </w:abstractNum>
  <w:abstractNum w:abstractNumId="56">
    <w:nsid w:val="47398C89"/>
    <w:multiLevelType w:val="hybridMultilevel"/>
    <w:lvl w:ilvl="0">
      <w:lvlJc w:val="left"/>
      <w:lvlText w:val="%1"/>
      <w:numFmt w:val="decimal"/>
      <w:start w:val="104"/>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0" Type="http://schemas.openxmlformats.org/officeDocument/2006/relationships/hyperlink" Target="http://www.sec.gov/Archives/edgar/data/723612/000119312520016142/d859980dex41.htm" TargetMode="External"/><Relationship Id="rId41" Type="http://schemas.openxmlformats.org/officeDocument/2006/relationships/hyperlink" Target="http://www.sec.gov/Archives/edgar/data/723612/000119312520018528/d880584dex101.htm" TargetMode="External"/><Relationship Id="rId42" Type="http://schemas.openxmlformats.org/officeDocument/2006/relationships/hyperlink" Target="http://www.sec.gov/Archives/edgar/data/723612/000119312520028179/d858240dex101.htm" TargetMode="External"/><Relationship Id="rId43" Type="http://schemas.openxmlformats.org/officeDocument/2006/relationships/hyperlink" Target="http://www.sec.gov/Archives/edgar/data/723612/000119312520120963/d915390dex101.htm" TargetMode="External"/><Relationship Id="rId44" Type="http://schemas.openxmlformats.org/officeDocument/2006/relationships/hyperlink" Target="http://www.sec.gov/Archives/edgar/data/723612/000119312520046330/d80294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2020-05-01T05:34:39Z</dcterms:created>
  <dcterms:modified xsi:type="dcterms:W3CDTF">2020-05-01T05:34:39Z</dcterms:modified>
</cp:coreProperties>
</file>