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7046595" cy="8682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82355"/>
                    </a:xfrm>
                    <a:prstGeom prst="rect">
                      <a:avLst/>
                    </a:prstGeom>
                    <a:noFill/>
                  </pic:spPr>
                </pic:pic>
              </a:graphicData>
            </a:graphic>
          </wp:anchor>
        </w:drawing>
      </w:r>
    </w:p>
    <w:p>
      <w:pPr>
        <w:spacing w:after="0" w:line="117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gridSpan w:val="9"/>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AVIS BUDGET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CAR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52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780" w:type="dxa"/>
            <w:vAlign w:val="bottom"/>
            <w:gridSpan w:val="5"/>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5"/>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below)</w:t>
            </w:r>
          </w:p>
        </w:tc>
        <w:tc>
          <w:tcPr>
            <w:tcW w:w="940" w:type="dxa"/>
            <w:vAlign w:val="bottom"/>
          </w:tcPr>
          <w:p>
            <w:pPr>
              <w:ind w:left="540"/>
              <w:spacing w:after="0"/>
              <w:rPr>
                <w:sz w:val="20"/>
                <w:szCs w:val="20"/>
                <w:color w:val="auto"/>
              </w:rPr>
            </w:pPr>
            <w:r>
              <w:rPr>
                <w:rFonts w:ascii="Arial" w:cs="Arial" w:eastAsia="Arial" w:hAnsi="Arial"/>
                <w:sz w:val="13"/>
                <w:szCs w:val="13"/>
                <w:color w:val="auto"/>
                <w:w w:val="99"/>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1001 10TH AVENUE SOUTH</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04/22/2026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216</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4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6"/>
              </w:rPr>
              <w:t>NAPLES</w:t>
            </w:r>
          </w:p>
        </w:tc>
        <w:tc>
          <w:tcPr>
            <w:tcW w:w="580" w:type="dxa"/>
            <w:vAlign w:val="bottom"/>
          </w:tcPr>
          <w:p>
            <w:pPr>
              <w:spacing w:after="0"/>
              <w:rPr>
                <w:sz w:val="15"/>
                <w:szCs w:val="15"/>
                <w:color w:val="auto"/>
              </w:rPr>
            </w:pP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0"/>
              </w:rPr>
              <w:t>FL</w:t>
            </w:r>
          </w:p>
        </w:tc>
        <w:tc>
          <w:tcPr>
            <w:tcW w:w="1020" w:type="dxa"/>
            <w:vAlign w:val="bottom"/>
          </w:tcPr>
          <w:p>
            <w:pPr>
              <w:spacing w:after="0"/>
              <w:rPr>
                <w:sz w:val="15"/>
                <w:szCs w:val="15"/>
                <w:color w:val="auto"/>
              </w:rPr>
            </w:pPr>
          </w:p>
        </w:tc>
        <w:tc>
          <w:tcPr>
            <w:tcW w:w="4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8"/>
              </w:rPr>
              <w:t>34102</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06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2"/>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4"/>
                <w:szCs w:val="14"/>
                <w:color w:val="auto"/>
              </w:rPr>
            </w:pPr>
          </w:p>
        </w:tc>
        <w:tc>
          <w:tcPr>
            <w:tcW w:w="1380" w:type="dxa"/>
            <w:vAlign w:val="bottom"/>
            <w:gridSpan w:val="5"/>
          </w:tcPr>
          <w:p>
            <w:pPr>
              <w:ind w:left="3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5"/>
          </w:tcPr>
          <w:p>
            <w:pPr>
              <w:ind w:left="3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jc w:val="center"/>
              <w:ind w:right="2"/>
              <w:spacing w:after="0" w:line="129" w:lineRule="exact"/>
              <w:rPr>
                <w:sz w:val="20"/>
                <w:szCs w:val="20"/>
                <w:color w:val="auto"/>
              </w:rPr>
            </w:pPr>
            <w:r>
              <w:rPr>
                <w:rFonts w:ascii="Arial" w:cs="Arial" w:eastAsia="Arial" w:hAnsi="Arial"/>
                <w:sz w:val="12"/>
                <w:szCs w:val="12"/>
                <w:b w:val="1"/>
                <w:bCs w:val="1"/>
                <w:color w:val="auto"/>
                <w:w w:val="93"/>
              </w:rPr>
              <w:t>5)</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92"/>
              </w:rPr>
              <w:t>Amount</w:t>
            </w:r>
          </w:p>
        </w:tc>
        <w:tc>
          <w:tcPr>
            <w:tcW w:w="68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w w:val="93"/>
              </w:rPr>
              <w:t>(A) or</w:t>
            </w:r>
          </w:p>
        </w:tc>
        <w:tc>
          <w:tcPr>
            <w:tcW w:w="56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4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gridSpan w:val="4"/>
          </w:tcPr>
          <w:p>
            <w:pPr>
              <w:spacing w:after="0"/>
              <w:rPr>
                <w:sz w:val="7"/>
                <w:szCs w:val="7"/>
                <w:color w:val="auto"/>
              </w:rPr>
            </w:pPr>
          </w:p>
        </w:tc>
        <w:tc>
          <w:tcPr>
            <w:tcW w:w="1400" w:type="dxa"/>
            <w:vAlign w:val="bottom"/>
            <w:tcBorders>
              <w:bottom w:val="single" w:sz="8" w:color="2C2C2C"/>
            </w:tcBorders>
            <w:gridSpan w:val="5"/>
          </w:tcPr>
          <w:p>
            <w:pPr>
              <w:spacing w:after="0"/>
              <w:rPr>
                <w:sz w:val="7"/>
                <w:szCs w:val="7"/>
                <w:color w:val="auto"/>
              </w:rPr>
            </w:pPr>
          </w:p>
        </w:tc>
        <w:tc>
          <w:tcPr>
            <w:tcW w:w="2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1"/>
          </w:tcPr>
          <w:p>
            <w:pPr>
              <w:jc w:val="center"/>
              <w:ind w:left="87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17"/>
          </w:tcPr>
          <w:p>
            <w:pPr>
              <w:jc w:val="center"/>
              <w:ind w:left="7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5"/>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jc w:val="right"/>
              <w:ind w:right="39"/>
              <w:spacing w:after="0"/>
              <w:rPr>
                <w:sz w:val="20"/>
                <w:szCs w:val="20"/>
                <w:color w:val="auto"/>
              </w:rPr>
            </w:pPr>
            <w:r>
              <w:rPr>
                <w:rFonts w:ascii="Arial" w:cs="Arial" w:eastAsia="Arial" w:hAnsi="Arial"/>
                <w:sz w:val="12"/>
                <w:szCs w:val="12"/>
                <w:b w:val="1"/>
                <w:bCs w:val="1"/>
                <w:color w:val="auto"/>
                <w:w w:val="94"/>
              </w:rPr>
              <w:t>8. Price of</w:t>
            </w:r>
          </w:p>
        </w:tc>
        <w:tc>
          <w:tcPr>
            <w:tcW w:w="16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jc w:val="right"/>
              <w:ind w:right="39"/>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39"/>
              <w:spacing w:after="0" w:line="129" w:lineRule="exact"/>
              <w:rPr>
                <w:sz w:val="20"/>
                <w:szCs w:val="20"/>
                <w:color w:val="auto"/>
              </w:rPr>
            </w:pPr>
            <w:r>
              <w:rPr>
                <w:rFonts w:ascii="Arial" w:cs="Arial" w:eastAsia="Arial" w:hAnsi="Arial"/>
                <w:sz w:val="12"/>
                <w:szCs w:val="12"/>
                <w:b w:val="1"/>
                <w:bCs w:val="1"/>
                <w:color w:val="auto"/>
                <w:w w:val="92"/>
              </w:rPr>
              <w:t>Security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jc w:val="right"/>
              <w:ind w:right="159"/>
              <w:spacing w:after="0" w:line="129" w:lineRule="exact"/>
              <w:rPr>
                <w:sz w:val="20"/>
                <w:szCs w:val="20"/>
                <w:color w:val="auto"/>
              </w:rPr>
            </w:pPr>
            <w:r>
              <w:rPr>
                <w:rFonts w:ascii="Arial" w:cs="Arial" w:eastAsia="Arial" w:hAnsi="Arial"/>
                <w:sz w:val="12"/>
                <w:szCs w:val="12"/>
                <w:b w:val="1"/>
                <w:bCs w:val="1"/>
                <w:color w:val="auto"/>
                <w:w w:val="88"/>
              </w:rPr>
              <w:t>(Instr. 5)</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8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rPr>
                <w:sz w:val="20"/>
                <w:szCs w:val="20"/>
                <w:color w:val="auto"/>
              </w:rPr>
            </w:pPr>
            <w:r>
              <w:rPr>
                <w:rFonts w:ascii="Times New Roman" w:cs="Times New Roman" w:eastAsia="Times New Roman" w:hAnsi="Times New Roman"/>
                <w:sz w:val="13"/>
                <w:szCs w:val="13"/>
                <w:color w:val="0000FF"/>
              </w:rPr>
              <w:t>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100</w:t>
            </w:r>
          </w:p>
        </w:tc>
        <w:tc>
          <w:tcPr>
            <w:tcW w:w="60" w:type="dxa"/>
            <w:vAlign w:val="bottom"/>
          </w:tcPr>
          <w:p>
            <w:pPr>
              <w:spacing w:after="0"/>
              <w:rPr>
                <w:sz w:val="12"/>
                <w:szCs w:val="12"/>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1</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700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rPr>
              <w:t>7</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restart"/>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400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rPr>
              <w:t>4</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4"/>
          </w:tcPr>
          <w:p>
            <w:pPr>
              <w:ind w:left="6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gridSpan w:val="3"/>
          </w:tcPr>
          <w:p>
            <w:pPr>
              <w:ind w:left="6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w w:val="99"/>
              </w:rPr>
              <w:t>3,200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w w:val="91"/>
              </w:rPr>
              <w:t>32</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restart"/>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4"/>
                <w:szCs w:val="4"/>
                <w:color w:val="auto"/>
              </w:rPr>
            </w:pPr>
          </w:p>
        </w:tc>
        <w:tc>
          <w:tcPr>
            <w:tcW w:w="500" w:type="dxa"/>
            <w:vAlign w:val="bottom"/>
            <w:gridSpan w:val="2"/>
            <w:vMerge w:val="restart"/>
          </w:tcPr>
          <w:p>
            <w:pPr>
              <w:jc w:val="center"/>
              <w:ind w:right="36"/>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200" w:type="dxa"/>
            <w:vAlign w:val="bottom"/>
          </w:tcPr>
          <w:p>
            <w:pPr>
              <w:spacing w:after="0"/>
              <w:rPr>
                <w:sz w:val="7"/>
                <w:szCs w:val="7"/>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rPr>
              <w:t>5</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4"/>
          </w:tcPr>
          <w:p>
            <w:pPr>
              <w:ind w:left="6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rPr>
                <w:sz w:val="20"/>
                <w:szCs w:val="20"/>
                <w:color w:val="auto"/>
              </w:rPr>
            </w:pPr>
            <w:r>
              <w:rPr>
                <w:rFonts w:ascii="Times New Roman" w:cs="Times New Roman" w:eastAsia="Times New Roman" w:hAnsi="Times New Roman"/>
                <w:sz w:val="13"/>
                <w:szCs w:val="13"/>
                <w:color w:val="0000FF"/>
              </w:rPr>
              <w:t>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100</w:t>
            </w:r>
          </w:p>
        </w:tc>
        <w:tc>
          <w:tcPr>
            <w:tcW w:w="60" w:type="dxa"/>
            <w:vAlign w:val="bottom"/>
          </w:tcPr>
          <w:p>
            <w:pPr>
              <w:spacing w:after="0"/>
              <w:rPr>
                <w:sz w:val="12"/>
                <w:szCs w:val="12"/>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1</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700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rPr>
              <w:t>7</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tcPr>
          <w:p>
            <w:pPr>
              <w:ind w:left="6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105263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right"/>
              <w:ind w:right="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right"/>
              <w:ind w:right="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3,300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33</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7"/>
                <w:szCs w:val="7"/>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3,200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3,000</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7"/>
                <w:szCs w:val="7"/>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w w:val="91"/>
              </w:rPr>
              <w:t>30</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6</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6</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5</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4,200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42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42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2,400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24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24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19,300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00" w:type="dxa"/>
            <w:vAlign w:val="bottom"/>
            <w:vMerge w:val="continue"/>
          </w:tcPr>
          <w:p>
            <w:pPr>
              <w:spacing w:after="0"/>
              <w:rPr>
                <w:sz w:val="12"/>
                <w:szCs w:val="12"/>
                <w:color w:val="auto"/>
              </w:rPr>
            </w:pPr>
          </w:p>
        </w:tc>
        <w:tc>
          <w:tcPr>
            <w:tcW w:w="760" w:type="dxa"/>
            <w:vAlign w:val="bottom"/>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400</w:t>
            </w: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193</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22.54</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2"/>
              </w:rPr>
              <w:t>193</w:t>
            </w:r>
          </w:p>
        </w:tc>
        <w:tc>
          <w:tcPr>
            <w:tcW w:w="7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700" w:type="dxa"/>
            <w:vAlign w:val="bottom"/>
            <w:vMerge w:val="restart"/>
          </w:tcPr>
          <w:p>
            <w:pPr>
              <w:ind w:left="5920"/>
              <w:spacing w:after="0" w:line="28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4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7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Borders>
              <w:top w:val="single" w:sz="8" w:color="808080"/>
            </w:tcBorders>
          </w:tcPr>
          <w:p>
            <w:pPr>
              <w:spacing w:after="0"/>
              <w:rPr>
                <w:sz w:val="24"/>
                <w:szCs w:val="24"/>
                <w:color w:val="auto"/>
              </w:rPr>
            </w:pPr>
          </w:p>
        </w:tc>
        <w:tc>
          <w:tcPr>
            <w:tcW w:w="434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 w:type="dxa"/>
            <w:vAlign w:val="bottom"/>
            <w:tcBorders>
              <w:top w:val="single" w:sz="8" w:color="808080"/>
            </w:tcBorders>
          </w:tcPr>
          <w:p>
            <w:pPr>
              <w:spacing w:after="0"/>
              <w:rPr>
                <w:sz w:val="24"/>
                <w:szCs w:val="24"/>
                <w:color w:val="auto"/>
              </w:rPr>
            </w:pP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65" w:orient="portrait"/>
          <w:cols w:equalWidth="0" w:num="1">
            <w:col w:w="11080"/>
          </w:cols>
          <w:pgMar w:left="460" w:top="191" w:right="359" w:bottom="0" w:gutter="0" w:footer="0" w:header="0"/>
        </w:sectPr>
      </w:pPr>
    </w:p>
    <w:bookmarkStart w:id="2" w:name="page3"/>
    <w:bookmarkEnd w:id="2"/>
    <w:p>
      <w:pPr>
        <w:ind w:left="10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Pentwater Capital Management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-135890</wp:posOffset>
            </wp:positionV>
            <wp:extent cx="2806065" cy="3292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6065" cy="329247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1001 10TH AVENUE SOUTH</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SUITE 216</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9"/>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NAPLES</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34102</w:t>
            </w:r>
          </w:p>
        </w:tc>
        <w:tc>
          <w:tcPr>
            <w:tcW w:w="8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5"/>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19"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Halbower Matthew</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PENTWATER CAPITAL MANAGEMENT LP</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1001 10TH AVENUE SOUTH, SUITE 216</w:t>
            </w: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9"/>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NAPLES</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34102</w:t>
            </w:r>
          </w:p>
        </w:tc>
        <w:tc>
          <w:tcPr>
            <w:tcW w:w="8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60" w:firstLine="2"/>
        <w:spacing w:after="0" w:line="237"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on this Form 4 except to the extent of its or his pecuniary interest, if any, therein, and this report shall not be deemed to be an admission that such person is the beneficial owner of such securities for purposes of Section 16 or for any other purpose.</w:t>
      </w:r>
    </w:p>
    <w:p>
      <w:pPr>
        <w:spacing w:after="0" w:line="27" w:lineRule="exact"/>
        <w:rPr>
          <w:rFonts w:ascii="Times New Roman" w:cs="Times New Roman" w:eastAsia="Times New Roman" w:hAnsi="Times New Roman"/>
          <w:sz w:val="13"/>
          <w:szCs w:val="13"/>
          <w:color w:val="008000"/>
        </w:rPr>
      </w:pPr>
    </w:p>
    <w:p>
      <w:pPr>
        <w:ind w:left="20" w:right="320" w:firstLine="2"/>
        <w:spacing w:after="0" w:line="255"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Oceana Master Fund Ltd., none of which are a matchable transaction for purposes of Section 16 of the Securities Exchange Act of 1934, as amended, because Oceana Master Fund Ltd. has not purchased any shares of Common Stock since the Reporting Persons became subject to Section 16 of the Securities Exchange Act of 1934, as amended.</w:t>
      </w:r>
    </w:p>
    <w:p>
      <w:pPr>
        <w:spacing w:after="0" w:line="17" w:lineRule="exact"/>
        <w:rPr>
          <w:rFonts w:ascii="Times New Roman" w:cs="Times New Roman" w:eastAsia="Times New Roman" w:hAnsi="Times New Roman"/>
          <w:sz w:val="13"/>
          <w:szCs w:val="13"/>
          <w:color w:val="008000"/>
        </w:rPr>
      </w:pPr>
    </w:p>
    <w:p>
      <w:pPr>
        <w:ind w:left="20" w:firstLine="2"/>
        <w:spacing w:after="0" w:line="255"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Credit Master Fund Ltd., none of which are a matchable transaction for purposes of Section 16 of the Securities Exchange Act of 1934, as amended, because Pentwater Credit Master Fund Ltd. has not purchased any shares of Common Stock since the Reporting Persons became subject to Section 16 of the Securities Exchange Act of 1934, as amended.</w:t>
      </w:r>
    </w:p>
    <w:p>
      <w:pPr>
        <w:spacing w:after="0" w:line="17" w:lineRule="exact"/>
        <w:rPr>
          <w:rFonts w:ascii="Times New Roman" w:cs="Times New Roman" w:eastAsia="Times New Roman" w:hAnsi="Times New Roman"/>
          <w:sz w:val="13"/>
          <w:szCs w:val="13"/>
          <w:color w:val="008000"/>
        </w:rPr>
      </w:pPr>
    </w:p>
    <w:p>
      <w:pPr>
        <w:ind w:left="20" w:right="2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LMA SPC for and on behalf of the MAP 98 Segregated Portfolio, none of which are a matchable transaction for purposes of Section 16 of the Securities Exchange Act of 1934, as amended, because LMA SPC for and on behalf of the MAP 98 Segregated Portfolio has not purchased any shares of Common Stock since the Reporting Persons became subject to Section 16 of the Securities Exchange Act of 1934, as amended.</w:t>
      </w:r>
    </w:p>
    <w:p>
      <w:pPr>
        <w:spacing w:after="0" w:line="26" w:lineRule="exact"/>
        <w:rPr>
          <w:rFonts w:ascii="Times New Roman" w:cs="Times New Roman" w:eastAsia="Times New Roman" w:hAnsi="Times New Roman"/>
          <w:sz w:val="13"/>
          <w:szCs w:val="13"/>
          <w:color w:val="008000"/>
        </w:rPr>
      </w:pPr>
    </w:p>
    <w:p>
      <w:pPr>
        <w:jc w:val="both"/>
        <w:ind w:left="20" w:right="40" w:firstLine="2"/>
        <w:spacing w:after="0" w:line="237"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Equity Opportunities Master Fund Ltd., of which sales of 20,000 shares of Common Stock reported herein are matchable, for purposes of Section 16(b) of the Securities Exchange Act of 1934, as amended, against Pentwater Equity Opportunities Master Fund Ltd.'s deemed purchases of (i) 10,000 shares of Common Stock on March 4, 2026, and (ii) 10,000 shares of Common Stock on March 6,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p>
      <w:pPr>
        <w:spacing w:after="0" w:line="27" w:lineRule="exact"/>
        <w:rPr>
          <w:rFonts w:ascii="Times New Roman" w:cs="Times New Roman" w:eastAsia="Times New Roman" w:hAnsi="Times New Roman"/>
          <w:sz w:val="13"/>
          <w:szCs w:val="13"/>
          <w:color w:val="008000"/>
        </w:rPr>
      </w:pPr>
    </w:p>
    <w:p>
      <w:pPr>
        <w:ind w:left="20" w:right="200" w:firstLine="2"/>
        <w:spacing w:after="0" w:line="237"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Crown Managed Accounts SPC acting for and on behalf of Crown/PW Segregated Portfolio, of which sales of 25,000 shares of Common Stock reported herein are matchable, for purposes of Section 16(b) of the Securities Exchange Act of 1934, as amended, against Crown Managed Accounts SPC acting for and on behalf of Crown/PW Segregated Portfolio's deemed purchase of 25,000 shares of Common Stock on March 4,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p>
      <w:pPr>
        <w:spacing w:after="0" w:line="27" w:lineRule="exact"/>
        <w:rPr>
          <w:rFonts w:ascii="Times New Roman" w:cs="Times New Roman" w:eastAsia="Times New Roman" w:hAnsi="Times New Roman"/>
          <w:sz w:val="13"/>
          <w:szCs w:val="13"/>
          <w:color w:val="008000"/>
        </w:rPr>
      </w:pPr>
    </w:p>
    <w:p>
      <w:pPr>
        <w:jc w:val="both"/>
        <w:ind w:left="20" w:right="40" w:firstLine="2"/>
        <w:spacing w:after="0" w:line="237"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Merger Arbitrage Master Fund Ltd., of which sales of 49,000 shares of Common Stock reported herein are matchable, for purposes of Section 16(b) of the Securities Exchange Act of 1934, as amended, against Pentwater Merger Arbitrage Master Fund Ltd.'s deemed purchases of (i) 30,000 shares of Common Stock on March 6, 2026, and (ii) 19,000 shares of Common Stock on March 9,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p>
      <w:pPr>
        <w:spacing w:after="0" w:line="27"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Because of the SEC Form 4 filing limitation of 30 transactions per form, this Form 4 is being split into 6 forms. This is form 6 of 6.</w:t>
      </w:r>
    </w:p>
    <w:p>
      <w:pPr>
        <w:sectPr>
          <w:pgSz w:w="11900" w:h="16838" w:orient="portrait"/>
          <w:cols w:equalWidth="0" w:num="1">
            <w:col w:w="10900"/>
          </w:cols>
          <w:pgMar w:left="480" w:top="114" w:right="519" w:bottom="1440" w:gutter="0" w:footer="0" w:header="0"/>
        </w:sectPr>
      </w:pPr>
    </w:p>
    <w:p>
      <w:pPr>
        <w:spacing w:after="0" w:line="7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885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1296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PWCM Holdings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1320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Partner, By: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-16510</wp:posOffset>
            </wp:positionV>
            <wp:extent cx="913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Halbower,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-16510</wp:posOffset>
            </wp:positionV>
            <wp:extent cx="115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-16510</wp:posOffset>
            </wp:positionV>
            <wp:extent cx="304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950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45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4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60" w:space="120"/>
            <w:col w:w="2120"/>
          </w:cols>
          <w:pgMar w:left="480" w:top="114" w:right="5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40" w:firstLine="2"/>
        <w:spacing w:after="0" w:line="336"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 Id="rId17" Type="http://schemas.openxmlformats.org/officeDocument/2006/relationships/hyperlink" Target="http://www.sec.gov/cgi-bin/browse-edgar?action=getcompany&amp;CIK=0002121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2026-04-28T19:04:01Z</dcterms:created>
  <dcterms:modified xsi:type="dcterms:W3CDTF">2026-04-28T19:04:01Z</dcterms:modified>
</cp:coreProperties>
</file>