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60"/>
          </w:cols>
          <w:pgMar w:left="240" w:top="247" w:right="29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For the quarterly period ended March 31, 2015</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2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700"/>
          </w:cols>
          <w:pgMar w:left="240" w:top="247"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10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ind w:right="2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ind w:right="10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06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780" w:type="dxa"/>
            <w:vAlign w:val="bottom"/>
          </w:tcPr>
          <w:p>
            <w:pPr>
              <w:ind w:left="600"/>
              <w:spacing w:after="0"/>
              <w:rPr>
                <w:sz w:val="20"/>
                <w:szCs w:val="20"/>
                <w:color w:val="auto"/>
              </w:rPr>
            </w:pPr>
            <w:r>
              <w:rPr>
                <w:rFonts w:ascii="Arial" w:cs="Arial" w:eastAsia="Arial" w:hAnsi="Arial"/>
                <w:sz w:val="16"/>
                <w:szCs w:val="16"/>
                <w:color w:val="auto"/>
              </w:rPr>
              <w:t>x</w:t>
            </w:r>
          </w:p>
        </w:tc>
        <w:tc>
          <w:tcPr>
            <w:tcW w:w="280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257"/>
        </w:trPr>
        <w:tc>
          <w:tcPr>
            <w:tcW w:w="20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780" w:type="dxa"/>
            <w:vAlign w:val="bottom"/>
          </w:tcPr>
          <w:p>
            <w:pPr>
              <w:ind w:left="600"/>
              <w:spacing w:after="0"/>
              <w:rPr>
                <w:sz w:val="20"/>
                <w:szCs w:val="20"/>
                <w:color w:val="auto"/>
              </w:rPr>
            </w:pPr>
            <w:r>
              <w:rPr>
                <w:rFonts w:ascii="Arial" w:cs="Arial" w:eastAsia="Arial" w:hAnsi="Arial"/>
                <w:sz w:val="16"/>
                <w:szCs w:val="16"/>
                <w:color w:val="auto"/>
              </w:rPr>
              <w:t>o</w:t>
            </w:r>
          </w:p>
        </w:tc>
        <w:tc>
          <w:tcPr>
            <w:tcW w:w="280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398"/>
        </w:trPr>
        <w:tc>
          <w:tcPr>
            <w:tcW w:w="7840" w:type="dxa"/>
            <w:vAlign w:val="bottom"/>
            <w:gridSpan w:val="2"/>
          </w:tcPr>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6"/>
                <w:szCs w:val="16"/>
                <w:color w:val="auto"/>
              </w:rPr>
              <w:t>o</w:t>
            </w:r>
          </w:p>
        </w:tc>
        <w:tc>
          <w:tcPr>
            <w:tcW w:w="2800" w:type="dxa"/>
            <w:vAlign w:val="bottom"/>
          </w:tcPr>
          <w:p>
            <w:pPr>
              <w:ind w:left="80"/>
              <w:spacing w:after="0"/>
              <w:rPr>
                <w:sz w:val="20"/>
                <w:szCs w:val="20"/>
                <w:color w:val="auto"/>
              </w:rPr>
            </w:pPr>
            <w:r>
              <w:rPr>
                <w:rFonts w:ascii="Arial" w:cs="Arial" w:eastAsia="Arial" w:hAnsi="Arial"/>
                <w:sz w:val="14"/>
                <w:szCs w:val="14"/>
                <w:color w:val="auto"/>
              </w:rPr>
              <w:t xml:space="preserve">No </w:t>
            </w:r>
            <w:r>
              <w:rPr>
                <w:rFonts w:ascii="Arial" w:cs="Arial" w:eastAsia="Arial" w:hAnsi="Arial"/>
                <w:sz w:val="16"/>
                <w:szCs w:val="16"/>
                <w:color w:val="auto"/>
              </w:rPr>
              <w:t>x</w:t>
            </w:r>
          </w:p>
        </w:tc>
        <w:tc>
          <w:tcPr>
            <w:tcW w:w="720" w:type="dxa"/>
            <w:vAlign w:val="bottom"/>
          </w:tcPr>
          <w:p>
            <w:pPr>
              <w:spacing w:after="0"/>
              <w:rPr>
                <w:sz w:val="24"/>
                <w:szCs w:val="24"/>
                <w:color w:val="auto"/>
              </w:rPr>
            </w:pPr>
          </w:p>
        </w:tc>
      </w:tr>
      <w:tr>
        <w:trPr>
          <w:trHeight w:val="386"/>
        </w:trPr>
        <w:tc>
          <w:tcPr>
            <w:tcW w:w="7840" w:type="dxa"/>
            <w:vAlign w:val="bottom"/>
            <w:gridSpan w:val="2"/>
          </w:tcPr>
          <w:p>
            <w:pPr>
              <w:spacing w:after="0"/>
              <w:rPr>
                <w:sz w:val="20"/>
                <w:szCs w:val="20"/>
                <w:color w:val="auto"/>
              </w:rPr>
            </w:pPr>
            <w:r>
              <w:rPr>
                <w:rFonts w:ascii="Arial" w:cs="Arial" w:eastAsia="Arial" w:hAnsi="Arial"/>
                <w:sz w:val="14"/>
                <w:szCs w:val="14"/>
                <w:color w:val="auto"/>
              </w:rPr>
              <w:t>The number of shares outstanding of the issuer’s common stock was 105,820,581 shares as of April 30, 2015.</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9"/>
        </w:trPr>
        <w:tc>
          <w:tcPr>
            <w:tcW w:w="2060" w:type="dxa"/>
            <w:vAlign w:val="bottom"/>
            <w:tcBorders>
              <w:bottom w:val="single" w:sz="8" w:color="auto"/>
            </w:tcBorders>
          </w:tcPr>
          <w:p>
            <w:pPr>
              <w:spacing w:after="0"/>
              <w:rPr>
                <w:sz w:val="23"/>
                <w:szCs w:val="23"/>
                <w:color w:val="auto"/>
              </w:rPr>
            </w:pPr>
          </w:p>
        </w:tc>
        <w:tc>
          <w:tcPr>
            <w:tcW w:w="578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247"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Financial Information</w:t>
              </w:r>
            </w:hyperlink>
          </w:p>
        </w:tc>
        <w:tc>
          <w:tcPr>
            <w:tcW w:w="7880" w:type="dxa"/>
            <w:vAlign w:val="bottom"/>
            <w:gridSpan w:val="9"/>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080" w:type="dxa"/>
            <w:vAlign w:val="bottom"/>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for the Three Months Ended March 31, 2015 and</w:t>
              </w:r>
            </w:hyperlink>
          </w:p>
        </w:tc>
        <w:tc>
          <w:tcPr>
            <w:tcW w:w="480" w:type="dxa"/>
            <w:vAlign w:val="bottom"/>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2014 (Unaudited)</w:t>
              </w:r>
            </w:hyperlink>
          </w:p>
        </w:tc>
        <w:tc>
          <w:tcPr>
            <w:tcW w:w="7680" w:type="dxa"/>
            <w:vAlign w:val="bottom"/>
            <w:tcBorders>
              <w:top w:val="single" w:sz="8" w:color="0000EE"/>
            </w:tcBorders>
            <w:gridSpan w:val="10"/>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439"/>
        </w:trPr>
        <w:tc>
          <w:tcPr>
            <w:tcW w:w="102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Balance Sheets as of March 31, 2015 and December 31, 2014 (Unaudited)</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39"/>
        </w:trPr>
        <w:tc>
          <w:tcPr>
            <w:tcW w:w="102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Cash Flows for the Three Months Ended March 31, 2015 and 2014</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5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0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39"/>
        </w:trPr>
        <w:tc>
          <w:tcPr>
            <w:tcW w:w="102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8"/>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Controls and Procedures</w:t>
              </w:r>
            </w:hyperlink>
          </w:p>
        </w:tc>
        <w:tc>
          <w:tcPr>
            <w:tcW w:w="2700" w:type="dxa"/>
            <w:vAlign w:val="bottom"/>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7560" w:type="dxa"/>
            <w:vAlign w:val="bottom"/>
            <w:gridSpan w:val="8"/>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Legal Proceedings</w:t>
              </w:r>
            </w:hyperlink>
          </w:p>
        </w:tc>
        <w:tc>
          <w:tcPr>
            <w:tcW w:w="8060" w:type="dxa"/>
            <w:vAlign w:val="bottom"/>
            <w:gridSpan w:val="10"/>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9"/>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7"/>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0">
              <w:r>
                <w:rPr>
                  <w:rFonts w:ascii="Arial" w:cs="Arial" w:eastAsia="Arial" w:hAnsi="Arial"/>
                  <w:sz w:val="18"/>
                  <w:szCs w:val="18"/>
                  <w:color w:val="0000FF"/>
                  <w:w w:val="98"/>
                </w:rPr>
                <w:t>Exhibits</w:t>
              </w:r>
            </w:hyperlink>
          </w:p>
        </w:tc>
        <w:tc>
          <w:tcPr>
            <w:tcW w:w="4220" w:type="dxa"/>
            <w:vAlign w:val="bottom"/>
            <w:gridSpan w:val="8"/>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claims in excess of historical levels;</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74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 and</w:t>
      </w:r>
    </w:p>
    <w:p>
      <w:pPr>
        <w:spacing w:after="0" w:line="174" w:lineRule="exact"/>
        <w:rPr>
          <w:rFonts w:ascii="Arial" w:cs="Arial" w:eastAsia="Arial" w:hAnsi="Arial"/>
          <w:sz w:val="17"/>
          <w:szCs w:val="17"/>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2014 Annual Report on Form 10-K,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14605</wp:posOffset>
            </wp:positionV>
            <wp:extent cx="1818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5" w:lineRule="exact"/>
        <w:rPr>
          <w:sz w:val="20"/>
          <w:szCs w:val="20"/>
          <w:color w:val="auto"/>
        </w:rPr>
      </w:pPr>
    </w:p>
    <w:p>
      <w:pPr>
        <w:jc w:val="both"/>
        <w:ind w:left="9040"/>
        <w:spacing w:after="0"/>
        <w:tabs>
          <w:tab w:leader="none" w:pos="1050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28575</wp:posOffset>
            </wp:positionV>
            <wp:extent cx="1818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ectPr>
          <w:pgSz w:w="11900" w:h="16838" w:orient="portrait"/>
          <w:cols w:equalWidth="0" w:num="1">
            <w:col w:w="11400"/>
          </w:cols>
          <w:pgMar w:left="240" w:top="140" w:right="259" w:bottom="1440" w:gutter="0" w:footer="0" w:header="0"/>
        </w:sectPr>
      </w:pP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Vehicle rental</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revenues</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Vehicle depreciation and lease charges,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Selling, general and administrative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Vehicle interest,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Non-vehicle related depreciation and amortization</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Transaction-related costs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Restructuring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expenses</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(loss) before income taxes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(benefit from) income taxes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8"/>
                <w:szCs w:val="18"/>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1,329</w:t>
            </w:r>
          </w:p>
        </w:tc>
      </w:tr>
      <w:tr>
        <w:trPr>
          <w:trHeight w:val="277"/>
        </w:trPr>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r>
      <w:tr>
        <w:trPr>
          <w:trHeight w:val="250"/>
        </w:trPr>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r>
      <w:tr>
        <w:trPr>
          <w:trHeight w:val="756"/>
        </w:trPr>
        <w:tc>
          <w:tcPr>
            <w:tcW w:w="48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7"/>
        </w:trPr>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1,857</w:t>
            </w:r>
          </w:p>
        </w:tc>
      </w:tr>
    </w:tbl>
    <w:p>
      <w:pPr>
        <w:spacing w:after="0" w:line="269" w:lineRule="exact"/>
        <w:rPr>
          <w:sz w:val="20"/>
          <w:szCs w:val="20"/>
          <w:color w:val="auto"/>
        </w:rPr>
      </w:pPr>
    </w:p>
    <w:p>
      <w:pPr>
        <w:ind w:left="2660" w:hanging="1647"/>
        <w:spacing w:after="0"/>
        <w:tabs>
          <w:tab w:leader="none" w:pos="2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w:t>
      </w:r>
    </w:p>
    <w:p>
      <w:pPr>
        <w:spacing w:after="0" w:line="63" w:lineRule="exact"/>
        <w:rPr>
          <w:sz w:val="20"/>
          <w:szCs w:val="20"/>
          <w:color w:val="auto"/>
        </w:rPr>
      </w:pPr>
    </w:p>
    <w:p>
      <w:pPr>
        <w:ind w:left="2660" w:hanging="1547"/>
        <w:spacing w:after="0"/>
        <w:tabs>
          <w:tab w:leader="none" w:pos="2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818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0" w:space="720"/>
            <w:col w:w="2860"/>
          </w:cols>
          <w:pgMar w:left="240" w:top="140" w:right="259" w:bottom="1440" w:gutter="0" w:footer="0" w:header="0"/>
          <w:type w:val="continuous"/>
        </w:sectPr>
      </w:pP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85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500" w:type="dxa"/>
            <w:vAlign w:val="bottom"/>
            <w:vMerge w:val="continue"/>
          </w:tcPr>
          <w:p>
            <w:pPr>
              <w:spacing w:after="0"/>
              <w:rPr>
                <w:sz w:val="24"/>
                <w:szCs w:val="24"/>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73"/>
        </w:trPr>
        <w:tc>
          <w:tcPr>
            <w:tcW w:w="850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00" w:type="dxa"/>
            <w:vAlign w:val="bottom"/>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4"/>
                <w:szCs w:val="24"/>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850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00"/>
          </w:cols>
          <w:pgMar w:left="240" w:top="140" w:right="25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40" w:right="2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Avis Budget Group, Inc.</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580" w:type="dxa"/>
            <w:vAlign w:val="bottom"/>
            <w:gridSpan w:val="2"/>
          </w:tcPr>
          <w:p>
            <w:pPr>
              <w:jc w:val="center"/>
              <w:ind w:left="19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300" w:type="dxa"/>
            <w:vAlign w:val="bottom"/>
          </w:tcPr>
          <w:p>
            <w:pPr>
              <w:jc w:val="center"/>
              <w:ind w:left="2230"/>
              <w:spacing w:after="0"/>
              <w:rPr>
                <w:sz w:val="20"/>
                <w:szCs w:val="20"/>
                <w:color w:val="auto"/>
              </w:rPr>
            </w:pPr>
            <w:r>
              <w:rPr>
                <w:rFonts w:ascii="Arial" w:cs="Arial" w:eastAsia="Arial" w:hAnsi="Arial"/>
                <w:sz w:val="18"/>
                <w:szCs w:val="18"/>
                <w:b w:val="1"/>
                <w:bCs w:val="1"/>
                <w:color w:val="auto"/>
                <w:w w:val="99"/>
              </w:rPr>
              <w:t>(In millions, except share data)</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14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30"/>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84"/>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624</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599</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7"/>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1,838</w:t>
            </w:r>
          </w:p>
        </w:tc>
      </w:tr>
      <w:tr>
        <w:trPr>
          <w:trHeight w:val="459"/>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638</w:t>
            </w: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1,352</w:t>
            </w: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842</w:t>
            </w: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886</w:t>
            </w:r>
          </w:p>
        </w:tc>
      </w:tr>
      <w:tr>
        <w:trPr>
          <w:trHeight w:val="277"/>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w:t>
            </w:r>
          </w:p>
        </w:tc>
      </w:tr>
      <w:tr>
        <w:trPr>
          <w:trHeight w:val="25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5,911</w:t>
            </w:r>
          </w:p>
        </w:tc>
      </w:tr>
      <w:tr>
        <w:trPr>
          <w:trHeight w:val="432"/>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Program cash</w:t>
            </w:r>
          </w:p>
        </w:tc>
        <w:tc>
          <w:tcPr>
            <w:tcW w:w="2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119</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Vehicles, net</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10,215</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Receivables from vehicle manufacturers and other</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362</w:t>
            </w:r>
          </w:p>
        </w:tc>
      </w:tr>
      <w:tr>
        <w:trPr>
          <w:trHeight w:val="277"/>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r>
      <w:tr>
        <w:trPr>
          <w:trHeight w:val="250"/>
        </w:trPr>
        <w:tc>
          <w:tcPr>
            <w:tcW w:w="14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11,451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11,058</w:t>
            </w:r>
          </w:p>
        </w:tc>
      </w:tr>
      <w:tr>
        <w:trPr>
          <w:trHeight w:val="250"/>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17,492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16,969</w:t>
            </w:r>
          </w:p>
        </w:tc>
      </w:tr>
      <w:tr>
        <w:trPr>
          <w:trHeight w:val="20"/>
        </w:trPr>
        <w:tc>
          <w:tcPr>
            <w:tcW w:w="14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180"/>
          </w:cols>
          <w:pgMar w:left="240" w:top="108" w:right="479" w:bottom="17" w:gutter="0" w:footer="0" w:header="0"/>
        </w:sectPr>
      </w:pPr>
    </w:p>
    <w:p>
      <w:pPr>
        <w:ind w:left="40"/>
        <w:spacing w:after="0"/>
        <w:rPr>
          <w:sz w:val="20"/>
          <w:szCs w:val="20"/>
          <w:color w:val="auto"/>
        </w:rPr>
      </w:pPr>
      <w:r>
        <w:rPr>
          <w:rFonts w:ascii="Arial" w:cs="Arial" w:eastAsia="Arial" w:hAnsi="Arial"/>
          <w:sz w:val="18"/>
          <w:szCs w:val="18"/>
          <w:b w:val="1"/>
          <w:bCs w:val="1"/>
          <w:color w:val="auto"/>
        </w:rPr>
        <w:t>Liabilities and stockholders’ equity</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140" w:right="180"/>
        <w:spacing w:after="0" w:line="313" w:lineRule="auto"/>
        <w:rPr>
          <w:sz w:val="20"/>
          <w:szCs w:val="20"/>
          <w:color w:val="auto"/>
        </w:rPr>
      </w:pPr>
      <w:r>
        <w:rPr>
          <w:rFonts w:ascii="Arial" w:cs="Arial" w:eastAsia="Arial" w:hAnsi="Arial"/>
          <w:sz w:val="18"/>
          <w:szCs w:val="18"/>
          <w:color w:val="auto"/>
        </w:rPr>
        <w:t>Accounts payable and other current liabilities $ Short-term debt and current portion of long-term debt</w:t>
      </w:r>
    </w:p>
    <w:p>
      <w:pPr>
        <w:ind w:left="40"/>
        <w:spacing w:after="0"/>
        <w:rPr>
          <w:sz w:val="20"/>
          <w:szCs w:val="20"/>
          <w:color w:val="auto"/>
        </w:rPr>
      </w:pPr>
      <w:r>
        <w:rPr>
          <w:rFonts w:ascii="Arial" w:cs="Arial" w:eastAsia="Arial" w:hAnsi="Arial"/>
          <w:sz w:val="18"/>
          <w:szCs w:val="18"/>
          <w:color w:val="auto"/>
        </w:rPr>
        <w:t>Total current liabilities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non-current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Liabilities under vehicle programs: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due to Avis Budget Rental Car Funding (AESOP) LLC—related party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 9)</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Preferred stock, $0.01 par value—authorized 10 million shares; none issued and outstanding</w:t>
      </w:r>
    </w:p>
    <w:p>
      <w:pPr>
        <w:spacing w:after="0" w:line="63" w:lineRule="exact"/>
        <w:rPr>
          <w:sz w:val="20"/>
          <w:szCs w:val="20"/>
          <w:color w:val="auto"/>
        </w:rPr>
      </w:pPr>
    </w:p>
    <w:p>
      <w:pPr>
        <w:ind w:left="300" w:right="780" w:hanging="161"/>
        <w:spacing w:after="0" w:line="246" w:lineRule="auto"/>
        <w:rPr>
          <w:sz w:val="20"/>
          <w:szCs w:val="20"/>
          <w:color w:val="auto"/>
        </w:rPr>
      </w:pPr>
      <w:r>
        <w:rPr>
          <w:rFonts w:ascii="Arial" w:cs="Arial" w:eastAsia="Arial" w:hAnsi="Arial"/>
          <w:sz w:val="18"/>
          <w:szCs w:val="18"/>
          <w:color w:val="auto"/>
        </w:rPr>
        <w:t>Common stock, $0.01 par value—authorized 250 million shares; issued 137,093,424 and 137,093,424 shares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deficit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ind w:left="40" w:right="3080" w:firstLine="108"/>
        <w:spacing w:after="0" w:line="300" w:lineRule="auto"/>
        <w:rPr>
          <w:sz w:val="20"/>
          <w:szCs w:val="20"/>
          <w:color w:val="auto"/>
        </w:rPr>
      </w:pPr>
      <w:r>
        <w:rPr>
          <w:rFonts w:ascii="Arial" w:cs="Arial" w:eastAsia="Arial" w:hAnsi="Arial"/>
          <w:sz w:val="18"/>
          <w:szCs w:val="18"/>
          <w:color w:val="auto"/>
        </w:rPr>
        <w:t>Treasury stock, at cost—31,063,328 and 31,386,746 shares Total stockholders’ equity</w:t>
      </w:r>
    </w:p>
    <w:p>
      <w:pPr>
        <w:spacing w:after="0" w:line="1" w:lineRule="exact"/>
        <w:rPr>
          <w:sz w:val="20"/>
          <w:szCs w:val="20"/>
          <w:color w:val="auto"/>
        </w:rPr>
      </w:pPr>
    </w:p>
    <w:p>
      <w:pPr>
        <w:ind w:left="40"/>
        <w:spacing w:after="0"/>
        <w:tabs>
          <w:tab w:leader="none" w:pos="7700" w:val="left"/>
        </w:tabs>
        <w:rPr>
          <w:sz w:val="20"/>
          <w:szCs w:val="20"/>
          <w:color w:val="auto"/>
        </w:rPr>
      </w:pPr>
      <w:r>
        <w:rPr>
          <w:rFonts w:ascii="Arial" w:cs="Arial" w:eastAsia="Arial" w:hAnsi="Arial"/>
          <w:sz w:val="18"/>
          <w:szCs w:val="18"/>
          <w:b w:val="1"/>
          <w:bCs w:val="1"/>
          <w:color w:val="auto"/>
        </w:rPr>
        <w:t>Total liabilities and stockholders’ equity</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1,489</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1,491</w:t>
            </w:r>
          </w:p>
        </w:tc>
      </w:tr>
      <w:tr>
        <w:trPr>
          <w:trHeight w:val="27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244</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r>
      <w:tr>
        <w:trPr>
          <w:trHeight w:val="243"/>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1,733</w:t>
            </w:r>
          </w:p>
        </w:tc>
        <w:tc>
          <w:tcPr>
            <w:tcW w:w="5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1,519</w:t>
            </w:r>
          </w:p>
        </w:tc>
      </w:tr>
      <w:tr>
        <w:trPr>
          <w:trHeight w:val="45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3,481</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3,392</w:t>
            </w:r>
          </w:p>
        </w:tc>
      </w:tr>
      <w:tr>
        <w:trPr>
          <w:trHeight w:val="27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732</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5,946</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5,677</w:t>
            </w:r>
          </w:p>
        </w:tc>
      </w:tr>
      <w:tr>
        <w:trPr>
          <w:trHeight w:val="71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1,503</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1,776</w:t>
            </w:r>
          </w:p>
        </w:tc>
      </w:tr>
      <w:tr>
        <w:trPr>
          <w:trHeight w:val="27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6,838</w:t>
            </w: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6,340</w:t>
            </w:r>
          </w:p>
        </w:tc>
      </w:tr>
      <w:tr>
        <w:trPr>
          <w:trHeight w:val="27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2,236</w:t>
            </w: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2,267</w:t>
            </w:r>
          </w:p>
        </w:tc>
      </w:tr>
      <w:tr>
        <w:trPr>
          <w:trHeight w:val="27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448</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11,025</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10,627</w:t>
            </w:r>
          </w:p>
        </w:tc>
      </w:tr>
      <w:tr>
        <w:trPr>
          <w:trHeight w:val="972"/>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5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7,028</w:t>
            </w: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7,212</w:t>
            </w:r>
          </w:p>
        </w:tc>
      </w:tr>
      <w:tr>
        <w:trPr>
          <w:trHeight w:val="270"/>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(2,124)</w:t>
            </w: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(2,115)</w:t>
            </w:r>
          </w:p>
        </w:tc>
      </w:tr>
      <w:tr>
        <w:trPr>
          <w:trHeight w:val="270"/>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(4,268)</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521</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665</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17,492</w:t>
            </w: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16,969</w:t>
            </w:r>
          </w:p>
        </w:tc>
      </w:tr>
      <w:tr>
        <w:trPr>
          <w:trHeight w:val="20"/>
        </w:trPr>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-25400</wp:posOffset>
            </wp:positionV>
            <wp:extent cx="1071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-8255</wp:posOffset>
            </wp:positionV>
            <wp:extent cx="10718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-196850</wp:posOffset>
            </wp:positionV>
            <wp:extent cx="10718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-368300</wp:posOffset>
            </wp:positionV>
            <wp:extent cx="10718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-1980565</wp:posOffset>
            </wp:positionV>
            <wp:extent cx="10718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-2152015</wp:posOffset>
            </wp:positionV>
            <wp:extent cx="10718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-3138170</wp:posOffset>
            </wp:positionV>
            <wp:extent cx="10718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-3309620</wp:posOffset>
            </wp:positionV>
            <wp:extent cx="10718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-3943985</wp:posOffset>
            </wp:positionV>
            <wp:extent cx="10718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460"/>
          </w:cols>
          <w:pgMar w:left="240" w:top="108" w:right="479" w:bottom="17" w:gutter="0" w:footer="0" w:header="0"/>
          <w:type w:val="continuous"/>
        </w:sectPr>
      </w:pP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180"/>
          </w:cols>
          <w:pgMar w:left="240" w:top="108" w:right="479" w:bottom="17" w:gutter="0" w:footer="0" w:header="0"/>
          <w:type w:val="continuous"/>
        </w:sectPr>
      </w:pPr>
    </w:p>
    <w:p>
      <w:pPr>
        <w:spacing w:after="0" w:line="26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108" w:right="479" w:bottom="17"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 excluding the impact of acquisitions and dispositions: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Decrease in program cash</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(3,275)</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2,470</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932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30"/>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97"/>
        </w:trPr>
        <w:tc>
          <w:tcPr>
            <w:tcW w:w="932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932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93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 exclusive of vehicle programs</w:t>
            </w:r>
          </w:p>
        </w:tc>
        <w:tc>
          <w:tcPr>
            <w:tcW w:w="10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40" w:right="239" w:bottom="1440" w:gutter="0" w:footer="0" w:header="0"/>
        </w:sectPr>
      </w:pP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3,667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3,775</w:t>
            </w:r>
          </w:p>
        </w:tc>
      </w:tr>
      <w:tr>
        <w:trPr>
          <w:trHeight w:val="270"/>
        </w:trPr>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r>
      <w:tr>
        <w:trPr>
          <w:trHeight w:val="54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540"/>
        </w:trPr>
        <w:tc>
          <w:tcPr>
            <w:tcW w:w="5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r>
      <w:tr>
        <w:trPr>
          <w:trHeight w:val="250"/>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40"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0" w:hanging="482"/>
        <w:spacing w:after="0" w:line="26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—provides and licenses the Company’s brands to third parties for vehicle rentals and ancillary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w:t>
      </w:r>
    </w:p>
    <w:p>
      <w:pPr>
        <w:spacing w:after="0" w:line="168" w:lineRule="exact"/>
        <w:rPr>
          <w:rFonts w:ascii="Arial" w:cs="Arial" w:eastAsia="Arial" w:hAnsi="Arial"/>
          <w:sz w:val="18"/>
          <w:szCs w:val="18"/>
          <w:color w:val="auto"/>
        </w:rPr>
      </w:pPr>
    </w:p>
    <w:p>
      <w:pPr>
        <w:ind w:left="1300" w:right="460" w:hanging="482"/>
        <w:spacing w:after="0" w:line="26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Australia and New Zealand, and operates the Company’s car sharing business in certain of these markets.</w:t>
      </w:r>
    </w:p>
    <w:p>
      <w:pPr>
        <w:spacing w:after="0" w:line="190" w:lineRule="exact"/>
        <w:rPr>
          <w:sz w:val="20"/>
          <w:szCs w:val="20"/>
          <w:color w:val="auto"/>
        </w:rPr>
      </w:pPr>
    </w:p>
    <w:p>
      <w:pPr>
        <w:ind w:left="500" w:right="240"/>
        <w:spacing w:after="0" w:line="256" w:lineRule="auto"/>
        <w:rPr>
          <w:sz w:val="20"/>
          <w:szCs w:val="20"/>
          <w:color w:val="auto"/>
        </w:rPr>
      </w:pPr>
      <w:r>
        <w:rPr>
          <w:rFonts w:ascii="Arial" w:cs="Arial" w:eastAsia="Arial" w:hAnsi="Arial"/>
          <w:sz w:val="18"/>
          <w:szCs w:val="18"/>
          <w:color w:val="auto"/>
        </w:rPr>
        <w:t>In 2015 and 2014, the Company completed the business acquisitions discussed in Note 4 to these Consolidated Condensed Financial Statements. The operating results of the acquired businesses are included in the accompanying Consolidated Condensed Financial Statements from the dates of acquisition.</w:t>
      </w:r>
    </w:p>
    <w:p>
      <w:pPr>
        <w:spacing w:after="0" w:line="202" w:lineRule="exact"/>
        <w:rPr>
          <w:sz w:val="20"/>
          <w:szCs w:val="20"/>
          <w:color w:val="auto"/>
        </w:rPr>
      </w:pPr>
    </w:p>
    <w:p>
      <w:pPr>
        <w:ind w:left="500" w:right="120"/>
        <w:spacing w:after="0" w:line="253" w:lineRule="auto"/>
        <w:rPr>
          <w:sz w:val="20"/>
          <w:szCs w:val="20"/>
          <w:color w:val="auto"/>
        </w:rPr>
      </w:pPr>
      <w:r>
        <w:rPr>
          <w:rFonts w:ascii="Arial" w:cs="Arial" w:eastAsia="Arial" w:hAnsi="Arial"/>
          <w:sz w:val="18"/>
          <w:szCs w:val="18"/>
          <w:color w:val="auto"/>
        </w:rPr>
        <w:t>In conjunction with a change in the Company’s management structure in first quarter 2015 which resulted in a change to reportable segments, the financial results of the Company’s North America, South America, Central America and Caribbean operations are now included in the Company’s Americas reportable segment. The Company’s business segment financial information presented in these Notes to Consolidated Condensed Financial Statements has been recast for all periods presented. The Company’s consolidated results were not affected by this change.</w:t>
      </w:r>
    </w:p>
    <w:p>
      <w:pPr>
        <w:spacing w:after="0" w:line="206"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2014 Annual Report on Form 10-K.</w:t>
      </w:r>
    </w:p>
    <w:p>
      <w:pPr>
        <w:spacing w:after="0" w:line="189"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ind w:left="500" w:right="140"/>
        <w:spacing w:after="0" w:line="266"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gain</w:t>
      </w:r>
      <w:r>
        <w:rPr>
          <w:rFonts w:ascii="Arial" w:cs="Arial" w:eastAsia="Arial" w:hAnsi="Arial"/>
          <w:sz w:val="18"/>
          <w:szCs w:val="18"/>
          <w:i w:val="1"/>
          <w:iCs w:val="1"/>
          <w:color w:val="auto"/>
        </w:rPr>
        <w:t xml:space="preserve"> </w:t>
      </w:r>
      <w:r>
        <w:rPr>
          <w:rFonts w:ascii="Arial" w:cs="Arial" w:eastAsia="Arial" w:hAnsi="Arial"/>
          <w:sz w:val="18"/>
          <w:szCs w:val="18"/>
          <w:color w:val="auto"/>
        </w:rPr>
        <w:t>or loss on intercompany loan hedges within interest expense related to corporate debt, net. During the three months ended March 31, 2015 and 2014, the Company recorded losses of $4 million and $2 million, respectively, on such items.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47"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On January 1, 2015, as a result of the issuance of a new accounting pronouncement, the Company adopted Accounting Standards Update (“ASU”) 2014-08, “Reporting Discontinued Operations and Disclosures of Disposals of Components of an Entity,” which changes the criteria for determining which disposals can be presented as discontinued operations and also modifies related disclosure requirements. The adoption of this accounting pronouncement did not have an impact on the Company’s financial statements.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April 2015, the Financial Accounting Standards Board (“FASB”) issued ASU 2015-03, “Simplifying the Presentation of Debt Issuance Costs,” which changes the presentation of debt issuance costs in financial statements. ASU 2015-03 becomes effective for the Company on January 1, 2016 and will be applied retrospectively to all periods presented. The adoption of this accounting pronouncement will result in the Company presenting debt issuance costs as a direct deduction from the carrying amount of debt on the Company's balance sheet, rather than in other non-current assets.</w:t>
      </w:r>
    </w:p>
    <w:p>
      <w:pPr>
        <w:spacing w:after="0" w:line="206" w:lineRule="exact"/>
        <w:rPr>
          <w:sz w:val="20"/>
          <w:szCs w:val="20"/>
          <w:color w:val="auto"/>
        </w:rPr>
      </w:pPr>
    </w:p>
    <w:p>
      <w:pPr>
        <w:ind w:left="500" w:right="60"/>
        <w:spacing w:after="0" w:line="278" w:lineRule="auto"/>
        <w:rPr>
          <w:sz w:val="20"/>
          <w:szCs w:val="20"/>
          <w:color w:val="auto"/>
        </w:rPr>
      </w:pPr>
      <w:r>
        <w:rPr>
          <w:rFonts w:ascii="Arial" w:cs="Arial" w:eastAsia="Arial" w:hAnsi="Arial"/>
          <w:sz w:val="17"/>
          <w:szCs w:val="17"/>
          <w:color w:val="auto"/>
        </w:rPr>
        <w:t>In February 2015, the FASB issued ASU 2015-02, “Amendments to the Consolidation Analysis,” which affect reporting entities that are required to evaluate whether they should consolidate certain legal entities. ASU 2015-02 becomes effective for the Company on January 1, 2016. The adoption of this accounting pronouncement is not expected to have an impact on the Company’s financial statements.</w:t>
      </w:r>
    </w:p>
    <w:p>
      <w:pPr>
        <w:spacing w:after="0" w:line="185"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In January 2015, the FASB issued ASU 2015-01, “Simplifying Income Statement Presentation by Eliminating the Concept of Extraordinary Items,” which eliminates from GAAP the concept of extraordinary items. ASU 2015-01 becomes effective for the Company on January 1, 2016. The adoption of this accounting pronouncement is not expected to have an impact on the Company’s financial statements.</w:t>
      </w:r>
    </w:p>
    <w:p>
      <w:pPr>
        <w:spacing w:after="0" w:line="204"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requires management to perform interim and annual assessments of an entity’s ability to continue as a going concern within one year of the date the financial statements are issued and to provide related footnote disclosures in certain circumstances. ASU 2014-15 becomes effective for the Company on January 1, 2016. The adoption of this accounting pronouncement is not expected to have an impact on the Company’s financial statements.</w:t>
      </w:r>
    </w:p>
    <w:p>
      <w:pPr>
        <w:spacing w:after="0" w:line="206"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In June 2014, the FASB issued ASU 2014-12, “Accounting for Share-Based Payments When the Terms of an Award Allow a Performance Target to Be Achieved After the Requisite Service Period,” which requires that a performance target that could be achieved after the requisite service period be treated as a performance condition that affects the vesting of the award. ASU 2014-12 becomes effective for the Company on January 1, 2016. The adoption of this accounting pronouncement is not expected to have an impact on the Company’s financial statements.</w:t>
      </w:r>
    </w:p>
    <w:p>
      <w:pPr>
        <w:spacing w:after="0" w:line="206"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ASU 2014-09 becomes effective for the Company on January 1, 2017. In April 2015, the FASB voted to propose a deferral of the effective date by one year. The proposed deferral would result in ASU 2014-09 being effective for the Company on January 1, 2018. The Company is currently evaluating the effect of this accounting pronouncement.</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Activities</w:t>
      </w:r>
    </w:p>
    <w:p>
      <w:pPr>
        <w:spacing w:after="0" w:line="247" w:lineRule="exact"/>
        <w:rPr>
          <w:rFonts w:ascii="Arial" w:cs="Arial" w:eastAsia="Arial" w:hAnsi="Arial"/>
          <w:sz w:val="18"/>
          <w:szCs w:val="18"/>
          <w:b w:val="1"/>
          <w:bCs w:val="1"/>
          <w:color w:val="auto"/>
        </w:rPr>
      </w:pPr>
    </w:p>
    <w:p>
      <w:pPr>
        <w:ind w:left="5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(the “T15 restructuring”). During the three months ended March 31, 2015, as part of this process, the Company formally communicated the termination of employment to approximately 35 employees.</w:t>
      </w:r>
    </w:p>
    <w:p>
      <w:pPr>
        <w:spacing w:after="0" w:line="1" w:lineRule="exact"/>
        <w:rPr>
          <w:rFonts w:ascii="Arial" w:cs="Arial" w:eastAsia="Arial" w:hAnsi="Arial"/>
          <w:sz w:val="18"/>
          <w:szCs w:val="18"/>
          <w:b w:val="1"/>
          <w:bCs w:val="1"/>
          <w:color w:val="auto"/>
        </w:rPr>
      </w:pPr>
    </w:p>
    <w:p>
      <w:pPr>
        <w:ind w:left="50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costs associated with this initiative primarily represent severance, outplacement services and other costs associated with employee terminations, the majority of which have been or are expected to be settled in cash. As of March 31, 2015, the Company has terminated substantially all of these employees. The Company expects further restructuring expense of approximately $9 million related to this initiative to be incurred in 2015.</w:t>
      </w:r>
    </w:p>
    <w:p>
      <w:pPr>
        <w:spacing w:after="0" w:line="204" w:lineRule="exact"/>
        <w:rPr>
          <w:rFonts w:ascii="Arial" w:cs="Arial" w:eastAsia="Arial" w:hAnsi="Arial"/>
          <w:sz w:val="18"/>
          <w:szCs w:val="18"/>
          <w:b w:val="1"/>
          <w:bCs w:val="1"/>
          <w:color w:val="auto"/>
        </w:rPr>
      </w:pPr>
    </w:p>
    <w:p>
      <w:pPr>
        <w:ind w:left="500" w:right="1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Subsequent to the acquisition of Avis Europe plc, the Company began a restructuring initiative, identifying synergies across the Company, enhancing organizational efficiencies and consolidating and rationalizing processes (“Avis Europe restructuring”). During the three months ended March 31, 2015, the Company did not record restructuring expense related to this initiative, which is substantially complete.</w:t>
      </w:r>
    </w:p>
    <w:p>
      <w:pPr>
        <w:spacing w:after="0" w:line="204" w:lineRule="exact"/>
        <w:rPr>
          <w:rFonts w:ascii="Arial" w:cs="Arial" w:eastAsia="Arial" w:hAnsi="Arial"/>
          <w:sz w:val="18"/>
          <w:szCs w:val="18"/>
          <w:b w:val="1"/>
          <w:bCs w:val="1"/>
          <w:color w:val="auto"/>
        </w:rPr>
      </w:pPr>
    </w:p>
    <w:p>
      <w:pPr>
        <w:ind w:left="500" w:right="8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following tables summarize the changes to our restructuring-related liabilities and identify the amounts recorded within the Company’s reportable segments, and by category, for restructuring expense and corresponding payments:</w:t>
      </w:r>
    </w:p>
    <w:p>
      <w:pPr>
        <w:spacing w:after="0" w:line="314"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Borders>
              <w:bottom w:val="single" w:sz="8" w:color="auto"/>
            </w:tcBorders>
          </w:tcPr>
          <w:p>
            <w:pPr>
              <w:jc w:val="center"/>
              <w:ind w:left="257"/>
              <w:spacing w:after="0"/>
              <w:rPr>
                <w:sz w:val="20"/>
                <w:szCs w:val="20"/>
                <w:color w:val="auto"/>
              </w:rPr>
            </w:pPr>
            <w:r>
              <w:rPr>
                <w:rFonts w:ascii="Arial" w:cs="Arial" w:eastAsia="Arial" w:hAnsi="Arial"/>
                <w:sz w:val="16"/>
                <w:szCs w:val="16"/>
                <w:b w:val="1"/>
                <w:bCs w:val="1"/>
                <w:color w:val="auto"/>
                <w:w w:val="99"/>
              </w:rPr>
              <w:t>Americas</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99"/>
              </w:rPr>
              <w:t>International</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Balance as of January 1, 2015</w:t>
            </w:r>
          </w:p>
        </w:tc>
        <w:tc>
          <w:tcPr>
            <w:tcW w:w="286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expense</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payment</w:t>
            </w:r>
          </w:p>
        </w:tc>
        <w:tc>
          <w:tcPr>
            <w:tcW w:w="17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Balance as of March 31, 2015</w:t>
            </w:r>
          </w:p>
        </w:tc>
        <w:tc>
          <w:tcPr>
            <w:tcW w:w="1720" w:type="dxa"/>
            <w:vAlign w:val="bottom"/>
          </w:tcPr>
          <w:p>
            <w:pPr>
              <w:spacing w:after="0"/>
              <w:rPr>
                <w:sz w:val="22"/>
                <w:szCs w:val="22"/>
                <w:color w:val="auto"/>
              </w:rPr>
            </w:pPr>
          </w:p>
        </w:tc>
        <w:tc>
          <w:tcPr>
            <w:tcW w:w="1140" w:type="dxa"/>
            <w:vAlign w:val="bottom"/>
            <w:tcBorders>
              <w:bottom w:val="single" w:sz="8" w:color="auto"/>
            </w:tcBorders>
          </w:tcPr>
          <w:p>
            <w:pPr>
              <w:jc w:val="right"/>
              <w:ind w:right="91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jc w:val="center"/>
              <w:ind w:left="237"/>
              <w:spacing w:after="0"/>
              <w:rPr>
                <w:sz w:val="20"/>
                <w:szCs w:val="20"/>
                <w:color w:val="auto"/>
              </w:rPr>
            </w:pPr>
            <w:r>
              <w:rPr>
                <w:rFonts w:ascii="Arial" w:cs="Arial" w:eastAsia="Arial" w:hAnsi="Arial"/>
                <w:sz w:val="16"/>
                <w:szCs w:val="16"/>
                <w:b w:val="1"/>
                <w:bCs w:val="1"/>
                <w:color w:val="auto"/>
              </w:rPr>
              <w:t>Personnel</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Facility</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Borders>
              <w:bottom w:val="single" w:sz="8" w:color="auto"/>
            </w:tcBorders>
          </w:tcPr>
          <w:p>
            <w:pPr>
              <w:jc w:val="center"/>
              <w:ind w:left="237"/>
              <w:spacing w:after="0"/>
              <w:rPr>
                <w:sz w:val="20"/>
                <w:szCs w:val="20"/>
                <w:color w:val="auto"/>
              </w:rPr>
            </w:pPr>
            <w:r>
              <w:rPr>
                <w:rFonts w:ascii="Arial" w:cs="Arial" w:eastAsia="Arial" w:hAnsi="Arial"/>
                <w:sz w:val="16"/>
                <w:szCs w:val="16"/>
                <w:b w:val="1"/>
                <w:bCs w:val="1"/>
                <w:color w:val="auto"/>
              </w:rPr>
              <w:t>Related</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Balance as of January 1, 2015</w:t>
            </w:r>
          </w:p>
        </w:tc>
        <w:tc>
          <w:tcPr>
            <w:tcW w:w="286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expense</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payment</w:t>
            </w:r>
          </w:p>
        </w:tc>
        <w:tc>
          <w:tcPr>
            <w:tcW w:w="17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Balance as of March 31, 2015</w:t>
            </w:r>
          </w:p>
        </w:tc>
        <w:tc>
          <w:tcPr>
            <w:tcW w:w="286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20" w:type="dxa"/>
            <w:vAlign w:val="bottom"/>
            <w:vMerge w:val="restart"/>
          </w:tcPr>
          <w:p>
            <w:pPr>
              <w:jc w:val="right"/>
              <w:ind w:right="390"/>
              <w:spacing w:after="0"/>
              <w:rPr>
                <w:sz w:val="20"/>
                <w:szCs w:val="20"/>
                <w:color w:val="auto"/>
              </w:rPr>
            </w:pPr>
            <w:r>
              <w:rPr>
                <w:rFonts w:ascii="Arial" w:cs="Arial" w:eastAsia="Arial" w:hAnsi="Arial"/>
                <w:sz w:val="18"/>
                <w:szCs w:val="18"/>
                <w:color w:val="auto"/>
              </w:rPr>
              <w:t>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0"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(loss) per share (“EPS”) (shares in millions):</w:t>
      </w:r>
    </w:p>
    <w:p>
      <w:pPr>
        <w:spacing w:after="0" w:line="149"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Net income (loss) for basic and diluted EPS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00"/>
        </w:trPr>
        <w:tc>
          <w:tcPr>
            <w:tcW w:w="766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321"/>
        </w:trPr>
        <w:tc>
          <w:tcPr>
            <w:tcW w:w="7660" w:type="dxa"/>
            <w:vAlign w:val="bottom"/>
          </w:tcPr>
          <w:p>
            <w:pPr>
              <w:ind w:left="20"/>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1"/>
                <w:szCs w:val="21"/>
                <w:color w:val="auto"/>
                <w:vertAlign w:val="superscript"/>
              </w:rPr>
              <w:t>(a)</w:t>
            </w:r>
          </w:p>
        </w:tc>
        <w:tc>
          <w:tcPr>
            <w:tcW w:w="2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3"/>
        </w:trPr>
        <w:tc>
          <w:tcPr>
            <w:tcW w:w="7660" w:type="dxa"/>
            <w:vAlign w:val="bottom"/>
          </w:tcPr>
          <w:p>
            <w:pPr>
              <w:ind w:left="20"/>
              <w:spacing w:after="0" w:line="233" w:lineRule="exact"/>
              <w:rPr>
                <w:sz w:val="20"/>
                <w:szCs w:val="20"/>
                <w:color w:val="auto"/>
              </w:rPr>
            </w:pPr>
            <w:r>
              <w:rPr>
                <w:rFonts w:ascii="Arial" w:cs="Arial" w:eastAsia="Arial" w:hAnsi="Arial"/>
                <w:sz w:val="18"/>
                <w:szCs w:val="18"/>
                <w:color w:val="auto"/>
              </w:rPr>
              <w:t xml:space="preserve">Convertible debt </w:t>
            </w:r>
            <w:r>
              <w:rPr>
                <w:rFonts w:ascii="Arial" w:cs="Arial" w:eastAsia="Arial" w:hAnsi="Arial"/>
                <w:sz w:val="21"/>
                <w:szCs w:val="21"/>
                <w:color w:val="auto"/>
                <w:vertAlign w:val="superscript"/>
              </w:rPr>
              <w:t>(b)</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(loss) per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3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7660" w:type="dxa"/>
            <w:vAlign w:val="bottom"/>
          </w:tcPr>
          <w:p>
            <w:pPr>
              <w:ind w:left="30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6"/>
        </w:trPr>
        <w:tc>
          <w:tcPr>
            <w:tcW w:w="7660" w:type="dxa"/>
            <w:vAlign w:val="bottom"/>
          </w:tcPr>
          <w:p>
            <w:pPr>
              <w:spacing w:after="0"/>
              <w:rPr>
                <w:sz w:val="20"/>
                <w:szCs w:val="20"/>
                <w:color w:val="auto"/>
              </w:rPr>
            </w:pPr>
            <w:r>
              <w:rPr>
                <w:rFonts w:ascii="Arial" w:cs="Arial" w:eastAsia="Arial" w:hAnsi="Arial"/>
                <w:sz w:val="18"/>
                <w:szCs w:val="18"/>
                <w:color w:val="auto"/>
              </w:rPr>
              <w:t>__________</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100" w:hanging="326"/>
        <w:spacing w:after="0" w:line="225" w:lineRule="auto"/>
        <w:tabs>
          <w:tab w:leader="none" w:pos="820" w:val="left"/>
        </w:tabs>
        <w:numPr>
          <w:ilvl w:val="1"/>
          <w:numId w:val="8"/>
        </w:numPr>
        <w:rPr>
          <w:rFonts w:ascii="Arial" w:cs="Arial" w:eastAsia="Arial" w:hAnsi="Arial"/>
          <w:sz w:val="22"/>
          <w:szCs w:val="22"/>
          <w:color w:val="auto"/>
          <w:vertAlign w:val="superscript"/>
        </w:rPr>
      </w:pPr>
      <w:r>
        <w:rPr>
          <w:rFonts w:ascii="Arial" w:cs="Arial" w:eastAsia="Arial" w:hAnsi="Arial"/>
          <w:sz w:val="16"/>
          <w:szCs w:val="16"/>
          <w:color w:val="auto"/>
        </w:rPr>
        <w:t>As the Company incurred a net loss for the three months ended March 31, 2015, 0.8 million outstanding options and 2.1 million non-vested stock awards have an anti-dilutive effect and therefore are excluded from the computation of diluted weighted average shares outstanding. For the three months ended March 31, 2014, the number of anti-dilutive securities which were excluded from the computation of diluted earnings per share was not significant.</w:t>
      </w:r>
    </w:p>
    <w:p>
      <w:pPr>
        <w:spacing w:after="0" w:line="1" w:lineRule="exact"/>
        <w:rPr>
          <w:rFonts w:ascii="Arial" w:cs="Arial" w:eastAsia="Arial" w:hAnsi="Arial"/>
          <w:sz w:val="22"/>
          <w:szCs w:val="22"/>
          <w:color w:val="auto"/>
          <w:vertAlign w:val="superscript"/>
        </w:rPr>
      </w:pPr>
    </w:p>
    <w:p>
      <w:pPr>
        <w:ind w:left="820" w:hanging="326"/>
        <w:spacing w:after="0" w:line="210" w:lineRule="auto"/>
        <w:tabs>
          <w:tab w:leader="none" w:pos="820" w:val="left"/>
        </w:tabs>
        <w:numPr>
          <w:ilvl w:val="1"/>
          <w:numId w:val="8"/>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March 31, 2014, 4.0 million issuable shares underlying the 3½% convertible notes due 2014 have an anti-dilutive effect and therefore are excluded from the computation of diluted weighted average shares outstanding.</w:t>
      </w:r>
    </w:p>
    <w:p>
      <w:pPr>
        <w:spacing w:after="0" w:line="187" w:lineRule="exact"/>
        <w:rPr>
          <w:rFonts w:ascii="Arial" w:cs="Arial" w:eastAsia="Arial" w:hAnsi="Arial"/>
          <w:sz w:val="22"/>
          <w:szCs w:val="22"/>
          <w:color w:val="auto"/>
          <w:vertAlign w:val="superscript"/>
        </w:rPr>
      </w:pPr>
    </w:p>
    <w:p>
      <w:pPr>
        <w:ind w:left="500" w:right="9800" w:hanging="492"/>
        <w:spacing w:after="0" w:line="530" w:lineRule="auto"/>
        <w:tabs>
          <w:tab w:leader="none" w:pos="5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2015</w:t>
      </w: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Scandinavian Licensee</w:t>
      </w:r>
    </w:p>
    <w:p>
      <w:pPr>
        <w:spacing w:after="0" w:line="247" w:lineRule="exact"/>
        <w:rPr>
          <w:rFonts w:ascii="Arial" w:cs="Arial" w:eastAsia="Arial" w:hAnsi="Arial"/>
          <w:sz w:val="17"/>
          <w:szCs w:val="17"/>
          <w:b w:val="1"/>
          <w:bCs w:val="1"/>
          <w:color w:val="auto"/>
        </w:rPr>
      </w:pPr>
    </w:p>
    <w:p>
      <w:pPr>
        <w:ind w:left="500" w:right="60"/>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In January 2015, the Company completed the acquisition of its Avis and Budget licensees in Norway, Sweden and Denmark for approximately $39 million, net of acquired cash. The investment will enable the Company to expand its footprint of Company-operated locations. The excess of the purchase price over preliminary fair value of net assets acquired was allocated to goodwill, which was assigned to the Company's International reportable segment. The goodwill is not expected to be deductible for tax purposes. The fair value of the assets acquired and liabilities assumed has not yet been finalized and is therefore subject to change. In connection with this acquisition, approximately $31 million was recorded in license agreements and $21 million was recorded in goodwill. The license agreements will be amortized over a weighted average useful life of approximately eight years. In addition, at the time of acquisition, the Company recorded a $22 million non-cash charge within transaction-related costs in connection with license rights reacquired by the Company.</w:t>
      </w:r>
    </w:p>
    <w:p>
      <w:pPr>
        <w:spacing w:after="0" w:line="19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2014</w:t>
      </w:r>
    </w:p>
    <w:p>
      <w:pPr>
        <w:spacing w:after="0" w:line="225"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Budget Licensees</w:t>
      </w:r>
    </w:p>
    <w:p>
      <w:pPr>
        <w:spacing w:after="0" w:line="247" w:lineRule="exact"/>
        <w:rPr>
          <w:rFonts w:ascii="Arial" w:cs="Arial" w:eastAsia="Arial" w:hAnsi="Arial"/>
          <w:sz w:val="17"/>
          <w:szCs w:val="17"/>
          <w:b w:val="1"/>
          <w:bCs w:val="1"/>
          <w:color w:val="auto"/>
        </w:rPr>
      </w:pPr>
    </w:p>
    <w:p>
      <w:pPr>
        <w:ind w:left="50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During 2014, the Company completed the acquisition of its Budget licensees for Edmonton, Canada; Southern California and Las Vegas, and reacquired the right to operate the Budget brand in Portugal, for approximately $263 million, plus $132 million for acquired fleet. These investments will enable the Company to expand its footprint of Company-operated locations. The acquired fleet was financed under the Company's existing vehicle financing arrangements. The excess of the purchase price over preliminary fair value of net assets acquired was allocated to goodwill, which was assigned to the Company's Americas reportable segment for Edmonton, Southern California and Las Vegas and to the Company's International reportable segment for Portugal. Goodwill is expected to be deductible for tax purposes. The fair value of the assets acquired and liabilities assumed has not yet been finalized for Southern California and Las Vegas and is therefore subject to change. Differences between the preliminary allocation of purchase price and the final</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40"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allocation were not material for Edmonton and Portugal. In connection with these acquisitions, approximately $ 58 million was recorded in identifiable intangible assets (consisting of $ 10 million related to customer relationships and $48 million related to the license agreements) and $192 million was recorded in goodwill. The customer relationships will be amortized over a weighted average useful life of approximately 12 years and the license agreements will be amortized over a weighted average useful life of approximately three years. During 2014, the Company recorded a non-cash gain of approximately $20 million within transaction-related costs in connection with license rights reacquired by the Company.</w:t>
      </w:r>
    </w:p>
    <w:p>
      <w:pPr>
        <w:spacing w:after="0" w:line="18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6"/>
                <w:szCs w:val="16"/>
                <w:b w:val="1"/>
                <w:bCs w:val="1"/>
                <w:color w:val="auto"/>
              </w:rPr>
              <w:t>As of March 31, 2015</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6"/>
                <w:szCs w:val="16"/>
                <w:b w:val="1"/>
                <w:bCs w:val="1"/>
                <w:color w:val="auto"/>
              </w:rPr>
              <w:t>As of December 31, 2014</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right="17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90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900" w:type="dxa"/>
            <w:vAlign w:val="bottom"/>
          </w:tcPr>
          <w:p>
            <w:pPr>
              <w:jc w:val="center"/>
              <w:ind w:right="1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259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7"/>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434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change in the carrying amount since December 31, 2014 reflects a currency translation loss of $51 million, partially offset by acquisitions.</w:t>
      </w:r>
    </w:p>
    <w:p>
      <w:pPr>
        <w:spacing w:after="0" w:line="174"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For the three months ended March 31, 2015 and 2014, amortization expense related to amortizable intangible assets was approximately $11 million and $7 million, respectively. Based on the Company’s amortizable intangible assets at March 31, 2015, the Company expects amortization expense of approximately $37 million for the remainder of 2015, $45 million for 2016, $39 million for 2017, $29 million for 2018, $28 million for 2019 and $28 million for 2020.</w:t>
      </w:r>
    </w:p>
    <w:p>
      <w:pPr>
        <w:spacing w:after="0" w:line="18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23"/>
                <w:szCs w:val="23"/>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2014</w:t>
            </w:r>
          </w:p>
        </w:tc>
      </w:tr>
      <w:tr>
        <w:trPr>
          <w:trHeight w:val="27"/>
        </w:trPr>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11,661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11,006</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r>
      <w:tr>
        <w:trPr>
          <w:trHeight w:val="243"/>
        </w:trPr>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9,541</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r>
      <w:tr>
        <w:trPr>
          <w:trHeight w:val="20"/>
        </w:trPr>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57"/>
        </w:trPr>
        <w:tc>
          <w:tcPr>
            <w:tcW w:w="72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43"/>
        </w:trPr>
        <w:tc>
          <w:tcPr>
            <w:tcW w:w="7240" w:type="dxa"/>
            <w:vAlign w:val="bottom"/>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Lease charges</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7240" w:type="dxa"/>
            <w:vAlign w:val="bottom"/>
          </w:tcPr>
          <w:p>
            <w:pPr>
              <w:spacing w:after="0"/>
              <w:rPr>
                <w:sz w:val="20"/>
                <w:szCs w:val="20"/>
                <w:color w:val="auto"/>
              </w:rPr>
            </w:pPr>
            <w:r>
              <w:rPr>
                <w:rFonts w:ascii="Arial" w:cs="Arial" w:eastAsia="Arial" w:hAnsi="Arial"/>
                <w:sz w:val="18"/>
                <w:szCs w:val="18"/>
                <w:color w:val="auto"/>
              </w:rPr>
              <w:t>Gain on sales of vehicles, net</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2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0"/>
        </w:trPr>
        <w:tc>
          <w:tcPr>
            <w:tcW w:w="7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right="540"/>
        <w:spacing w:after="0" w:line="262" w:lineRule="auto"/>
        <w:rPr>
          <w:sz w:val="20"/>
          <w:szCs w:val="20"/>
          <w:color w:val="auto"/>
        </w:rPr>
      </w:pPr>
      <w:r>
        <w:rPr>
          <w:rFonts w:ascii="Arial" w:cs="Arial" w:eastAsia="Arial" w:hAnsi="Arial"/>
          <w:sz w:val="18"/>
          <w:szCs w:val="18"/>
          <w:color w:val="auto"/>
        </w:rPr>
        <w:t>At March 31, 2015 and 2014, the Company had purchases of vehicles included in liabilities under vehicle programs - other of $428 million and $498 million, respectively, and sales of vehicles included in assets</w:t>
      </w:r>
    </w:p>
    <w:p>
      <w:pPr>
        <w:sectPr>
          <w:pgSz w:w="11900" w:h="16838" w:orient="portrait"/>
          <w:cols w:equalWidth="0" w:num="1">
            <w:col w:w="11400"/>
          </w:cols>
          <w:pgMar w:left="240" w:top="140" w:right="259" w:bottom="1440" w:gutter="0" w:footer="0" w:header="0"/>
        </w:sect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140"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under vehicle programs - receivables from vehicle manufacturers and other of $246 million and $231 million, respectively.</w:t>
      </w:r>
    </w:p>
    <w:p>
      <w:pPr>
        <w:spacing w:after="0" w:line="203" w:lineRule="exact"/>
        <w:rPr>
          <w:sz w:val="20"/>
          <w:szCs w:val="20"/>
          <w:color w:val="auto"/>
        </w:rPr>
      </w:pPr>
    </w:p>
    <w:p>
      <w:pPr>
        <w:ind w:left="500" w:right="6200" w:hanging="492"/>
        <w:spacing w:after="0" w:line="488" w:lineRule="auto"/>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Borrowing Arrangements </w:t>
      </w:r>
      <w:r>
        <w:rPr>
          <w:rFonts w:ascii="Arial" w:cs="Arial" w:eastAsia="Arial" w:hAnsi="Arial"/>
          <w:sz w:val="18"/>
          <w:szCs w:val="18"/>
          <w:color w:val="auto"/>
        </w:rPr>
        <w:t>Long-term and other borrowing arrangements consisted of:</w:t>
      </w:r>
    </w:p>
    <w:tbl>
      <w:tblPr>
        <w:tblLayout w:type="fixed"/>
        <w:tblInd w:w="50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21"/>
                <w:szCs w:val="21"/>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82"/>
        </w:trPr>
        <w:tc>
          <w:tcPr>
            <w:tcW w:w="544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7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color w:val="auto"/>
              </w:rPr>
              <w:t>4⅞%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(a)</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24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5"/>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6"/>
                <w:szCs w:val="16"/>
                <w:color w:val="auto"/>
              </w:rPr>
              <w:t>9¾%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2020</w:t>
            </w:r>
          </w:p>
        </w:tc>
        <w:tc>
          <w:tcPr>
            <w:tcW w:w="2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46"/>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6% Euro-denominated Senior Notes </w:t>
            </w:r>
            <w:r>
              <w:rPr>
                <w:rFonts w:ascii="Arial" w:cs="Arial" w:eastAsia="Arial" w:hAnsi="Arial"/>
                <w:sz w:val="21"/>
                <w:szCs w:val="21"/>
                <w:color w:val="auto"/>
                <w:vertAlign w:val="superscript"/>
              </w:rPr>
              <w:t>(c)</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24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2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3,481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200" w:hanging="326"/>
        <w:spacing w:after="0" w:line="211"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3.01% at March 31, 2015; the Company has entered into an interest rate swap to hedge its interest rate exposure related to these notes at an aggregate rate of 3.58%.</w:t>
      </w:r>
    </w:p>
    <w:p>
      <w:pPr>
        <w:ind w:left="820" w:right="40" w:hanging="326"/>
        <w:spacing w:after="0" w:line="225"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March 31, 2015, the floating rate term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reduction in the balance principally reflects currency translation adjustments.</w:t>
      </w:r>
    </w:p>
    <w:p>
      <w:pPr>
        <w:spacing w:after="0" w:line="201" w:lineRule="exact"/>
        <w:rPr>
          <w:sz w:val="20"/>
          <w:szCs w:val="20"/>
          <w:color w:val="auto"/>
        </w:rPr>
      </w:pPr>
    </w:p>
    <w:p>
      <w:pPr>
        <w:jc w:val="both"/>
        <w:ind w:left="500" w:right="80"/>
        <w:spacing w:after="0" w:line="256" w:lineRule="auto"/>
        <w:rPr>
          <w:sz w:val="20"/>
          <w:szCs w:val="20"/>
          <w:color w:val="auto"/>
        </w:rPr>
      </w:pPr>
      <w:r>
        <w:rPr>
          <w:rFonts w:ascii="Arial" w:cs="Arial" w:eastAsia="Arial" w:hAnsi="Arial"/>
          <w:sz w:val="18"/>
          <w:szCs w:val="18"/>
          <w:color w:val="auto"/>
        </w:rPr>
        <w:t>In March 2015, the Company issued $375 million of 5¼% Senior Notes due 2025 at par. In April 2015, the Company used net proceeds from the offering to redeem the remaining $223 million principal amount of its 9¾% Senior Notes due 2020 for $243 million plus accrued interest and to finance a portion of its acquisition of Maggiore Group (See Note 15 - Subsequent Events).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2015,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18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1,059</w:t>
            </w:r>
          </w:p>
        </w:tc>
      </w:tr>
      <w:tr>
        <w:trPr>
          <w:trHeight w:val="221"/>
        </w:trPr>
        <w:tc>
          <w:tcPr>
            <w:tcW w:w="4180" w:type="dxa"/>
            <w:vAlign w:val="bottom"/>
          </w:tcPr>
          <w:p>
            <w:pPr>
              <w:ind w:left="2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7"/>
        </w:trPr>
        <w:tc>
          <w:tcPr>
            <w:tcW w:w="418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2.95% to 5.69% as of March 31, 2015.</w:t>
      </w:r>
    </w:p>
    <w:p>
      <w:pPr>
        <w:spacing w:after="0" w:line="174" w:lineRule="exact"/>
        <w:rPr>
          <w:sz w:val="20"/>
          <w:szCs w:val="20"/>
          <w:color w:val="auto"/>
        </w:rPr>
      </w:pPr>
    </w:p>
    <w:p>
      <w:pPr>
        <w:ind w:left="500" w:right="120"/>
        <w:spacing w:after="0" w:line="262" w:lineRule="auto"/>
        <w:rPr>
          <w:sz w:val="20"/>
          <w:szCs w:val="20"/>
          <w:color w:val="auto"/>
        </w:rPr>
      </w:pPr>
      <w:r>
        <w:rPr>
          <w:rFonts w:ascii="Arial" w:cs="Arial" w:eastAsia="Arial" w:hAnsi="Arial"/>
          <w:sz w:val="18"/>
          <w:szCs w:val="18"/>
          <w:color w:val="auto"/>
        </w:rPr>
        <w:t>At March 31, 2015, the Company had various uncommitted credit facilities available, under which it had drawn approximately $1 million, which bear interest at rates between 0.41% and 2.50%.</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40"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right="18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March 31, 2015, the Company was in compliance with the financial covenants governing its indebtedness.</w:t>
      </w:r>
    </w:p>
    <w:p>
      <w:pPr>
        <w:spacing w:after="0" w:line="18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ectPr>
          <w:pgSz w:w="11900" w:h="16838" w:orient="portrait"/>
          <w:cols w:equalWidth="0" w:num="1">
            <w:col w:w="11400"/>
          </w:cols>
          <w:pgMar w:left="240" w:top="140" w:right="259" w:bottom="1440" w:gutter="0" w:footer="0" w:header="0"/>
        </w:sectPr>
      </w:pP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77"/>
        </w:trPr>
        <w:tc>
          <w:tcPr>
            <w:tcW w:w="6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94"/>
        </w:trPr>
        <w:tc>
          <w:tcPr>
            <w:tcW w:w="690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0"/>
        </w:trPr>
        <w:tc>
          <w:tcPr>
            <w:tcW w:w="690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(b)</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0"/>
        </w:trPr>
        <w:tc>
          <w:tcPr>
            <w:tcW w:w="690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2"/>
        </w:trPr>
        <w:tc>
          <w:tcPr>
            <w:tcW w:w="690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4"/>
        </w:trPr>
        <w:tc>
          <w:tcPr>
            <w:tcW w:w="690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69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w:t>
      </w:r>
    </w:p>
    <w:p>
      <w:pPr>
        <w:ind w:left="820" w:hanging="326"/>
        <w:spacing w:after="0" w:line="187" w:lineRule="auto"/>
        <w:tabs>
          <w:tab w:leader="none" w:pos="82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The decrease results from the timing of borrowings.</w:t>
      </w:r>
    </w:p>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decrease principally reflects currency translation adjustments.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of</w:t>
      </w:r>
    </w:p>
    <w:p>
      <w:pPr>
        <w:spacing w:after="0" w:line="6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December 31,</w:t>
      </w:r>
    </w:p>
    <w:p>
      <w:pPr>
        <w:spacing w:after="0" w:line="6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10636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65" w:lineRule="exact"/>
        <w:rPr>
          <w:sz w:val="20"/>
          <w:szCs w:val="20"/>
          <w:color w:val="auto"/>
        </w:rPr>
      </w:pPr>
    </w:p>
    <w:p>
      <w:pPr>
        <w:ind w:left="1101" w:hanging="1101"/>
        <w:spacing w:after="0"/>
        <w:tabs>
          <w:tab w:leader="none" w:pos="11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6,340</w:t>
      </w:r>
    </w:p>
    <w:p>
      <w:pPr>
        <w:spacing w:after="0" w:line="63" w:lineRule="exact"/>
        <w:rPr>
          <w:rFonts w:ascii="Arial" w:cs="Arial" w:eastAsia="Arial" w:hAnsi="Arial"/>
          <w:sz w:val="18"/>
          <w:szCs w:val="18"/>
          <w:color w:val="auto"/>
        </w:rPr>
      </w:pPr>
    </w:p>
    <w:p>
      <w:pPr>
        <w:ind w:left="1261"/>
        <w:spacing w:after="0"/>
        <w:rPr>
          <w:rFonts w:ascii="Arial" w:cs="Arial" w:eastAsia="Arial" w:hAnsi="Arial"/>
          <w:sz w:val="18"/>
          <w:szCs w:val="18"/>
          <w:color w:val="auto"/>
        </w:rPr>
      </w:pPr>
      <w:r>
        <w:rPr>
          <w:rFonts w:ascii="Arial" w:cs="Arial" w:eastAsia="Arial" w:hAnsi="Arial"/>
          <w:sz w:val="17"/>
          <w:szCs w:val="17"/>
          <w:color w:val="auto"/>
        </w:rPr>
        <w:t>746</w:t>
      </w:r>
    </w:p>
    <w:p>
      <w:pPr>
        <w:spacing w:after="0" w:line="74" w:lineRule="exact"/>
        <w:rPr>
          <w:rFonts w:ascii="Arial" w:cs="Arial" w:eastAsia="Arial" w:hAnsi="Arial"/>
          <w:sz w:val="18"/>
          <w:szCs w:val="18"/>
          <w:color w:val="auto"/>
        </w:rPr>
      </w:pPr>
    </w:p>
    <w:p>
      <w:pPr>
        <w:ind w:left="1261"/>
        <w:spacing w:after="0"/>
        <w:rPr>
          <w:rFonts w:ascii="Arial" w:cs="Arial" w:eastAsia="Arial" w:hAnsi="Arial"/>
          <w:sz w:val="18"/>
          <w:szCs w:val="18"/>
          <w:color w:val="auto"/>
        </w:rPr>
      </w:pPr>
      <w:r>
        <w:rPr>
          <w:rFonts w:ascii="Arial" w:cs="Arial" w:eastAsia="Arial" w:hAnsi="Arial"/>
          <w:sz w:val="17"/>
          <w:szCs w:val="17"/>
          <w:color w:val="auto"/>
        </w:rPr>
        <w:t>685</w:t>
      </w:r>
    </w:p>
    <w:p>
      <w:pPr>
        <w:spacing w:after="0" w:line="74" w:lineRule="exact"/>
        <w:rPr>
          <w:rFonts w:ascii="Arial" w:cs="Arial" w:eastAsia="Arial" w:hAnsi="Arial"/>
          <w:sz w:val="18"/>
          <w:szCs w:val="18"/>
          <w:color w:val="auto"/>
        </w:rPr>
      </w:pPr>
    </w:p>
    <w:p>
      <w:pPr>
        <w:ind w:left="1261"/>
        <w:spacing w:after="0"/>
        <w:rPr>
          <w:rFonts w:ascii="Arial" w:cs="Arial" w:eastAsia="Arial" w:hAnsi="Arial"/>
          <w:sz w:val="18"/>
          <w:szCs w:val="18"/>
          <w:color w:val="auto"/>
        </w:rPr>
      </w:pPr>
      <w:r>
        <w:rPr>
          <w:rFonts w:ascii="Arial" w:cs="Arial" w:eastAsia="Arial" w:hAnsi="Arial"/>
          <w:sz w:val="17"/>
          <w:szCs w:val="17"/>
          <w:color w:val="auto"/>
        </w:rPr>
        <w:t>314</w:t>
      </w:r>
    </w:p>
    <w:p>
      <w:pPr>
        <w:spacing w:after="0" w:line="75"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1063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43" w:lineRule="exact"/>
        <w:rPr>
          <w:sz w:val="20"/>
          <w:szCs w:val="20"/>
          <w:color w:val="auto"/>
        </w:rPr>
      </w:pPr>
    </w:p>
    <w:p>
      <w:pPr>
        <w:ind w:left="1101" w:hanging="1101"/>
        <w:spacing w:after="0"/>
        <w:tabs>
          <w:tab w:leader="none" w:pos="11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8,116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1063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420" w:lineRule="exact"/>
        <w:rPr>
          <w:sz w:val="20"/>
          <w:szCs w:val="20"/>
          <w:color w:val="auto"/>
        </w:rPr>
      </w:pPr>
    </w:p>
    <w:p>
      <w:pPr>
        <w:sectPr>
          <w:pgSz w:w="11900" w:h="16838" w:orient="portrait"/>
          <w:cols w:equalWidth="0" w:num="2">
            <w:col w:w="9080" w:space="139"/>
            <w:col w:w="2181"/>
          </w:cols>
          <w:pgMar w:left="240" w:top="140" w:right="259" w:bottom="1440" w:gutter="0" w:footer="0" w:header="0"/>
          <w:type w:val="continuous"/>
        </w:sectPr>
      </w:pPr>
    </w:p>
    <w:p>
      <w:pPr>
        <w:spacing w:after="0" w:line="47"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March 31, 2015.</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Debt Under</w:t>
            </w:r>
          </w:p>
        </w:tc>
        <w:tc>
          <w:tcPr>
            <w:tcW w:w="0" w:type="dxa"/>
            <w:vAlign w:val="bottom"/>
          </w:tcPr>
          <w:p>
            <w:pPr>
              <w:spacing w:after="0"/>
              <w:rPr>
                <w:sz w:val="1"/>
                <w:szCs w:val="1"/>
                <w:color w:val="auto"/>
              </w:rPr>
            </w:pPr>
          </w:p>
        </w:tc>
      </w:tr>
      <w:tr>
        <w:trPr>
          <w:trHeight w:val="203"/>
        </w:trPr>
        <w:tc>
          <w:tcPr>
            <w:tcW w:w="8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246"/>
        </w:trPr>
        <w:tc>
          <w:tcPr>
            <w:tcW w:w="8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83"/>
        </w:trPr>
        <w:tc>
          <w:tcPr>
            <w:tcW w:w="8860" w:type="dxa"/>
            <w:vAlign w:val="bottom"/>
          </w:tcPr>
          <w:p>
            <w:pPr>
              <w:ind w:left="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7"/>
        </w:trPr>
        <w:tc>
          <w:tcPr>
            <w:tcW w:w="8860" w:type="dxa"/>
            <w:vAlign w:val="bottom"/>
          </w:tcPr>
          <w:p>
            <w:pPr>
              <w:ind w:left="20"/>
              <w:spacing w:after="0"/>
              <w:rPr>
                <w:sz w:val="20"/>
                <w:szCs w:val="20"/>
                <w:color w:val="auto"/>
              </w:rPr>
            </w:pPr>
            <w:r>
              <w:rPr>
                <w:rFonts w:ascii="Arial" w:cs="Arial" w:eastAsia="Arial" w:hAnsi="Arial"/>
                <w:sz w:val="18"/>
                <w:szCs w:val="18"/>
                <w:color w:val="auto"/>
              </w:rPr>
              <w:t>Between 1 and 2 years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Between 2 and 3 years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Between 3 and 4 years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Between 4 and 5 years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64"/>
        </w:trPr>
        <w:tc>
          <w:tcPr>
            <w:tcW w:w="8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92" w:lineRule="auto"/>
        <w:tabs>
          <w:tab w:leader="none" w:pos="82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Vehicle-backed debt maturing within one year primarily represents term asset-backed securities.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As of March 31, 2015, available funding under the Company’s vehicle programs (including related party debt due to Avis Budget Rental Car Funding) consisted of:</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Outstanding</w:t>
            </w:r>
          </w:p>
        </w:tc>
        <w:tc>
          <w:tcPr>
            <w:tcW w:w="22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Available</w:t>
            </w:r>
          </w:p>
        </w:tc>
        <w:tc>
          <w:tcPr>
            <w:tcW w:w="0" w:type="dxa"/>
            <w:vAlign w:val="bottom"/>
          </w:tcPr>
          <w:p>
            <w:pPr>
              <w:spacing w:after="0"/>
              <w:rPr>
                <w:sz w:val="1"/>
                <w:szCs w:val="1"/>
                <w:color w:val="auto"/>
              </w:rPr>
            </w:pPr>
          </w:p>
        </w:tc>
      </w:tr>
      <w:tr>
        <w:trPr>
          <w:trHeight w:val="252"/>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 xml:space="preserve">Capacity </w:t>
            </w:r>
            <w:r>
              <w:rPr>
                <w:rFonts w:ascii="Arial" w:cs="Arial" w:eastAsia="Arial" w:hAnsi="Arial"/>
                <w:sz w:val="21"/>
                <w:szCs w:val="21"/>
                <w:b w:val="1"/>
                <w:bCs w:val="1"/>
                <w:color w:val="auto"/>
                <w:w w:val="96"/>
                <w:vertAlign w:val="superscript"/>
              </w:rPr>
              <w:t>(a)</w:t>
            </w: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Borrowings</w:t>
            </w:r>
          </w:p>
        </w:tc>
        <w:tc>
          <w:tcPr>
            <w:tcW w:w="22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Capacity</w:t>
            </w:r>
          </w:p>
        </w:tc>
        <w:tc>
          <w:tcPr>
            <w:tcW w:w="0" w:type="dxa"/>
            <w:vAlign w:val="bottom"/>
          </w:tcPr>
          <w:p>
            <w:pPr>
              <w:spacing w:after="0"/>
              <w:rPr>
                <w:sz w:val="1"/>
                <w:szCs w:val="1"/>
                <w:color w:val="auto"/>
              </w:rPr>
            </w:pPr>
          </w:p>
        </w:tc>
      </w:tr>
      <w:tr>
        <w:trPr>
          <w:trHeight w:val="287"/>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(b)</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9,458</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6,838</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(c)</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2"/>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12,344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9" w:lineRule="auto"/>
        <w:tabs>
          <w:tab w:leader="none" w:pos="82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sectPr>
          <w:pgSz w:w="11900" w:h="16838" w:orient="portrait"/>
          <w:cols w:equalWidth="0" w:num="1">
            <w:col w:w="11400"/>
          </w:cols>
          <w:pgMar w:left="240" w:top="140" w:right="259" w:bottom="1440" w:gutter="0" w:footer="0" w:header="0"/>
          <w:type w:val="continuous"/>
        </w:sect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140" w:right="2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approximately $8.5 billion of underlying vehicles and related assets.</w:t>
      </w:r>
    </w:p>
    <w:p>
      <w:pPr>
        <w:ind w:left="820" w:hanging="326"/>
        <w:spacing w:after="0" w:line="187" w:lineRule="auto"/>
        <w:tabs>
          <w:tab w:leader="none" w:pos="82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$832 million of underlying vehicles and related assets.</w:t>
      </w:r>
    </w:p>
    <w:p>
      <w:pPr>
        <w:ind w:left="820" w:hanging="326"/>
        <w:spacing w:after="0" w:line="187" w:lineRule="auto"/>
        <w:tabs>
          <w:tab w:leader="none" w:pos="82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$1.1 billion of underlying vehicles and related assets.</w:t>
      </w:r>
    </w:p>
    <w:p>
      <w:pPr>
        <w:ind w:left="820" w:hanging="326"/>
        <w:spacing w:after="0" w:line="184" w:lineRule="auto"/>
        <w:tabs>
          <w:tab w:leader="none" w:pos="82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approximately $283 million of underlying vehicles and related assets.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March 31, 2015, the Company is not aware of any instances of non-compliance with any of the financial or restrictive covenants contained in the debt agreements under its vehicle-backed funding programs.</w:t>
      </w:r>
    </w:p>
    <w:p>
      <w:pPr>
        <w:spacing w:after="0" w:line="184" w:lineRule="exact"/>
        <w:rPr>
          <w:sz w:val="20"/>
          <w:szCs w:val="20"/>
          <w:color w:val="auto"/>
        </w:rPr>
      </w:pPr>
    </w:p>
    <w:p>
      <w:pPr>
        <w:ind w:left="500" w:right="8040" w:hanging="492"/>
        <w:spacing w:after="0" w:line="513" w:lineRule="auto"/>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2006, the Company completed the spin-offs of its Realogy and Wyndham subsidiaries. In connection with the spin-offs, the Company does not believe that the impact of any resolution of pre-existing contingent liabilities should result in a material liability to the Company in relation to its consolidated financial position or liquidity, as Realogy and Wyndham each have agreed to assume responsibility for these liabilities. The Company is also named in various litigation that is primarily related to the businesses of its former subsidiaries, including Realogy, Wyndham and their current or former subsidiaries. The Company is entitled to indemnification from such entities for any liability resulting from such litigation.</w:t>
      </w:r>
    </w:p>
    <w:p>
      <w:pPr>
        <w:spacing w:after="0" w:line="208"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February 2015, the French Competition Authority issued a statement of objections alleging that several car rental companies, including the Company and two of its European subsidiaries, violated competition law by exchanging confidential information with twelve French airports and the car rental companies operating at those airports and by engaging in a concerted practice relating to train station surcharges. The Company believes that it has valid defenses and intends to vigorously defend against the allegations, but we are currently unable to predict the outcome of the proceedings or range of reasonably possible losses, which may be material.</w:t>
      </w:r>
    </w:p>
    <w:p>
      <w:pPr>
        <w:spacing w:after="0" w:line="205" w:lineRule="exact"/>
        <w:rPr>
          <w:rFonts w:ascii="Arial" w:cs="Arial" w:eastAsia="Arial" w:hAnsi="Arial"/>
          <w:sz w:val="18"/>
          <w:szCs w:val="18"/>
          <w:b w:val="1"/>
          <w:bCs w:val="1"/>
          <w:color w:val="auto"/>
        </w:rPr>
      </w:pPr>
    </w:p>
    <w:p>
      <w:pPr>
        <w:ind w:left="500" w:right="1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Additionally, in March 2015, the Canadian Competition Bureau filed an application with the Competition Tribunal alleging that the Company and two of its Canadian subsidiaries engaged in deceptive marketing practices with regard to certain charges that consumers are invoiced related to renting a vehicle and associated products in Canada. The application seeks penalties against the Company and its subsidiaries totaling approximately $25 million as well as reimbursements to current and former customers of amounts collected and retained by the Company related to the alleged deceptive marketing practices. The Company believes that it has valid defenses and intends to vigorously defend against the allegations, but we are currently unable to predict the outcome of the proceedings or range of reasonably possible losses, which may be material.</w:t>
      </w:r>
    </w:p>
    <w:p>
      <w:pPr>
        <w:spacing w:after="0" w:line="20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is involved in claims, legal proceedings and governmental inquiries related, among other</w:t>
      </w:r>
    </w:p>
    <w:p>
      <w:pPr>
        <w:spacing w:after="0" w:line="9" w:lineRule="exact"/>
        <w:rPr>
          <w:rFonts w:ascii="Arial" w:cs="Arial" w:eastAsia="Arial" w:hAnsi="Arial"/>
          <w:sz w:val="18"/>
          <w:szCs w:val="18"/>
          <w:b w:val="1"/>
          <w:bCs w:val="1"/>
          <w:color w:val="auto"/>
        </w:rPr>
      </w:pPr>
    </w:p>
    <w:p>
      <w:pPr>
        <w:ind w:left="500" w:right="38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things, to its vehicle rental operations, including contract and licensee disputes, competition matters, employment matters, insurance claims, intellectual property claims, business practice disputes and other</w:t>
      </w:r>
    </w:p>
    <w:p>
      <w:pPr>
        <w:ind w:left="500" w:right="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regulatory, environmental, commercial and tax matters. Litigation is inherently unpredictable and, although the Company believes that its accruals are adequate and/or that it has valid defenses in these matters, unfavorable resolutions could occur. Excluding the French and Canadian competition matters discussed above, the Company estimates that the potential exposure resulting from adverse outcomes of legal proceedings in which it is reasonably possible that a loss may be incurred could, in the aggregate, range up to approximately $20 million in excess of amounts accrued as of March 31, 2015; however, the Company does not believe that the impact should result in a material liability to the Company in relation to its consolidated financial condition or results of operations.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0"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$5.3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247"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In the normal course of business, the Company makes various commitments to purchase other goods or services from specific suppliers, including those related to marketing, advertising and capital expenditures. As of March 31, 2015, the Company had approximately $114 million of purchase obligations, which extend through 2018.</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Concentrations of credit risk at March 31, 2015 include (i) risks related to the Company’s repurchase and guaranteed depreciation agreements with domestic and foreign car manufacturers, including Ford, General Motors, Chrysler, Peugeot, Volkswagen, Kia, Fiat, Toyota, Mercedes, Volvo and BMW, and primarily with respect to receivables for program cars that have been disposed but for which the Company has not yet received payment from the manufacturers and (ii) risks related to Realogy and Wyndham, including receivables of $54 million and $33 million, respectively, related to certain contingent, income tax and other corporate liabilities assumed by Realogy and Wyndham in connection with their disposition.</w:t>
      </w:r>
    </w:p>
    <w:p>
      <w:pPr>
        <w:spacing w:after="0" w:line="200" w:lineRule="exact"/>
        <w:rPr>
          <w:sz w:val="20"/>
          <w:szCs w:val="20"/>
          <w:color w:val="auto"/>
        </w:rPr>
      </w:pPr>
    </w:p>
    <w:p>
      <w:pPr>
        <w:spacing w:after="0" w:line="203" w:lineRule="exact"/>
        <w:rPr>
          <w:sz w:val="20"/>
          <w:szCs w:val="20"/>
          <w:color w:val="auto"/>
        </w:rPr>
      </w:pPr>
    </w:p>
    <w:p>
      <w:pPr>
        <w:ind w:left="500" w:right="9120" w:hanging="492"/>
        <w:spacing w:after="0" w:line="544" w:lineRule="auto"/>
        <w:tabs>
          <w:tab w:leader="none" w:pos="50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The Company obtained Board approval to repurchase up to $635 million of its common stock under a plan originally approved in August 2013 and subsequently expanded in April and October 2014. During the three months ended March 31, 2015, the Company repurchased approximately 0.5 million shares of common stock at a cost of approximately $31 million under the program. During the three months ended March 31, 2014, the Company repurchased approximately 1.6 million shares of common stock at a cost of approximately $75 million under the program. As of March 31, 2015, $254 million of authorization remains available to repurchase common stock under this plan.</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40"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Net Unrealized</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14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4"/>
              </w:rPr>
              <w:t>Currency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Gains (Losses)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14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4"/>
              </w:rPr>
              <w:t>Translation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800" w:type="dxa"/>
            <w:vAlign w:val="bottom"/>
          </w:tcPr>
          <w:p>
            <w:pPr>
              <w:spacing w:after="0"/>
              <w:rPr>
                <w:sz w:val="15"/>
                <w:szCs w:val="15"/>
                <w:color w:val="auto"/>
              </w:rPr>
            </w:pPr>
          </w:p>
        </w:tc>
        <w:tc>
          <w:tcPr>
            <w:tcW w:w="1140" w:type="dxa"/>
            <w:vAlign w:val="bottom"/>
          </w:tcPr>
          <w:p>
            <w:pPr>
              <w:jc w:val="center"/>
              <w:ind w:left="277"/>
              <w:spacing w:after="0"/>
              <w:rPr>
                <w:sz w:val="20"/>
                <w:szCs w:val="20"/>
                <w:color w:val="auto"/>
              </w:rPr>
            </w:pPr>
            <w:r>
              <w:rPr>
                <w:rFonts w:ascii="Arial" w:cs="Arial" w:eastAsia="Arial" w:hAnsi="Arial"/>
                <w:sz w:val="13"/>
                <w:szCs w:val="13"/>
                <w:b w:val="1"/>
                <w:bCs w:val="1"/>
                <w:color w:val="auto"/>
                <w:w w:val="96"/>
              </w:rPr>
              <w:t>Adjustments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Hedges</w:t>
            </w:r>
            <w:r>
              <w:rPr>
                <w:rFonts w:ascii="Arial" w:cs="Arial" w:eastAsia="Arial" w:hAnsi="Arial"/>
                <w:sz w:val="8"/>
                <w:szCs w:val="8"/>
                <w:b w:val="1"/>
                <w:bCs w:val="1"/>
                <w:color w:val="auto"/>
                <w:w w:val="98"/>
              </w:rPr>
              <w:t>(a)</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60" w:type="dxa"/>
            <w:vAlign w:val="bottom"/>
          </w:tcPr>
          <w:p>
            <w:pPr>
              <w:spacing w:after="0"/>
              <w:rPr>
                <w:sz w:val="15"/>
                <w:szCs w:val="15"/>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50"/>
        </w:trPr>
        <w:tc>
          <w:tcPr>
            <w:tcW w:w="2800" w:type="dxa"/>
            <w:vAlign w:val="bottom"/>
          </w:tcPr>
          <w:p>
            <w:pPr>
              <w:ind w:left="20"/>
              <w:spacing w:after="0"/>
              <w:rPr>
                <w:sz w:val="20"/>
                <w:szCs w:val="20"/>
                <w:color w:val="auto"/>
              </w:rPr>
            </w:pPr>
            <w:r>
              <w:rPr>
                <w:rFonts w:ascii="Arial" w:cs="Arial" w:eastAsia="Arial" w:hAnsi="Arial"/>
                <w:sz w:val="13"/>
                <w:szCs w:val="13"/>
                <w:color w:val="auto"/>
              </w:rPr>
              <w:t>Balance, January 1, 2015</w:t>
            </w:r>
          </w:p>
        </w:tc>
        <w:tc>
          <w:tcPr>
            <w:tcW w:w="114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3"/>
        </w:trPr>
        <w:tc>
          <w:tcPr>
            <w:tcW w:w="2800" w:type="dxa"/>
            <w:vAlign w:val="bottom"/>
          </w:tcPr>
          <w:p>
            <w:pPr>
              <w:ind w:left="240"/>
              <w:spacing w:after="0" w:line="143" w:lineRule="exact"/>
              <w:rPr>
                <w:sz w:val="20"/>
                <w:szCs w:val="20"/>
                <w:color w:val="auto"/>
              </w:rPr>
            </w:pPr>
            <w:r>
              <w:rPr>
                <w:rFonts w:ascii="Arial" w:cs="Arial" w:eastAsia="Arial" w:hAnsi="Arial"/>
                <w:sz w:val="13"/>
                <w:szCs w:val="13"/>
                <w:color w:val="auto"/>
              </w:rPr>
              <w:t>Other comprehensive income (loss) before</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00" w:type="dxa"/>
            <w:vAlign w:val="bottom"/>
          </w:tcPr>
          <w:p>
            <w:pPr>
              <w:ind w:left="400"/>
              <w:spacing w:after="0"/>
              <w:rPr>
                <w:sz w:val="20"/>
                <w:szCs w:val="20"/>
                <w:color w:val="auto"/>
              </w:rPr>
            </w:pPr>
            <w:r>
              <w:rPr>
                <w:rFonts w:ascii="Arial" w:cs="Arial" w:eastAsia="Arial" w:hAnsi="Arial"/>
                <w:sz w:val="13"/>
                <w:szCs w:val="13"/>
                <w:color w:val="auto"/>
              </w:rPr>
              <w:t>reclassifications</w:t>
            </w:r>
          </w:p>
        </w:tc>
        <w:tc>
          <w:tcPr>
            <w:tcW w:w="1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2"/>
        </w:trPr>
        <w:tc>
          <w:tcPr>
            <w:tcW w:w="2800" w:type="dxa"/>
            <w:vAlign w:val="bottom"/>
          </w:tcPr>
          <w:p>
            <w:pPr>
              <w:ind w:left="240"/>
              <w:spacing w:after="0"/>
              <w:rPr>
                <w:sz w:val="20"/>
                <w:szCs w:val="20"/>
                <w:color w:val="auto"/>
              </w:rPr>
            </w:pPr>
            <w:r>
              <w:rPr>
                <w:rFonts w:ascii="Arial" w:cs="Arial" w:eastAsia="Arial" w:hAnsi="Arial"/>
                <w:sz w:val="13"/>
                <w:szCs w:val="13"/>
                <w:color w:val="auto"/>
                <w:w w:val="97"/>
              </w:rPr>
              <w:t>Amounts reclassified from accumulated other</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400"/>
              <w:spacing w:after="0"/>
              <w:rPr>
                <w:sz w:val="20"/>
                <w:szCs w:val="20"/>
                <w:color w:val="auto"/>
              </w:rPr>
            </w:pPr>
            <w:r>
              <w:rPr>
                <w:rFonts w:ascii="Arial" w:cs="Arial" w:eastAsia="Arial" w:hAnsi="Arial"/>
                <w:sz w:val="13"/>
                <w:szCs w:val="13"/>
                <w:color w:val="auto"/>
              </w:rPr>
              <w:t>comprehensive income (loss)</w:t>
            </w:r>
          </w:p>
        </w:tc>
        <w:tc>
          <w:tcPr>
            <w:tcW w:w="114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 income</w:t>
            </w:r>
          </w:p>
        </w:tc>
        <w:tc>
          <w:tcPr>
            <w:tcW w:w="1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(loss)</w:t>
            </w:r>
          </w:p>
        </w:tc>
        <w:tc>
          <w:tcPr>
            <w:tcW w:w="1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42"/>
        </w:trPr>
        <w:tc>
          <w:tcPr>
            <w:tcW w:w="2800" w:type="dxa"/>
            <w:vAlign w:val="bottom"/>
          </w:tcPr>
          <w:p>
            <w:pPr>
              <w:ind w:left="20"/>
              <w:spacing w:after="0"/>
              <w:rPr>
                <w:sz w:val="20"/>
                <w:szCs w:val="20"/>
                <w:color w:val="auto"/>
              </w:rPr>
            </w:pPr>
            <w:r>
              <w:rPr>
                <w:rFonts w:ascii="Arial" w:cs="Arial" w:eastAsia="Arial" w:hAnsi="Arial"/>
                <w:sz w:val="13"/>
                <w:szCs w:val="13"/>
                <w:color w:val="auto"/>
              </w:rPr>
              <w:t>Balance, March 31, 2015</w:t>
            </w:r>
          </w:p>
        </w:tc>
        <w:tc>
          <w:tcPr>
            <w:tcW w:w="114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800" w:type="dxa"/>
            <w:vAlign w:val="bottom"/>
          </w:tcPr>
          <w:p>
            <w:pPr>
              <w:ind w:left="20"/>
              <w:spacing w:after="0"/>
              <w:rPr>
                <w:sz w:val="20"/>
                <w:szCs w:val="20"/>
                <w:color w:val="auto"/>
              </w:rPr>
            </w:pPr>
            <w:r>
              <w:rPr>
                <w:rFonts w:ascii="Arial" w:cs="Arial" w:eastAsia="Arial" w:hAnsi="Arial"/>
                <w:sz w:val="13"/>
                <w:szCs w:val="13"/>
                <w:color w:val="auto"/>
              </w:rPr>
              <w:t>Balance, January 1, 2014</w:t>
            </w:r>
          </w:p>
        </w:tc>
        <w:tc>
          <w:tcPr>
            <w:tcW w:w="1140" w:type="dxa"/>
            <w:vAlign w:val="bottom"/>
            <w:tcBorders>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2"/>
              </w:rPr>
              <w:t>166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43"/>
        </w:trPr>
        <w:tc>
          <w:tcPr>
            <w:tcW w:w="2800" w:type="dxa"/>
            <w:vAlign w:val="bottom"/>
          </w:tcPr>
          <w:p>
            <w:pPr>
              <w:ind w:left="240"/>
              <w:spacing w:after="0" w:line="143" w:lineRule="exact"/>
              <w:rPr>
                <w:sz w:val="20"/>
                <w:szCs w:val="20"/>
                <w:color w:val="auto"/>
              </w:rPr>
            </w:pPr>
            <w:r>
              <w:rPr>
                <w:rFonts w:ascii="Arial" w:cs="Arial" w:eastAsia="Arial" w:hAnsi="Arial"/>
                <w:sz w:val="13"/>
                <w:szCs w:val="13"/>
                <w:color w:val="auto"/>
              </w:rPr>
              <w:t>Other comprehensive income (loss) before</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00" w:type="dxa"/>
            <w:vAlign w:val="bottom"/>
          </w:tcPr>
          <w:p>
            <w:pPr>
              <w:ind w:left="400"/>
              <w:spacing w:after="0"/>
              <w:rPr>
                <w:sz w:val="20"/>
                <w:szCs w:val="20"/>
                <w:color w:val="auto"/>
              </w:rPr>
            </w:pPr>
            <w:r>
              <w:rPr>
                <w:rFonts w:ascii="Arial" w:cs="Arial" w:eastAsia="Arial" w:hAnsi="Arial"/>
                <w:sz w:val="13"/>
                <w:szCs w:val="13"/>
                <w:color w:val="auto"/>
              </w:rPr>
              <w:t>reclassifications</w:t>
            </w:r>
          </w:p>
        </w:tc>
        <w:tc>
          <w:tcPr>
            <w:tcW w:w="1140" w:type="dxa"/>
            <w:vAlign w:val="bottom"/>
          </w:tcPr>
          <w:p>
            <w:pPr>
              <w:spacing w:after="0"/>
              <w:rPr>
                <w:sz w:val="13"/>
                <w:szCs w:val="13"/>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2"/>
        </w:trPr>
        <w:tc>
          <w:tcPr>
            <w:tcW w:w="2800" w:type="dxa"/>
            <w:vAlign w:val="bottom"/>
          </w:tcPr>
          <w:p>
            <w:pPr>
              <w:ind w:left="240"/>
              <w:spacing w:after="0"/>
              <w:rPr>
                <w:sz w:val="20"/>
                <w:szCs w:val="20"/>
                <w:color w:val="auto"/>
              </w:rPr>
            </w:pPr>
            <w:r>
              <w:rPr>
                <w:rFonts w:ascii="Arial" w:cs="Arial" w:eastAsia="Arial" w:hAnsi="Arial"/>
                <w:sz w:val="13"/>
                <w:szCs w:val="13"/>
                <w:color w:val="auto"/>
                <w:w w:val="97"/>
              </w:rPr>
              <w:t>Amounts reclassified from accumulated other</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400"/>
              <w:spacing w:after="0"/>
              <w:rPr>
                <w:sz w:val="20"/>
                <w:szCs w:val="20"/>
                <w:color w:val="auto"/>
              </w:rPr>
            </w:pPr>
            <w:r>
              <w:rPr>
                <w:rFonts w:ascii="Arial" w:cs="Arial" w:eastAsia="Arial" w:hAnsi="Arial"/>
                <w:sz w:val="13"/>
                <w:szCs w:val="13"/>
                <w:color w:val="auto"/>
              </w:rPr>
              <w:t>comprehensive income (loss)</w:t>
            </w:r>
          </w:p>
        </w:tc>
        <w:tc>
          <w:tcPr>
            <w:tcW w:w="114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 income</w:t>
            </w:r>
          </w:p>
        </w:tc>
        <w:tc>
          <w:tcPr>
            <w:tcW w:w="1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(loss)</w:t>
            </w:r>
          </w:p>
        </w:tc>
        <w:tc>
          <w:tcPr>
            <w:tcW w:w="1140" w:type="dxa"/>
            <w:vAlign w:val="bottom"/>
          </w:tcPr>
          <w:p>
            <w:pPr>
              <w:spacing w:after="0"/>
              <w:rPr>
                <w:sz w:val="14"/>
                <w:szCs w:val="14"/>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41"/>
        </w:trPr>
        <w:tc>
          <w:tcPr>
            <w:tcW w:w="2800" w:type="dxa"/>
            <w:vAlign w:val="bottom"/>
          </w:tcPr>
          <w:p>
            <w:pPr>
              <w:ind w:left="20"/>
              <w:spacing w:after="0"/>
              <w:rPr>
                <w:sz w:val="20"/>
                <w:szCs w:val="20"/>
                <w:color w:val="auto"/>
              </w:rPr>
            </w:pPr>
            <w:r>
              <w:rPr>
                <w:rFonts w:ascii="Arial" w:cs="Arial" w:eastAsia="Arial" w:hAnsi="Arial"/>
                <w:sz w:val="13"/>
                <w:szCs w:val="13"/>
                <w:color w:val="auto"/>
              </w:rPr>
              <w:t>Balance, March 31, 2014</w:t>
            </w:r>
          </w:p>
        </w:tc>
        <w:tc>
          <w:tcPr>
            <w:tcW w:w="114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2"/>
              </w:rPr>
              <w:t>169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0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$72 million gain, net of tax, as of March 31, 2015 related to the Company’s hedge of its net investment in Euro-denominated foreign operations (See Note 12 - Financial Instruments).</w:t>
      </w:r>
    </w:p>
    <w:p>
      <w:pPr>
        <w:spacing w:after="0" w:line="5" w:lineRule="exact"/>
        <w:rPr>
          <w:sz w:val="20"/>
          <w:szCs w:val="20"/>
          <w:color w:val="auto"/>
        </w:rPr>
      </w:pPr>
    </w:p>
    <w:p>
      <w:pPr>
        <w:ind w:left="820" w:right="300" w:hanging="326"/>
        <w:spacing w:after="0" w:line="211"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2015, amounts reclassified from accumulated other comprehensive income (loss) into interest expense were $2 million ($1 million, net of tax). For the three months ended March 31, 2014, amounts reclassified from accumulated other comprehensive income (loss) were not material.</w:t>
      </w:r>
    </w:p>
    <w:p>
      <w:pPr>
        <w:ind w:left="820" w:right="200" w:hanging="326"/>
        <w:spacing w:after="0" w:line="225"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2015, amounts reclassified from accumulated other comprehensive income (loss) into selling, general and administrative expenses were $1 million ($1 million, net of tax). For the three months ended March 31, 2014, amounts reclassified from accumulated other comprehensive income (loss) were not material.</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247"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were as follows:</w:t>
      </w:r>
    </w:p>
    <w:p>
      <w:pPr>
        <w:spacing w:after="0" w:line="149"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 $(24) and $0, respectively)</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2"/>
        </w:trPr>
        <w:tc>
          <w:tcPr>
            <w:tcW w:w="7400" w:type="dxa"/>
            <w:vAlign w:val="bottom"/>
          </w:tcPr>
          <w:p>
            <w:pPr>
              <w:ind w:left="120"/>
              <w:spacing w:after="0"/>
              <w:rPr>
                <w:sz w:val="20"/>
                <w:szCs w:val="20"/>
                <w:color w:val="auto"/>
              </w:rPr>
            </w:pPr>
            <w:r>
              <w:rPr>
                <w:rFonts w:ascii="Arial" w:cs="Arial" w:eastAsia="Arial" w:hAnsi="Arial"/>
                <w:sz w:val="18"/>
                <w:szCs w:val="18"/>
                <w:color w:val="auto"/>
              </w:rPr>
              <w:t>Net unrealized gain (loss) on available-for-sale securities (net of tax of $0 and $0,</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40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 (net of tax of $2 and $0, respectively)</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740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 $0 and $0, respectively)</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740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400" w:type="dxa"/>
            <w:vAlign w:val="bottom"/>
          </w:tcPr>
          <w:p>
            <w:pPr>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7400" w:type="dxa"/>
            <w:vAlign w:val="bottom"/>
          </w:tcPr>
          <w:p>
            <w:pPr>
              <w:ind w:left="51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$5 million and $8 million ($3 million and $5 million, net of tax) during the three months ended March 31, 2015 and 2014, respectively. In jurisdictions with net operating loss carryforwards, exercises and/or vestings of stock-based awards have generated $56 million of total tax deductions at March 31, 2015. Approximately $22 million of tax benefits will be recorded in additional paid-in capital when these tax deductions are realized in these jurisdictions.</w:t>
      </w:r>
    </w:p>
    <w:p>
      <w:pPr>
        <w:spacing w:after="0" w:line="204" w:lineRule="exact"/>
        <w:rPr>
          <w:rFonts w:ascii="Arial" w:cs="Arial" w:eastAsia="Arial" w:hAnsi="Arial"/>
          <w:sz w:val="18"/>
          <w:szCs w:val="18"/>
          <w:b w:val="1"/>
          <w:bCs w:val="1"/>
          <w:color w:val="auto"/>
        </w:rPr>
      </w:pPr>
    </w:p>
    <w:p>
      <w:pPr>
        <w:ind w:left="500" w:right="3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in the Monte Carlo simulation model to calculate the fair value of the Company’s stock unit awards containing a market condition are as follows:</w:t>
      </w:r>
    </w:p>
    <w:p>
      <w:pPr>
        <w:spacing w:after="0" w:line="125"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68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March 31,</w:t>
            </w:r>
          </w:p>
        </w:tc>
      </w:tr>
      <w:tr>
        <w:trPr>
          <w:trHeight w:val="257"/>
        </w:trPr>
        <w:tc>
          <w:tcPr>
            <w:tcW w:w="6880" w:type="dxa"/>
            <w:vAlign w:val="bottom"/>
          </w:tcPr>
          <w:p>
            <w:pPr>
              <w:spacing w:after="0"/>
              <w:rPr>
                <w:sz w:val="22"/>
                <w:szCs w:val="22"/>
                <w:color w:val="auto"/>
              </w:rPr>
            </w:pPr>
          </w:p>
        </w:tc>
        <w:tc>
          <w:tcPr>
            <w:tcW w:w="122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r>
      <w:tr>
        <w:trPr>
          <w:trHeight w:val="237"/>
        </w:trPr>
        <w:tc>
          <w:tcPr>
            <w:tcW w:w="688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220" w:type="dxa"/>
            <w:vAlign w:val="bottom"/>
          </w:tcPr>
          <w:p>
            <w:pPr>
              <w:jc w:val="center"/>
              <w:ind w:left="339"/>
              <w:spacing w:after="0"/>
              <w:rPr>
                <w:sz w:val="20"/>
                <w:szCs w:val="20"/>
                <w:color w:val="auto"/>
              </w:rPr>
            </w:pPr>
            <w:r>
              <w:rPr>
                <w:rFonts w:ascii="Arial" w:cs="Arial" w:eastAsia="Arial" w:hAnsi="Arial"/>
                <w:sz w:val="16"/>
                <w:szCs w:val="16"/>
                <w:color w:val="auto"/>
                <w:w w:val="99"/>
              </w:rPr>
              <w:t>37%</w:t>
            </w:r>
          </w:p>
        </w:tc>
        <w:tc>
          <w:tcPr>
            <w:tcW w:w="2160" w:type="dxa"/>
            <w:vAlign w:val="bottom"/>
            <w:gridSpan w:val="3"/>
          </w:tcPr>
          <w:p>
            <w:pPr>
              <w:jc w:val="center"/>
              <w:ind w:left="459"/>
              <w:spacing w:after="0"/>
              <w:rPr>
                <w:sz w:val="20"/>
                <w:szCs w:val="20"/>
                <w:color w:val="auto"/>
              </w:rPr>
            </w:pPr>
            <w:r>
              <w:rPr>
                <w:rFonts w:ascii="Arial" w:cs="Arial" w:eastAsia="Arial" w:hAnsi="Arial"/>
                <w:sz w:val="16"/>
                <w:szCs w:val="16"/>
                <w:color w:val="auto"/>
              </w:rPr>
              <w:t>40%</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220" w:type="dxa"/>
            <w:vAlign w:val="bottom"/>
          </w:tcPr>
          <w:p>
            <w:pPr>
              <w:jc w:val="center"/>
              <w:ind w:left="319"/>
              <w:spacing w:after="0"/>
              <w:rPr>
                <w:sz w:val="20"/>
                <w:szCs w:val="20"/>
                <w:color w:val="auto"/>
              </w:rPr>
            </w:pPr>
            <w:r>
              <w:rPr>
                <w:rFonts w:ascii="Arial" w:cs="Arial" w:eastAsia="Arial" w:hAnsi="Arial"/>
                <w:sz w:val="16"/>
                <w:szCs w:val="16"/>
                <w:color w:val="auto"/>
              </w:rPr>
              <w:t>0.74%</w:t>
            </w:r>
          </w:p>
        </w:tc>
        <w:tc>
          <w:tcPr>
            <w:tcW w:w="2160" w:type="dxa"/>
            <w:vAlign w:val="bottom"/>
            <w:gridSpan w:val="3"/>
          </w:tcPr>
          <w:p>
            <w:pPr>
              <w:jc w:val="center"/>
              <w:ind w:left="459"/>
              <w:spacing w:after="0"/>
              <w:rPr>
                <w:sz w:val="20"/>
                <w:szCs w:val="20"/>
                <w:color w:val="auto"/>
              </w:rPr>
            </w:pPr>
            <w:r>
              <w:rPr>
                <w:rFonts w:ascii="Arial" w:cs="Arial" w:eastAsia="Arial" w:hAnsi="Arial"/>
                <w:sz w:val="16"/>
                <w:szCs w:val="16"/>
                <w:color w:val="auto"/>
              </w:rPr>
              <w:t>0.85%</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Expected term of awards</w:t>
            </w:r>
          </w:p>
        </w:tc>
        <w:tc>
          <w:tcPr>
            <w:tcW w:w="1220" w:type="dxa"/>
            <w:vAlign w:val="bottom"/>
          </w:tcPr>
          <w:p>
            <w:pPr>
              <w:ind w:left="560"/>
              <w:spacing w:after="0"/>
              <w:rPr>
                <w:sz w:val="20"/>
                <w:szCs w:val="20"/>
                <w:color w:val="auto"/>
              </w:rPr>
            </w:pPr>
            <w:r>
              <w:rPr>
                <w:rFonts w:ascii="Arial" w:cs="Arial" w:eastAsia="Arial" w:hAnsi="Arial"/>
                <w:sz w:val="16"/>
                <w:szCs w:val="16"/>
                <w:color w:val="auto"/>
              </w:rPr>
              <w:t>3 years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ind w:left="540"/>
              <w:spacing w:after="0"/>
              <w:rPr>
                <w:sz w:val="20"/>
                <w:szCs w:val="20"/>
                <w:color w:val="auto"/>
              </w:rPr>
            </w:pPr>
            <w:r>
              <w:rPr>
                <w:rFonts w:ascii="Arial" w:cs="Arial" w:eastAsia="Arial" w:hAnsi="Arial"/>
                <w:sz w:val="16"/>
                <w:szCs w:val="16"/>
                <w:color w:val="auto"/>
              </w:rPr>
              <w:t>3 years</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Dividend yield</w:t>
            </w:r>
          </w:p>
        </w:tc>
        <w:tc>
          <w:tcPr>
            <w:tcW w:w="1220" w:type="dxa"/>
            <w:vAlign w:val="bottom"/>
          </w:tcPr>
          <w:p>
            <w:pPr>
              <w:jc w:val="center"/>
              <w:ind w:left="339"/>
              <w:spacing w:after="0"/>
              <w:rPr>
                <w:sz w:val="20"/>
                <w:szCs w:val="20"/>
                <w:color w:val="auto"/>
              </w:rPr>
            </w:pPr>
            <w:r>
              <w:rPr>
                <w:rFonts w:ascii="Arial" w:cs="Arial" w:eastAsia="Arial" w:hAnsi="Arial"/>
                <w:sz w:val="16"/>
                <w:szCs w:val="16"/>
                <w:color w:val="auto"/>
                <w:w w:val="98"/>
              </w:rPr>
              <w:t>0.0%</w:t>
            </w:r>
          </w:p>
        </w:tc>
        <w:tc>
          <w:tcPr>
            <w:tcW w:w="2160" w:type="dxa"/>
            <w:vAlign w:val="bottom"/>
            <w:gridSpan w:val="3"/>
          </w:tcPr>
          <w:p>
            <w:pPr>
              <w:jc w:val="center"/>
              <w:ind w:left="459"/>
              <w:spacing w:after="0"/>
              <w:rPr>
                <w:sz w:val="20"/>
                <w:szCs w:val="20"/>
                <w:color w:val="auto"/>
              </w:rPr>
            </w:pPr>
            <w:r>
              <w:rPr>
                <w:rFonts w:ascii="Arial" w:cs="Arial" w:eastAsia="Arial" w:hAnsi="Arial"/>
                <w:sz w:val="16"/>
                <w:szCs w:val="16"/>
                <w:color w:val="auto"/>
              </w:rPr>
              <w:t>0.0%</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the Company’s restricted stock units (“RSUs”) and cash units,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Time-Based RSUs</w:t>
            </w:r>
          </w:p>
        </w:tc>
        <w:tc>
          <w:tcPr>
            <w:tcW w:w="10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Market-Based RSUs</w:t>
            </w:r>
          </w:p>
        </w:tc>
        <w:tc>
          <w:tcPr>
            <w:tcW w:w="12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1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2015 </w:t>
            </w:r>
            <w:r>
              <w:rPr>
                <w:rFonts w:ascii="Arial" w:cs="Arial" w:eastAsia="Arial" w:hAnsi="Arial"/>
                <w:sz w:val="21"/>
                <w:szCs w:val="21"/>
                <w:color w:val="auto"/>
                <w:vertAlign w:val="superscript"/>
              </w:rPr>
              <w:t>(a)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1,884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19.17</w:t>
            </w:r>
          </w:p>
        </w:tc>
        <w:tc>
          <w:tcPr>
            <w:tcW w:w="1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95"/>
        </w:trPr>
        <w:tc>
          <w:tcPr>
            <w:tcW w:w="36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55.51</w:t>
            </w:r>
          </w:p>
        </w:tc>
        <w:tc>
          <w:tcPr>
            <w:tcW w:w="1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3620" w:type="dxa"/>
            <w:vAlign w:val="bottom"/>
          </w:tcPr>
          <w:p>
            <w:pPr>
              <w:ind w:left="2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08"/>
        </w:trPr>
        <w:tc>
          <w:tcPr>
            <w:tcW w:w="3620" w:type="dxa"/>
            <w:vAlign w:val="bottom"/>
          </w:tcPr>
          <w:p>
            <w:pPr>
              <w:ind w:left="24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43.57</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18.18</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March 31, 2015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42.70</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34.92</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160" w:hanging="326"/>
        <w:spacing w:after="0" w:line="220"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time-based RSUs and performance-based and market-based RSUs granted during the three months ended March 31, 2014 was $41.15 and $39.37, respectively.</w:t>
      </w:r>
    </w:p>
    <w:p>
      <w:pPr>
        <w:spacing w:after="0" w:line="1" w:lineRule="exact"/>
        <w:rPr>
          <w:rFonts w:ascii="Arial" w:cs="Arial" w:eastAsia="Arial" w:hAnsi="Arial"/>
          <w:sz w:val="18"/>
          <w:szCs w:val="18"/>
          <w:color w:val="auto"/>
          <w:vertAlign w:val="superscript"/>
        </w:rPr>
      </w:pPr>
    </w:p>
    <w:p>
      <w:pPr>
        <w:ind w:left="820" w:right="100" w:hanging="326"/>
        <w:spacing w:after="0" w:line="211"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three months ended March 31, 2015 and 2014 was $23 million and $14 million, respectively. The total grant date fair value of cash units vested during the three months ended March 31, 2015 was $2 million.</w:t>
      </w:r>
    </w:p>
    <w:p>
      <w:pPr>
        <w:ind w:left="820" w:hanging="326"/>
        <w:spacing w:after="0"/>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performance-based and market-based RSUs, and cash units had aggregate intrinsic value of $42 million, $58 million and $7 million, respectively. Aggregate unrecognized compensation expense related to time-based RSUs and performance-based and market-based RSUs amounted to $46 million and will be recognized over a weighted average vesting period of 1.4 years. The Company assumes that substantially all outstanding awards will vest over time.</w:t>
      </w:r>
    </w:p>
    <w:p>
      <w:pPr>
        <w:spacing w:after="0" w:line="3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600" w:type="dxa"/>
            <w:vAlign w:val="bottom"/>
          </w:tcPr>
          <w:p>
            <w:pPr>
              <w:spacing w:after="0"/>
              <w:rPr>
                <w:sz w:val="16"/>
                <w:szCs w:val="16"/>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600" w:type="dxa"/>
            <w:vAlign w:val="bottom"/>
          </w:tcPr>
          <w:p>
            <w:pPr>
              <w:spacing w:after="0"/>
              <w:rPr>
                <w:sz w:val="19"/>
                <w:szCs w:val="19"/>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4600" w:type="dxa"/>
            <w:vAlign w:val="bottom"/>
          </w:tcPr>
          <w:p>
            <w:pPr>
              <w:spacing w:after="0"/>
              <w:rPr>
                <w:sz w:val="20"/>
                <w:szCs w:val="20"/>
                <w:color w:val="auto"/>
              </w:rPr>
            </w:pPr>
            <w:r>
              <w:rPr>
                <w:rFonts w:ascii="Arial" w:cs="Arial" w:eastAsia="Arial" w:hAnsi="Arial"/>
                <w:sz w:val="16"/>
                <w:szCs w:val="16"/>
                <w:color w:val="auto"/>
              </w:rPr>
              <w:t>Outstanding at January 1, 2015</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4600" w:type="dxa"/>
            <w:vAlign w:val="bottom"/>
          </w:tcPr>
          <w:p>
            <w:pPr>
              <w:ind w:left="32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70"/>
        </w:trPr>
        <w:tc>
          <w:tcPr>
            <w:tcW w:w="4600" w:type="dxa"/>
            <w:vAlign w:val="bottom"/>
          </w:tcPr>
          <w:p>
            <w:pPr>
              <w:ind w:left="320"/>
              <w:spacing w:after="0"/>
              <w:rPr>
                <w:sz w:val="20"/>
                <w:szCs w:val="20"/>
                <w:color w:val="auto"/>
              </w:rPr>
            </w:pPr>
            <w:r>
              <w:rPr>
                <w:rFonts w:ascii="Arial" w:cs="Arial" w:eastAsia="Arial" w:hAnsi="Arial"/>
                <w:sz w:val="16"/>
                <w:szCs w:val="16"/>
                <w:color w:val="auto"/>
              </w:rPr>
              <w:t>Exercised</w:t>
            </w: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83"/>
        </w:trPr>
        <w:tc>
          <w:tcPr>
            <w:tcW w:w="4600" w:type="dxa"/>
            <w:vAlign w:val="bottom"/>
          </w:tcPr>
          <w:p>
            <w:pPr>
              <w:ind w:left="320"/>
              <w:spacing w:after="0"/>
              <w:rPr>
                <w:sz w:val="20"/>
                <w:szCs w:val="20"/>
                <w:color w:val="auto"/>
              </w:rPr>
            </w:pPr>
            <w:r>
              <w:rPr>
                <w:rFonts w:ascii="Arial" w:cs="Arial" w:eastAsia="Arial" w:hAnsi="Arial"/>
                <w:sz w:val="16"/>
                <w:szCs w:val="16"/>
                <w:color w:val="auto"/>
              </w:rPr>
              <w:t>Forfeited/expired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r>
      <w:tr>
        <w:trPr>
          <w:trHeight w:val="240"/>
        </w:trPr>
        <w:tc>
          <w:tcPr>
            <w:tcW w:w="4600" w:type="dxa"/>
            <w:vAlign w:val="bottom"/>
          </w:tcPr>
          <w:p>
            <w:pPr>
              <w:spacing w:after="0"/>
              <w:rPr>
                <w:sz w:val="20"/>
                <w:szCs w:val="20"/>
                <w:color w:val="auto"/>
              </w:rPr>
            </w:pPr>
            <w:r>
              <w:rPr>
                <w:rFonts w:ascii="Arial" w:cs="Arial" w:eastAsia="Arial" w:hAnsi="Arial"/>
                <w:sz w:val="16"/>
                <w:szCs w:val="16"/>
                <w:color w:val="auto"/>
              </w:rPr>
              <w:t>Outstanding at March 31, 2015</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4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7"/>
        </w:trPr>
        <w:tc>
          <w:tcPr>
            <w:tcW w:w="4600" w:type="dxa"/>
            <w:vAlign w:val="bottom"/>
          </w:tcPr>
          <w:p>
            <w:pPr>
              <w:spacing w:after="0"/>
              <w:rPr>
                <w:sz w:val="20"/>
                <w:szCs w:val="20"/>
                <w:color w:val="auto"/>
              </w:rPr>
            </w:pPr>
            <w:r>
              <w:rPr>
                <w:rFonts w:ascii="Arial" w:cs="Arial" w:eastAsia="Arial" w:hAnsi="Arial"/>
                <w:sz w:val="16"/>
                <w:szCs w:val="16"/>
                <w:color w:val="auto"/>
              </w:rPr>
              <w:t>Exercisable at March 31, 2015</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836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40"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uses currency exchange contracts to manage its exposure to changes in currency exchange rates 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w:t>
      </w:r>
    </w:p>
    <w:p>
      <w:pPr>
        <w:spacing w:after="0" w:line="207" w:lineRule="exact"/>
        <w:rPr>
          <w:rFonts w:ascii="Arial" w:cs="Arial" w:eastAsia="Arial" w:hAnsi="Arial"/>
          <w:sz w:val="18"/>
          <w:szCs w:val="18"/>
          <w:b w:val="1"/>
          <w:bCs w:val="1"/>
          <w:color w:val="auto"/>
        </w:rPr>
      </w:pPr>
    </w:p>
    <w:p>
      <w:pPr>
        <w:ind w:left="50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has designated its 6% Euro-denominated notes as a hedge of its net investment in Euro-denominated foreign operations. For the three months ended March 31, 2015, the Company recorded a $37 million gain in accumulated other comprehensive income as part of currency translation adjustments. There was no ineffectiveness related to the Company’s net investment hedges during the three months ended March 31, 2015 and the Company does not expect to reclassify any amounts from accumulated other comprehensive income into earnings over the next 12 months.</w:t>
      </w:r>
    </w:p>
    <w:p>
      <w:pPr>
        <w:spacing w:after="0" w:line="205" w:lineRule="exact"/>
        <w:rPr>
          <w:rFonts w:ascii="Arial" w:cs="Arial" w:eastAsia="Arial" w:hAnsi="Arial"/>
          <w:sz w:val="18"/>
          <w:szCs w:val="18"/>
          <w:b w:val="1"/>
          <w:bCs w:val="1"/>
          <w:color w:val="auto"/>
        </w:rPr>
      </w:pPr>
    </w:p>
    <w:p>
      <w:pPr>
        <w:ind w:left="500" w:right="8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Company uses various hedging strategies including interest rate swaps and interest rate caps to create an 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into earnings. There was no ineffectiveness related to the Company’s cash flow hedges during the three months ended March 31, 2015. The Company estimates that $8 million of losses currently recorded in accumulated other comprehensive income will be recognized in earnings over the next 12 months.</w:t>
      </w:r>
    </w:p>
    <w:p>
      <w:pPr>
        <w:spacing w:after="0" w:line="212" w:lineRule="exact"/>
        <w:rPr>
          <w:rFonts w:ascii="Arial" w:cs="Arial" w:eastAsia="Arial" w:hAnsi="Arial"/>
          <w:sz w:val="18"/>
          <w:szCs w:val="18"/>
          <w:b w:val="1"/>
          <w:bCs w:val="1"/>
          <w:color w:val="auto"/>
        </w:rPr>
      </w:pPr>
    </w:p>
    <w:p>
      <w:pPr>
        <w:ind w:left="500" w:right="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derivative commodity contracts to manage its exposure to changes in the price of unleaded gasoline. Changes in the fair value of these derivatives are recorded within operating expenses.</w:t>
      </w:r>
    </w:p>
    <w:p>
      <w:pPr>
        <w:spacing w:after="0" w:line="19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held derivative instruments with absolute notional values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As of March 31,</w:t>
            </w:r>
          </w:p>
        </w:tc>
      </w:tr>
      <w:tr>
        <w:trPr>
          <w:trHeight w:val="228"/>
        </w:trPr>
        <w:tc>
          <w:tcPr>
            <w:tcW w:w="8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272"/>
        </w:trPr>
        <w:tc>
          <w:tcPr>
            <w:tcW w:w="874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8,096</w:t>
            </w:r>
          </w:p>
        </w:tc>
      </w:tr>
      <w:tr>
        <w:trPr>
          <w:trHeight w:val="195"/>
        </w:trPr>
        <w:tc>
          <w:tcPr>
            <w:tcW w:w="87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1,663</w:t>
            </w:r>
          </w:p>
        </w:tc>
      </w:tr>
      <w:tr>
        <w:trPr>
          <w:trHeight w:val="243"/>
        </w:trPr>
        <w:tc>
          <w:tcPr>
            <w:tcW w:w="874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1,062</w:t>
            </w:r>
          </w:p>
        </w:tc>
      </w:tr>
      <w:tr>
        <w:trPr>
          <w:trHeight w:val="540"/>
        </w:trPr>
        <w:tc>
          <w:tcPr>
            <w:tcW w:w="874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8740" w:type="dxa"/>
            <w:vAlign w:val="bottom"/>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5" w:lineRule="exact"/>
        <w:rPr>
          <w:sz w:val="20"/>
          <w:szCs w:val="20"/>
          <w:color w:val="auto"/>
        </w:rPr>
      </w:pPr>
    </w:p>
    <w:p>
      <w:pPr>
        <w:ind w:left="820" w:right="180" w:hanging="326"/>
        <w:spacing w:after="0" w:line="218"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Represents $6.1 billion of interest rate caps sold, partially offset by approximately $2.0 billion of interest rate caps purchased. These amounts exclude $4.1 billion of interest rate caps purchased by the Company’s Avis Budget Rental Car Funding subsidiary as it is not consolidated by the Company.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As of March 31, 2015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December 31, 2014</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Liability</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Asset</w:t>
            </w:r>
          </w:p>
        </w:tc>
        <w:tc>
          <w:tcPr>
            <w:tcW w:w="18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5"/>
        </w:trPr>
        <w:tc>
          <w:tcPr>
            <w:tcW w:w="4620" w:type="dxa"/>
            <w:vAlign w:val="bottom"/>
          </w:tcPr>
          <w:p>
            <w:pPr>
              <w:ind w:left="220"/>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0"/>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6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620" w:type="dxa"/>
            <w:vAlign w:val="bottom"/>
          </w:tcPr>
          <w:p>
            <w:pPr>
              <w:ind w:left="2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4620" w:type="dxa"/>
            <w:vAlign w:val="bottom"/>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14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w:t>
      </w:r>
    </w:p>
    <w:p>
      <w:pPr>
        <w:ind w:left="820" w:hanging="326"/>
        <w:spacing w:after="0" w:line="195"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19050</wp:posOffset>
            </wp:positionV>
            <wp:extent cx="17665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60"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7500" w:type="dxa"/>
            <w:vAlign w:val="bottom"/>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51"/>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7500" w:type="dxa"/>
            <w:vAlign w:val="bottom"/>
          </w:tcPr>
          <w:p>
            <w:pPr>
              <w:ind w:left="2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5"/>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00" w:type="dxa"/>
            <w:vAlign w:val="bottom"/>
          </w:tcPr>
          <w:p>
            <w:pPr>
              <w:ind w:left="2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96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500" w:type="dxa"/>
            <w:vAlign w:val="bottom"/>
          </w:tcPr>
          <w:p>
            <w:pPr>
              <w:ind w:left="2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(d)</w:t>
            </w:r>
          </w:p>
        </w:tc>
        <w:tc>
          <w:tcPr>
            <w:tcW w:w="960" w:type="dxa"/>
            <w:vAlign w:val="bottom"/>
          </w:tcPr>
          <w:p>
            <w:pPr>
              <w:spacing w:after="0"/>
              <w:rPr>
                <w:sz w:val="23"/>
                <w:szCs w:val="23"/>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7500" w:type="dxa"/>
            <w:vAlign w:val="bottom"/>
          </w:tcPr>
          <w:p>
            <w:pPr>
              <w:ind w:left="2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96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7500" w:type="dxa"/>
            <w:vAlign w:val="bottom"/>
          </w:tcPr>
          <w:p>
            <w:pPr>
              <w:ind w:left="22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within stockholders’ equity.</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interest expense.</w:t>
      </w:r>
    </w:p>
    <w:p>
      <w:pPr>
        <w:ind w:left="820" w:hanging="326"/>
        <w:spacing w:after="0" w:line="211"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2015, included a $21 million gain in interest expense and a $14 million gain in operating expense. For the three months ended March 31, 2014 included a $14 million loss in interest expense and a $4 million loss in operating expense.</w:t>
      </w:r>
    </w:p>
    <w:p>
      <w:pPr>
        <w:ind w:left="820" w:hanging="326"/>
        <w:spacing w:after="0" w:line="199"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40"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As of March 31, 2015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2014</w:t>
            </w: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3,439</w:t>
            </w:r>
          </w:p>
        </w:tc>
      </w:tr>
      <w:tr>
        <w:trPr>
          <w:trHeight w:val="500"/>
        </w:trPr>
        <w:tc>
          <w:tcPr>
            <w:tcW w:w="42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6,838</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6,927</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6,340</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6,407</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1,771</w:t>
            </w:r>
          </w:p>
        </w:tc>
      </w:tr>
      <w:tr>
        <w:trPr>
          <w:trHeight w:val="289"/>
        </w:trPr>
        <w:tc>
          <w:tcPr>
            <w:tcW w:w="422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contracts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2"/>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has aggregated certain of its operating segments into its reportable segments.</w:t>
      </w:r>
    </w:p>
    <w:p>
      <w:pPr>
        <w:spacing w:after="0" w:line="204" w:lineRule="exact"/>
        <w:rPr>
          <w:rFonts w:ascii="Arial" w:cs="Arial" w:eastAsia="Arial" w:hAnsi="Arial"/>
          <w:sz w:val="18"/>
          <w:szCs w:val="18"/>
          <w:b w:val="1"/>
          <w:bCs w:val="1"/>
          <w:color w:val="auto"/>
        </w:rPr>
      </w:pPr>
    </w:p>
    <w:p>
      <w:pPr>
        <w:ind w:left="50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 presentation of Adjusted EBITDA may not be comparable to similarly-titled measures used by other companies.</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4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spacing w:after="0"/>
              <w:rPr>
                <w:sz w:val="22"/>
                <w:szCs w:val="22"/>
                <w:color w:val="auto"/>
              </w:rPr>
            </w:pPr>
          </w:p>
        </w:tc>
      </w:tr>
      <w:tr>
        <w:trPr>
          <w:trHeight w:val="207"/>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r>
      <w:tr>
        <w:trPr>
          <w:trHeight w:val="252"/>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 xml:space="preserve">Revenues </w:t>
            </w:r>
            <w:r>
              <w:rPr>
                <w:rFonts w:ascii="Arial" w:cs="Arial" w:eastAsia="Arial" w:hAnsi="Arial"/>
                <w:sz w:val="21"/>
                <w:szCs w:val="21"/>
                <w:b w:val="1"/>
                <w:bCs w:val="1"/>
                <w:color w:val="auto"/>
                <w:w w:val="95"/>
                <w:vertAlign w:val="superscript"/>
              </w:rPr>
              <w:t>(a)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1"/>
                <w:szCs w:val="21"/>
                <w:b w:val="1"/>
                <w:bCs w:val="1"/>
                <w:color w:val="auto"/>
                <w:vertAlign w:val="superscript"/>
              </w:rPr>
              <w:t>(b)</w:t>
            </w: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452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(c)</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4520" w:type="dxa"/>
            <w:vAlign w:val="bottom"/>
          </w:tcPr>
          <w:p>
            <w:pPr>
              <w:ind w:left="28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07"/>
        </w:trPr>
        <w:tc>
          <w:tcPr>
            <w:tcW w:w="4720" w:type="dxa"/>
            <w:vAlign w:val="bottom"/>
            <w:gridSpan w:val="2"/>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4520" w:type="dxa"/>
            <w:vAlign w:val="bottom"/>
          </w:tcPr>
          <w:p>
            <w:pPr>
              <w:ind w:left="70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4520" w:type="dxa"/>
            <w:vAlign w:val="bottom"/>
          </w:tcPr>
          <w:p>
            <w:pPr>
              <w:ind w:left="700"/>
              <w:spacing w:after="0"/>
              <w:rPr>
                <w:sz w:val="20"/>
                <w:szCs w:val="20"/>
                <w:color w:val="auto"/>
              </w:rPr>
            </w:pPr>
            <w:r>
              <w:rPr>
                <w:rFonts w:ascii="Arial" w:cs="Arial" w:eastAsia="Arial" w:hAnsi="Arial"/>
                <w:sz w:val="18"/>
                <w:szCs w:val="18"/>
                <w:color w:val="auto"/>
              </w:rPr>
              <w:t>Transaction-related costs</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4520" w:type="dxa"/>
            <w:vAlign w:val="bottom"/>
          </w:tcPr>
          <w:p>
            <w:pPr>
              <w:ind w:left="70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45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0</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17145</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0</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17145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500" w:right="220"/>
        <w:spacing w:after="0" w:line="243" w:lineRule="auto"/>
        <w:rPr>
          <w:sz w:val="20"/>
          <w:szCs w:val="20"/>
          <w:color w:val="auto"/>
        </w:rPr>
      </w:pPr>
      <w:r>
        <w:rPr>
          <w:rFonts w:ascii="Arial" w:cs="Arial" w:eastAsia="Arial" w:hAnsi="Arial"/>
          <w:sz w:val="16"/>
          <w:szCs w:val="16"/>
          <w:color w:val="auto"/>
        </w:rPr>
        <w:t>Previously reported amounts were recast for a change in the Company’s reportable segments. The financial results of the Company’s North America, South America, Central America and Caribbean operations are now reported in the Company’s Americas segment.</w:t>
      </w:r>
    </w:p>
    <w:p>
      <w:pPr>
        <w:spacing w:after="0" w:line="6" w:lineRule="exact"/>
        <w:rPr>
          <w:sz w:val="20"/>
          <w:szCs w:val="20"/>
          <w:color w:val="auto"/>
        </w:rPr>
      </w:pPr>
    </w:p>
    <w:p>
      <w:pPr>
        <w:ind w:left="820" w:right="220" w:hanging="326"/>
        <w:spacing w:after="0" w:line="207" w:lineRule="auto"/>
        <w:tabs>
          <w:tab w:leader="none" w:pos="8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As a result of the change in the Company’s reportable segments, $19 million of revenues previously reported in International are now reported in the Americas in the three months ended March 31, 2014.</w:t>
      </w:r>
    </w:p>
    <w:p>
      <w:pPr>
        <w:spacing w:after="0" w:line="1" w:lineRule="exact"/>
        <w:rPr>
          <w:rFonts w:ascii="Arial" w:cs="Arial" w:eastAsia="Arial" w:hAnsi="Arial"/>
          <w:sz w:val="22"/>
          <w:szCs w:val="22"/>
          <w:color w:val="auto"/>
          <w:vertAlign w:val="superscript"/>
        </w:rPr>
      </w:pPr>
    </w:p>
    <w:p>
      <w:pPr>
        <w:ind w:left="820" w:hanging="326"/>
        <w:spacing w:after="0" w:line="207" w:lineRule="auto"/>
        <w:tabs>
          <w:tab w:leader="none" w:pos="8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As a result of the change in the Company’s reportable segments, $3 million of Adjusted EBITDA previously reported in International is now reported in the Americas in the three months ended March 31, 2014.</w:t>
      </w:r>
    </w:p>
    <w:p>
      <w:pPr>
        <w:spacing w:after="0" w:line="1" w:lineRule="exact"/>
        <w:rPr>
          <w:rFonts w:ascii="Arial" w:cs="Arial" w:eastAsia="Arial" w:hAnsi="Arial"/>
          <w:sz w:val="22"/>
          <w:szCs w:val="22"/>
          <w:color w:val="auto"/>
          <w:vertAlign w:val="superscript"/>
        </w:rPr>
      </w:pPr>
    </w:p>
    <w:p>
      <w:pPr>
        <w:ind w:left="820" w:hanging="326"/>
        <w:spacing w:after="0" w:line="184" w:lineRule="auto"/>
        <w:tabs>
          <w:tab w:leader="none" w:pos="8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80"/>
          </w:cols>
          <w:pgMar w:left="240" w:top="140" w:right="27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Since December 31, 2014, there have been no significant changes in segment assets and segment assets under vehicle programs.</w:t>
      </w:r>
    </w:p>
    <w:p>
      <w:pPr>
        <w:spacing w:after="0" w:line="203"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8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months ended March 31, 2015 and 2014, Consolidating Condensed Balance Sheets as of March 31, 2015 and December 31, 2014, and Consolidating Condensed Statements of Cash Flows for the three months ended March 31, 2015 and 2014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7 - Long-term Debt and Borrowing Arrangements for additional description of these guaranteed notes. The Senior Notes have separate investors than the equity investors of the Company and are guaranteed by the Parent and certain subsidiaries.</w:t>
      </w:r>
    </w:p>
    <w:p>
      <w:pPr>
        <w:spacing w:after="0" w:line="211"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76"/>
        </w:trPr>
        <w:tc>
          <w:tcPr>
            <w:tcW w:w="3580" w:type="dxa"/>
            <w:vAlign w:val="bottom"/>
          </w:tcPr>
          <w:p>
            <w:pPr>
              <w:ind w:left="10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4"/>
                <w:szCs w:val="14"/>
                <w:color w:val="auto"/>
              </w:rPr>
              <w:t>Net revenues</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1,850</w:t>
            </w:r>
          </w:p>
        </w:tc>
        <w:tc>
          <w:tcPr>
            <w:tcW w:w="0" w:type="dxa"/>
            <w:vAlign w:val="bottom"/>
          </w:tcPr>
          <w:p>
            <w:pPr>
              <w:spacing w:after="0"/>
              <w:rPr>
                <w:sz w:val="1"/>
                <w:szCs w:val="1"/>
                <w:color w:val="auto"/>
              </w:rPr>
            </w:pPr>
          </w:p>
        </w:tc>
      </w:tr>
      <w:tr>
        <w:trPr>
          <w:trHeight w:val="515"/>
        </w:trPr>
        <w:tc>
          <w:tcPr>
            <w:tcW w:w="35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0"/>
        </w:trPr>
        <w:tc>
          <w:tcPr>
            <w:tcW w:w="358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80" w:type="dxa"/>
            <w:vAlign w:val="bottom"/>
          </w:tcPr>
          <w:p>
            <w:pPr>
              <w:ind w:left="100"/>
              <w:spacing w:after="0"/>
              <w:rPr>
                <w:sz w:val="20"/>
                <w:szCs w:val="20"/>
                <w:color w:val="auto"/>
              </w:rPr>
            </w:pPr>
            <w:r>
              <w:rPr>
                <w:rFonts w:ascii="Arial" w:cs="Arial" w:eastAsia="Arial" w:hAnsi="Arial"/>
                <w:sz w:val="14"/>
                <w:szCs w:val="14"/>
                <w:color w:val="auto"/>
              </w:rPr>
              <w:t>Transaction-related costs</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358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4"/>
                <w:szCs w:val="14"/>
                <w:color w:val="auto"/>
              </w:rPr>
              <w:t>Total expenses</w:t>
            </w: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1,866</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358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580" w:type="dxa"/>
            <w:vAlign w:val="bottom"/>
            <w:vMerge w:val="continue"/>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1,329</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Net revenues</w:t>
            </w:r>
          </w:p>
        </w:tc>
        <w:tc>
          <w:tcPr>
            <w:tcW w:w="9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488"/>
        </w:trPr>
        <w:tc>
          <w:tcPr>
            <w:tcW w:w="36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23"/>
                <w:szCs w:val="23"/>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900" w:type="dxa"/>
            <w:vAlign w:val="bottom"/>
          </w:tcPr>
          <w:p>
            <w:pPr>
              <w:spacing w:after="0"/>
              <w:rPr>
                <w:sz w:val="23"/>
                <w:szCs w:val="23"/>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9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90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9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9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9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900" w:type="dxa"/>
            <w:vAlign w:val="bottom"/>
          </w:tcPr>
          <w:p>
            <w:pPr>
              <w:spacing w:after="0"/>
              <w:rPr>
                <w:sz w:val="23"/>
                <w:szCs w:val="23"/>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660" w:type="dxa"/>
            <w:vAlign w:val="bottom"/>
            <w:vMerge w:val="continue"/>
          </w:tcPr>
          <w:p>
            <w:pPr>
              <w:spacing w:after="0"/>
              <w:rPr>
                <w:sz w:val="24"/>
                <w:szCs w:val="24"/>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5,422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6,089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6,041</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10,675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10,777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11,451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5,442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14,063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(8,813)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17,492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3,481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5,946</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6,838</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11,025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5,442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6,174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14,063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140"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5,165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11,058</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5,173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16,969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3,392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5,677</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6,340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6,340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10,627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(6,856)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5,173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13,799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140" w:right="2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advances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30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2,444</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3,667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3,667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(3,458)</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7"/>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7"/>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3,775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3,775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(3,280)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7"/>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27"/>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April 2015, the Company used proceeds from its issuance of $375 million 5¼% Senior Notes due 2025 to redeem the remaining $223 million principal amount of its 9¾% Senior Notes due 2020 and to finance a portion of its acquisition of Maggiore Group. In connection with this redemption, the Company expects to record debt extinguishment costs of approximately $23 million.</w:t>
      </w:r>
    </w:p>
    <w:p>
      <w:pPr>
        <w:spacing w:after="0" w:line="201" w:lineRule="exact"/>
        <w:rPr>
          <w:rFonts w:ascii="Arial" w:cs="Arial" w:eastAsia="Arial" w:hAnsi="Arial"/>
          <w:sz w:val="18"/>
          <w:szCs w:val="18"/>
          <w:b w:val="1"/>
          <w:bCs w:val="1"/>
          <w:color w:val="auto"/>
        </w:rPr>
      </w:pPr>
    </w:p>
    <w:p>
      <w:pPr>
        <w:ind w:left="500" w:right="6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April 2015, the Company completed the acquisition of Maggiore Group, a leading provider of vehicle rental services in Italy, for approximately $160 million, net of acquired cash and short-term investments.</w:t>
      </w:r>
    </w:p>
    <w:p>
      <w:pPr>
        <w:spacing w:after="0" w:line="196" w:lineRule="exact"/>
        <w:rPr>
          <w:rFonts w:ascii="Arial" w:cs="Arial" w:eastAsia="Arial" w:hAnsi="Arial"/>
          <w:sz w:val="18"/>
          <w:szCs w:val="18"/>
          <w:b w:val="1"/>
          <w:bCs w:val="1"/>
          <w:color w:val="auto"/>
        </w:rPr>
      </w:pPr>
    </w:p>
    <w:p>
      <w:pPr>
        <w:ind w:left="500" w:right="4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April 2015, the Company amended its European fleet securitization program to extend its maturity, lower its cost and increase its capacity to €1.0 billion.</w:t>
      </w:r>
    </w:p>
    <w:p>
      <w:pPr>
        <w:spacing w:after="0" w:line="200" w:lineRule="exact"/>
        <w:rPr>
          <w:sz w:val="20"/>
          <w:szCs w:val="20"/>
          <w:color w:val="auto"/>
        </w:rPr>
      </w:pPr>
    </w:p>
    <w:p>
      <w:pPr>
        <w:spacing w:after="0" w:line="361" w:lineRule="exact"/>
        <w:rPr>
          <w:sz w:val="20"/>
          <w:szCs w:val="20"/>
          <w:color w:val="auto"/>
        </w:rPr>
      </w:pPr>
    </w:p>
    <w:p>
      <w:pPr>
        <w:jc w:val="center"/>
        <w:ind w:right="-9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140"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2014 Annual Report on Form 10-K filed with the Securities and Exchange Commission on February 23, 2015 (the “2014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2014 Form 10-K. Unless otherwise noted, all dollar amounts in tables are in millions and those relating to our results of operations are presented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548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 rental fleet of more than 500,000 vehicles. We also license the use of the Avis and Budget trademarks to licensees in the areas in which we do not operate directly. We and our licensees operate the Avis, Budget and/or Zipcar brands in approximately 175 countries throughout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Avis and Budget vehicle rental operations in North America, South America, Central America and the Caribbean, and our car sharing operations in certain of these markets;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Avis and Budget vehicle rental operations in Europe, the Middle East, Africa, Asia, Australia and New Zealand, and our car sharing operations in certain of these markets. In conjunction with a change in our management structure in first quarter 2015, which resulted in a change to our reportable segments, the financial results of our North America, South America, Central America and Caribbean operations are now included in our Americas reportable segment. Segment financial information presented below has been recast to conform with our current business segment reporting alignment for all periods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and/or impact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demand for truck rentals and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price of gasoline;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Thus far in 2015, we have continued to operate in an uncertain and uneven economic environment. Nonetheless, we continue to anticipate that worldwide demand for vehicle rental and car sharing services will increase in 2015,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2015 to enhance our returns on invested capital and profitability.</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appropriate investments in technology and adjustments in the size, nature and terms of our relationships with vehicle manufacturers.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Year-to-Date Highlights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2015:</w:t>
      </w:r>
    </w:p>
    <w:p>
      <w:pPr>
        <w:spacing w:after="0" w:line="225" w:lineRule="exact"/>
        <w:rPr>
          <w:sz w:val="20"/>
          <w:szCs w:val="20"/>
          <w:color w:val="auto"/>
        </w:rPr>
      </w:pPr>
    </w:p>
    <w:p>
      <w:pPr>
        <w:ind w:left="660" w:right="32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net revenues, at $1.9 billion, remained level compared to prior year, despite an approximately $85 million negative impact from currency exchange rate movements.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totaled $117 million, unchanged from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repurchased $31 million of our common stock, reducing our shares outstanding by approximately 0.5 million shares.</w:t>
      </w:r>
    </w:p>
    <w:p>
      <w:pPr>
        <w:spacing w:after="0" w:line="225"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acquired our Avis and Budget licensees in Norway, Sweden and Denmark, and agreed to acquire Maggiore Group, the fourth-largest vehicle rental company in Italy.</w:t>
      </w:r>
    </w:p>
    <w:p>
      <w:pPr>
        <w:spacing w:after="0" w:line="196"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issued $375 million of 5¼% Senior Notes due 2025, the proceeds of which have been used during April primarily to redeem all $223 million of our outstanding 9¾% Senior Notes due 2020 and to finance a portion of our acquisition of Maggiore Group.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40"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measure performance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U.S. truck rental and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 In addition, per-unit fleet costs exclude U.S. truck rental operations.</w:t>
      </w:r>
    </w:p>
    <w:p>
      <w:pPr>
        <w:spacing w:after="0" w:line="206"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and income taxes. Our presentation of Adjusted EBITDA may not be comparable to similarly-titled measures used by other companies.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2015 vs. Three Months Ended March 31, 2014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ind w:left="60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626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Transaction-related costs</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6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20"/>
                <w:szCs w:val="20"/>
                <w:color w:val="auto"/>
              </w:rPr>
            </w:pPr>
            <w:r>
              <w:rPr>
                <w:rFonts w:ascii="Arial" w:cs="Arial" w:eastAsia="Arial" w:hAnsi="Arial"/>
                <w:sz w:val="16"/>
                <w:szCs w:val="16"/>
                <w:color w:val="auto"/>
              </w:rPr>
              <w:t>*   Not meaningful.</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During first quarter 2015, our net revenues were essentially unchanged as a 5% increase in total rental days was largely offset by an approximately $85 million (5%) negative impact from currency exchange rate movements.</w:t>
      </w:r>
    </w:p>
    <w:p>
      <w:pPr>
        <w:spacing w:after="0" w:line="196"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Total expenses increased as a result of increased volumes, a 6% increase in our car rental fleet and transaction-related costs resulting from a non-cash charge for the write-off of an intangible license agreement asset in connection with the acquisition of our Avis and Budget licensee in Scandinavia. These increases were largely offset by a positive impact from currency exchange rate movements on expenses of approximately $110 million. As</w:t>
      </w:r>
    </w:p>
    <w:p>
      <w:pPr>
        <w:sectPr>
          <w:pgSz w:w="11900" w:h="16838" w:orient="portrait"/>
          <w:cols w:equalWidth="0" w:num="1">
            <w:col w:w="11420"/>
          </w:cols>
          <w:pgMar w:left="240" w:top="140"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40"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 result of these items, our net income decreased by $13 million. Our effective tax rates were a benefit of 44% and a provision of 20% for the three months ended March 31, 2015 and 2014, respectively.</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three months ended March 31, 2015, the Company reported a loss of $0.09 per diluted share, which includes after-tax transaction costs of ($0.20) per share. For the three months ended March 31, 2014, the Company reported earnings of $0.03 per diluted share, which includes after-tax transaction costs of ($0.05) per share and after-tax restructuring expense of ($0.04)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2015:</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expenses decreased to 53.2% of revenue from 53.7% compared to the prior-year period, as rental volumes increased.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23.4% of revenue from 23.2% compared to first quarter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13.4% of revenue from 13.3% in first quarter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Vehicle interest costs were 3.7% of revenue compared to 3.5%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rPr>
              <w:t>3%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4"/>
        </w:trPr>
        <w:tc>
          <w:tcPr>
            <w:tcW w:w="362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6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62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4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w:t>
            </w:r>
          </w:p>
        </w:tc>
      </w:tr>
      <w:tr>
        <w:trPr>
          <w:trHeight w:val="284"/>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0%</w:t>
            </w:r>
          </w:p>
        </w:tc>
      </w:tr>
    </w:tbl>
    <w:p>
      <w:pPr>
        <w:spacing w:after="0" w:line="2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Revenues increased 3% in first quarter 2015 compared with first quarter 2014, primarily due to 5% growth in rental volumes, partially offset by a $9 million negative impact from currency exchange rate movements.</w:t>
      </w:r>
    </w:p>
    <w:p>
      <w:pPr>
        <w:spacing w:after="0" w:line="1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Adjusted EBITDA remained level in first quarter 2015 compared with first quarter 2014, with increased rental volumes accompanied by higher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2015:</w:t>
      </w:r>
    </w:p>
    <w:p>
      <w:pPr>
        <w:spacing w:after="0" w:line="225" w:lineRule="exact"/>
        <w:rPr>
          <w:sz w:val="20"/>
          <w:szCs w:val="20"/>
          <w:color w:val="auto"/>
        </w:rPr>
      </w:pPr>
    </w:p>
    <w:p>
      <w:pPr>
        <w:jc w:val="center"/>
        <w:ind w:left="5620" w:right="180" w:hanging="5288"/>
        <w:spacing w:after="0" w:line="794" w:lineRule="auto"/>
        <w:tabs>
          <w:tab w:leader="none" w:pos="6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were 51.6% of revenue, compared to 52.1% in the prior-year period, principally due to increased rental volumes. 32</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6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24.7% of revenue from 24.0% in first quarter 2014, primarily due to lower fleet utilization.</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Selling, general and administrative costs, at 11.2% of revenue, remained level compared to the prior-year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interest costs were 4.1% of revenue compared to 4.0% in first quarter 2014.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40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14%</w:t>
            </w:r>
          </w:p>
        </w:tc>
      </w:tr>
    </w:tbl>
    <w:p>
      <w:pPr>
        <w:spacing w:after="0" w:line="215"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Revenues decreased 11% during first quarter 2015 compared to first quarter 2014, primarily due to a $76 million (14%) negative impact on revenues from currency exchange rate changes and a 3% decrease in pricing in constant currency, partially offset by a 5% increase in rental volumes and an 8% constant-currency increase in ancillary revenue. Total revenue per rental day remained unchanged in constant-currency.</w:t>
      </w:r>
    </w:p>
    <w:p>
      <w:pPr>
        <w:spacing w:after="0" w:line="18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Adjusted EBITDA increased $2 million in first quarter 2015 compared to first quarter 2014, primarily due to a $15 million positive impact from currency exchange rate changes, including hedging gains, and an increase in rental volumes, partially offset by lower pricing.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2015:</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expenses were 57.3% of revenue, a decrease from 57.8% in the prior-year period, due to currency hedge gains.</w:t>
      </w:r>
    </w:p>
    <w:p>
      <w:pPr>
        <w:spacing w:after="0" w:line="225"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19.5% of revenue from 21.3% compared to first quarter 2014, driven by 8% lower per-unit fleet costs in constant currency.</w:t>
      </w:r>
    </w:p>
    <w:p>
      <w:pPr>
        <w:spacing w:after="0" w:line="196"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17.4% of revenue from 16.3% in the prior-year period, primarily due to an increase in partnership commissions and brand marketing.</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interest costs increased to 2.5% of revenue compared to 2.1% in first quarter 2014 primarily due to increased vehicle-backed debt borrowings.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0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42"/>
        </w:trPr>
        <w:tc>
          <w:tcPr>
            <w:tcW w:w="5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6"/>
        </w:trPr>
        <w:tc>
          <w:tcPr>
            <w:tcW w:w="5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5,911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269</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11,451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11,058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10,627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689"/>
        </w:trPr>
        <w:tc>
          <w:tcPr>
            <w:tcW w:w="520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Total assets exclusive of assets under vehicle programs increased primarily due to a temporary increase in cash from the issuance of 5¼% Senior Notes due 2025 (see “Liquidity and Capital Resources”), largely offset by currency translation adjustments. Total liabilities exclusive of liabilities under vehicle programs increased primarily due to a temporary increase in corporate debt (see “Liquidity and Capital Resources” regarding the changes in our corporate financings).</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and associated funding. The decrease in stockholders’ equity is primarily due to currency translation adjustments and the repurchase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During the three months ended March 31, 2015, we issued $375 million of 5¼% Senior Notes due 2025 at par. In April 2015, proceeds from these borrowings were used to redeem the remaining $223 million principal amount of our 9¾% Senior Notes due 2020 and to finance a portion of our acquisition of Maggiore Group. In addition, we repurchased approximately 0.5 million shares of our outstanding common stock during the three months ended March 31, 2015, and increased our borrowings under vehicle programs to fund the seasonal increase in our rental fleet.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9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2015, we generated $113 million more cash from operating activities compared with the same period in 2014, principally due to the timing of working capital items.</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decrease in cash used in investing activities during the three months ended March 31, 2015 compared with the same period in 2014 is primarily due to a decrease in vehicle purchases in 2015 and the acquisition of our Budget licensee in Edmonton in 2014, partially offset by the acquisition of our Avis and Budget licensees in Norway, Sweden and Denmark in 2015.</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decrease in cash provided by financing activities during the three months ended March 31, 2015 compared with the same period in 2014 is primarily due to a decrease in net borrowings under vehicle programs, partially offset by an increase in corporate borrowings completed in the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At March 31, 2015, we had approximately $12 billion of indebtedness, including corporate indebtedness of approximately $3.7 billion and debt under vehicle programs of approximately $8.3 billion.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Corporate indebtedness consisted of:</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As of</w:t>
            </w: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96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Maturity</w:t>
            </w:r>
          </w:p>
        </w:tc>
        <w:tc>
          <w:tcPr>
            <w:tcW w:w="240" w:type="dxa"/>
            <w:vAlign w:val="bottom"/>
          </w:tcPr>
          <w:p>
            <w:pPr>
              <w:spacing w:after="0"/>
              <w:rPr>
                <w:sz w:val="23"/>
                <w:szCs w:val="2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55"/>
        </w:trPr>
        <w:tc>
          <w:tcPr>
            <w:tcW w:w="64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19"/>
                <w:szCs w:val="19"/>
                <w:color w:val="auto"/>
              </w:rPr>
            </w:pPr>
          </w:p>
        </w:tc>
        <w:tc>
          <w:tcPr>
            <w:tcW w:w="18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Dates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4⅞%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2017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(a)</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2017</w:t>
            </w:r>
          </w:p>
        </w:tc>
        <w:tc>
          <w:tcPr>
            <w:tcW w:w="24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5"/>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2019</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9¾%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2020</w:t>
            </w:r>
          </w:p>
        </w:tc>
        <w:tc>
          <w:tcPr>
            <w:tcW w:w="24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46"/>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6% Euro-denominated Senior Notes </w:t>
            </w:r>
            <w:r>
              <w:rPr>
                <w:rFonts w:ascii="Arial" w:cs="Arial" w:eastAsia="Arial" w:hAnsi="Arial"/>
                <w:sz w:val="21"/>
                <w:szCs w:val="21"/>
                <w:color w:val="auto"/>
                <w:vertAlign w:val="superscript"/>
              </w:rPr>
              <w:t>(c)</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2021</w:t>
            </w:r>
          </w:p>
        </w:tc>
        <w:tc>
          <w:tcPr>
            <w:tcW w:w="24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5⅛%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2022</w:t>
            </w:r>
          </w:p>
        </w:tc>
        <w:tc>
          <w:tcPr>
            <w:tcW w:w="24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5½%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2023</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5¼%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2025</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400" w:type="dxa"/>
            <w:vAlign w:val="bottom"/>
          </w:tcPr>
          <w:p>
            <w:pPr>
              <w:ind w:left="40"/>
              <w:spacing w:after="0"/>
              <w:rPr>
                <w:sz w:val="20"/>
                <w:szCs w:val="20"/>
                <w:color w:val="auto"/>
              </w:rPr>
            </w:pPr>
            <w:r>
              <w:rPr>
                <w:rFonts w:ascii="Arial" w:cs="Arial" w:eastAsia="Arial" w:hAnsi="Arial"/>
                <w:sz w:val="16"/>
                <w:szCs w:val="16"/>
                <w:color w:val="auto"/>
              </w:rPr>
              <w:t>Other</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240" w:hanging="332"/>
        <w:spacing w:after="0" w:line="211"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3.01% at March 31, 2015; the Company has entered into an interest rate swap to hedge its interest rate exposure related to these notes at an aggregate rate of 3.58%.</w:t>
      </w:r>
    </w:p>
    <w:p>
      <w:pPr>
        <w:ind w:left="340" w:right="120" w:hanging="332"/>
        <w:spacing w:after="0" w:line="225"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March 31, 2015, the floating rate term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reduction in the balance principally reflects currency translation adjustments.</w:t>
      </w:r>
    </w:p>
    <w:p>
      <w:pPr>
        <w:spacing w:after="0" w:line="20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 (AESOP) LLC (“Avis Budget Rental Car Funding”):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As of</w:t>
            </w: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23"/>
                <w:szCs w:val="23"/>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07"/>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6,838</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6,340</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(b)</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(c)</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75"/>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(c)</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8,341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9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340" w:hanging="332"/>
        <w:spacing w:after="0" w:line="187" w:lineRule="auto"/>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The decrease results from the timing of borrowings.</w:t>
      </w:r>
    </w:p>
    <w:p>
      <w:pPr>
        <w:ind w:left="340" w:hanging="332"/>
        <w:spacing w:after="0" w:line="199" w:lineRule="auto"/>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The decrease principally reflects currency translation adjustments.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the committed corporate credit facilities available to us and/or our subsidiaries included: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Letters of</w:t>
            </w:r>
          </w:p>
        </w:tc>
        <w:tc>
          <w:tcPr>
            <w:tcW w:w="26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5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1,059</w:t>
            </w:r>
          </w:p>
        </w:tc>
      </w:tr>
      <w:tr>
        <w:trPr>
          <w:trHeight w:val="221"/>
        </w:trPr>
        <w:tc>
          <w:tcPr>
            <w:tcW w:w="5160" w:type="dxa"/>
            <w:vAlign w:val="bottom"/>
          </w:tcPr>
          <w:p>
            <w:pPr>
              <w:ind w:left="4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187"/>
        </w:trPr>
        <w:tc>
          <w:tcPr>
            <w:tcW w:w="5160" w:type="dxa"/>
            <w:vAlign w:val="bottom"/>
          </w:tcPr>
          <w:p>
            <w:pPr>
              <w:jc w:val="right"/>
              <w:ind w:right="4179"/>
              <w:spacing w:after="0"/>
              <w:rPr>
                <w:sz w:val="20"/>
                <w:szCs w:val="20"/>
                <w:color w:val="auto"/>
              </w:rPr>
            </w:pPr>
            <w:r>
              <w:rPr>
                <w:rFonts w:ascii="Arial" w:cs="Arial" w:eastAsia="Arial" w:hAnsi="Arial"/>
                <w:sz w:val="16"/>
                <w:szCs w:val="16"/>
                <w:color w:val="auto"/>
                <w:w w:val="98"/>
              </w:rPr>
              <w:t>__________</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5" w:lineRule="exact"/>
        <w:rPr>
          <w:sz w:val="20"/>
          <w:szCs w:val="20"/>
          <w:color w:val="auto"/>
        </w:rPr>
      </w:pPr>
    </w:p>
    <w:p>
      <w:pPr>
        <w:ind w:left="340" w:right="140" w:hanging="332"/>
        <w:spacing w:after="0" w:line="211"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340" w:hanging="332"/>
        <w:spacing w:after="0" w:line="199"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2.95% to 5.69% as of March 31, 2015.</w:t>
      </w:r>
    </w:p>
    <w:p>
      <w:pPr>
        <w:spacing w:after="0" w:line="20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At March 31, 2015, we had various uncommitted credit facilities available, under which we had drawn approximately $1 million, which bear interest at rates between 0.41% and 2.50%.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at March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line="234"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b w:val="1"/>
                <w:bCs w:val="1"/>
                <w:color w:val="auto"/>
                <w:w w:val="97"/>
                <w:vertAlign w:val="superscript"/>
              </w:rPr>
              <w:t>(a)</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Borrowings</w:t>
            </w:r>
          </w:p>
        </w:tc>
        <w:tc>
          <w:tcPr>
            <w:tcW w:w="300" w:type="dxa"/>
            <w:vAlign w:val="bottom"/>
          </w:tcPr>
          <w:p>
            <w:pPr>
              <w:spacing w:after="0"/>
              <w:rPr>
                <w:sz w:val="20"/>
                <w:szCs w:val="20"/>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301"/>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(b)</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9,458</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6,838</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12,344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8,341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340" w:hanging="332"/>
        <w:spacing w:after="0" w:line="187"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$8.5 billion of underlying vehicles and related assets.</w:t>
      </w:r>
    </w:p>
    <w:p>
      <w:pPr>
        <w:ind w:left="340" w:hanging="332"/>
        <w:spacing w:after="0" w:line="187"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$832 million of underlying vehicles and related assets.</w:t>
      </w:r>
    </w:p>
    <w:p>
      <w:pPr>
        <w:ind w:left="340" w:hanging="332"/>
        <w:spacing w:after="0" w:line="187"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$1.1 billion of underlying vehicles and related assets.</w:t>
      </w:r>
    </w:p>
    <w:p>
      <w:pPr>
        <w:ind w:left="340" w:hanging="332"/>
        <w:spacing w:after="0" w:line="199"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$283 million of underlying vehicles and related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 related debt and procurement of rental vehicles to be used in our operations. The present intention of management is to reinvest the undistributed earnings of our foreign subsidiaries indefinitely into our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206" w:lineRule="exact"/>
        <w:rPr>
          <w:sz w:val="20"/>
          <w:szCs w:val="20"/>
          <w:color w:val="auto"/>
        </w:rPr>
      </w:pPr>
    </w:p>
    <w:p>
      <w:pPr>
        <w:jc w:val="both"/>
        <w:ind w:right="680"/>
        <w:spacing w:after="0" w:line="262" w:lineRule="auto"/>
        <w:rPr>
          <w:sz w:val="20"/>
          <w:szCs w:val="20"/>
          <w:color w:val="auto"/>
        </w:rPr>
      </w:pPr>
      <w:r>
        <w:rPr>
          <w:rFonts w:ascii="Arial" w:cs="Arial" w:eastAsia="Arial" w:hAnsi="Arial"/>
          <w:sz w:val="18"/>
          <w:szCs w:val="18"/>
          <w:color w:val="auto"/>
        </w:rPr>
        <w:t>As discussed above, as of March 31, 2015, we have cash and cash equivalents of $854 million, available borrowing capacity under our committed credit facilities of approximately $1.1 billion and available capacity under our vehicle programs of approximately $4.0 billion.</w:t>
      </w:r>
    </w:p>
    <w:p>
      <w:pPr>
        <w:spacing w:after="0" w:line="19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w:t>
      </w:r>
    </w:p>
    <w:p>
      <w:pPr>
        <w:spacing w:after="0" w:line="9" w:lineRule="exact"/>
        <w:rPr>
          <w:rFonts w:ascii="Arial" w:cs="Arial" w:eastAsia="Arial" w:hAnsi="Arial"/>
          <w:sz w:val="18"/>
          <w:szCs w:val="18"/>
          <w:color w:val="auto"/>
        </w:rPr>
      </w:pPr>
    </w:p>
    <w:p>
      <w:pPr>
        <w:ind w:right="300"/>
        <w:spacing w:after="0" w:line="254" w:lineRule="auto"/>
        <w:rPr>
          <w:rFonts w:ascii="Arial" w:cs="Arial" w:eastAsia="Arial" w:hAnsi="Arial"/>
          <w:sz w:val="18"/>
          <w:szCs w:val="18"/>
          <w:color w:val="auto"/>
        </w:rPr>
      </w:pPr>
      <w:r>
        <w:rPr>
          <w:rFonts w:ascii="Arial" w:cs="Arial" w:eastAsia="Arial" w:hAnsi="Arial"/>
          <w:sz w:val="18"/>
          <w:szCs w:val="18"/>
          <w:color w:val="auto"/>
        </w:rPr>
        <w:t>increased collateral needs under, our financings, (iii) the adverse impact of vehicle manufacturers, including Ford, General Motors, Chrysler, Peugeot, Volkswagen, Kia, Fiat, Toyota, Mercedes, Volvo and BMW,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March 31, 2015, we were in compliance with the financial covenants governing our indebtedness. For additional information regarding our liquidity risks, see Part I, Item 1A, “Risk Factors” of our 2014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2014 Form 10-K with the exception of our commitment to purchase vehicles, which decreased by approximately $1.4 billion from December 31, 2014, to approximately $5.3 billion at March 31, 2015. Changes to our obligations related to corporate indebtedness and debt under vehicle programs are presented above within the section titled “Liquidity and Capital Resources—Debt and Financing Arrangements” and also within Notes 7 and 8 to our Consolidated Condensed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2014 Form 10-K are the accounting policies (related to goodwill and other indefinite-lived intangible assets, business combinations, vehicles, income taxes and public liability, property damage and other insurance liabilities) that we believe require subjective and/or complex judgments that could potentially affect 2015 reported results. There have been no significant changes to those accounting policies or our assessment of which accounting policies we would consider to be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3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2015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March 31, 2015. For additional information regarding our long-term borrowings and financial instruments, see Notes 7, 8 and 12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period ended March 31, 2015.</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February 2015, the French Competition Authority issued a statement of objections alleging that several car rental companies, including the Company and two of its European subsidiaries, violated competition law by exchanging confidential information with twelve French airports and the car rental companies operating at those airports and by engaging in a concerted practice relating to train station surcharges. The Company believes that it has valid defenses and intends to vigorously defend against the allegations.</w:t>
      </w:r>
    </w:p>
    <w:p>
      <w:pPr>
        <w:spacing w:after="0" w:line="16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March 2015, the Canadian Competition Bureau filed an application with the Competition Tribunal alleging that the Company and two of its Canadian subsidiaries engaged in deceptive marketing practices with regard to certain charges that consumers are invoiced related to renting a vehicle and associated products in Canada. The application seeks penalties against the Company and its subsidiaries totaling approximately $25 million as well as reimbursements to current and former customers of amounts collected and retained by the Company related to the alleged deceptive marketing practices. The Company believes it has valid defenses and intends to vigorously defend against the allegations.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Company’s legal proceedings, please refer to the Company’s 2014 Annual Report on Form 10-K.</w:t>
      </w:r>
    </w:p>
    <w:p>
      <w:pPr>
        <w:spacing w:after="0" w:line="2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Avis Budget Group’s common stock repurchases by month for the quarter ended March 31, 2015: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January 1-31, 2015</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159,781</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62.58</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159,781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274,453,525</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February 1-28, 2015</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97,917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61.27</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97,917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268,453,927</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March 1-31, 2015</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251,155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58.73</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251,155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253,703,261</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508,853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60.43</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508,853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253,703,261</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right="260" w:hanging="332"/>
        <w:spacing w:after="0" w:line="234" w:lineRule="auto"/>
        <w:tabs>
          <w:tab w:leader="none" w:pos="340" w:val="left"/>
        </w:tabs>
        <w:numPr>
          <w:ilvl w:val="0"/>
          <w:numId w:val="52"/>
        </w:numPr>
        <w:rPr>
          <w:rFonts w:ascii="Arial" w:cs="Arial" w:eastAsia="Arial" w:hAnsi="Arial"/>
          <w:sz w:val="22"/>
          <w:szCs w:val="22"/>
          <w:color w:val="auto"/>
          <w:vertAlign w:val="superscript"/>
        </w:rPr>
      </w:pPr>
      <w:r>
        <w:rPr>
          <w:rFonts w:ascii="Arial" w:cs="Arial" w:eastAsia="Arial" w:hAnsi="Arial"/>
          <w:sz w:val="16"/>
          <w:szCs w:val="16"/>
          <w:color w:val="auto"/>
        </w:rPr>
        <w:t>Excludes, for the three months ended March 31, 2015, 685,647 shares which were withheld by the Company to satisfy employees</w:t>
      </w:r>
      <w:r>
        <w:rPr>
          <w:rFonts w:ascii="Arial" w:cs="Arial" w:eastAsia="Arial" w:hAnsi="Arial"/>
          <w:sz w:val="18"/>
          <w:szCs w:val="18"/>
          <w:color w:val="auto"/>
        </w:rPr>
        <w:t>’</w:t>
      </w:r>
      <w:r>
        <w:rPr>
          <w:rFonts w:ascii="Arial" w:cs="Arial" w:eastAsia="Arial" w:hAnsi="Arial"/>
          <w:sz w:val="16"/>
          <w:szCs w:val="16"/>
          <w:color w:val="auto"/>
        </w:rPr>
        <w:t xml:space="preserve"> income tax liabilities attributable to the vesting of restricted stock unit awards.</w:t>
      </w:r>
    </w:p>
    <w:p>
      <w:pPr>
        <w:spacing w:after="0" w:line="22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62626"/>
        </w:rPr>
        <w:t>The Company has obtained Board approval to repurchase up to $ 635 million of its common stock under a plan originally approved in August 2013 and subsequently expanded in April and October 2014.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2015</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Executive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5, 2015</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240" w:top="140" w:right="5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0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48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2"/>
                <w:szCs w:val="22"/>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Indenture dated as of March 11, 2015 among Avis Budget Car Rental, LLC and Avis Budget Finance, Inc., as Issuers, the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Guarantors from time to time parties thereto and The Bank of Nova Scotia Trust Company of New York as Trustee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(incorporated by reference to Exhibit 4.1 to the Company’s Current Report on Form 8-K dated March 17, 2015).</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w w:val="99"/>
              </w:rPr>
              <w:t>Form of 5.25% Senior Notes Due 2025 (incorporated by reference to Exhibit 4.2 to the Company’s Current Report on Form 8-K</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dated March 17, 2015).</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Series 2015-1 Supplement, dated as of January 29, 2015, between Avis Budget Rental Car Funding (AESOP) LLC and The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Bank of New York Mellon Trust Company, N.A., as trustee and as Series 2015-1 Agent (incorporated by reference to Exhibit</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10.1 to the Company’s Current Report on Form 8-K dated January 30, 2015).</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Purchase Agreement, dated as of March 4, 2015, by and among Avis Budget Car Rental, LLC and Avis Budget Finance, Inc.</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as issuers, Avis Budget Group, Inc. and certain of its subsidiaries as guarantors and Merrill Lynch, Pierce, Fenner &amp; Smith</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Incorporated for itself and on behalf of the several initial purchasers (incorporated by reference to Exhibit 10.1 to the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Company’s Current Report on Form 8-K dated March 10, 2015).</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2"/>
                <w:szCs w:val="22"/>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689"/>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20" w:type="dxa"/>
            <w:vAlign w:val="bottom"/>
          </w:tcPr>
          <w:p>
            <w:pPr>
              <w:ind w:left="4540"/>
              <w:spacing w:after="0"/>
              <w:rPr>
                <w:sz w:val="20"/>
                <w:szCs w:val="20"/>
                <w:color w:val="auto"/>
              </w:rPr>
            </w:pPr>
            <w:r>
              <w:rPr>
                <w:rFonts w:ascii="Arial" w:cs="Arial" w:eastAsia="Arial" w:hAnsi="Arial"/>
                <w:sz w:val="18"/>
                <w:szCs w:val="18"/>
                <w:color w:val="auto"/>
              </w:rPr>
              <w:t>40</w:t>
            </w:r>
          </w:p>
        </w:tc>
        <w:tc>
          <w:tcPr>
            <w:tcW w:w="88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380"/>
          </w:cols>
          <w:pgMar w:left="240" w:top="140" w:right="2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60"/>
              <w:spacing w:after="0"/>
              <w:rPr>
                <w:sz w:val="20"/>
                <w:szCs w:val="20"/>
                <w:color w:val="auto"/>
              </w:rPr>
            </w:pPr>
            <w:r>
              <w:rPr>
                <w:rFonts w:ascii="Arial" w:cs="Arial" w:eastAsia="Arial" w:hAnsi="Arial"/>
                <w:sz w:val="18"/>
                <w:szCs w:val="18"/>
                <w:color w:val="auto"/>
              </w:rPr>
              <w:t>Income (loss) from continuing operations before income taxes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830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3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7"/>
        </w:trPr>
        <w:tc>
          <w:tcPr>
            <w:tcW w:w="830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830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1"/>
                <w:szCs w:val="21"/>
                <w:color w:val="auto"/>
                <w:vertAlign w:val="superscript"/>
              </w:rPr>
              <w:t>(b)</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3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1.03x</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0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540" w:right="1140" w:hanging="168"/>
        <w:spacing w:after="0" w:line="451" w:lineRule="auto"/>
        <w:tabs>
          <w:tab w:leader="none" w:pos="154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2"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57"/>
        </w:trPr>
        <w:tc>
          <w:tcPr>
            <w:tcW w:w="80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37"/>
        </w:trPr>
        <w:tc>
          <w:tcPr>
            <w:tcW w:w="8020" w:type="dxa"/>
            <w:vAlign w:val="bottom"/>
          </w:tcPr>
          <w:p>
            <w:pPr>
              <w:spacing w:after="0"/>
              <w:rPr>
                <w:sz w:val="20"/>
                <w:szCs w:val="20"/>
                <w:color w:val="auto"/>
              </w:rPr>
            </w:pPr>
            <w:r>
              <w:rPr>
                <w:rFonts w:ascii="Arial" w:cs="Arial" w:eastAsia="Arial" w:hAnsi="Arial"/>
                <w:sz w:val="16"/>
                <w:szCs w:val="16"/>
                <w:color w:val="auto"/>
              </w:rPr>
              <w:t>Related to debt under vehicle programs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66</w:t>
            </w:r>
          </w:p>
        </w:tc>
      </w:tr>
      <w:tr>
        <w:trPr>
          <w:trHeight w:val="283"/>
        </w:trPr>
        <w:tc>
          <w:tcPr>
            <w:tcW w:w="8020" w:type="dxa"/>
            <w:vAlign w:val="bottom"/>
          </w:tcPr>
          <w:p>
            <w:pPr>
              <w:spacing w:after="0"/>
              <w:rPr>
                <w:sz w:val="20"/>
                <w:szCs w:val="20"/>
                <w:color w:val="auto"/>
              </w:rPr>
            </w:pPr>
            <w:r>
              <w:rPr>
                <w:rFonts w:ascii="Arial" w:cs="Arial" w:eastAsia="Arial" w:hAnsi="Arial"/>
                <w:sz w:val="16"/>
                <w:szCs w:val="16"/>
                <w:color w:val="auto"/>
              </w:rPr>
              <w:t>All other</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r>
      <w:tr>
        <w:trPr>
          <w:trHeight w:val="237"/>
        </w:trPr>
        <w:tc>
          <w:tcPr>
            <w:tcW w:w="8020" w:type="dxa"/>
            <w:vAlign w:val="bottom"/>
          </w:tcPr>
          <w:p>
            <w:pPr>
              <w:spacing w:after="0"/>
              <w:rPr>
                <w:sz w:val="20"/>
                <w:szCs w:val="20"/>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380" w:hanging="170"/>
        <w:spacing w:after="0"/>
        <w:tabs>
          <w:tab w:leader="none" w:pos="1380" w:val="left"/>
        </w:tabs>
        <w:numPr>
          <w:ilvl w:val="0"/>
          <w:numId w:val="54"/>
        </w:numPr>
        <w:rPr>
          <w:rFonts w:ascii="Arial" w:cs="Arial" w:eastAsia="Arial" w:hAnsi="Arial"/>
          <w:sz w:val="19"/>
          <w:szCs w:val="19"/>
          <w:color w:val="auto"/>
          <w:vertAlign w:val="superscript"/>
        </w:rPr>
      </w:pPr>
      <w:r>
        <w:rPr>
          <w:rFonts w:ascii="Arial" w:cs="Arial" w:eastAsia="Arial" w:hAnsi="Arial"/>
          <w:sz w:val="15"/>
          <w:szCs w:val="15"/>
          <w:color w:val="auto"/>
        </w:rPr>
        <w:t>Earnings were not sufficient to cover fixed charges for the three months ended March 31, 2015 by $16 million.</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Ronald L. Nelson, certify that:</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14605</wp:posOffset>
            </wp:positionV>
            <wp:extent cx="1903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May 5, 2015</w:t>
      </w:r>
    </w:p>
    <w:p>
      <w:pPr>
        <w:spacing w:after="0" w:line="3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3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Senior Executive Vice President and</w:t>
      </w:r>
    </w:p>
    <w:p>
      <w:pPr>
        <w:jc w:val="cente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March 31, 2015,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5, 2015</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5, 2015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6"/>
    </w:lvl>
  </w:abstractNum>
  <w:abstractNum w:abstractNumId="3">
    <w:nsid w:val="1E7FF521"/>
    <w:multiLevelType w:val="hybridMultilevel"/>
    <w:lvl w:ilvl="0">
      <w:lvlJc w:val="left"/>
      <w:lvlText w:val="(%1)"/>
      <w:numFmt w:val="decimal"/>
      <w:start w:val="7"/>
    </w:lvl>
  </w:abstractNum>
  <w:abstractNum w:abstractNumId="4">
    <w:nsid w:val="7C3DBD3D"/>
    <w:multiLevelType w:val="hybridMultilevel"/>
    <w:lvl w:ilvl="0">
      <w:lvlJc w:val="left"/>
      <w:lvlText w:val="%1."/>
      <w:numFmt w:val="decimal"/>
      <w:start w:val="1"/>
    </w:lvl>
    <w:lvl w:ilvl="1">
      <w:lvlJc w:val="left"/>
      <w:lvlText w:val="•"/>
      <w:numFmt w:val="bullet"/>
      <w:start w:val="1"/>
    </w:lvl>
  </w:abstractNum>
  <w:abstractNum w:abstractNumId="5">
    <w:nsid w:val="737B8DDC"/>
    <w:multiLevelType w:val="hybridMultilevel"/>
    <w:lvl w:ilvl="0">
      <w:lvlJc w:val="left"/>
      <w:lvlText w:val="%1."/>
      <w:numFmt w:val="decimal"/>
      <w:start w:val="2"/>
    </w:lvl>
  </w:abstractNum>
  <w:abstractNum w:abstractNumId="6">
    <w:nsid w:val="6CEAF087"/>
    <w:multiLevelType w:val="hybridMultilevel"/>
    <w:lvl w:ilvl="0">
      <w:lvlJc w:val="left"/>
      <w:lvlText w:val="%1."/>
      <w:numFmt w:val="decimal"/>
      <w:start w:val="3"/>
    </w:lvl>
  </w:abstractNum>
  <w:abstractNum w:abstractNumId="7">
    <w:nsid w:val="22221A70"/>
    <w:multiLevelType w:val="hybridMultilevel"/>
    <w:lvl w:ilvl="0">
      <w:lvlJc w:val="left"/>
      <w:lvlText w:val="%1"/>
      <w:numFmt w:val="decimal"/>
      <w:start w:val="1"/>
    </w:lvl>
    <w:lvl w:ilvl="1">
      <w:lvlJc w:val="left"/>
      <w:lvlText w:val="(%2)"/>
      <w:numFmt w:val="lowerLetter"/>
      <w:start w:val="1"/>
    </w:lvl>
  </w:abstractNum>
  <w:abstractNum w:abstractNumId="8">
    <w:nsid w:val="4516DDE9"/>
    <w:multiLevelType w:val="hybridMultilevel"/>
    <w:lvl w:ilvl="0">
      <w:lvlJc w:val="left"/>
      <w:lvlText w:val="%1."/>
      <w:numFmt w:val="decimal"/>
      <w:start w:val="4"/>
    </w:lvl>
    <w:lvl w:ilvl="1">
      <w:lvlJc w:val="left"/>
      <w:lvlText w:val="%2"/>
      <w:numFmt w:val="lowerLetter"/>
      <w:start w:val="1"/>
    </w:lvl>
  </w:abstractNum>
  <w:abstractNum w:abstractNumId="9">
    <w:nsid w:val="3006C83E"/>
    <w:multiLevelType w:val="hybridMultilevel"/>
    <w:lvl w:ilvl="0">
      <w:lvlJc w:val="left"/>
      <w:lvlText w:val="%1."/>
      <w:numFmt w:val="decimal"/>
      <w:start w:val="5"/>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decimal"/>
      <w:start w:val="6"/>
    </w:lvl>
  </w:abstractNum>
  <w:abstractNum w:abstractNumId="12">
    <w:nsid w:val="5577F8E1"/>
    <w:multiLevelType w:val="hybridMultilevel"/>
    <w:lvl w:ilvl="0">
      <w:lvlJc w:val="left"/>
      <w:lvlText w:val="%1."/>
      <w:numFmt w:val="decimal"/>
      <w:start w:val="7"/>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decimal"/>
      <w:start w:val="8"/>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Letter"/>
      <w:start w:val="2"/>
    </w:lvl>
  </w:abstractNum>
  <w:abstractNum w:abstractNumId="22">
    <w:nsid w:val="2D517796"/>
    <w:multiLevelType w:val="hybridMultilevel"/>
    <w:lvl w:ilvl="0">
      <w:lvlJc w:val="left"/>
      <w:lvlText w:val="%1."/>
      <w:numFmt w:val="decimal"/>
      <w:start w:val="9"/>
    </w:lvl>
  </w:abstractNum>
  <w:abstractNum w:abstractNumId="23">
    <w:nsid w:val="580BD78F"/>
    <w:multiLevelType w:val="hybridMultilevel"/>
    <w:lvl w:ilvl="0">
      <w:lvlJc w:val="left"/>
      <w:lvlText w:val="%1."/>
      <w:numFmt w:val="decimal"/>
      <w:start w:val="10"/>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1."/>
      <w:numFmt w:val="decimal"/>
      <w:start w:val="1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decimal"/>
      <w:start w:val="12"/>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decimal"/>
      <w:start w:val="1"/>
    </w:lvl>
    <w:lvl w:ilvl="1">
      <w:lvlJc w:val="left"/>
      <w:lvlText w:val="(%2)"/>
      <w:numFmt w:val="lowerLetter"/>
      <w:start w:val="1"/>
    </w:lvl>
  </w:abstractNum>
  <w:abstractNum w:abstractNumId="32">
    <w:nsid w:val="57E4CCAF"/>
    <w:multiLevelType w:val="hybridMultilevel"/>
    <w:lvl w:ilvl="0">
      <w:lvlJc w:val="left"/>
      <w:lvlText w:val="%1."/>
      <w:numFmt w:val="decimal"/>
      <w:start w:val="13"/>
    </w:lvl>
    <w:lvl w:ilvl="1">
      <w:lvlJc w:val="left"/>
      <w:lvlText w:val="%2"/>
      <w:numFmt w:val="lowerLetter"/>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decimal"/>
      <w:start w:val="14"/>
    </w:lvl>
  </w:abstractNum>
  <w:abstractNum w:abstractNumId="35">
    <w:nsid w:val="542289EC"/>
    <w:multiLevelType w:val="hybridMultilevel"/>
    <w:lvl w:ilvl="0">
      <w:lvlJc w:val="left"/>
      <w:lvlText w:val="%1."/>
      <w:numFmt w:val="decimal"/>
      <w:start w:val="15"/>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Roman"/>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lowerLetter"/>
      <w:start w:val="2"/>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2019-12-29T17:04:11Z</dcterms:created>
  <dcterms:modified xsi:type="dcterms:W3CDTF">2019-12-29T17:04:11Z</dcterms:modified>
</cp:coreProperties>
</file>