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March 27, 2026</w:t>
      </w:r>
    </w:p>
    <w:p>
      <w:pPr>
        <w:spacing w:after="0" w:line="4" w:lineRule="exact"/>
        <w:rPr>
          <w:sz w:val="24"/>
          <w:szCs w:val="24"/>
          <w:color w:val="auto"/>
        </w:rPr>
      </w:pPr>
    </w:p>
    <w:p>
      <w:pPr>
        <w:ind w:left="7980"/>
        <w:spacing w:after="0"/>
        <w:rPr>
          <w:sz w:val="20"/>
          <w:szCs w:val="20"/>
          <w:color w:val="auto"/>
        </w:rPr>
      </w:pPr>
      <w:r>
        <w:rPr>
          <w:rFonts w:ascii="Times New Roman" w:cs="Times New Roman" w:eastAsia="Times New Roman" w:hAnsi="Times New Roman"/>
          <w:sz w:val="11"/>
          <w:szCs w:val="11"/>
          <w:b w:val="1"/>
          <w:bCs w:val="1"/>
          <w:color w:val="auto"/>
        </w:rPr>
        <w:t xml:space="preserve">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wp:posOffset>
            </wp:positionH>
            <wp:positionV relativeFrom="paragraph">
              <wp:posOffset>44450</wp:posOffset>
            </wp:positionV>
            <wp:extent cx="55079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7990" cy="698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78105</wp:posOffset>
            </wp:positionV>
            <wp:extent cx="550799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7990" cy="6985"/>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2282825</wp:posOffset>
            </wp:positionH>
            <wp:positionV relativeFrom="paragraph">
              <wp:posOffset>93345</wp:posOffset>
            </wp:positionV>
            <wp:extent cx="11544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4430" cy="6985"/>
                    </a:xfrm>
                    <a:prstGeom prst="rect">
                      <a:avLst/>
                    </a:prstGeom>
                    <a:noFill/>
                  </pic:spPr>
                </pic:pic>
              </a:graphicData>
            </a:graphic>
          </wp:anchor>
        </w:drawing>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S-3</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REGISTRATION STATEMENT</w:t>
      </w:r>
    </w:p>
    <w:p>
      <w:pPr>
        <w:jc w:val="center"/>
        <w:ind w:right="19"/>
        <w:spacing w:after="0" w:line="234" w:lineRule="auto"/>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2282825</wp:posOffset>
            </wp:positionH>
            <wp:positionV relativeFrom="paragraph">
              <wp:posOffset>100330</wp:posOffset>
            </wp:positionV>
            <wp:extent cx="11544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4430" cy="6985"/>
                    </a:xfrm>
                    <a:prstGeom prst="rect">
                      <a:avLst/>
                    </a:prstGeom>
                    <a:noFill/>
                  </pic:spPr>
                </pic:pic>
              </a:graphicData>
            </a:graphic>
          </wp:anchor>
        </w:drawing>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Avis Budget Group,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2282825</wp:posOffset>
            </wp:positionH>
            <wp:positionV relativeFrom="paragraph">
              <wp:posOffset>92075</wp:posOffset>
            </wp:positionV>
            <wp:extent cx="11544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4430" cy="6985"/>
                    </a:xfrm>
                    <a:prstGeom prst="rect">
                      <a:avLst/>
                    </a:prstGeom>
                    <a:noFill/>
                  </pic:spPr>
                </pic:pic>
              </a:graphicData>
            </a:graphic>
          </wp:anchor>
        </w:drawing>
      </w:r>
    </w:p>
    <w:p>
      <w:pPr>
        <w:spacing w:after="0" w:line="214" w:lineRule="exact"/>
        <w:rPr>
          <w:sz w:val="24"/>
          <w:szCs w:val="24"/>
          <w:color w:val="auto"/>
        </w:rPr>
      </w:pPr>
    </w:p>
    <w:tbl>
      <w:tblPr>
        <w:tblLayout w:type="fixed"/>
        <w:tblInd w:w="1620" w:type="dxa"/>
        <w:tblCellMar>
          <w:top w:w="0" w:type="dxa"/>
          <w:left w:w="0" w:type="dxa"/>
          <w:bottom w:w="0" w:type="dxa"/>
          <w:right w:w="0" w:type="dxa"/>
        </w:tblCellMar>
      </w:tblPr>
      <w:tr>
        <w:trPr>
          <w:trHeight w:val="167"/>
        </w:trPr>
        <w:tc>
          <w:tcPr>
            <w:tcW w:w="3080" w:type="dxa"/>
            <w:vAlign w:val="bottom"/>
          </w:tcPr>
          <w:p>
            <w:pPr>
              <w:jc w:val="center"/>
              <w:ind w:right="1539"/>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2480" w:type="dxa"/>
            <w:vAlign w:val="bottom"/>
          </w:tcPr>
          <w:p>
            <w:pPr>
              <w:jc w:val="center"/>
              <w:ind w:left="1539"/>
              <w:spacing w:after="0"/>
              <w:rPr>
                <w:sz w:val="20"/>
                <w:szCs w:val="20"/>
                <w:color w:val="auto"/>
              </w:rPr>
            </w:pPr>
            <w:r>
              <w:rPr>
                <w:rFonts w:ascii="Times New Roman" w:cs="Times New Roman" w:eastAsia="Times New Roman" w:hAnsi="Times New Roman"/>
                <w:sz w:val="14"/>
                <w:szCs w:val="14"/>
                <w:b w:val="1"/>
                <w:bCs w:val="1"/>
                <w:color w:val="auto"/>
              </w:rPr>
              <w:t>06-0918165</w:t>
            </w:r>
          </w:p>
        </w:tc>
      </w:tr>
      <w:tr>
        <w:trPr>
          <w:trHeight w:val="117"/>
        </w:trPr>
        <w:tc>
          <w:tcPr>
            <w:tcW w:w="3080" w:type="dxa"/>
            <w:vAlign w:val="bottom"/>
          </w:tcPr>
          <w:p>
            <w:pPr>
              <w:jc w:val="center"/>
              <w:ind w:right="1559"/>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480" w:type="dxa"/>
            <w:vAlign w:val="bottom"/>
          </w:tcPr>
          <w:p>
            <w:pPr>
              <w:jc w:val="center"/>
              <w:ind w:left="1519"/>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3080" w:type="dxa"/>
            <w:vAlign w:val="bottom"/>
          </w:tcPr>
          <w:p>
            <w:pPr>
              <w:jc w:val="center"/>
              <w:ind w:right="1539"/>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480" w:type="dxa"/>
            <w:vAlign w:val="bottom"/>
          </w:tcPr>
          <w:p>
            <w:pPr>
              <w:jc w:val="center"/>
              <w:ind w:left="153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379 Interpace Parkway</w:t>
      </w:r>
    </w:p>
    <w:p>
      <w:pPr>
        <w:jc w:val="center"/>
        <w:ind w:right="19"/>
        <w:spacing w:after="0" w:line="230" w:lineRule="auto"/>
        <w:rPr>
          <w:sz w:val="20"/>
          <w:szCs w:val="20"/>
          <w:color w:val="auto"/>
        </w:rPr>
      </w:pPr>
      <w:r>
        <w:rPr>
          <w:rFonts w:ascii="Times New Roman" w:cs="Times New Roman" w:eastAsia="Times New Roman" w:hAnsi="Times New Roman"/>
          <w:sz w:val="11"/>
          <w:szCs w:val="11"/>
          <w:b w:val="1"/>
          <w:bCs w:val="1"/>
          <w:color w:val="auto"/>
        </w:rPr>
        <w:t>Parsippany, New Jersey 07054</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(973) 496-4700</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2282825</wp:posOffset>
            </wp:positionH>
            <wp:positionV relativeFrom="paragraph">
              <wp:posOffset>98425</wp:posOffset>
            </wp:positionV>
            <wp:extent cx="11544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4430" cy="6985"/>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Jean M. Sera</w:t>
      </w:r>
    </w:p>
    <w:p>
      <w:pPr>
        <w:jc w:val="center"/>
        <w:ind w:right="19"/>
        <w:spacing w:after="0" w:line="230" w:lineRule="auto"/>
        <w:rPr>
          <w:sz w:val="20"/>
          <w:szCs w:val="20"/>
          <w:color w:val="auto"/>
        </w:rPr>
      </w:pPr>
      <w:r>
        <w:rPr>
          <w:rFonts w:ascii="Times New Roman" w:cs="Times New Roman" w:eastAsia="Times New Roman" w:hAnsi="Times New Roman"/>
          <w:sz w:val="11"/>
          <w:szCs w:val="11"/>
          <w:b w:val="1"/>
          <w:bCs w:val="1"/>
          <w:color w:val="auto"/>
        </w:rPr>
        <w:t>SVP, General Counsel, Chief Compliance Officer</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and Corporate Secretary</w:t>
      </w:r>
    </w:p>
    <w:p>
      <w:pPr>
        <w:jc w:val="center"/>
        <w:ind w:right="19"/>
        <w:spacing w:after="0" w:line="221" w:lineRule="auto"/>
        <w:rPr>
          <w:sz w:val="20"/>
          <w:szCs w:val="20"/>
          <w:color w:val="auto"/>
        </w:rPr>
      </w:pPr>
      <w:r>
        <w:rPr>
          <w:rFonts w:ascii="Times New Roman" w:cs="Times New Roman" w:eastAsia="Times New Roman" w:hAnsi="Times New Roman"/>
          <w:sz w:val="11"/>
          <w:szCs w:val="11"/>
          <w:b w:val="1"/>
          <w:bCs w:val="1"/>
          <w:color w:val="auto"/>
        </w:rPr>
        <w:t>379 Interpace Parkway</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Parsippany, New Jersey 07054</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(973) 496-4700</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2282825</wp:posOffset>
            </wp:positionH>
            <wp:positionV relativeFrom="paragraph">
              <wp:posOffset>92075</wp:posOffset>
            </wp:positionV>
            <wp:extent cx="11544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4430" cy="698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Copies of all communications, including communications sent to agent for service, should be sent to:</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Joshua N. Korff, P.C.</w:t>
      </w:r>
    </w:p>
    <w:p>
      <w:pPr>
        <w:jc w:val="center"/>
        <w:ind w:right="19"/>
        <w:spacing w:after="0" w:line="230" w:lineRule="auto"/>
        <w:rPr>
          <w:sz w:val="20"/>
          <w:szCs w:val="20"/>
          <w:color w:val="auto"/>
        </w:rPr>
      </w:pPr>
      <w:r>
        <w:rPr>
          <w:rFonts w:ascii="Times New Roman" w:cs="Times New Roman" w:eastAsia="Times New Roman" w:hAnsi="Times New Roman"/>
          <w:sz w:val="11"/>
          <w:szCs w:val="11"/>
          <w:b w:val="1"/>
          <w:bCs w:val="1"/>
          <w:color w:val="auto"/>
        </w:rPr>
        <w:t>Alborz Tolou</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Diahndra Burman</w:t>
      </w:r>
    </w:p>
    <w:p>
      <w:pPr>
        <w:jc w:val="center"/>
        <w:ind w:right="19"/>
        <w:spacing w:after="0" w:line="221" w:lineRule="auto"/>
        <w:rPr>
          <w:sz w:val="20"/>
          <w:szCs w:val="20"/>
          <w:color w:val="auto"/>
        </w:rPr>
      </w:pPr>
      <w:r>
        <w:rPr>
          <w:rFonts w:ascii="Times New Roman" w:cs="Times New Roman" w:eastAsia="Times New Roman" w:hAnsi="Times New Roman"/>
          <w:sz w:val="11"/>
          <w:szCs w:val="11"/>
          <w:b w:val="1"/>
          <w:bCs w:val="1"/>
          <w:color w:val="auto"/>
        </w:rPr>
        <w:t>Kirkland &amp; Ellis LLP</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601 Lexington Avenue</w:t>
      </w:r>
    </w:p>
    <w:p>
      <w:pPr>
        <w:jc w:val="center"/>
        <w:ind w:right="19"/>
        <w:spacing w:after="0" w:line="222" w:lineRule="auto"/>
        <w:rPr>
          <w:sz w:val="20"/>
          <w:szCs w:val="20"/>
          <w:color w:val="auto"/>
        </w:rPr>
      </w:pPr>
      <w:r>
        <w:rPr>
          <w:rFonts w:ascii="Times New Roman" w:cs="Times New Roman" w:eastAsia="Times New Roman" w:hAnsi="Times New Roman"/>
          <w:sz w:val="11"/>
          <w:szCs w:val="11"/>
          <w:b w:val="1"/>
          <w:bCs w:val="1"/>
          <w:color w:val="auto"/>
        </w:rPr>
        <w:t>New York, New York 10022</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2282825</wp:posOffset>
            </wp:positionH>
            <wp:positionV relativeFrom="paragraph">
              <wp:posOffset>92075</wp:posOffset>
            </wp:positionV>
            <wp:extent cx="11544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54430" cy="6985"/>
                    </a:xfrm>
                    <a:prstGeom prst="rect">
                      <a:avLst/>
                    </a:prstGeom>
                    <a:noFill/>
                  </pic:spPr>
                </pic:pic>
              </a:graphicData>
            </a:graphic>
          </wp:anchor>
        </w:drawing>
      </w:r>
    </w:p>
    <w:p>
      <w:pPr>
        <w:spacing w:after="0" w:line="18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proposed sale to the public: </w:t>
      </w:r>
      <w:r>
        <w:rPr>
          <w:rFonts w:ascii="Times New Roman" w:cs="Times New Roman" w:eastAsia="Times New Roman" w:hAnsi="Times New Roman"/>
          <w:sz w:val="11"/>
          <w:szCs w:val="11"/>
          <w:color w:val="auto"/>
        </w:rPr>
        <w:t>As soon as practicable after the effective date of this registration statement.</w:t>
      </w:r>
    </w:p>
    <w:p>
      <w:pPr>
        <w:spacing w:after="0" w:line="30" w:lineRule="exact"/>
        <w:rPr>
          <w:sz w:val="24"/>
          <w:szCs w:val="24"/>
          <w:color w:val="auto"/>
        </w:rPr>
      </w:pPr>
    </w:p>
    <w:p>
      <w:pPr>
        <w:ind w:left="520"/>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80" w:lineRule="exact"/>
        <w:rPr>
          <w:sz w:val="24"/>
          <w:szCs w:val="24"/>
          <w:color w:val="auto"/>
        </w:rPr>
      </w:pPr>
    </w:p>
    <w:p>
      <w:pPr>
        <w:ind w:left="160" w:right="4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27" w:lineRule="exact"/>
        <w:rPr>
          <w:sz w:val="24"/>
          <w:szCs w:val="24"/>
          <w:color w:val="auto"/>
        </w:rPr>
      </w:pPr>
    </w:p>
    <w:p>
      <w:pPr>
        <w:ind w:left="160" w:right="63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6" w:lineRule="exact"/>
        <w:rPr>
          <w:sz w:val="24"/>
          <w:szCs w:val="24"/>
          <w:color w:val="auto"/>
        </w:rPr>
      </w:pPr>
    </w:p>
    <w:p>
      <w:pPr>
        <w:ind w:left="160" w:right="29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6" w:lineRule="exact"/>
        <w:rPr>
          <w:sz w:val="24"/>
          <w:szCs w:val="24"/>
          <w:color w:val="auto"/>
        </w:rPr>
      </w:pPr>
    </w:p>
    <w:p>
      <w:pPr>
        <w:ind w:left="160" w:right="19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27" w:lineRule="exact"/>
        <w:rPr>
          <w:sz w:val="24"/>
          <w:szCs w:val="24"/>
          <w:color w:val="auto"/>
        </w:rPr>
      </w:pPr>
    </w:p>
    <w:p>
      <w:pPr>
        <w:ind w:left="160" w:right="31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16" w:lineRule="exact"/>
        <w:rPr>
          <w:sz w:val="24"/>
          <w:szCs w:val="24"/>
          <w:color w:val="auto"/>
        </w:rPr>
      </w:pPr>
    </w:p>
    <w:p>
      <w:pPr>
        <w:ind w:left="160" w:right="19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1"/>
          <w:szCs w:val="11"/>
          <w:color w:val="auto"/>
        </w:rPr>
        <w:t>☐</w:t>
      </w:r>
    </w:p>
    <w:p>
      <w:pPr>
        <w:spacing w:after="0" w:line="11" w:lineRule="exact"/>
        <w:rPr>
          <w:sz w:val="24"/>
          <w:szCs w:val="24"/>
          <w:color w:val="auto"/>
        </w:rPr>
      </w:pPr>
    </w:p>
    <w:tbl>
      <w:tblPr>
        <w:tblLayout w:type="fixed"/>
        <w:tblInd w:w="160" w:type="dxa"/>
        <w:tblCellMar>
          <w:top w:w="0" w:type="dxa"/>
          <w:left w:w="0" w:type="dxa"/>
          <w:bottom w:w="0" w:type="dxa"/>
          <w:right w:w="0" w:type="dxa"/>
        </w:tblCellMar>
      </w:tblPr>
      <w:tr>
        <w:trPr>
          <w:trHeight w:val="159"/>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9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Accelerated filer</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9"/>
        </w:trPr>
        <w:tc>
          <w:tcPr>
            <w:tcW w:w="12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9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1"/>
        </w:trPr>
        <w:tc>
          <w:tcPr>
            <w:tcW w:w="1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080" w:type="dxa"/>
            <w:vAlign w:val="bottom"/>
          </w:tcPr>
          <w:p>
            <w:pPr>
              <w:ind w:left="2600"/>
              <w:spacing w:after="0"/>
              <w:rPr>
                <w:sz w:val="20"/>
                <w:szCs w:val="20"/>
                <w:color w:val="auto"/>
              </w:rPr>
            </w:pPr>
            <w:r>
              <w:rPr>
                <w:rFonts w:ascii="Times New Roman" w:cs="Times New Roman" w:eastAsia="Times New Roman" w:hAnsi="Times New Roman"/>
                <w:sz w:val="11"/>
                <w:szCs w:val="11"/>
                <w:color w:val="auto"/>
              </w:rPr>
              <w:t>Emerging growth company</w:t>
            </w:r>
          </w:p>
        </w:tc>
        <w:tc>
          <w:tcPr>
            <w:tcW w:w="360" w:type="dxa"/>
            <w:vAlign w:val="bottom"/>
          </w:tcPr>
          <w:p>
            <w:pPr>
              <w:ind w:left="2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6" w:lineRule="exact"/>
        <w:rPr>
          <w:sz w:val="24"/>
          <w:szCs w:val="24"/>
          <w:color w:val="auto"/>
        </w:rPr>
      </w:pPr>
    </w:p>
    <w:p>
      <w:pPr>
        <w:ind w:left="160" w:right="639" w:firstLine="347"/>
        <w:spacing w:after="0" w:line="146"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wp:posOffset>
            </wp:positionH>
            <wp:positionV relativeFrom="paragraph">
              <wp:posOffset>41275</wp:posOffset>
            </wp:positionV>
            <wp:extent cx="550799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7990" cy="6985"/>
                    </a:xfrm>
                    <a:prstGeom prst="rect">
                      <a:avLst/>
                    </a:prstGeom>
                    <a:noFill/>
                  </pic:spPr>
                </pic:pic>
              </a:graphicData>
            </a:graphic>
          </wp:anchor>
        </w:drawing>
        <w:drawing>
          <wp:anchor simplePos="0" relativeHeight="251657728" behindDoc="1" locked="0" layoutInCell="0" allowOverlap="1">
            <wp:simplePos x="0" y="0"/>
            <wp:positionH relativeFrom="column">
              <wp:posOffset>109220</wp:posOffset>
            </wp:positionH>
            <wp:positionV relativeFrom="paragraph">
              <wp:posOffset>75565</wp:posOffset>
            </wp:positionV>
            <wp:extent cx="550799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07990" cy="6985"/>
                    </a:xfrm>
                    <a:prstGeom prst="rect">
                      <a:avLst/>
                    </a:prstGeom>
                    <a:noFill/>
                  </pic:spPr>
                </pic:pic>
              </a:graphicData>
            </a:graphic>
          </wp:anchor>
        </w:drawing>
      </w:r>
    </w:p>
    <w:p>
      <w:pPr>
        <w:sectPr>
          <w:pgSz w:w="11900" w:h="16838" w:orient="portrait"/>
          <w:cols w:equalWidth="0" w:num="1">
            <w:col w:w="9019"/>
          </w:cols>
          <w:pgMar w:left="1440" w:top="205" w:right="1440" w:bottom="1440" w:gutter="0" w:footer="0" w:header="0"/>
        </w:sectPr>
      </w:pPr>
    </w:p>
    <w:bookmarkStart w:id="1" w:name="page2"/>
    <w:bookmarkEnd w:id="1"/>
    <w:p>
      <w:pPr>
        <w:ind w:left="1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137795</wp:posOffset>
            </wp:positionV>
            <wp:extent cx="293624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3624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Avis Budget Group,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81" w:lineRule="exact"/>
        <w:rPr>
          <w:sz w:val="20"/>
          <w:szCs w:val="20"/>
          <w:color w:val="auto"/>
        </w:rPr>
      </w:pPr>
    </w:p>
    <w:p>
      <w:pPr>
        <w:ind w:left="160" w:right="319" w:firstLine="347"/>
        <w:spacing w:after="0" w:line="288" w:lineRule="auto"/>
        <w:rPr>
          <w:sz w:val="20"/>
          <w:szCs w:val="20"/>
          <w:color w:val="auto"/>
        </w:rPr>
      </w:pPr>
      <w:r>
        <w:rPr>
          <w:rFonts w:ascii="Times New Roman" w:cs="Times New Roman" w:eastAsia="Times New Roman" w:hAnsi="Times New Roman"/>
          <w:sz w:val="14"/>
          <w:szCs w:val="14"/>
          <w:color w:val="auto"/>
        </w:rPr>
        <w:t>We will provide specific terms of the common stock, par value $0.01 per share (our “common stock”), to be offered by us or our stockholders in supplements to this prospectus. You should read this prospectus and any supplement carefully before you invest.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“CAR.”</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address of our principal executive office is 379 Interpace Parkway, Parsippany, New Jersey 07054. Our telephone number is (973) 496-4700.</w:t>
      </w:r>
    </w:p>
    <w:p>
      <w:pPr>
        <w:spacing w:after="0" w:line="177" w:lineRule="exact"/>
        <w:rPr>
          <w:sz w:val="20"/>
          <w:szCs w:val="20"/>
          <w:color w:val="auto"/>
        </w:rPr>
      </w:pPr>
    </w:p>
    <w:p>
      <w:pPr>
        <w:ind w:left="160" w:right="199" w:firstLine="347"/>
        <w:spacing w:after="0" w:line="266" w:lineRule="auto"/>
        <w:rPr>
          <w:sz w:val="20"/>
          <w:szCs w:val="20"/>
          <w:color w:val="auto"/>
        </w:rPr>
      </w:pPr>
      <w:r>
        <w:rPr>
          <w:rFonts w:ascii="Times New Roman" w:cs="Times New Roman" w:eastAsia="Times New Roman" w:hAnsi="Times New Roman"/>
          <w:sz w:val="14"/>
          <w:szCs w:val="14"/>
          <w:b w:val="1"/>
          <w:bCs w:val="1"/>
          <w:color w:val="auto"/>
        </w:rPr>
        <w:t>Investing in our common stock involves certain risks. You should review carefully the risks and uncertainties referenced under the heading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on page 6 of this prospectus and in our most recent annual report on Form 10-K for the year ended December 31, 2025, which is incorporated by reference herein, as well as in any other recently filed quarterly or current reports and, if any, in the relevant prospectus supplement.</w:t>
      </w:r>
    </w:p>
    <w:p>
      <w:pPr>
        <w:spacing w:after="0" w:line="137" w:lineRule="exact"/>
        <w:rPr>
          <w:sz w:val="20"/>
          <w:szCs w:val="20"/>
          <w:color w:val="auto"/>
        </w:rPr>
      </w:pPr>
    </w:p>
    <w:p>
      <w:pPr>
        <w:ind w:left="160" w:right="299" w:firstLine="347"/>
        <w:spacing w:after="0" w:line="291"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March 27, 2026.</w:t>
      </w:r>
    </w:p>
    <w:p>
      <w:pPr>
        <w:sectPr>
          <w:pgSz w:w="11900" w:h="16838" w:orient="portrait"/>
          <w:cols w:equalWidth="0" w:num="1">
            <w:col w:w="9019"/>
          </w:cols>
          <w:pgMar w:left="1440" w:top="240" w:right="1440"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3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EE"/>
                <w:w w:val="99"/>
              </w:rPr>
              <w:t>SUMMARY</w:t>
            </w:r>
          </w:p>
        </w:tc>
        <w:tc>
          <w:tcPr>
            <w:tcW w:w="7640" w:type="dxa"/>
            <w:vAlign w:val="bottom"/>
            <w:gridSpan w:val="9"/>
            <w:vMerge w:val="restart"/>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34"/>
        </w:trPr>
        <w:tc>
          <w:tcPr>
            <w:tcW w:w="740" w:type="dxa"/>
            <w:vAlign w:val="bottom"/>
            <w:tcBorders>
              <w:bottom w:val="single" w:sz="8" w:color="0000EE"/>
            </w:tcBorders>
            <w:gridSpan w:val="2"/>
            <w:vMerge w:val="continue"/>
          </w:tcPr>
          <w:p>
            <w:pPr>
              <w:spacing w:after="0"/>
              <w:rPr>
                <w:sz w:val="11"/>
                <w:szCs w:val="11"/>
                <w:color w:val="auto"/>
              </w:rPr>
            </w:pPr>
          </w:p>
        </w:tc>
        <w:tc>
          <w:tcPr>
            <w:tcW w:w="7640" w:type="dxa"/>
            <w:vAlign w:val="bottom"/>
            <w:gridSpan w:val="9"/>
            <w:vMerge w:val="continue"/>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5"/>
        </w:trPr>
        <w:tc>
          <w:tcPr>
            <w:tcW w:w="83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5"/>
        </w:trPr>
        <w:tc>
          <w:tcPr>
            <w:tcW w:w="2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8"/>
              </w:rPr>
              <w:t>FORWARD-LOOKING STATEMENTS</w:t>
            </w:r>
          </w:p>
        </w:tc>
        <w:tc>
          <w:tcPr>
            <w:tcW w:w="680" w:type="dxa"/>
            <w:vAlign w:val="bottom"/>
            <w:tcBorders>
              <w:top w:val="single" w:sz="8" w:color="0000EE"/>
            </w:tcBorders>
          </w:tcPr>
          <w:p>
            <w:pPr>
              <w:spacing w:after="0"/>
              <w:rPr>
                <w:sz w:val="20"/>
                <w:szCs w:val="20"/>
                <w:color w:val="auto"/>
              </w:rPr>
            </w:pPr>
          </w:p>
        </w:tc>
        <w:tc>
          <w:tcPr>
            <w:tcW w:w="5380" w:type="dxa"/>
            <w:vAlign w:val="bottom"/>
            <w:gridSpan w:val="2"/>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5"/>
        </w:trPr>
        <w:tc>
          <w:tcPr>
            <w:tcW w:w="1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9"/>
              </w:rPr>
              <w:t>RISK FACTORS</w:t>
            </w:r>
          </w:p>
        </w:tc>
        <w:tc>
          <w:tcPr>
            <w:tcW w:w="7380" w:type="dxa"/>
            <w:vAlign w:val="bottom"/>
            <w:gridSpan w:val="8"/>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5"/>
        </w:trPr>
        <w:tc>
          <w:tcPr>
            <w:tcW w:w="12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7120" w:type="dxa"/>
            <w:vAlign w:val="bottom"/>
            <w:gridSpan w:val="6"/>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35"/>
        </w:trPr>
        <w:tc>
          <w:tcPr>
            <w:tcW w:w="83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DESCRIPTION OF CAPITAL STOCK</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5"/>
        </w:trPr>
        <w:tc>
          <w:tcPr>
            <w:tcW w:w="22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6120" w:type="dxa"/>
            <w:vAlign w:val="bottom"/>
            <w:gridSpan w:val="4"/>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35"/>
        </w:trPr>
        <w:tc>
          <w:tcPr>
            <w:tcW w:w="11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9"/>
              </w:rPr>
              <w:t>LEGAL MATTERS</w:t>
            </w:r>
          </w:p>
        </w:tc>
        <w:tc>
          <w:tcPr>
            <w:tcW w:w="460" w:type="dxa"/>
            <w:vAlign w:val="bottom"/>
            <w:tcBorders>
              <w:top w:val="single" w:sz="8" w:color="0000EE"/>
            </w:tcBorders>
            <w:gridSpan w:val="2"/>
          </w:tcPr>
          <w:p>
            <w:pPr>
              <w:spacing w:after="0"/>
              <w:rPr>
                <w:sz w:val="20"/>
                <w:szCs w:val="20"/>
                <w:color w:val="auto"/>
              </w:rPr>
            </w:pPr>
          </w:p>
        </w:tc>
        <w:tc>
          <w:tcPr>
            <w:tcW w:w="6760" w:type="dxa"/>
            <w:vAlign w:val="bottom"/>
            <w:gridSpan w:val="5"/>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5"/>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8"/>
              </w:rPr>
              <w:t>EXPERTS</w:t>
            </w:r>
          </w:p>
        </w:tc>
        <w:tc>
          <w:tcPr>
            <w:tcW w:w="7760" w:type="dxa"/>
            <w:vAlign w:val="bottom"/>
            <w:gridSpan w:val="10"/>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35"/>
        </w:trPr>
        <w:tc>
          <w:tcPr>
            <w:tcW w:w="83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PART II INFORMATION NOT REQUIRED IN PROSPECTUS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II-1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40" w:right="1440" w:bottom="1440" w:gutter="0" w:footer="0" w:header="0"/>
        </w:sect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4579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265" cy="4579620"/>
                    </a:xfrm>
                    <a:prstGeom prst="rect">
                      <a:avLst/>
                    </a:prstGeom>
                    <a:noFill/>
                  </pic:spPr>
                </pic:pic>
              </a:graphicData>
            </a:graphic>
          </wp:anchor>
        </w:drawing>
        <w:t>SUMMARY</w:t>
      </w:r>
    </w:p>
    <w:p>
      <w:pPr>
        <w:spacing w:after="0" w:line="179" w:lineRule="exact"/>
        <w:rPr>
          <w:sz w:val="20"/>
          <w:szCs w:val="20"/>
          <w:color w:val="auto"/>
        </w:rPr>
      </w:pPr>
    </w:p>
    <w:p>
      <w:pPr>
        <w:ind w:left="320" w:right="359" w:firstLine="335"/>
        <w:spacing w:after="0" w:line="261"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from this document and may not contain all of the information that is important to you. To understand the terms of our common stock, you should carefully read this document and any accompanying prospectus supplement. Together, these documents will give the specific terms of the securities we are offering. You should also read the documents we have incorporated by reference into this prospectus for information on us and our financial statements. Certain capitalized terms used in this summary are defined elsewhere in this prospectus. Unless the context otherwise requires, references herein to “we,” “our,” “us,” “Avis” or the “Company” refer to Avis Budget Group, Inc. and its consolidated subsidiaries.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96" w:lineRule="exact"/>
        <w:rPr>
          <w:sz w:val="20"/>
          <w:szCs w:val="20"/>
          <w:color w:val="auto"/>
        </w:rPr>
      </w:pPr>
    </w:p>
    <w:p>
      <w:pPr>
        <w:ind w:left="320" w:right="399" w:firstLine="335"/>
        <w:spacing w:after="0" w:line="259"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SEC using a “shelf” registration process. Using this process, we or our stockholders may offer shares of our common stock in one or more offerings. Any stockholders selling pursuant to this prospectus will be named in an accompanying prospectus supplement. This prospectus provides you with a general description of the common stock we or our stockholders may offer. Each time we use this prospectus to offer common stock, we will provide a prospectus supplement that will describe the specific terms of the offering. The prospectus supplement may also add to, update or change the information contained in this prospectus. Please carefully read this prospectus and any accompanying prospectus supplement, in addition to the information contained in the documents we refer to under the heading “Where You Can Find More Information.”</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6" w:lineRule="exact"/>
        <w:rPr>
          <w:sz w:val="20"/>
          <w:szCs w:val="20"/>
          <w:color w:val="auto"/>
        </w:rPr>
      </w:pPr>
    </w:p>
    <w:p>
      <w:pPr>
        <w:ind w:left="320" w:right="419" w:firstLine="335"/>
        <w:spacing w:after="0" w:line="265" w:lineRule="auto"/>
        <w:rPr>
          <w:sz w:val="20"/>
          <w:szCs w:val="20"/>
          <w:color w:val="auto"/>
        </w:rPr>
      </w:pPr>
      <w:r>
        <w:rPr>
          <w:rFonts w:ascii="Times New Roman" w:cs="Times New Roman" w:eastAsia="Times New Roman" w:hAnsi="Times New Roman"/>
          <w:sz w:val="14"/>
          <w:szCs w:val="14"/>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684,000 vehicles in 2025. We also license the use of our trademarks to licensees in the areas in which we do not operate directly. We and our licensees operate our brands in approximately 180 countries throughout the world.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Our Segments</w:t>
      </w:r>
    </w:p>
    <w:p>
      <w:pPr>
        <w:spacing w:after="0" w:line="96" w:lineRule="exact"/>
        <w:rPr>
          <w:sz w:val="20"/>
          <w:szCs w:val="20"/>
          <w:color w:val="auto"/>
        </w:rPr>
      </w:pPr>
    </w:p>
    <w:p>
      <w:pPr>
        <w:jc w:val="both"/>
        <w:ind w:left="320" w:right="379" w:firstLine="335"/>
        <w:spacing w:after="0" w:line="265" w:lineRule="auto"/>
        <w:rPr>
          <w:sz w:val="20"/>
          <w:szCs w:val="20"/>
          <w:color w:val="auto"/>
        </w:rPr>
      </w:pPr>
      <w:r>
        <w:rPr>
          <w:rFonts w:ascii="Times New Roman" w:cs="Times New Roman" w:eastAsia="Times New Roman" w:hAnsi="Times New Roman"/>
          <w:sz w:val="14"/>
          <w:szCs w:val="14"/>
          <w:color w:val="auto"/>
        </w:rPr>
        <w:t>We categorize our operations into two reportable business segments: Americas, consisting primarily of (i) vehicle rental operations in North America, South America, Central America and the Caribbean, (ii) car sharing operations in certain of these markets, and (iii) licensees in the areas in which we do not operate directly; and International, consisting primarily of (i) vehicle rental operations in Europe, the Middle East, Africa, Asia and Australasia, (ii) car sharing operations in certain of these markets, and (iii) licensees in the areas in which we do not operate directly.</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6" w:lineRule="exact"/>
        <w:rPr>
          <w:sz w:val="20"/>
          <w:szCs w:val="20"/>
          <w:color w:val="auto"/>
        </w:rPr>
      </w:pPr>
    </w:p>
    <w:p>
      <w:pPr>
        <w:ind w:left="320" w:right="319" w:firstLine="335"/>
        <w:spacing w:after="0" w:line="262" w:lineRule="auto"/>
        <w:rPr>
          <w:sz w:val="20"/>
          <w:szCs w:val="20"/>
          <w:color w:val="auto"/>
        </w:rPr>
      </w:pPr>
      <w:r>
        <w:rPr>
          <w:rFonts w:ascii="Times New Roman" w:cs="Times New Roman" w:eastAsia="Times New Roman" w:hAnsi="Times New Roman"/>
          <w:sz w:val="14"/>
          <w:szCs w:val="14"/>
          <w:color w:val="auto"/>
        </w:rPr>
        <w:t>We may issue and sell, and our stockholders may sell, our common stock. Holders of our common stock are entitled to receive such dividends as may be declared by our Board of Directors (the “Board of Directors”) from time to time out of our assets or funds legally available for dividends. These rights are subject to the preferential rights of the holders of our preferred stock, if any, and any contractual limitations on our ability to declare and pay dividends. Each holder of our common stock is entitled to one vote per share on each matter submitted to a vote of stockholders. The holders of common stock have no preemptive rights or cumulative voting rights.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389"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WHERE YOU CAN FIND MORE INFORMATION</w:t>
      </w:r>
    </w:p>
    <w:p>
      <w:pPr>
        <w:spacing w:after="0" w:line="181" w:lineRule="exact"/>
        <w:rPr>
          <w:sz w:val="20"/>
          <w:szCs w:val="20"/>
          <w:color w:val="auto"/>
        </w:rPr>
      </w:pPr>
    </w:p>
    <w:p>
      <w:pPr>
        <w:ind w:left="160" w:right="179" w:firstLine="347"/>
        <w:spacing w:after="0" w:line="270"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at the SEC’s website at www.sec.gov. Our reports on Forms 10-K, 10-Q and 8-K, and amendments to those reports, are also available for download, free of charge, as soon as reasonably practicable after these reports are filed with the SEC, at our website at ir.avisbudgetgroup.com.</w:t>
      </w:r>
    </w:p>
    <w:p>
      <w:pPr>
        <w:spacing w:after="0" w:line="137" w:lineRule="exact"/>
        <w:rPr>
          <w:sz w:val="20"/>
          <w:szCs w:val="20"/>
          <w:color w:val="auto"/>
        </w:rPr>
      </w:pPr>
    </w:p>
    <w:p>
      <w:pPr>
        <w:ind w:left="160" w:right="199" w:firstLine="347"/>
        <w:spacing w:after="0" w:line="262"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it. This means that we can disclose important information to you by referring you to those documents. The information incorporated by reference is considered to be part of this prospectus, and later information that we file with the SEC will automatically update and supersede this information. We incorporate by reference the documents listed below and any future filings (but not portions of such documents which are furnished rather than filed under applicable SEC rules) made with the SEC under Section 13(a), 13(c), 14 or 15(d) of the Securities Exchange Act of 1934, as amended (the “Exchange Act”), until the offering is complete:</w:t>
      </w:r>
    </w:p>
    <w:p>
      <w:pPr>
        <w:spacing w:after="0" w:line="67" w:lineRule="exact"/>
        <w:rPr>
          <w:sz w:val="20"/>
          <w:szCs w:val="20"/>
          <w:color w:val="auto"/>
        </w:rPr>
      </w:pPr>
    </w:p>
    <w:p>
      <w:pPr>
        <w:ind w:left="940" w:right="619" w:hanging="348"/>
        <w:spacing w:after="0" w:line="288"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19, 2026 (the “2025 Form 10-K”);</w:t>
      </w:r>
    </w:p>
    <w:p>
      <w:pPr>
        <w:spacing w:after="0" w:line="49" w:lineRule="exact"/>
        <w:rPr>
          <w:rFonts w:ascii="Times New Roman" w:cs="Times New Roman" w:eastAsia="Times New Roman" w:hAnsi="Times New Roman"/>
          <w:sz w:val="14"/>
          <w:szCs w:val="14"/>
          <w:color w:val="auto"/>
        </w:rPr>
      </w:pPr>
    </w:p>
    <w:p>
      <w:pPr>
        <w:ind w:left="940" w:hanging="348"/>
        <w:spacing w:after="0"/>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24">
        <w:r>
          <w:rPr>
            <w:rFonts w:ascii="Times New Roman" w:cs="Times New Roman" w:eastAsia="Times New Roman" w:hAnsi="Times New Roman"/>
            <w:sz w:val="14"/>
            <w:szCs w:val="14"/>
            <w:u w:val="single" w:color="auto"/>
            <w:color w:val="0000EE"/>
          </w:rPr>
          <w:t>January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5">
        <w:r>
          <w:rPr>
            <w:rFonts w:ascii="Times New Roman" w:cs="Times New Roman" w:eastAsia="Times New Roman" w:hAnsi="Times New Roman"/>
            <w:sz w:val="14"/>
            <w:szCs w:val="14"/>
            <w:u w:val="single" w:color="auto"/>
            <w:color w:val="0000EE"/>
          </w:rPr>
          <w:t>March 13, 2026;</w:t>
        </w:r>
      </w:hyperlink>
    </w:p>
    <w:p>
      <w:pPr>
        <w:spacing w:after="0" w:line="104" w:lineRule="exact"/>
        <w:rPr>
          <w:rFonts w:ascii="Times New Roman" w:cs="Times New Roman" w:eastAsia="Times New Roman" w:hAnsi="Times New Roman"/>
          <w:sz w:val="14"/>
          <w:szCs w:val="14"/>
          <w:color w:val="auto"/>
        </w:rPr>
      </w:pPr>
    </w:p>
    <w:p>
      <w:pPr>
        <w:ind w:left="940" w:right="659" w:hanging="348"/>
        <w:spacing w:after="0" w:line="288"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those portions of our Definitive Proxy Statement on </w:t>
      </w:r>
      <w:hyperlink r:id="rId26">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March 27, 2025, that are incorporated by reference into our Annual Report on Form 10-K for the year ended December 31, 2024; and</w:t>
      </w:r>
    </w:p>
    <w:p>
      <w:pPr>
        <w:spacing w:after="0" w:line="49" w:lineRule="exact"/>
        <w:rPr>
          <w:rFonts w:ascii="Times New Roman" w:cs="Times New Roman" w:eastAsia="Times New Roman" w:hAnsi="Times New Roman"/>
          <w:sz w:val="14"/>
          <w:szCs w:val="14"/>
          <w:color w:val="auto"/>
        </w:rPr>
      </w:pPr>
    </w:p>
    <w:p>
      <w:pPr>
        <w:ind w:left="940" w:right="319" w:hanging="348"/>
        <w:spacing w:after="0" w:line="288" w:lineRule="auto"/>
        <w:tabs>
          <w:tab w:leader="none" w:pos="9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included in </w:t>
      </w:r>
      <w:hyperlink r:id="rId27">
        <w:r>
          <w:rPr>
            <w:rFonts w:ascii="Times New Roman" w:cs="Times New Roman" w:eastAsia="Times New Roman" w:hAnsi="Times New Roman"/>
            <w:sz w:val="14"/>
            <w:szCs w:val="14"/>
            <w:u w:val="single" w:color="auto"/>
            <w:color w:val="0000EE"/>
          </w:rPr>
          <w:t>Exhibit 4.8</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Form 10-K for the year ended December 31, 2021 dated February 17, 2022 (the “2021 Form 10-K”).</w:t>
      </w:r>
    </w:p>
    <w:p>
      <w:pPr>
        <w:spacing w:after="0" w:line="124" w:lineRule="exact"/>
        <w:rPr>
          <w:rFonts w:ascii="Times New Roman" w:cs="Times New Roman" w:eastAsia="Times New Roman" w:hAnsi="Times New Roman"/>
          <w:sz w:val="14"/>
          <w:szCs w:val="14"/>
          <w:color w:val="auto"/>
        </w:rPr>
      </w:pPr>
    </w:p>
    <w:p>
      <w:pPr>
        <w:ind w:left="160" w:right="279" w:firstLine="347"/>
        <w:spacing w:after="0" w:line="288" w:lineRule="auto"/>
        <w:rPr>
          <w:sz w:val="20"/>
          <w:szCs w:val="20"/>
          <w:color w:val="auto"/>
        </w:rPr>
      </w:pPr>
      <w:r>
        <w:rPr>
          <w:rFonts w:ascii="Times New Roman" w:cs="Times New Roman" w:eastAsia="Times New Roman" w:hAnsi="Times New Roman"/>
          <w:sz w:val="14"/>
          <w:szCs w:val="14"/>
          <w:color w:val="auto"/>
        </w:rPr>
        <w:t>We encourage you to read our periodic and current reports. These reports provide additional important information about our Company. You may request a copy of these filings, at no cost, by writing to or telephoning us at the following address:</w:t>
      </w:r>
    </w:p>
    <w:p>
      <w:pPr>
        <w:spacing w:after="0" w:line="3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Avis Budget Group, Inc.</w:t>
      </w:r>
    </w:p>
    <w:p>
      <w:pPr>
        <w:spacing w:after="0" w:line="2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379 Interpace Parkway</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Parsippany, New Jersey 07054</w:t>
      </w:r>
    </w:p>
    <w:p>
      <w:pPr>
        <w:spacing w:after="0" w:line="9" w:lineRule="exact"/>
        <w:rPr>
          <w:rFonts w:ascii="Times New Roman" w:cs="Times New Roman" w:eastAsia="Times New Roman" w:hAnsi="Times New Roman"/>
          <w:sz w:val="14"/>
          <w:szCs w:val="14"/>
          <w:color w:val="auto"/>
        </w:rPr>
      </w:pPr>
    </w:p>
    <w:p>
      <w:pPr>
        <w:ind w:left="4400" w:hanging="339"/>
        <w:spacing w:after="0"/>
        <w:tabs>
          <w:tab w:leader="none" w:pos="44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496-4700</w:t>
      </w:r>
    </w:p>
    <w:p>
      <w:pPr>
        <w:spacing w:after="0" w:line="9" w:lineRule="exact"/>
        <w:rPr>
          <w:rFonts w:ascii="Times New Roman" w:cs="Times New Roman" w:eastAsia="Times New Roman" w:hAnsi="Times New Roman"/>
          <w:sz w:val="14"/>
          <w:szCs w:val="14"/>
          <w:color w:val="auto"/>
        </w:rPr>
      </w:pPr>
    </w:p>
    <w:p>
      <w:pPr>
        <w:ind w:left="3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Attention: Corporate Secretary</w:t>
      </w:r>
    </w:p>
    <w:p>
      <w:pPr>
        <w:spacing w:after="0" w:line="165" w:lineRule="exact"/>
        <w:rPr>
          <w:rFonts w:ascii="Times New Roman" w:cs="Times New Roman" w:eastAsia="Times New Roman" w:hAnsi="Times New Roman"/>
          <w:sz w:val="14"/>
          <w:szCs w:val="14"/>
          <w:color w:val="auto"/>
        </w:rPr>
      </w:pPr>
    </w:p>
    <w:p>
      <w:pPr>
        <w:ind w:left="160" w:right="179" w:firstLine="347"/>
        <w:spacing w:after="0" w:line="265" w:lineRule="auto"/>
        <w:rPr>
          <w:sz w:val="20"/>
          <w:szCs w:val="20"/>
          <w:color w:val="auto"/>
        </w:rPr>
      </w:pPr>
      <w:r>
        <w:rPr>
          <w:rFonts w:ascii="Times New Roman" w:cs="Times New Roman" w:eastAsia="Times New Roman" w:hAnsi="Times New Roman"/>
          <w:sz w:val="14"/>
          <w:szCs w:val="14"/>
          <w:color w:val="auto"/>
        </w:rPr>
        <w:t>We have not authorized anyone else to provide you with any information other than that contained or incorporated by reference in this prospectus or any accompanying prospectus supplement. We take no responsibility for, and can provide no assurance as to the reliability of, any other information. We are not making an offer of these securities in any state where the offer is not permitted. You should not assume that the information in this prospectus or any prospectus supplement is accurate as of any date other than the date on the front of the document.</w:t>
      </w:r>
    </w:p>
    <w:p>
      <w:pPr>
        <w:spacing w:after="0" w:line="8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4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FORWARD-LOOKING STATEMENTS</w:t>
      </w:r>
    </w:p>
    <w:p>
      <w:pPr>
        <w:spacing w:after="0" w:line="181" w:lineRule="exact"/>
        <w:rPr>
          <w:sz w:val="20"/>
          <w:szCs w:val="20"/>
          <w:color w:val="auto"/>
        </w:rPr>
      </w:pPr>
    </w:p>
    <w:p>
      <w:pPr>
        <w:ind w:left="160" w:right="219" w:firstLine="347"/>
        <w:spacing w:after="0" w:line="257" w:lineRule="auto"/>
        <w:rPr>
          <w:sz w:val="20"/>
          <w:szCs w:val="20"/>
          <w:color w:val="auto"/>
        </w:rPr>
      </w:pPr>
      <w:r>
        <w:rPr>
          <w:rFonts w:ascii="Times New Roman" w:cs="Times New Roman" w:eastAsia="Times New Roman" w:hAnsi="Times New Roman"/>
          <w:sz w:val="14"/>
          <w:szCs w:val="14"/>
          <w:color w:val="auto"/>
        </w:rPr>
        <w:t>Certain statements contained in this prospectus, any accompanying prospectus supplement and the documents that we incorporate by reference may be considered “forward-looking statements” as that term is defined in the Private Securities Litigation Reform Act of 1995. The forward-looking statements contained herein and the documents incorporated by reference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spacing w:after="0" w:line="75" w:lineRule="exact"/>
        <w:rPr>
          <w:sz w:val="20"/>
          <w:szCs w:val="20"/>
          <w:color w:val="auto"/>
        </w:rPr>
      </w:pPr>
    </w:p>
    <w:p>
      <w:pPr>
        <w:ind w:left="500" w:right="199" w:hanging="248"/>
        <w:spacing w:after="0" w:line="28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high level of competition in the mobility industry, including from new companies or technology, and the impact such competition may have on pricing and rental volume;</w:t>
      </w:r>
    </w:p>
    <w:p>
      <w:pPr>
        <w:spacing w:after="0" w:line="49" w:lineRule="exact"/>
        <w:rPr>
          <w:rFonts w:ascii="Times New Roman" w:cs="Times New Roman" w:eastAsia="Times New Roman" w:hAnsi="Times New Roman"/>
          <w:sz w:val="14"/>
          <w:szCs w:val="14"/>
          <w:color w:val="auto"/>
        </w:rPr>
      </w:pPr>
    </w:p>
    <w:p>
      <w:pPr>
        <w:ind w:left="500" w:right="299" w:hanging="248"/>
        <w:spacing w:after="0" w:line="265"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fleet costs, including as a result of a change in the cost of new vehicles, resulting from inflation, trade disputes, tariffs or otherwise, manufacturer recalls, disruption in the supply of new vehicles, including due to labor actions, trade disputes, tariffs or otherwise, shortages in semiconductors and/or other parts used in new vehicle production, and/or a change in the price at which we dispose of used vehicles either in the used vehicle market or under repurchase or guaranteed depreciation programs;</w:t>
      </w:r>
    </w:p>
    <w:p>
      <w:pPr>
        <w:spacing w:after="0" w:line="64" w:lineRule="exact"/>
        <w:rPr>
          <w:rFonts w:ascii="Times New Roman" w:cs="Times New Roman" w:eastAsia="Times New Roman" w:hAnsi="Times New Roman"/>
          <w:sz w:val="14"/>
          <w:szCs w:val="14"/>
          <w:color w:val="auto"/>
        </w:rPr>
      </w:pPr>
    </w:p>
    <w:p>
      <w:pPr>
        <w:ind w:left="500" w:right="219" w:hanging="248"/>
        <w:spacing w:after="0" w:line="270"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62"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levels of and volatility in travel demand, including future volatility in airline passenger traffic;</w:t>
      </w:r>
    </w:p>
    <w:p>
      <w:pPr>
        <w:spacing w:after="0" w:line="104" w:lineRule="exact"/>
        <w:rPr>
          <w:rFonts w:ascii="Times New Roman" w:cs="Times New Roman" w:eastAsia="Times New Roman" w:hAnsi="Times New Roman"/>
          <w:sz w:val="14"/>
          <w:szCs w:val="14"/>
          <w:color w:val="auto"/>
        </w:rPr>
      </w:pPr>
    </w:p>
    <w:p>
      <w:pPr>
        <w:ind w:left="500" w:right="359" w:hanging="248"/>
        <w:spacing w:after="0" w:line="28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deterioration or fluctuation in economic conditions, resulting in a recession, decreased levels of discretionary consumer spending for travel, or otherwise, particularly during our peak season or in key market segments;</w:t>
      </w:r>
    </w:p>
    <w:p>
      <w:pPr>
        <w:spacing w:after="0" w:line="49" w:lineRule="exact"/>
        <w:rPr>
          <w:rFonts w:ascii="Times New Roman" w:cs="Times New Roman" w:eastAsia="Times New Roman" w:hAnsi="Times New Roman"/>
          <w:sz w:val="14"/>
          <w:szCs w:val="14"/>
          <w:color w:val="auto"/>
        </w:rPr>
      </w:pPr>
    </w:p>
    <w:p>
      <w:pPr>
        <w:ind w:left="500" w:right="379" w:hanging="248"/>
        <w:spacing w:after="0" w:line="270"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occurrence or threat of terrorism, pandemics, severe weather events or natural disasters, military conflicts, including the ongoing military conflicts in the Middle East and Eastern Europe, or civil unrest in the locations in which we operate, trade disputes and tariffs, and the potential effects of sanctions on the world economy and markets and/or international trade;</w:t>
      </w:r>
    </w:p>
    <w:p>
      <w:pPr>
        <w:spacing w:after="0" w:line="62" w:lineRule="exact"/>
        <w:rPr>
          <w:rFonts w:ascii="Times New Roman" w:cs="Times New Roman" w:eastAsia="Times New Roman" w:hAnsi="Times New Roman"/>
          <w:sz w:val="14"/>
          <w:szCs w:val="14"/>
          <w:color w:val="auto"/>
        </w:rPr>
      </w:pPr>
    </w:p>
    <w:p>
      <w:pPr>
        <w:ind w:left="500" w:right="219" w:hanging="248"/>
        <w:spacing w:after="0" w:line="270"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substantial changes in the cost or supply of fuel, vehicle parts, energy, labor or other resources on which we depend to operate our business, including as a result of pandemics, inflation, tariffs, government shutdowns, the ongoing military conflicts in the Middle East and Eastern Europe, and any embargoes on oil sales imposed on or by the Russian government;</w:t>
      </w:r>
    </w:p>
    <w:p>
      <w:pPr>
        <w:spacing w:after="0" w:line="62" w:lineRule="exact"/>
        <w:rPr>
          <w:rFonts w:ascii="Times New Roman" w:cs="Times New Roman" w:eastAsia="Times New Roman" w:hAnsi="Times New Roman"/>
          <w:sz w:val="14"/>
          <w:szCs w:val="14"/>
          <w:color w:val="auto"/>
        </w:rPr>
      </w:pPr>
    </w:p>
    <w:p>
      <w:pPr>
        <w:ind w:left="500" w:right="439" w:hanging="248"/>
        <w:spacing w:after="0" w:line="28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implement or achieve our business plans and strategies, achieve and maintain cost savings and adapt our business to changes in mobility, and successfully implement digital transformation initiatives;</w:t>
      </w:r>
    </w:p>
    <w:p>
      <w:pPr>
        <w:spacing w:after="0" w:line="49" w:lineRule="exact"/>
        <w:rPr>
          <w:rFonts w:ascii="Times New Roman" w:cs="Times New Roman" w:eastAsia="Times New Roman" w:hAnsi="Times New Roman"/>
          <w:sz w:val="14"/>
          <w:szCs w:val="14"/>
          <w:color w:val="auto"/>
        </w:rPr>
      </w:pPr>
    </w:p>
    <w:p>
      <w:pPr>
        <w:ind w:left="500" w:right="259" w:hanging="248"/>
        <w:spacing w:after="0" w:line="28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economic, or commercial instability and/or political, regulatory, or legal changes in the countries in which we operate, and our ability to conform to multiple and conflicting laws or regulations in those countries;</w:t>
      </w:r>
    </w:p>
    <w:p>
      <w:pPr>
        <w:spacing w:after="0" w:line="49" w:lineRule="exact"/>
        <w:rPr>
          <w:rFonts w:ascii="Times New Roman" w:cs="Times New Roman" w:eastAsia="Times New Roman" w:hAnsi="Times New Roman"/>
          <w:sz w:val="14"/>
          <w:szCs w:val="14"/>
          <w:color w:val="auto"/>
        </w:rPr>
      </w:pPr>
    </w:p>
    <w:p>
      <w:pPr>
        <w:ind w:left="500" w:right="279" w:hanging="248"/>
        <w:spacing w:after="0" w:line="28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the used vehicle market from time to time, including our ability to dispose of vehicles in the used vehicle market on attractive terms;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6" w:name="page7"/>
    <w:bookmarkEnd w:id="6"/>
    <w:p>
      <w:pPr>
        <w:ind w:left="500" w:hanging="248"/>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200265" cy="33020"/>
                    </a:xfrm>
                    <a:prstGeom prst="rect">
                      <a:avLst/>
                    </a:prstGeom>
                    <a:noFill/>
                  </pic:spPr>
                </pic:pic>
              </a:graphicData>
            </a:graphic>
          </wp:anchor>
        </w:drawing>
        <w:t>our dependence on third-party distribution channels, third-party suppliers of other services and co-marketing arrangements with third parties;</w:t>
      </w:r>
    </w:p>
    <w:p>
      <w:pPr>
        <w:spacing w:after="0" w:line="104" w:lineRule="exact"/>
        <w:rPr>
          <w:rFonts w:ascii="Times New Roman" w:cs="Times New Roman" w:eastAsia="Times New Roman" w:hAnsi="Times New Roman"/>
          <w:sz w:val="14"/>
          <w:szCs w:val="14"/>
          <w:color w:val="auto"/>
        </w:rPr>
      </w:pPr>
    </w:p>
    <w:p>
      <w:pPr>
        <w:ind w:left="500" w:right="299" w:hanging="248"/>
        <w:spacing w:after="0" w:line="270"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62" w:lineRule="exact"/>
        <w:rPr>
          <w:rFonts w:ascii="Times New Roman" w:cs="Times New Roman" w:eastAsia="Times New Roman" w:hAnsi="Times New Roman"/>
          <w:sz w:val="14"/>
          <w:szCs w:val="14"/>
          <w:color w:val="auto"/>
        </w:rPr>
      </w:pPr>
    </w:p>
    <w:p>
      <w:pPr>
        <w:ind w:left="500" w:right="359" w:hanging="248"/>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49" w:lineRule="exact"/>
        <w:rPr>
          <w:rFonts w:ascii="Times New Roman" w:cs="Times New Roman" w:eastAsia="Times New Roman" w:hAnsi="Times New Roman"/>
          <w:sz w:val="14"/>
          <w:szCs w:val="14"/>
          <w:color w:val="auto"/>
        </w:rPr>
      </w:pPr>
    </w:p>
    <w:p>
      <w:pPr>
        <w:ind w:left="500" w:right="239" w:hanging="248"/>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exposure to uninsured or unpaid claims in excess of historical levels or changes in the number of incidents or cost per incident, and our ability to obtain insurance at desired levels and the cost of that insurance;</w:t>
      </w:r>
    </w:p>
    <w:p>
      <w:pPr>
        <w:spacing w:after="0" w:line="49" w:lineRule="exact"/>
        <w:rPr>
          <w:rFonts w:ascii="Times New Roman" w:cs="Times New Roman" w:eastAsia="Times New Roman" w:hAnsi="Times New Roman"/>
          <w:sz w:val="14"/>
          <w:szCs w:val="14"/>
          <w:color w:val="auto"/>
        </w:rPr>
      </w:pPr>
    </w:p>
    <w:p>
      <w:pPr>
        <w:ind w:left="500" w:right="319" w:hanging="248"/>
        <w:spacing w:after="0" w:line="270"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62" w:lineRule="exact"/>
        <w:rPr>
          <w:rFonts w:ascii="Times New Roman" w:cs="Times New Roman" w:eastAsia="Times New Roman" w:hAnsi="Times New Roman"/>
          <w:sz w:val="14"/>
          <w:szCs w:val="14"/>
          <w:color w:val="auto"/>
        </w:rPr>
      </w:pPr>
    </w:p>
    <w:p>
      <w:pPr>
        <w:ind w:left="500" w:right="259" w:hanging="248"/>
        <w:spacing w:after="0" w:line="265"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64" w:lineRule="exact"/>
        <w:rPr>
          <w:rFonts w:ascii="Times New Roman" w:cs="Times New Roman" w:eastAsia="Times New Roman" w:hAnsi="Times New Roman"/>
          <w:sz w:val="14"/>
          <w:szCs w:val="14"/>
          <w:color w:val="auto"/>
        </w:rPr>
      </w:pPr>
    </w:p>
    <w:p>
      <w:pPr>
        <w:ind w:left="500" w:right="179" w:hanging="248"/>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impact on us from the actions of our third-party vendors, licensees, dealers, independent operators and independent contractors and/or disputes that may arise out of our agreements with such parties;</w:t>
      </w:r>
    </w:p>
    <w:p>
      <w:pPr>
        <w:spacing w:after="0" w:line="49"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disruptions in our communication networks or information systems;</w:t>
      </w:r>
    </w:p>
    <w:p>
      <w:pPr>
        <w:spacing w:after="0" w:line="104"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tax obligations and the effect of future changes in tax laws, including the expiration of tax credits, and accounting standards;</w:t>
      </w:r>
    </w:p>
    <w:p>
      <w:pPr>
        <w:spacing w:after="0" w:line="104" w:lineRule="exact"/>
        <w:rPr>
          <w:rFonts w:ascii="Times New Roman" w:cs="Times New Roman" w:eastAsia="Times New Roman" w:hAnsi="Times New Roman"/>
          <w:sz w:val="14"/>
          <w:szCs w:val="14"/>
          <w:color w:val="auto"/>
        </w:rPr>
      </w:pPr>
    </w:p>
    <w:p>
      <w:pPr>
        <w:ind w:left="500" w:right="379" w:hanging="248"/>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49" w:lineRule="exact"/>
        <w:rPr>
          <w:rFonts w:ascii="Times New Roman" w:cs="Times New Roman" w:eastAsia="Times New Roman" w:hAnsi="Times New Roman"/>
          <w:sz w:val="14"/>
          <w:szCs w:val="14"/>
          <w:color w:val="auto"/>
        </w:rPr>
      </w:pPr>
    </w:p>
    <w:p>
      <w:pPr>
        <w:ind w:left="500" w:right="299" w:hanging="248"/>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financing for our global operations, including the funding of our vehicle fleet through the issuance of asset-backed securities and use of the global lending markets;</w:t>
      </w:r>
    </w:p>
    <w:p>
      <w:pPr>
        <w:spacing w:after="0" w:line="49" w:lineRule="exact"/>
        <w:rPr>
          <w:rFonts w:ascii="Times New Roman" w:cs="Times New Roman" w:eastAsia="Times New Roman" w:hAnsi="Times New Roman"/>
          <w:sz w:val="14"/>
          <w:szCs w:val="14"/>
          <w:color w:val="auto"/>
        </w:rPr>
      </w:pPr>
    </w:p>
    <w:p>
      <w:pPr>
        <w:ind w:left="500" w:right="239" w:hanging="248"/>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the financial and other covenants contained in the agreements governing our indebtedness, or to obtain a waiver or amendment of such covenants should we be unable to meet such covenants;</w:t>
      </w:r>
    </w:p>
    <w:p>
      <w:pPr>
        <w:spacing w:after="0" w:line="49" w:lineRule="exact"/>
        <w:rPr>
          <w:rFonts w:ascii="Times New Roman" w:cs="Times New Roman" w:eastAsia="Times New Roman" w:hAnsi="Times New Roman"/>
          <w:sz w:val="14"/>
          <w:szCs w:val="14"/>
          <w:color w:val="auto"/>
        </w:rPr>
      </w:pPr>
    </w:p>
    <w:p>
      <w:pPr>
        <w:jc w:val="both"/>
        <w:ind w:left="500" w:right="219" w:hanging="248"/>
        <w:spacing w:after="0" w:line="270"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the timing of our fleet rotation, carrying value of goodwill, or long-lived assets, including when there are events or changes in circumstances that indicate the carrying value may exceed the current fair value, which have in the past resulted in and in the future could result in a significant impairment charge; and</w:t>
      </w:r>
    </w:p>
    <w:p>
      <w:pPr>
        <w:spacing w:after="0" w:line="62" w:lineRule="exact"/>
        <w:rPr>
          <w:rFonts w:ascii="Times New Roman" w:cs="Times New Roman" w:eastAsia="Times New Roman" w:hAnsi="Times New Roman"/>
          <w:sz w:val="14"/>
          <w:szCs w:val="14"/>
          <w:color w:val="auto"/>
        </w:rPr>
      </w:pPr>
    </w:p>
    <w:p>
      <w:pPr>
        <w:ind w:left="500" w:hanging="248"/>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economic, competitive, governmental, regulatory, political or technological factors affecting our operations, pricing or services.</w:t>
      </w:r>
    </w:p>
    <w:p>
      <w:pPr>
        <w:spacing w:after="0" w:line="179" w:lineRule="exact"/>
        <w:rPr>
          <w:sz w:val="20"/>
          <w:szCs w:val="20"/>
          <w:color w:val="auto"/>
        </w:rPr>
      </w:pPr>
    </w:p>
    <w:p>
      <w:pPr>
        <w:ind w:left="160" w:right="239" w:firstLine="347"/>
        <w:spacing w:after="0" w:line="270" w:lineRule="auto"/>
        <w:rPr>
          <w:sz w:val="20"/>
          <w:szCs w:val="20"/>
          <w:color w:val="auto"/>
        </w:rPr>
      </w:pPr>
      <w:r>
        <w:rPr>
          <w:rFonts w:ascii="Times New Roman" w:cs="Times New Roman" w:eastAsia="Times New Roman" w:hAnsi="Times New Roman"/>
          <w:sz w:val="14"/>
          <w:szCs w:val="14"/>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2" w:right="1440" w:bottom="1440" w:gutter="0" w:footer="0" w:header="0"/>
        </w:sectPr>
      </w:pPr>
    </w:p>
    <w:bookmarkStart w:id="7" w:name="page8"/>
    <w:bookmarkEnd w:id="7"/>
    <w:p>
      <w:pPr>
        <w:ind w:left="160" w:right="1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responsibility if future results are materially different from those forecasted or anticipated. Other factors and assumptions not identified above, including those discussed in “Risk Factors” in this prospectus and in other portions of this prospectus and in similarly-titled sections set forth in Item 1A and in other portions of our 2025 Form 10-K filed with the SEC on February 19, 2026 and in our future filings with the SEC, may contain forward-looking statements and involve uncertainties that could cause actual results to differ materially from those projected in any forward-looking statements.</w:t>
      </w:r>
    </w:p>
    <w:p>
      <w:pPr>
        <w:spacing w:after="0" w:line="139" w:lineRule="exact"/>
        <w:rPr>
          <w:sz w:val="20"/>
          <w:szCs w:val="20"/>
          <w:color w:val="auto"/>
        </w:rPr>
      </w:pPr>
    </w:p>
    <w:p>
      <w:pPr>
        <w:ind w:left="160" w:right="179" w:firstLine="347"/>
        <w:spacing w:after="0" w:line="261" w:lineRule="auto"/>
        <w:rPr>
          <w:sz w:val="20"/>
          <w:szCs w:val="20"/>
          <w:color w:val="auto"/>
        </w:rPr>
      </w:pPr>
      <w:r>
        <w:rPr>
          <w:rFonts w:ascii="Times New Roman" w:cs="Times New Roman" w:eastAsia="Times New Roman" w:hAnsi="Times New Roman"/>
          <w:sz w:val="14"/>
          <w:szCs w:val="14"/>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2"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RISK FACTORS</w:t>
      </w:r>
    </w:p>
    <w:p>
      <w:pPr>
        <w:spacing w:after="0" w:line="181" w:lineRule="exact"/>
        <w:rPr>
          <w:sz w:val="20"/>
          <w:szCs w:val="20"/>
          <w:color w:val="auto"/>
        </w:rPr>
      </w:pPr>
    </w:p>
    <w:p>
      <w:pPr>
        <w:ind w:left="160" w:right="199" w:firstLine="347"/>
        <w:spacing w:after="0" w:line="257" w:lineRule="auto"/>
        <w:rPr>
          <w:sz w:val="20"/>
          <w:szCs w:val="20"/>
          <w:color w:val="auto"/>
        </w:rPr>
      </w:pPr>
      <w:r>
        <w:rPr>
          <w:rFonts w:ascii="Times New Roman" w:cs="Times New Roman" w:eastAsia="Times New Roman" w:hAnsi="Times New Roman"/>
          <w:sz w:val="14"/>
          <w:szCs w:val="14"/>
          <w:color w:val="auto"/>
        </w:rPr>
        <w:t>An investment in our common stock involves a number of risks. You should carefully consider all the information set forth in this prospectus and any accompanying prospectus supplement and incorporated by reference herein before deciding to invest in the common stock. In particular, we urge you to consider carefully the factors set forth under Item 1A and in our 2025 Form 10-K, which is incorporated by reference herein (as such risk factors may be updated from time to time in our public filings with the SEC pursuant to Section 13(a), 13(c), 14 or 15(d) of the Exchange Act). Any of these risks could materially and adversely affect our business, financial condition and results of operations and the actual outcome of matters as to which forward-looking statements are made in this prospectus and any accompanying prospectus supplement. While we believe we have identified in the documents incorporated by reference herein the material risks affecting our business, there may be additional risks and uncertainties that we do not presently know or that we do not currently believe to be material that may adversely affect such business, financial condition and results of operations in the future. As a result, the trading price of our common stock may decline, and you might lose part or all of your investment.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200265" cy="33020"/>
                    </a:xfrm>
                    <a:prstGeom prst="rect">
                      <a:avLst/>
                    </a:prstGeom>
                    <a:noFill/>
                  </pic:spPr>
                </pic:pic>
              </a:graphicData>
            </a:graphic>
          </wp:anchor>
        </w:drawing>
        <w:t>USE OF PROCEEDS</w:t>
      </w:r>
    </w:p>
    <w:p>
      <w:pPr>
        <w:spacing w:after="0" w:line="181" w:lineRule="exact"/>
        <w:rPr>
          <w:sz w:val="20"/>
          <w:szCs w:val="20"/>
          <w:color w:val="auto"/>
        </w:rPr>
      </w:pPr>
    </w:p>
    <w:p>
      <w:pPr>
        <w:ind w:left="160" w:right="379" w:firstLine="347"/>
        <w:spacing w:after="0" w:line="265" w:lineRule="auto"/>
        <w:rPr>
          <w:sz w:val="20"/>
          <w:szCs w:val="20"/>
          <w:color w:val="auto"/>
        </w:rPr>
      </w:pPr>
      <w:r>
        <w:rPr>
          <w:rFonts w:ascii="Times New Roman" w:cs="Times New Roman" w:eastAsia="Times New Roman" w:hAnsi="Times New Roman"/>
          <w:sz w:val="14"/>
          <w:szCs w:val="14"/>
          <w:color w:val="auto"/>
        </w:rPr>
        <w:t>Unless we otherwise specify in the applicable prospectus supplement, the net proceeds we receive from the sale of common stock offered by us pursuant to this prospectus and the applicable prospectus supplement will be used for general corporate purposes. General corporate purposes may include repayment of indebtedness, acquisitions, additions to working capital, repurchases of common stock, dividends, capital expenditures and investments in our subsidiaries. Net proceeds may be temporarily invested prior to use.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will not receive any proceeds from the sale of shares of our common stock by selling stockholders.</w:t>
      </w:r>
    </w:p>
    <w:p>
      <w:pPr>
        <w:spacing w:after="0" w:line="12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200265" cy="33020"/>
                    </a:xfrm>
                    <a:prstGeom prst="rect">
                      <a:avLst/>
                    </a:prstGeom>
                    <a:noFill/>
                  </pic:spPr>
                </pic:pic>
              </a:graphicData>
            </a:graphic>
          </wp:anchor>
        </w:drawing>
        <w:t>DESCRIPTION OF CAPITAL STOCK</w:t>
      </w:r>
    </w:p>
    <w:p>
      <w:pPr>
        <w:spacing w:after="0" w:line="181"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The material characteristics of our common stock are described in Exhibit 4.8 to our 2021 Form 10-K, which is incorporated by reference into this prospectus, and, to the extent applicable, in the accompanying prospectus supplement.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PLAN OF DISTRIBUTION</w:t>
      </w:r>
    </w:p>
    <w:p>
      <w:pPr>
        <w:spacing w:after="0" w:line="181" w:lineRule="exact"/>
        <w:rPr>
          <w:sz w:val="20"/>
          <w:szCs w:val="20"/>
          <w:color w:val="auto"/>
        </w:rPr>
      </w:pPr>
    </w:p>
    <w:p>
      <w:pPr>
        <w:ind w:left="160" w:right="339" w:firstLine="347"/>
        <w:spacing w:after="0" w:line="270" w:lineRule="auto"/>
        <w:rPr>
          <w:sz w:val="20"/>
          <w:szCs w:val="20"/>
          <w:color w:val="auto"/>
        </w:rPr>
      </w:pPr>
      <w:r>
        <w:rPr>
          <w:rFonts w:ascii="Times New Roman" w:cs="Times New Roman" w:eastAsia="Times New Roman" w:hAnsi="Times New Roman"/>
          <w:sz w:val="14"/>
          <w:szCs w:val="14"/>
          <w:color w:val="auto"/>
        </w:rPr>
        <w:t>We and our stockholders may from time to time sell shares of our common stock on any stock exchange, market or trading facility on which the common stock is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and our stockholders may use any one or more of the following methods when disposing of shares of common stock:</w:t>
      </w:r>
    </w:p>
    <w:p>
      <w:pPr>
        <w:spacing w:after="0" w:line="105" w:lineRule="exact"/>
        <w:rPr>
          <w:sz w:val="20"/>
          <w:szCs w:val="20"/>
          <w:color w:val="auto"/>
        </w:rPr>
      </w:pPr>
    </w:p>
    <w:p>
      <w:pPr>
        <w:ind w:left="940" w:right="219" w:hanging="348"/>
        <w:spacing w:after="0" w:line="288"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Nasdaq or any other national securities exchange or U.S. inter-dealer system of a registered national securities association on which our common stock may be listed or quoted at the time of sale;</w:t>
      </w:r>
    </w:p>
    <w:p>
      <w:pPr>
        <w:spacing w:after="0" w:line="49" w:lineRule="exact"/>
        <w:rPr>
          <w:rFonts w:ascii="Times New Roman" w:cs="Times New Roman" w:eastAsia="Times New Roman" w:hAnsi="Times New Roman"/>
          <w:sz w:val="14"/>
          <w:szCs w:val="14"/>
          <w:color w:val="auto"/>
        </w:rPr>
      </w:pPr>
    </w:p>
    <w:p>
      <w:pPr>
        <w:ind w:left="940" w:hanging="34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the broker-dealer solicits purchasers;</w:t>
      </w:r>
    </w:p>
    <w:p>
      <w:pPr>
        <w:spacing w:after="0" w:line="104" w:lineRule="exact"/>
        <w:rPr>
          <w:rFonts w:ascii="Times New Roman" w:cs="Times New Roman" w:eastAsia="Times New Roman" w:hAnsi="Times New Roman"/>
          <w:sz w:val="14"/>
          <w:szCs w:val="14"/>
          <w:color w:val="auto"/>
        </w:rPr>
      </w:pPr>
    </w:p>
    <w:p>
      <w:pPr>
        <w:ind w:left="940" w:hanging="34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underwritten offerings;</w:t>
      </w:r>
    </w:p>
    <w:p>
      <w:pPr>
        <w:spacing w:after="0" w:line="104" w:lineRule="exact"/>
        <w:rPr>
          <w:rFonts w:ascii="Times New Roman" w:cs="Times New Roman" w:eastAsia="Times New Roman" w:hAnsi="Times New Roman"/>
          <w:sz w:val="14"/>
          <w:szCs w:val="14"/>
          <w:color w:val="auto"/>
        </w:rPr>
      </w:pPr>
    </w:p>
    <w:p>
      <w:pPr>
        <w:ind w:left="940" w:right="659" w:hanging="348"/>
        <w:spacing w:after="0" w:line="288"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broker-dealer will attempt to sell the shares as agent, but may position and resell a portion of the block as principal to facilitate the transaction;</w:t>
      </w:r>
    </w:p>
    <w:p>
      <w:pPr>
        <w:spacing w:after="0" w:line="49" w:lineRule="exact"/>
        <w:rPr>
          <w:rFonts w:ascii="Times New Roman" w:cs="Times New Roman" w:eastAsia="Times New Roman" w:hAnsi="Times New Roman"/>
          <w:sz w:val="14"/>
          <w:szCs w:val="14"/>
          <w:color w:val="auto"/>
        </w:rPr>
      </w:pPr>
    </w:p>
    <w:p>
      <w:pPr>
        <w:ind w:left="940" w:hanging="34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4" w:lineRule="exact"/>
        <w:rPr>
          <w:rFonts w:ascii="Times New Roman" w:cs="Times New Roman" w:eastAsia="Times New Roman" w:hAnsi="Times New Roman"/>
          <w:sz w:val="14"/>
          <w:szCs w:val="14"/>
          <w:color w:val="auto"/>
        </w:rPr>
      </w:pPr>
    </w:p>
    <w:p>
      <w:pPr>
        <w:ind w:left="940" w:hanging="34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4" w:lineRule="exact"/>
        <w:rPr>
          <w:rFonts w:ascii="Times New Roman" w:cs="Times New Roman" w:eastAsia="Times New Roman" w:hAnsi="Times New Roman"/>
          <w:sz w:val="14"/>
          <w:szCs w:val="14"/>
          <w:color w:val="auto"/>
        </w:rPr>
      </w:pPr>
    </w:p>
    <w:p>
      <w:pPr>
        <w:ind w:left="940" w:hanging="34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4" w:lineRule="exact"/>
        <w:rPr>
          <w:rFonts w:ascii="Times New Roman" w:cs="Times New Roman" w:eastAsia="Times New Roman" w:hAnsi="Times New Roman"/>
          <w:sz w:val="14"/>
          <w:szCs w:val="14"/>
          <w:color w:val="auto"/>
        </w:rPr>
      </w:pPr>
    </w:p>
    <w:p>
      <w:pPr>
        <w:ind w:left="940" w:hanging="34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4" w:lineRule="exact"/>
        <w:rPr>
          <w:rFonts w:ascii="Times New Roman" w:cs="Times New Roman" w:eastAsia="Times New Roman" w:hAnsi="Times New Roman"/>
          <w:sz w:val="14"/>
          <w:szCs w:val="14"/>
          <w:color w:val="auto"/>
        </w:rPr>
      </w:pPr>
    </w:p>
    <w:p>
      <w:pPr>
        <w:ind w:left="940" w:right="339" w:hanging="348"/>
        <w:spacing w:after="0" w:line="288"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 the market” offerings, within the meaning of Rule 415(a)(4) of the Securities Act of 1933, as amended (the “Securities Act”), to or through a market maker or into an existing trading market, on an exchange or otherwise;</w:t>
      </w:r>
    </w:p>
    <w:p>
      <w:pPr>
        <w:spacing w:after="0" w:line="49" w:lineRule="exact"/>
        <w:rPr>
          <w:rFonts w:ascii="Times New Roman" w:cs="Times New Roman" w:eastAsia="Times New Roman" w:hAnsi="Times New Roman"/>
          <w:sz w:val="14"/>
          <w:szCs w:val="14"/>
          <w:color w:val="auto"/>
        </w:rPr>
      </w:pPr>
    </w:p>
    <w:p>
      <w:pPr>
        <w:ind w:left="940" w:right="199" w:hanging="348"/>
        <w:spacing w:after="0" w:line="288"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broker-dealers may agree with the Company or selling stockholders to sell a specified number of such shares at a stipulated price per share; and</w:t>
      </w:r>
    </w:p>
    <w:p>
      <w:pPr>
        <w:spacing w:after="0" w:line="49" w:lineRule="exact"/>
        <w:rPr>
          <w:rFonts w:ascii="Times New Roman" w:cs="Times New Roman" w:eastAsia="Times New Roman" w:hAnsi="Times New Roman"/>
          <w:sz w:val="14"/>
          <w:szCs w:val="14"/>
          <w:color w:val="auto"/>
        </w:rPr>
      </w:pPr>
    </w:p>
    <w:p>
      <w:pPr>
        <w:ind w:left="940" w:hanging="348"/>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 holders.</w:t>
      </w:r>
    </w:p>
    <w:p>
      <w:pPr>
        <w:spacing w:after="0" w:line="179" w:lineRule="exact"/>
        <w:rPr>
          <w:sz w:val="20"/>
          <w:szCs w:val="20"/>
          <w:color w:val="auto"/>
        </w:rPr>
      </w:pPr>
    </w:p>
    <w:p>
      <w:pPr>
        <w:ind w:left="160" w:right="259" w:firstLine="347"/>
        <w:spacing w:after="0" w:line="265" w:lineRule="auto"/>
        <w:rPr>
          <w:sz w:val="20"/>
          <w:szCs w:val="20"/>
          <w:color w:val="auto"/>
        </w:rPr>
      </w:pPr>
      <w:r>
        <w:rPr>
          <w:rFonts w:ascii="Times New Roman" w:cs="Times New Roman" w:eastAsia="Times New Roman" w:hAnsi="Times New Roman"/>
          <w:sz w:val="14"/>
          <w:szCs w:val="14"/>
          <w:color w:val="auto"/>
        </w:rPr>
        <w:t>The aggregate proceeds to us or the selling stockholders, as applicable, from the sale of our common stock will be the purchase price of our common stock less discounts or commissions, if any. We will not receive any proceeds from the sale of common stock by our stockholders. We and any selling stockholders reserve the right to accept and, together with our or their agents, as applicable, to reject, in whole or in part, any proposed purchase of our common stock to be made directly or through agents.</w:t>
      </w:r>
    </w:p>
    <w:p>
      <w:pPr>
        <w:spacing w:after="0" w:line="139" w:lineRule="exact"/>
        <w:rPr>
          <w:sz w:val="20"/>
          <w:szCs w:val="20"/>
          <w:color w:val="auto"/>
        </w:rPr>
      </w:pPr>
    </w:p>
    <w:p>
      <w:pPr>
        <w:ind w:left="160" w:right="259" w:firstLine="347"/>
        <w:spacing w:after="0" w:line="262" w:lineRule="auto"/>
        <w:rPr>
          <w:sz w:val="20"/>
          <w:szCs w:val="20"/>
          <w:color w:val="auto"/>
        </w:rPr>
      </w:pPr>
      <w:r>
        <w:rPr>
          <w:rFonts w:ascii="Times New Roman" w:cs="Times New Roman" w:eastAsia="Times New Roman" w:hAnsi="Times New Roman"/>
          <w:sz w:val="14"/>
          <w:szCs w:val="14"/>
          <w:color w:val="auto"/>
        </w:rPr>
        <w:t>Any underwriters, broker-dealers or agents that participate in the sale of our common stock or interests therein may be “underwriters” within the meaning of Section 2(a)(11) of the Securities Act. Any discounts, commissions, concessions or profit they earn on any resale of the common stock may be underwriting discounts and commissions under the Securities Act. Underwriters and their controlling persons, dealers and agents may be entitled, under agreements entered into with us and, if applicable, any selling stockholders, to indemnification against and contribution toward specific civil liabilities, including liabilities under the Securities Act.</w:t>
      </w:r>
    </w:p>
    <w:p>
      <w:pPr>
        <w:spacing w:after="0" w:line="142" w:lineRule="exact"/>
        <w:rPr>
          <w:sz w:val="20"/>
          <w:szCs w:val="20"/>
          <w:color w:val="auto"/>
        </w:rPr>
      </w:pPr>
    </w:p>
    <w:p>
      <w:pPr>
        <w:ind w:left="160" w:right="239" w:firstLine="347"/>
        <w:spacing w:after="0" w:line="270" w:lineRule="auto"/>
        <w:rPr>
          <w:sz w:val="20"/>
          <w:szCs w:val="20"/>
          <w:color w:val="auto"/>
        </w:rPr>
      </w:pPr>
      <w:r>
        <w:rPr>
          <w:rFonts w:ascii="Times New Roman" w:cs="Times New Roman" w:eastAsia="Times New Roman" w:hAnsi="Times New Roman"/>
          <w:sz w:val="14"/>
          <w:szCs w:val="14"/>
          <w:color w:val="auto"/>
        </w:rPr>
        <w:t>To the extent required, the common stock to be sold, the respective purchase prices and public offering prices, the names of any agents, dealers or underwriters,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2" w:name="page13"/>
    <w:bookmarkEnd w:id="12"/>
    <w:p>
      <w:pPr>
        <w:ind w:left="160" w:right="259" w:firstLine="347"/>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200265" cy="33020"/>
                    </a:xfrm>
                    <a:prstGeom prst="rect">
                      <a:avLst/>
                    </a:prstGeom>
                    <a:noFill/>
                  </pic:spPr>
                </pic:pic>
              </a:graphicData>
            </a:graphic>
          </wp:anchor>
        </w:drawing>
        <w:t>In connection with the distribution of the securities covered by this prospectus or otherwise, we or any selling securityholder may enter into hedging transactions with broker-dealers or other financial institutions. In connection with such transactions, broker-dealers or other financial institutions may engage in short sales of our securities in the course of hedging the positions they assume with us or any selling securityholder. We or any selling securityholder may also sell securities short and deliver the securities offered by this prospectus to close out our short positions. We or any selling securityholder may also enter into option or other transactions with broker-dealers or other financial institutions, which may require the delivery to such broker-dealer or other financial institution of securities offered by this prospectus, which securities such broker-dealer or other financial institution may resell pursuant to this prospectus, as supplemented or amended to reflect such transaction. We or any selling securityholder may also from time to time pledge our securities pursuant to the margin provisions of our customer agreements with our brokers. Upon our default, the broker may offer and sell such pledged securities from time to time pursuant to this prospectus, as supplemented or amended to reflect such transaction.</w:t>
      </w:r>
    </w:p>
    <w:p>
      <w:pPr>
        <w:spacing w:after="0" w:line="149" w:lineRule="exact"/>
        <w:rPr>
          <w:sz w:val="20"/>
          <w:szCs w:val="20"/>
          <w:color w:val="auto"/>
        </w:rPr>
      </w:pPr>
    </w:p>
    <w:p>
      <w:pPr>
        <w:jc w:val="both"/>
        <w:ind w:left="160" w:right="379" w:firstLine="347"/>
        <w:spacing w:after="0" w:line="288"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have borrowing relationships with, engage in other transactions with, or perform services, including investment banking services, for us or one or more of our respective affiliates in the ordinary course of business.</w:t>
      </w:r>
    </w:p>
    <w:p>
      <w:pPr>
        <w:spacing w:after="0" w:line="124" w:lineRule="exact"/>
        <w:rPr>
          <w:sz w:val="20"/>
          <w:szCs w:val="20"/>
          <w:color w:val="auto"/>
        </w:rPr>
      </w:pPr>
    </w:p>
    <w:p>
      <w:pPr>
        <w:ind w:left="160" w:right="199" w:firstLine="347"/>
        <w:spacing w:after="0" w:line="258" w:lineRule="auto"/>
        <w:rPr>
          <w:sz w:val="20"/>
          <w:szCs w:val="20"/>
          <w:color w:val="auto"/>
        </w:rPr>
      </w:pPr>
      <w:r>
        <w:rPr>
          <w:rFonts w:ascii="Times New Roman" w:cs="Times New Roman" w:eastAsia="Times New Roman" w:hAnsi="Times New Roman"/>
          <w:sz w:val="14"/>
          <w:szCs w:val="14"/>
          <w:color w:val="auto"/>
        </w:rPr>
        <w:t>To facilitate the offering of the common stock offered by us or the selling stockholders, certain persons participating in the offering may engage in transactions that stabilize, maintain or otherwise affect the price of our common stock.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by bidding for or purchasing shares in the open market or by imposing penalty bids, whereby selling concessions allowed to dealers participating in the offering may be reclaimed if shares sold by them are repurchased in connection with stabilization transactions. The effect of these transactions may be to stabilize or maintain the market price of our common stock at a level above that which might otherwise prevail in the open market. These transactions may be discontinued at any time.</w:t>
      </w:r>
    </w:p>
    <w:p>
      <w:pPr>
        <w:spacing w:after="0" w:line="146" w:lineRule="exact"/>
        <w:rPr>
          <w:sz w:val="20"/>
          <w:szCs w:val="20"/>
          <w:color w:val="auto"/>
        </w:rPr>
      </w:pPr>
    </w:p>
    <w:p>
      <w:pPr>
        <w:ind w:left="160" w:right="359" w:firstLine="347"/>
        <w:spacing w:after="0" w:line="270" w:lineRule="auto"/>
        <w:rPr>
          <w:sz w:val="20"/>
          <w:szCs w:val="20"/>
          <w:color w:val="auto"/>
        </w:rPr>
      </w:pPr>
      <w:r>
        <w:rPr>
          <w:rFonts w:ascii="Times New Roman" w:cs="Times New Roman" w:eastAsia="Times New Roman" w:hAnsi="Times New Roman"/>
          <w:sz w:val="14"/>
          <w:szCs w:val="14"/>
          <w:color w:val="auto"/>
        </w:rPr>
        <w:t>Selling stockholders may use this prospectus in connection with resales of our common stock. Such selling stockholders may be deemed to be underwriters under the Securities Act in connection with the shares of our common stock they resell and any profits on the sales may be deemed to be underwriting discounts and commissions under the Securities Act.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2"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LEGAL MATTERS</w:t>
      </w:r>
    </w:p>
    <w:p>
      <w:pPr>
        <w:spacing w:after="0" w:line="181" w:lineRule="exact"/>
        <w:rPr>
          <w:sz w:val="20"/>
          <w:szCs w:val="20"/>
          <w:color w:val="auto"/>
        </w:rPr>
      </w:pPr>
    </w:p>
    <w:p>
      <w:pPr>
        <w:ind w:left="160" w:right="219" w:firstLine="347"/>
        <w:spacing w:after="0" w:line="270" w:lineRule="auto"/>
        <w:rPr>
          <w:sz w:val="20"/>
          <w:szCs w:val="20"/>
          <w:color w:val="auto"/>
        </w:rPr>
      </w:pPr>
      <w:r>
        <w:rPr>
          <w:rFonts w:ascii="Times New Roman" w:cs="Times New Roman" w:eastAsia="Times New Roman" w:hAnsi="Times New Roman"/>
          <w:sz w:val="14"/>
          <w:szCs w:val="14"/>
          <w:color w:val="auto"/>
        </w:rPr>
        <w:t>Kirkland &amp; Ellis LLP, New York, New York will pass upon the validity of the common stock offered hereby on our behalf. If any legal matters relating to offerings made in connection with this prospectus are passed upon by counsel for underwriters, dealers or agents, such counsel will be named in the prospectus supplement relating to any such offering.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EXPERTS</w:t>
      </w:r>
    </w:p>
    <w:p>
      <w:pPr>
        <w:spacing w:after="0" w:line="181" w:lineRule="exact"/>
        <w:rPr>
          <w:sz w:val="20"/>
          <w:szCs w:val="20"/>
          <w:color w:val="auto"/>
        </w:rPr>
      </w:pPr>
    </w:p>
    <w:p>
      <w:pPr>
        <w:ind w:left="160" w:right="239" w:firstLine="347"/>
        <w:spacing w:after="0" w:line="265" w:lineRule="auto"/>
        <w:rPr>
          <w:sz w:val="20"/>
          <w:szCs w:val="20"/>
          <w:color w:val="auto"/>
        </w:rPr>
      </w:pPr>
      <w:r>
        <w:rPr>
          <w:rFonts w:ascii="Times New Roman" w:cs="Times New Roman" w:eastAsia="Times New Roman" w:hAnsi="Times New Roman"/>
          <w:sz w:val="14"/>
          <w:szCs w:val="14"/>
          <w:color w:val="auto"/>
        </w:rPr>
        <w:t>The consolidated financial statements of Avis Budget Group, Inc. and subsidiaries (the “Company”) incorporated by reference in this prospectus by reference to the Company’s Annual Report on Form 10-K and the effectiveness of the Company’s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PART II</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200"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6" w:lineRule="exact"/>
        <w:rPr>
          <w:sz w:val="20"/>
          <w:szCs w:val="20"/>
          <w:color w:val="auto"/>
        </w:rPr>
      </w:pPr>
    </w:p>
    <w:p>
      <w:pPr>
        <w:ind w:left="160" w:right="419" w:firstLine="347"/>
        <w:spacing w:after="0" w:line="288" w:lineRule="auto"/>
        <w:rPr>
          <w:sz w:val="20"/>
          <w:szCs w:val="20"/>
          <w:color w:val="auto"/>
        </w:rPr>
      </w:pPr>
      <w:r>
        <w:rPr>
          <w:rFonts w:ascii="Times New Roman" w:cs="Times New Roman" w:eastAsia="Times New Roman" w:hAnsi="Times New Roman"/>
          <w:sz w:val="14"/>
          <w:szCs w:val="14"/>
          <w:color w:val="auto"/>
        </w:rPr>
        <w:t>The following table sets forth the various expenses expected to be incurred by the Registrant in connection with the sale and distribution of the securities being registered hereby, other than underwriting discounts and commissions.</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0"/>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Printing fees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Miscellaneous fees and expenses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4"/>
        </w:trPr>
        <w:tc>
          <w:tcPr>
            <w:tcW w:w="37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65405</wp:posOffset>
            </wp:positionV>
            <wp:extent cx="6007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00710" cy="6985"/>
                    </a:xfrm>
                    <a:prstGeom prst="rect">
                      <a:avLst/>
                    </a:prstGeom>
                    <a:noFill/>
                  </pic:spPr>
                </pic:pic>
              </a:graphicData>
            </a:graphic>
          </wp:anchor>
        </w:drawing>
      </w:r>
    </w:p>
    <w:p>
      <w:pPr>
        <w:spacing w:after="0" w:line="100" w:lineRule="exact"/>
        <w:rPr>
          <w:sz w:val="20"/>
          <w:szCs w:val="20"/>
          <w:color w:val="auto"/>
        </w:rPr>
      </w:pPr>
    </w:p>
    <w:p>
      <w:pPr>
        <w:ind w:left="500" w:right="379" w:hanging="333"/>
        <w:spacing w:after="0" w:line="264"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the Company is deferring payment of the registration fee relating to the securities that are registered and available for sale under this registration statement.</w:t>
      </w:r>
    </w:p>
    <w:p>
      <w:pPr>
        <w:ind w:left="500" w:right="359" w:hanging="333"/>
        <w:spacing w:after="0" w:line="267"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expenses are not presently known. The foregoing sets forth the general categories of expenses (other than underwriting discounts and commissions) that we anticipate we will incur in connection with the offering of securities under this registration statement on Form S-3.</w:t>
      </w:r>
    </w:p>
    <w:p>
      <w:pPr>
        <w:spacing w:after="0" w:line="253"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6" w:lineRule="exact"/>
        <w:rPr>
          <w:sz w:val="20"/>
          <w:szCs w:val="20"/>
          <w:color w:val="auto"/>
        </w:rPr>
      </w:pPr>
    </w:p>
    <w:p>
      <w:pPr>
        <w:ind w:left="160" w:right="179" w:firstLine="347"/>
        <w:spacing w:after="0" w:line="262" w:lineRule="auto"/>
        <w:rPr>
          <w:sz w:val="20"/>
          <w:szCs w:val="20"/>
          <w:color w:val="auto"/>
        </w:rPr>
      </w:pPr>
      <w:r>
        <w:rPr>
          <w:rFonts w:ascii="Times New Roman" w:cs="Times New Roman" w:eastAsia="Times New Roman" w:hAnsi="Times New Roman"/>
          <w:sz w:val="14"/>
          <w:szCs w:val="14"/>
          <w:color w:val="auto"/>
        </w:rPr>
        <w:t>The Company is incorporated under the laws of the State of Delaware. Section 102(b)(7) of the Delaware General Corporation Law (the “DGCL”) allows a corporation to provide in its certificate of incorporation that a director of the corporation shall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the DGCL or obtained an improper personal benefit. Our certificate of incorporation provides for this limitation of liability.</w:t>
      </w:r>
    </w:p>
    <w:p>
      <w:pPr>
        <w:spacing w:after="0" w:line="142" w:lineRule="exact"/>
        <w:rPr>
          <w:sz w:val="20"/>
          <w:szCs w:val="20"/>
          <w:color w:val="auto"/>
        </w:rPr>
      </w:pPr>
    </w:p>
    <w:p>
      <w:pPr>
        <w:ind w:left="160" w:right="299" w:firstLine="347"/>
        <w:spacing w:after="0" w:line="257" w:lineRule="auto"/>
        <w:rPr>
          <w:sz w:val="20"/>
          <w:szCs w:val="20"/>
          <w:color w:val="auto"/>
        </w:rPr>
      </w:pPr>
      <w:r>
        <w:rPr>
          <w:rFonts w:ascii="Times New Roman" w:cs="Times New Roman" w:eastAsia="Times New Roman" w:hAnsi="Times New Roman"/>
          <w:sz w:val="14"/>
          <w:szCs w:val="14"/>
          <w:color w:val="auto"/>
        </w:rPr>
        <w:t>Section 145 of the DGCL (“Section 145”) provides that a Delaware corporation may indemnify any person, including an officer or director,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illegal. Where an officer or director is successful on the merits or otherwise in the defense of any action referred to above, the corporation must indemnify him or her against the expenses that such officer or director has actually and reasonably incurred.</w:t>
      </w:r>
    </w:p>
    <w:p>
      <w:pPr>
        <w:spacing w:after="0" w:line="149" w:lineRule="exact"/>
        <w:rPr>
          <w:sz w:val="20"/>
          <w:szCs w:val="20"/>
          <w:color w:val="auto"/>
        </w:rPr>
      </w:pPr>
    </w:p>
    <w:p>
      <w:pPr>
        <w:ind w:left="160" w:right="179" w:firstLine="347"/>
        <w:spacing w:after="0" w:line="265" w:lineRule="auto"/>
        <w:rPr>
          <w:sz w:val="20"/>
          <w:szCs w:val="20"/>
          <w:color w:val="auto"/>
        </w:rPr>
      </w:pPr>
      <w:r>
        <w:rPr>
          <w:rFonts w:ascii="Times New Roman" w:cs="Times New Roman" w:eastAsia="Times New Roman" w:hAnsi="Times New Roman"/>
          <w:sz w:val="14"/>
          <w:szCs w:val="14"/>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or her and incurred by him or her in any such capacity, or arising out of his or her status as such, whether or not the corporation would otherwise have the power to indemnify him or her under Section 145.</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40" w:right="1440" w:bottom="1440" w:gutter="0" w:footer="0" w:header="0"/>
        </w:sectPr>
      </w:pPr>
    </w:p>
    <w:bookmarkStart w:id="16" w:name="page17"/>
    <w:bookmarkEnd w:id="16"/>
    <w:p>
      <w:pPr>
        <w:ind w:left="160" w:right="239" w:firstLine="347"/>
        <w:spacing w:after="0" w:line="27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200265" cy="33020"/>
                    </a:xfrm>
                    <a:prstGeom prst="rect">
                      <a:avLst/>
                    </a:prstGeom>
                    <a:noFill/>
                  </pic:spPr>
                </pic:pic>
              </a:graphicData>
            </a:graphic>
          </wp:anchor>
        </w:drawing>
        <w:t>Our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w:t>
      </w:r>
    </w:p>
    <w:p>
      <w:pPr>
        <w:spacing w:after="0" w:line="252"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07" w:lineRule="exact"/>
        <w:rPr>
          <w:sz w:val="20"/>
          <w:szCs w:val="20"/>
          <w:color w:val="auto"/>
        </w:rPr>
      </w:pPr>
    </w:p>
    <w:p>
      <w:pPr>
        <w:ind w:left="500" w:hanging="333"/>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79"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 index attached hereto is incorporated herein by reference.</w:t>
      </w:r>
    </w:p>
    <w:p>
      <w:pPr>
        <w:spacing w:after="0" w:line="294"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color w:val="auto"/>
        </w:rPr>
        <w:t>Undertakings</w:t>
      </w:r>
    </w:p>
    <w:p>
      <w:pPr>
        <w:spacing w:after="0" w:line="107" w:lineRule="exact"/>
        <w:rPr>
          <w:sz w:val="20"/>
          <w:szCs w:val="20"/>
          <w:color w:val="auto"/>
        </w:rPr>
      </w:pPr>
    </w:p>
    <w:p>
      <w:pPr>
        <w:ind w:left="500" w:hanging="333"/>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4" w:lineRule="exact"/>
        <w:rPr>
          <w:rFonts w:ascii="Times New Roman" w:cs="Times New Roman" w:eastAsia="Times New Roman" w:hAnsi="Times New Roman"/>
          <w:sz w:val="14"/>
          <w:szCs w:val="14"/>
          <w:color w:val="auto"/>
        </w:rPr>
      </w:pPr>
    </w:p>
    <w:p>
      <w:pPr>
        <w:ind w:left="1100" w:hanging="508"/>
        <w:spacing w:after="0"/>
        <w:tabs>
          <w:tab w:leader="none" w:pos="110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4" w:lineRule="exact"/>
        <w:rPr>
          <w:rFonts w:ascii="Times New Roman" w:cs="Times New Roman" w:eastAsia="Times New Roman" w:hAnsi="Times New Roman"/>
          <w:sz w:val="14"/>
          <w:szCs w:val="14"/>
          <w:color w:val="auto"/>
        </w:rPr>
      </w:pPr>
    </w:p>
    <w:p>
      <w:pPr>
        <w:ind w:left="1540" w:hanging="427"/>
        <w:spacing w:after="0"/>
        <w:tabs>
          <w:tab w:leader="none" w:pos="154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04" w:lineRule="exact"/>
        <w:rPr>
          <w:rFonts w:ascii="Times New Roman" w:cs="Times New Roman" w:eastAsia="Times New Roman" w:hAnsi="Times New Roman"/>
          <w:sz w:val="14"/>
          <w:szCs w:val="14"/>
          <w:color w:val="auto"/>
        </w:rPr>
      </w:pPr>
    </w:p>
    <w:p>
      <w:pPr>
        <w:ind w:left="1540" w:right="179" w:hanging="427"/>
        <w:spacing w:after="0" w:line="259" w:lineRule="auto"/>
        <w:tabs>
          <w:tab w:leader="none" w:pos="154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70" w:lineRule="exact"/>
        <w:rPr>
          <w:rFonts w:ascii="Times New Roman" w:cs="Times New Roman" w:eastAsia="Times New Roman" w:hAnsi="Times New Roman"/>
          <w:sz w:val="14"/>
          <w:szCs w:val="14"/>
          <w:color w:val="auto"/>
        </w:rPr>
      </w:pPr>
    </w:p>
    <w:p>
      <w:pPr>
        <w:ind w:left="1540" w:right="259" w:hanging="427"/>
        <w:spacing w:after="0" w:line="288" w:lineRule="auto"/>
        <w:tabs>
          <w:tab w:leader="none" w:pos="1540" w:val="left"/>
        </w:tabs>
        <w:numPr>
          <w:ilvl w:val="2"/>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(a)(1)(i), (a)(1)(ii) and (a)(1)(iii) of this section do not apply if the information required to be included in a post-</w:t>
      </w:r>
    </w:p>
    <w:p>
      <w:pPr>
        <w:spacing w:after="0" w:line="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effective amendment by those paragraphs is contained in reports filed with or furnished to the SEC by the Registrant pursuant to Section 13 or</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Section 15(d) of the Exchange Act that are incorporated by reference in the registration statement, or is contained in a form of prospectus filed pursuant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to Rule 424(b) that is part of the registration statement.</w:t>
      </w:r>
    </w:p>
    <w:p>
      <w:pPr>
        <w:spacing w:after="0" w:line="186" w:lineRule="exact"/>
        <w:rPr>
          <w:sz w:val="20"/>
          <w:szCs w:val="20"/>
          <w:color w:val="auto"/>
        </w:rPr>
      </w:pPr>
    </w:p>
    <w:p>
      <w:pPr>
        <w:jc w:val="both"/>
        <w:ind w:left="1100" w:right="239" w:hanging="508"/>
        <w:spacing w:after="0" w:line="270"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Times New Roman" w:cs="Times New Roman" w:eastAsia="Times New Roman" w:hAnsi="Times New Roman"/>
          <w:sz w:val="14"/>
          <w:szCs w:val="14"/>
          <w:color w:val="auto"/>
        </w:rPr>
      </w:pPr>
    </w:p>
    <w:p>
      <w:pPr>
        <w:ind w:left="1100" w:right="299" w:hanging="508"/>
        <w:spacing w:after="0" w:line="288" w:lineRule="auto"/>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4"/>
          <w:szCs w:val="14"/>
          <w:color w:val="auto"/>
        </w:rPr>
      </w:pPr>
    </w:p>
    <w:p>
      <w:pPr>
        <w:ind w:left="1100" w:hanging="508"/>
        <w:spacing w:after="0"/>
        <w:tabs>
          <w:tab w:leader="none" w:pos="11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4" w:lineRule="exact"/>
        <w:rPr>
          <w:rFonts w:ascii="Times New Roman" w:cs="Times New Roman" w:eastAsia="Times New Roman" w:hAnsi="Times New Roman"/>
          <w:sz w:val="14"/>
          <w:szCs w:val="14"/>
          <w:color w:val="auto"/>
        </w:rPr>
      </w:pPr>
    </w:p>
    <w:p>
      <w:pPr>
        <w:ind w:left="1540" w:hanging="427"/>
        <w:spacing w:after="0"/>
        <w:tabs>
          <w:tab w:leader="none" w:pos="154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registrant is relying on Rule 430B:</w:t>
      </w:r>
    </w:p>
    <w:p>
      <w:pPr>
        <w:spacing w:after="0" w:line="104" w:lineRule="exact"/>
        <w:rPr>
          <w:rFonts w:ascii="Times New Roman" w:cs="Times New Roman" w:eastAsia="Times New Roman" w:hAnsi="Times New Roman"/>
          <w:sz w:val="14"/>
          <w:szCs w:val="14"/>
          <w:color w:val="auto"/>
        </w:rPr>
      </w:pPr>
    </w:p>
    <w:p>
      <w:pPr>
        <w:jc w:val="both"/>
        <w:ind w:left="2060" w:right="679" w:hanging="511"/>
        <w:spacing w:after="0" w:line="288" w:lineRule="auto"/>
        <w:tabs>
          <w:tab w:leader="none" w:pos="2060" w:val="left"/>
        </w:tabs>
        <w:numPr>
          <w:ilvl w:val="2"/>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42" w:right="1440" w:bottom="1440" w:gutter="0" w:footer="0" w:header="0"/>
        </w:sectPr>
      </w:pPr>
    </w:p>
    <w:bookmarkStart w:id="17" w:name="page18"/>
    <w:bookmarkEnd w:id="17"/>
    <w:p>
      <w:pPr>
        <w:ind w:left="2060" w:right="199" w:hanging="511"/>
        <w:spacing w:after="0" w:line="256" w:lineRule="auto"/>
        <w:tabs>
          <w:tab w:leader="none" w:pos="2060" w:val="left"/>
        </w:tabs>
        <w:numPr>
          <w:ilvl w:val="3"/>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200265" cy="33020"/>
                    </a:xfrm>
                    <a:prstGeom prst="rect">
                      <a:avLst/>
                    </a:prstGeom>
                    <a:noFill/>
                  </pic:spPr>
                </pic:pic>
              </a:graphicData>
            </a:graphic>
          </wp:anchor>
        </w:drawing>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rFonts w:ascii="Times New Roman" w:cs="Times New Roman" w:eastAsia="Times New Roman" w:hAnsi="Times New Roman"/>
          <w:sz w:val="14"/>
          <w:szCs w:val="14"/>
          <w:color w:val="auto"/>
        </w:rPr>
      </w:pPr>
    </w:p>
    <w:p>
      <w:pPr>
        <w:ind w:left="1100" w:right="299" w:hanging="508"/>
        <w:spacing w:after="0" w:line="262" w:lineRule="auto"/>
        <w:tabs>
          <w:tab w:leader="none" w:pos="110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rFonts w:ascii="Times New Roman" w:cs="Times New Roman" w:eastAsia="Times New Roman" w:hAnsi="Times New Roman"/>
          <w:sz w:val="14"/>
          <w:szCs w:val="14"/>
          <w:color w:val="auto"/>
        </w:rPr>
      </w:pPr>
    </w:p>
    <w:p>
      <w:pPr>
        <w:ind w:left="1540" w:right="379" w:hanging="427"/>
        <w:spacing w:after="0" w:line="288" w:lineRule="auto"/>
        <w:tabs>
          <w:tab w:leader="none" w:pos="1540"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9" w:lineRule="exact"/>
        <w:rPr>
          <w:rFonts w:ascii="Times New Roman" w:cs="Times New Roman" w:eastAsia="Times New Roman" w:hAnsi="Times New Roman"/>
          <w:sz w:val="14"/>
          <w:szCs w:val="14"/>
          <w:color w:val="auto"/>
        </w:rPr>
      </w:pPr>
    </w:p>
    <w:p>
      <w:pPr>
        <w:ind w:left="1540" w:right="299" w:hanging="427"/>
        <w:spacing w:after="0" w:line="288" w:lineRule="auto"/>
        <w:tabs>
          <w:tab w:leader="none" w:pos="1540"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9" w:lineRule="exact"/>
        <w:rPr>
          <w:rFonts w:ascii="Times New Roman" w:cs="Times New Roman" w:eastAsia="Times New Roman" w:hAnsi="Times New Roman"/>
          <w:sz w:val="14"/>
          <w:szCs w:val="14"/>
          <w:color w:val="auto"/>
        </w:rPr>
      </w:pPr>
    </w:p>
    <w:p>
      <w:pPr>
        <w:ind w:left="1540" w:right="359" w:hanging="427"/>
        <w:spacing w:after="0" w:line="288" w:lineRule="auto"/>
        <w:tabs>
          <w:tab w:leader="none" w:pos="1540"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9" w:lineRule="exact"/>
        <w:rPr>
          <w:rFonts w:ascii="Times New Roman" w:cs="Times New Roman" w:eastAsia="Times New Roman" w:hAnsi="Times New Roman"/>
          <w:sz w:val="14"/>
          <w:szCs w:val="14"/>
          <w:color w:val="auto"/>
        </w:rPr>
      </w:pPr>
    </w:p>
    <w:p>
      <w:pPr>
        <w:ind w:left="1540" w:hanging="427"/>
        <w:spacing w:after="0"/>
        <w:tabs>
          <w:tab w:leader="none" w:pos="1540" w:val="left"/>
        </w:tabs>
        <w:numPr>
          <w:ilvl w:val="2"/>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04" w:lineRule="exact"/>
        <w:rPr>
          <w:rFonts w:ascii="Times New Roman" w:cs="Times New Roman" w:eastAsia="Times New Roman" w:hAnsi="Times New Roman"/>
          <w:sz w:val="14"/>
          <w:szCs w:val="14"/>
          <w:color w:val="auto"/>
        </w:rPr>
      </w:pPr>
    </w:p>
    <w:p>
      <w:pPr>
        <w:ind w:left="500" w:right="199" w:hanging="333"/>
        <w:spacing w:after="0" w:line="262"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4"/>
          <w:szCs w:val="14"/>
          <w:color w:val="auto"/>
        </w:rPr>
      </w:pPr>
    </w:p>
    <w:p>
      <w:pPr>
        <w:ind w:left="500" w:right="199" w:hanging="333"/>
        <w:spacing w:after="0" w:line="258" w:lineRule="auto"/>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9019"/>
          </w:cols>
          <w:pgMar w:left="1440" w:top="242" w:right="1440" w:bottom="1440" w:gutter="0" w:footer="0" w:header="0"/>
        </w:sectPr>
      </w:pPr>
    </w:p>
    <w:bookmarkStart w:id="18" w:name="page19"/>
    <w:bookmarkEnd w:id="18"/>
    <w:tbl>
      <w:tblPr>
        <w:tblLayout w:type="fixed"/>
        <w:tblInd w:w="16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60" w:type="dxa"/>
            <w:vAlign w:val="bottom"/>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289"/>
        </w:trPr>
        <w:tc>
          <w:tcPr>
            <w:tcW w:w="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5"/>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0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  1.1*</w:t>
            </w:r>
          </w:p>
        </w:tc>
        <w:tc>
          <w:tcPr>
            <w:tcW w:w="500" w:type="dxa"/>
            <w:vAlign w:val="bottom"/>
          </w:tcPr>
          <w:p>
            <w:pPr>
              <w:spacing w:after="0"/>
              <w:rPr>
                <w:sz w:val="21"/>
                <w:szCs w:val="21"/>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22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500" w:type="dxa"/>
            <w:vAlign w:val="bottom"/>
          </w:tcPr>
          <w:p>
            <w:pPr>
              <w:spacing w:after="0"/>
              <w:rPr>
                <w:sz w:val="19"/>
                <w:szCs w:val="19"/>
                <w:color w:val="auto"/>
              </w:rPr>
            </w:pPr>
          </w:p>
        </w:tc>
        <w:tc>
          <w:tcPr>
            <w:tcW w:w="7180" w:type="dxa"/>
            <w:vAlign w:val="bottom"/>
            <w:tcBorders>
              <w:bottom w:val="single" w:sz="8" w:color="0000EE"/>
            </w:tcBorders>
            <w:gridSpan w:val="7"/>
          </w:tcPr>
          <w:p>
            <w:pPr>
              <w:spacing w:after="0"/>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0000EE"/>
                </w:rPr>
                <w:t>Amended and Restated Certificate of Incorporation of Avis Budget Group, Inc. (incorporated by reference to Exhibit 3.1 to the</w:t>
              </w:r>
            </w:hyperlink>
          </w:p>
        </w:tc>
        <w:tc>
          <w:tcPr>
            <w:tcW w:w="5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760" w:type="dxa"/>
            <w:vAlign w:val="bottom"/>
            <w:gridSpan w:val="9"/>
          </w:tcPr>
          <w:p>
            <w:pPr>
              <w:spacing w:after="0" w:line="150" w:lineRule="exact"/>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0000EE"/>
                </w:rPr>
                <w:t>Company’s Current Report on Form 8-K, dated July 31, 2025).</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500" w:type="dxa"/>
            <w:vAlign w:val="bottom"/>
          </w:tcPr>
          <w:p>
            <w:pPr>
              <w:spacing w:after="0"/>
              <w:rPr>
                <w:sz w:val="20"/>
                <w:szCs w:val="20"/>
                <w:color w:val="auto"/>
              </w:rPr>
            </w:pPr>
          </w:p>
        </w:tc>
        <w:tc>
          <w:tcPr>
            <w:tcW w:w="744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Amended and Restated Bylaws of Avis Budget Group, Inc., dated August 10, 2020 (incorporated by reference to Exhibit 3.2 to the</w:t>
              </w:r>
            </w:hyperlink>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740" w:type="dxa"/>
            <w:vAlign w:val="bottom"/>
            <w:tcBorders>
              <w:bottom w:val="single" w:sz="8" w:color="0000EE"/>
            </w:tcBorders>
            <w:gridSpan w:val="5"/>
          </w:tcPr>
          <w:p>
            <w:pPr>
              <w:spacing w:after="0" w:line="150" w:lineRule="exact"/>
              <w:rPr>
                <w:rFonts w:ascii="Times New Roman" w:cs="Times New Roman" w:eastAsia="Times New Roman" w:hAnsi="Times New Roman"/>
                <w:sz w:val="14"/>
                <w:szCs w:val="14"/>
                <w:color w:val="0000EE"/>
              </w:rPr>
            </w:pPr>
            <w:hyperlink r:id="rId43">
              <w:r>
                <w:rPr>
                  <w:rFonts w:ascii="Times New Roman" w:cs="Times New Roman" w:eastAsia="Times New Roman" w:hAnsi="Times New Roman"/>
                  <w:sz w:val="14"/>
                  <w:szCs w:val="14"/>
                  <w:color w:val="0000EE"/>
                </w:rPr>
                <w:t>Company’s Current Report on Form 8-K, dated August 13, 2020).</w:t>
              </w:r>
            </w:hyperlink>
          </w:p>
        </w:tc>
        <w:tc>
          <w:tcPr>
            <w:tcW w:w="40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500" w:type="dxa"/>
            <w:vAlign w:val="bottom"/>
          </w:tcPr>
          <w:p>
            <w:pPr>
              <w:spacing w:after="0"/>
              <w:rPr>
                <w:sz w:val="20"/>
                <w:szCs w:val="20"/>
                <w:color w:val="auto"/>
              </w:rPr>
            </w:pPr>
          </w:p>
        </w:tc>
        <w:tc>
          <w:tcPr>
            <w:tcW w:w="1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9"/>
              </w:rPr>
              <w:t>Opinion of Kirkland &amp; Ellis LLP.</w:t>
            </w:r>
          </w:p>
        </w:tc>
        <w:tc>
          <w:tcPr>
            <w:tcW w:w="586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500" w:type="dxa"/>
            <w:vAlign w:val="bottom"/>
          </w:tcPr>
          <w:p>
            <w:pPr>
              <w:spacing w:after="0"/>
              <w:rPr>
                <w:sz w:val="20"/>
                <w:szCs w:val="20"/>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Consent of Deloitte &amp; Touche LLP.</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500" w:type="dxa"/>
            <w:vAlign w:val="bottom"/>
          </w:tcPr>
          <w:p>
            <w:pPr>
              <w:spacing w:after="0"/>
              <w:rPr>
                <w:sz w:val="20"/>
                <w:szCs w:val="20"/>
                <w:color w:val="auto"/>
              </w:rPr>
            </w:pPr>
          </w:p>
        </w:tc>
        <w:tc>
          <w:tcPr>
            <w:tcW w:w="33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Consent of Kirkland &amp; Ellis LLP (included in Exhibit 5.1).</w:t>
            </w:r>
          </w:p>
        </w:tc>
        <w:tc>
          <w:tcPr>
            <w:tcW w:w="44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500" w:type="dxa"/>
            <w:vAlign w:val="bottom"/>
          </w:tcPr>
          <w:p>
            <w:pPr>
              <w:spacing w:after="0"/>
              <w:rPr>
                <w:sz w:val="20"/>
                <w:szCs w:val="20"/>
                <w:color w:val="auto"/>
              </w:rPr>
            </w:pPr>
          </w:p>
        </w:tc>
        <w:tc>
          <w:tcPr>
            <w:tcW w:w="7760" w:type="dxa"/>
            <w:vAlign w:val="bottom"/>
            <w:gridSpan w:val="9"/>
          </w:tcPr>
          <w:p>
            <w:pPr>
              <w:spacing w:after="0"/>
              <w:rPr>
                <w:sz w:val="20"/>
                <w:szCs w:val="20"/>
                <w:color w:val="auto"/>
              </w:rPr>
            </w:pPr>
            <w:r>
              <w:rPr>
                <w:rFonts w:ascii="Times New Roman" w:cs="Times New Roman" w:eastAsia="Times New Roman" w:hAnsi="Times New Roman"/>
                <w:sz w:val="14"/>
                <w:szCs w:val="14"/>
                <w:color w:val="0000EE"/>
              </w:rPr>
              <w:t>Power of Attorney (included on the signature pages to this registration statement).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200265" cy="33020"/>
                    </a:xfrm>
                    <a:prstGeom prst="rect">
                      <a:avLst/>
                    </a:prstGeom>
                    <a:noFill/>
                  </pic:spPr>
                </pic:pic>
              </a:graphicData>
            </a:graphic>
          </wp:anchor>
        </w:drawing>
      </w:r>
    </w:p>
    <w:p>
      <w:pPr>
        <w:ind w:left="1080" w:hanging="913"/>
        <w:spacing w:after="0"/>
        <w:tabs>
          <w:tab w:leader="none" w:pos="1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89535</wp:posOffset>
            </wp:positionV>
            <wp:extent cx="6007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600710" cy="6985"/>
                    </a:xfrm>
                    <a:prstGeom prst="rect">
                      <a:avLst/>
                    </a:prstGeom>
                    <a:noFill/>
                  </pic:spPr>
                </pic:pic>
              </a:graphicData>
            </a:graphic>
          </wp:anchor>
        </w:drawing>
      </w:r>
    </w:p>
    <w:p>
      <w:pPr>
        <w:spacing w:after="0" w:line="138" w:lineRule="exact"/>
        <w:rPr>
          <w:sz w:val="20"/>
          <w:szCs w:val="20"/>
          <w:color w:val="auto"/>
        </w:rPr>
      </w:pPr>
    </w:p>
    <w:p>
      <w:pPr>
        <w:jc w:val="center"/>
        <w:ind w:left="4400" w:right="699" w:hanging="4233"/>
        <w:spacing w:after="0" w:line="462" w:lineRule="auto"/>
        <w:tabs>
          <w:tab w:leader="none" w:pos="33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if necessary, by amendment or as an exhibit to a document to be incorporated by reference herein in connection with an offering. II-4</w:t>
      </w:r>
    </w:p>
    <w:p>
      <w:pPr>
        <w:sectPr>
          <w:pgSz w:w="11900" w:h="16838" w:orient="portrait"/>
          <w:cols w:equalWidth="0" w:num="1">
            <w:col w:w="9019"/>
          </w:cols>
          <w:pgMar w:left="1440" w:top="240"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200265" cy="33020"/>
                    </a:xfrm>
                    <a:prstGeom prst="rect">
                      <a:avLst/>
                    </a:prstGeom>
                    <a:noFill/>
                  </pic:spPr>
                </pic:pic>
              </a:graphicData>
            </a:graphic>
          </wp:anchor>
        </w:drawing>
        <w:t>SIGNATURES</w:t>
      </w:r>
    </w:p>
    <w:p>
      <w:pPr>
        <w:spacing w:after="0" w:line="181" w:lineRule="exact"/>
        <w:rPr>
          <w:sz w:val="20"/>
          <w:szCs w:val="20"/>
          <w:color w:val="auto"/>
        </w:rPr>
      </w:pPr>
    </w:p>
    <w:p>
      <w:pPr>
        <w:ind w:left="160" w:right="339" w:firstLine="347"/>
        <w:spacing w:after="0" w:line="27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Parsippany, New Jersey, on March 27, 2026.</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Avis Budget Group, Inc.</w:t>
      </w:r>
    </w:p>
    <w:p>
      <w:pPr>
        <w:spacing w:after="0" w:line="179" w:lineRule="exact"/>
        <w:rPr>
          <w:sz w:val="20"/>
          <w:szCs w:val="20"/>
          <w:color w:val="auto"/>
        </w:rPr>
      </w:pPr>
    </w:p>
    <w:tbl>
      <w:tblPr>
        <w:tblLayout w:type="fixed"/>
        <w:tblInd w:w="538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 Cathleen DeGenova</w:t>
            </w:r>
          </w:p>
        </w:tc>
      </w:tr>
      <w:tr>
        <w:trPr>
          <w:trHeight w:val="147"/>
        </w:trPr>
        <w:tc>
          <w:tcPr>
            <w:tcW w:w="42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Name:</w:t>
            </w:r>
          </w:p>
        </w:tc>
        <w:tc>
          <w:tcPr>
            <w:tcW w:w="3040" w:type="dxa"/>
            <w:vAlign w:val="bottom"/>
          </w:tcPr>
          <w:p>
            <w:pPr>
              <w:ind w:left="40"/>
              <w:spacing w:after="0" w:line="147" w:lineRule="exact"/>
              <w:rPr>
                <w:sz w:val="20"/>
                <w:szCs w:val="20"/>
                <w:color w:val="auto"/>
              </w:rPr>
            </w:pPr>
            <w:r>
              <w:rPr>
                <w:rFonts w:ascii="Times New Roman" w:cs="Times New Roman" w:eastAsia="Times New Roman" w:hAnsi="Times New Roman"/>
                <w:sz w:val="14"/>
                <w:szCs w:val="14"/>
                <w:color w:val="auto"/>
              </w:rPr>
              <w:t>Cathleen DeGenova</w:t>
            </w:r>
          </w:p>
        </w:tc>
      </w:tr>
      <w:tr>
        <w:trPr>
          <w:trHeight w:val="18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0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9019"/>
          </w:cols>
          <w:pgMar w:left="1440" w:top="240" w:right="1440"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200265" cy="33020"/>
                    </a:xfrm>
                    <a:prstGeom prst="rect">
                      <a:avLst/>
                    </a:prstGeom>
                    <a:noFill/>
                  </pic:spPr>
                </pic:pic>
              </a:graphicData>
            </a:graphic>
          </wp:anchor>
        </w:drawing>
        <w:t>POWER OF ATTORNEY</w:t>
      </w:r>
    </w:p>
    <w:p>
      <w:pPr>
        <w:spacing w:after="0" w:line="181" w:lineRule="exact"/>
        <w:rPr>
          <w:sz w:val="20"/>
          <w:szCs w:val="20"/>
          <w:color w:val="auto"/>
        </w:rPr>
      </w:pPr>
    </w:p>
    <w:p>
      <w:pPr>
        <w:ind w:left="160" w:right="219" w:firstLine="347"/>
        <w:spacing w:after="0" w:line="259" w:lineRule="auto"/>
        <w:rPr>
          <w:sz w:val="20"/>
          <w:szCs w:val="20"/>
          <w:color w:val="auto"/>
        </w:rPr>
      </w:pPr>
      <w:r>
        <w:rPr>
          <w:rFonts w:ascii="Times New Roman" w:cs="Times New Roman" w:eastAsia="Times New Roman" w:hAnsi="Times New Roman"/>
          <w:sz w:val="14"/>
          <w:szCs w:val="14"/>
          <w:color w:val="auto"/>
        </w:rPr>
        <w:t>Each officer and director of Avis Budget Group, Inc. whose signature appears below constitutes and appoints Brian J. Choi and Cathleen DeGenova and each of them, his or her true and lawful attorney-in-fact and agent, with full power of substitution and resubstitution, for him or her and in his or her name, place and stead, in any and all capacities, to execute any and all amendments including any post-effective amendments and supplements to this registration statement,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44" w:lineRule="exact"/>
        <w:rPr>
          <w:sz w:val="20"/>
          <w:szCs w:val="20"/>
          <w:color w:val="auto"/>
        </w:rPr>
      </w:pPr>
    </w:p>
    <w:p>
      <w:pPr>
        <w:ind w:left="160" w:right="199" w:firstLine="347"/>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on March 27, 2026 in the capacities indicated:</w:t>
      </w:r>
    </w:p>
    <w:p>
      <w:pPr>
        <w:spacing w:after="0" w:line="141" w:lineRule="exact"/>
        <w:rPr>
          <w:sz w:val="20"/>
          <w:szCs w:val="20"/>
          <w:color w:val="auto"/>
        </w:rPr>
      </w:pPr>
    </w:p>
    <w:tbl>
      <w:tblPr>
        <w:tblLayout w:type="fixed"/>
        <w:tblInd w:w="180" w:type="dxa"/>
        <w:tblCellMar>
          <w:top w:w="0" w:type="dxa"/>
          <w:left w:w="0" w:type="dxa"/>
          <w:bottom w:w="0" w:type="dxa"/>
          <w:right w:w="0" w:type="dxa"/>
        </w:tblCellMar>
      </w:tblPr>
      <w:tr>
        <w:trPr>
          <w:trHeight w:val="147"/>
        </w:trPr>
        <w:tc>
          <w:tcPr>
            <w:tcW w:w="35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1"/>
                <w:szCs w:val="11"/>
                <w:b w:val="1"/>
                <w:bCs w:val="1"/>
                <w:color w:val="auto"/>
              </w:rPr>
              <w:t>Name</w:t>
            </w:r>
          </w:p>
        </w:tc>
        <w:tc>
          <w:tcPr>
            <w:tcW w:w="8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20"/>
        </w:trPr>
        <w:tc>
          <w:tcPr>
            <w:tcW w:w="35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4"/>
                <w:szCs w:val="14"/>
                <w:color w:val="auto"/>
              </w:rPr>
              <w:t>/s/ Brian J. Choi</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75"/>
        </w:trPr>
        <w:tc>
          <w:tcPr>
            <w:tcW w:w="3580" w:type="dxa"/>
            <w:vAlign w:val="bottom"/>
          </w:tcPr>
          <w:p>
            <w:pPr>
              <w:jc w:val="center"/>
              <w:ind w:left="750"/>
              <w:spacing w:after="0"/>
              <w:rPr>
                <w:sz w:val="20"/>
                <w:szCs w:val="20"/>
                <w:color w:val="auto"/>
              </w:rPr>
            </w:pPr>
            <w:r>
              <w:rPr>
                <w:rFonts w:ascii="Times New Roman" w:cs="Times New Roman" w:eastAsia="Times New Roman" w:hAnsi="Times New Roman"/>
                <w:sz w:val="14"/>
                <w:szCs w:val="14"/>
                <w:color w:val="auto"/>
              </w:rPr>
              <w:t>Brian J. Choi</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36"/>
        </w:trPr>
        <w:tc>
          <w:tcPr>
            <w:tcW w:w="35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4"/>
                <w:szCs w:val="14"/>
                <w:color w:val="auto"/>
              </w:rPr>
              <w:t>/s/ Daniel Crestian Cunha</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w:t>
            </w:r>
          </w:p>
        </w:tc>
      </w:tr>
      <w:tr>
        <w:trPr>
          <w:trHeight w:val="175"/>
        </w:trPr>
        <w:tc>
          <w:tcPr>
            <w:tcW w:w="3580" w:type="dxa"/>
            <w:vAlign w:val="bottom"/>
          </w:tcPr>
          <w:p>
            <w:pPr>
              <w:jc w:val="center"/>
              <w:ind w:left="750"/>
              <w:spacing w:after="0"/>
              <w:rPr>
                <w:sz w:val="20"/>
                <w:szCs w:val="20"/>
                <w:color w:val="auto"/>
              </w:rPr>
            </w:pPr>
            <w:r>
              <w:rPr>
                <w:rFonts w:ascii="Times New Roman" w:cs="Times New Roman" w:eastAsia="Times New Roman" w:hAnsi="Times New Roman"/>
                <w:sz w:val="14"/>
                <w:szCs w:val="14"/>
                <w:color w:val="auto"/>
              </w:rPr>
              <w:t>Daniel Crestian Cunha</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Financial Officer)</w:t>
            </w:r>
          </w:p>
        </w:tc>
      </w:tr>
      <w:tr>
        <w:trPr>
          <w:trHeight w:val="336"/>
        </w:trPr>
        <w:tc>
          <w:tcPr>
            <w:tcW w:w="35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4"/>
                <w:szCs w:val="14"/>
                <w:color w:val="auto"/>
              </w:rPr>
              <w:t>/s/ Cathleen DeGenova</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and Chief Accounting Officer (Principal</w:t>
            </w:r>
          </w:p>
        </w:tc>
      </w:tr>
      <w:tr>
        <w:trPr>
          <w:trHeight w:val="175"/>
        </w:trPr>
        <w:tc>
          <w:tcPr>
            <w:tcW w:w="3580" w:type="dxa"/>
            <w:vAlign w:val="bottom"/>
          </w:tcPr>
          <w:p>
            <w:pPr>
              <w:jc w:val="center"/>
              <w:ind w:left="770"/>
              <w:spacing w:after="0"/>
              <w:rPr>
                <w:sz w:val="20"/>
                <w:szCs w:val="20"/>
                <w:color w:val="auto"/>
              </w:rPr>
            </w:pPr>
            <w:r>
              <w:rPr>
                <w:rFonts w:ascii="Times New Roman" w:cs="Times New Roman" w:eastAsia="Times New Roman" w:hAnsi="Times New Roman"/>
                <w:sz w:val="14"/>
                <w:szCs w:val="14"/>
                <w:color w:val="auto"/>
              </w:rPr>
              <w:t>Cathleen DeGenova</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Accounting Officer)</w:t>
            </w:r>
          </w:p>
        </w:tc>
      </w:tr>
      <w:tr>
        <w:trPr>
          <w:trHeight w:val="336"/>
        </w:trPr>
        <w:tc>
          <w:tcPr>
            <w:tcW w:w="35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4"/>
                <w:szCs w:val="14"/>
                <w:color w:val="auto"/>
              </w:rPr>
              <w:t>/s/ Jagdeep Pahwa</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of the Board of Directors</w:t>
            </w:r>
          </w:p>
        </w:tc>
      </w:tr>
      <w:tr>
        <w:trPr>
          <w:trHeight w:val="175"/>
        </w:trPr>
        <w:tc>
          <w:tcPr>
            <w:tcW w:w="3580" w:type="dxa"/>
            <w:vAlign w:val="bottom"/>
          </w:tcPr>
          <w:p>
            <w:pPr>
              <w:jc w:val="center"/>
              <w:ind w:left="750"/>
              <w:spacing w:after="0"/>
              <w:rPr>
                <w:sz w:val="20"/>
                <w:szCs w:val="20"/>
                <w:color w:val="auto"/>
              </w:rPr>
            </w:pPr>
            <w:r>
              <w:rPr>
                <w:rFonts w:ascii="Times New Roman" w:cs="Times New Roman" w:eastAsia="Times New Roman" w:hAnsi="Times New Roman"/>
                <w:sz w:val="14"/>
                <w:szCs w:val="14"/>
                <w:color w:val="auto"/>
              </w:rPr>
              <w:t>Jagdeep Pahwa</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336"/>
        </w:trPr>
        <w:tc>
          <w:tcPr>
            <w:tcW w:w="35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4"/>
                <w:szCs w:val="14"/>
                <w:color w:val="auto"/>
              </w:rPr>
              <w:t>/s/ Anu Hariharan</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80" w:type="dxa"/>
            <w:vAlign w:val="bottom"/>
          </w:tcPr>
          <w:p>
            <w:pPr>
              <w:jc w:val="center"/>
              <w:ind w:left="750"/>
              <w:spacing w:after="0"/>
              <w:rPr>
                <w:sz w:val="20"/>
                <w:szCs w:val="20"/>
                <w:color w:val="auto"/>
              </w:rPr>
            </w:pPr>
            <w:r>
              <w:rPr>
                <w:rFonts w:ascii="Times New Roman" w:cs="Times New Roman" w:eastAsia="Times New Roman" w:hAnsi="Times New Roman"/>
                <w:sz w:val="14"/>
                <w:szCs w:val="14"/>
                <w:color w:val="auto"/>
              </w:rPr>
              <w:t>Anu Hariharan</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336"/>
        </w:trPr>
        <w:tc>
          <w:tcPr>
            <w:tcW w:w="35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4"/>
                <w:szCs w:val="14"/>
                <w:color w:val="auto"/>
              </w:rPr>
              <w:t>/s/ Bernardo Hees</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80" w:type="dxa"/>
            <w:vAlign w:val="bottom"/>
          </w:tcPr>
          <w:p>
            <w:pPr>
              <w:jc w:val="center"/>
              <w:ind w:left="750"/>
              <w:spacing w:after="0"/>
              <w:rPr>
                <w:sz w:val="20"/>
                <w:szCs w:val="20"/>
                <w:color w:val="auto"/>
              </w:rPr>
            </w:pPr>
            <w:r>
              <w:rPr>
                <w:rFonts w:ascii="Times New Roman" w:cs="Times New Roman" w:eastAsia="Times New Roman" w:hAnsi="Times New Roman"/>
                <w:sz w:val="14"/>
                <w:szCs w:val="14"/>
                <w:color w:val="auto"/>
              </w:rPr>
              <w:t>Bernardo Hees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336"/>
        </w:trPr>
        <w:tc>
          <w:tcPr>
            <w:tcW w:w="35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4"/>
                <w:szCs w:val="14"/>
                <w:color w:val="auto"/>
              </w:rPr>
              <w:t>/s/ Lynn Krominga</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80" w:type="dxa"/>
            <w:vAlign w:val="bottom"/>
          </w:tcPr>
          <w:p>
            <w:pPr>
              <w:jc w:val="center"/>
              <w:ind w:left="770"/>
              <w:spacing w:after="0"/>
              <w:rPr>
                <w:sz w:val="20"/>
                <w:szCs w:val="20"/>
                <w:color w:val="auto"/>
              </w:rPr>
            </w:pPr>
            <w:r>
              <w:rPr>
                <w:rFonts w:ascii="Times New Roman" w:cs="Times New Roman" w:eastAsia="Times New Roman" w:hAnsi="Times New Roman"/>
                <w:sz w:val="14"/>
                <w:szCs w:val="14"/>
                <w:color w:val="auto"/>
              </w:rPr>
              <w:t>Lynn Krominga</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336"/>
        </w:trPr>
        <w:tc>
          <w:tcPr>
            <w:tcW w:w="3580" w:type="dxa"/>
            <w:vAlign w:val="bottom"/>
            <w:tcBorders>
              <w:bottom w:val="single" w:sz="8" w:color="auto"/>
            </w:tcBorders>
          </w:tcPr>
          <w:p>
            <w:pPr>
              <w:jc w:val="center"/>
              <w:ind w:left="770"/>
              <w:spacing w:after="0"/>
              <w:rPr>
                <w:sz w:val="20"/>
                <w:szCs w:val="20"/>
                <w:color w:val="auto"/>
              </w:rPr>
            </w:pPr>
            <w:r>
              <w:rPr>
                <w:rFonts w:ascii="Times New Roman" w:cs="Times New Roman" w:eastAsia="Times New Roman" w:hAnsi="Times New Roman"/>
                <w:sz w:val="14"/>
                <w:szCs w:val="14"/>
                <w:color w:val="auto"/>
              </w:rPr>
              <w:t>/s/ Glenn Lurie</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80" w:type="dxa"/>
            <w:vAlign w:val="bottom"/>
          </w:tcPr>
          <w:p>
            <w:pPr>
              <w:jc w:val="center"/>
              <w:ind w:left="750"/>
              <w:spacing w:after="0"/>
              <w:rPr>
                <w:sz w:val="20"/>
                <w:szCs w:val="20"/>
                <w:color w:val="auto"/>
              </w:rPr>
            </w:pPr>
            <w:r>
              <w:rPr>
                <w:rFonts w:ascii="Times New Roman" w:cs="Times New Roman" w:eastAsia="Times New Roman" w:hAnsi="Times New Roman"/>
                <w:sz w:val="14"/>
                <w:szCs w:val="14"/>
                <w:color w:val="auto"/>
                <w:w w:val="99"/>
              </w:rPr>
              <w:t>Glenn Lurie</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336"/>
        </w:trPr>
        <w:tc>
          <w:tcPr>
            <w:tcW w:w="358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4"/>
                <w:szCs w:val="14"/>
                <w:color w:val="auto"/>
              </w:rPr>
              <w:t>/s/ Karthik Sarma</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3580" w:type="dxa"/>
            <w:vAlign w:val="bottom"/>
          </w:tcPr>
          <w:p>
            <w:pPr>
              <w:jc w:val="center"/>
              <w:ind w:left="750"/>
              <w:spacing w:after="0"/>
              <w:rPr>
                <w:sz w:val="20"/>
                <w:szCs w:val="20"/>
                <w:color w:val="auto"/>
              </w:rPr>
            </w:pPr>
            <w:r>
              <w:rPr>
                <w:rFonts w:ascii="Times New Roman" w:cs="Times New Roman" w:eastAsia="Times New Roman" w:hAnsi="Times New Roman"/>
                <w:sz w:val="14"/>
                <w:szCs w:val="14"/>
                <w:color w:val="auto"/>
              </w:rPr>
              <w:t>Karthik Sarma</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283"/>
        </w:trPr>
        <w:tc>
          <w:tcPr>
            <w:tcW w:w="3580" w:type="dxa"/>
            <w:vAlign w:val="bottom"/>
          </w:tcPr>
          <w:p>
            <w:pPr>
              <w:spacing w:after="0"/>
              <w:rPr>
                <w:sz w:val="24"/>
                <w:szCs w:val="24"/>
                <w:color w:val="auto"/>
              </w:rPr>
            </w:pPr>
          </w:p>
        </w:tc>
        <w:tc>
          <w:tcPr>
            <w:tcW w:w="508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II-6</w:t>
            </w:r>
          </w:p>
        </w:tc>
      </w:tr>
    </w:tbl>
    <w:p>
      <w:pPr>
        <w:sectPr>
          <w:pgSz w:w="11900" w:h="16838" w:orient="portrait"/>
          <w:cols w:equalWidth="0" w:num="1">
            <w:col w:w="9019"/>
          </w:cols>
          <w:pgMar w:left="1440" w:top="240" w:right="1440" w:bottom="1440" w:gutter="0" w:footer="0" w:header="0"/>
        </w:sectPr>
      </w:pPr>
    </w:p>
    <w:bookmarkStart w:id="21" w:name="page22"/>
    <w:bookmarkEnd w:id="21"/>
    <w:p>
      <w:pPr>
        <w:spacing w:after="0" w:line="1" w:lineRule="exact"/>
        <w:rPr>
          <w:sz w:val="20"/>
          <w:szCs w:val="20"/>
          <w:color w:val="auto"/>
        </w:rPr>
      </w:pPr>
    </w:p>
    <w:tbl>
      <w:tblPr>
        <w:tblLayout w:type="fixed"/>
        <w:tblInd w:w="396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tc>
        <w:tc>
          <w:tcPr>
            <w:tcW w:w="0" w:type="dxa"/>
            <w:vAlign w:val="bottom"/>
          </w:tcPr>
          <w:p>
            <w:pPr>
              <w:spacing w:after="0"/>
              <w:rPr>
                <w:sz w:val="1"/>
                <w:szCs w:val="1"/>
                <w:color w:val="auto"/>
              </w:rPr>
            </w:pPr>
          </w:p>
        </w:tc>
      </w:tr>
      <w:tr>
        <w:trPr>
          <w:trHeight w:val="772"/>
        </w:trPr>
        <w:tc>
          <w:tcPr>
            <w:tcW w:w="2600" w:type="dxa"/>
            <w:vAlign w:val="bottom"/>
          </w:tcPr>
          <w:p>
            <w:pPr>
              <w:jc w:val="center"/>
              <w:ind w:right="1229"/>
              <w:spacing w:after="0"/>
              <w:rPr>
                <w:sz w:val="20"/>
                <w:szCs w:val="20"/>
                <w:color w:val="auto"/>
              </w:rPr>
            </w:pPr>
            <w:r>
              <w:rPr>
                <w:rFonts w:ascii="Times New Roman" w:cs="Times New Roman" w:eastAsia="Times New Roman" w:hAnsi="Times New Roman"/>
                <w:sz w:val="14"/>
                <w:szCs w:val="14"/>
                <w:color w:val="auto"/>
              </w:rPr>
              <w:t>601 Lexington Avenue</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0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w w:val="99"/>
              </w:rPr>
              <w:t>New York, NY 10022</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60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United States</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600" w:type="dxa"/>
            <w:vAlign w:val="bottom"/>
          </w:tcPr>
          <w:p>
            <w:pPr>
              <w:jc w:val="center"/>
              <w:ind w:right="1249"/>
              <w:spacing w:after="0"/>
              <w:rPr>
                <w:sz w:val="20"/>
                <w:szCs w:val="20"/>
                <w:color w:val="auto"/>
              </w:rPr>
            </w:pPr>
            <w:r>
              <w:rPr>
                <w:rFonts w:ascii="Times New Roman" w:cs="Times New Roman" w:eastAsia="Times New Roman" w:hAnsi="Times New Roman"/>
                <w:sz w:val="14"/>
                <w:szCs w:val="14"/>
                <w:color w:val="auto"/>
              </w:rPr>
              <w:t>+1 212 446 4800</w:t>
            </w:r>
          </w:p>
        </w:tc>
        <w:tc>
          <w:tcPr>
            <w:tcW w:w="22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Facsimile:</w:t>
            </w:r>
          </w:p>
        </w:tc>
        <w:tc>
          <w:tcPr>
            <w:tcW w:w="0" w:type="dxa"/>
            <w:vAlign w:val="bottom"/>
          </w:tcPr>
          <w:p>
            <w:pPr>
              <w:spacing w:after="0"/>
              <w:rPr>
                <w:sz w:val="1"/>
                <w:szCs w:val="1"/>
                <w:color w:val="auto"/>
              </w:rPr>
            </w:pPr>
          </w:p>
        </w:tc>
      </w:tr>
      <w:tr>
        <w:trPr>
          <w:trHeight w:val="184"/>
        </w:trPr>
        <w:tc>
          <w:tcPr>
            <w:tcW w:w="2600" w:type="dxa"/>
            <w:vAlign w:val="bottom"/>
            <w:vMerge w:val="restart"/>
          </w:tcPr>
          <w:p>
            <w:pPr>
              <w:jc w:val="center"/>
              <w:ind w:right="1249"/>
              <w:spacing w:after="0"/>
              <w:rPr>
                <w:sz w:val="20"/>
                <w:szCs w:val="20"/>
                <w:color w:val="auto"/>
              </w:rPr>
            </w:pPr>
            <w:r>
              <w:rPr>
                <w:rFonts w:ascii="Times New Roman" w:cs="Times New Roman" w:eastAsia="Times New Roman" w:hAnsi="Times New Roman"/>
                <w:sz w:val="14"/>
                <w:szCs w:val="14"/>
                <w:color w:val="auto"/>
                <w:w w:val="99"/>
              </w:rPr>
              <w:t>www.kirkland.com</w:t>
            </w: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+1 212 446 4900</w:t>
            </w:r>
          </w:p>
        </w:tc>
        <w:tc>
          <w:tcPr>
            <w:tcW w:w="0" w:type="dxa"/>
            <w:vAlign w:val="bottom"/>
          </w:tcPr>
          <w:p>
            <w:pPr>
              <w:spacing w:after="0"/>
              <w:rPr>
                <w:sz w:val="1"/>
                <w:szCs w:val="1"/>
                <w:color w:val="auto"/>
              </w:rPr>
            </w:pPr>
          </w:p>
        </w:tc>
      </w:tr>
      <w:tr>
        <w:trPr>
          <w:trHeight w:val="96"/>
        </w:trPr>
        <w:tc>
          <w:tcPr>
            <w:tcW w:w="2600" w:type="dxa"/>
            <w:vAlign w:val="bottom"/>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2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March 27, 2026</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-1153160</wp:posOffset>
            </wp:positionV>
            <wp:extent cx="1606550" cy="161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606550" cy="161925"/>
                    </a:xfrm>
                    <a:prstGeom prst="rect">
                      <a:avLst/>
                    </a:prstGeom>
                    <a:noFill/>
                  </pic:spPr>
                </pic:pic>
              </a:graphicData>
            </a:graphic>
          </wp:anchor>
        </w:drawing>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Avis Budget Group, Inc.</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379 Interpace Parkway</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Parsippany, NJ 07054</w:t>
      </w:r>
    </w:p>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4" w:lineRule="exact"/>
        <w:rPr>
          <w:sz w:val="20"/>
          <w:szCs w:val="20"/>
          <w:color w:val="auto"/>
        </w:rPr>
      </w:pPr>
    </w:p>
    <w:p>
      <w:pPr>
        <w:ind w:left="160" w:right="239" w:firstLine="347"/>
        <w:spacing w:after="0" w:line="260" w:lineRule="auto"/>
        <w:rPr>
          <w:sz w:val="20"/>
          <w:szCs w:val="20"/>
          <w:color w:val="auto"/>
        </w:rPr>
      </w:pPr>
      <w:r>
        <w:rPr>
          <w:rFonts w:ascii="Times New Roman" w:cs="Times New Roman" w:eastAsia="Times New Roman" w:hAnsi="Times New Roman"/>
          <w:sz w:val="14"/>
          <w:szCs w:val="14"/>
          <w:color w:val="auto"/>
        </w:rPr>
        <w:t>We are acting as special counsel to Avis Budget Group,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preparation of the Registration Statement on Form S-3ASR (as amended or supplemented,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to be filed by the Company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on or about the date hereof. The Registration Statement relates to the offer and sale from time to time, pursuant to Rule 415 of the General Rules and Regulations promulgated under the Securities Act, of an indefinite number of shares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of the Company’s common stock, par value $0.01 per share, to be sold by the Company or certain stockholders of the Company.</w:t>
      </w:r>
    </w:p>
    <w:p>
      <w:pPr>
        <w:spacing w:after="0" w:line="144" w:lineRule="exact"/>
        <w:rPr>
          <w:sz w:val="20"/>
          <w:szCs w:val="20"/>
          <w:color w:val="auto"/>
        </w:rPr>
      </w:pPr>
    </w:p>
    <w:p>
      <w:pPr>
        <w:ind w:left="160" w:right="259" w:firstLine="347"/>
        <w:spacing w:after="0" w:line="265" w:lineRule="auto"/>
        <w:rPr>
          <w:sz w:val="20"/>
          <w:szCs w:val="20"/>
          <w:color w:val="auto"/>
        </w:rPr>
      </w:pPr>
      <w:r>
        <w:rPr>
          <w:rFonts w:ascii="Times New Roman" w:cs="Times New Roman" w:eastAsia="Times New Roman" w:hAnsi="Times New Roman"/>
          <w:sz w:val="14"/>
          <w:szCs w:val="14"/>
          <w:color w:val="auto"/>
        </w:rPr>
        <w:t>In connection with the registration of the Shares, we have examined originals, or copies certified or otherwise identified to our satisfaction, of such documents, corporate records and other instruments as we have deemed necessary for the purposes of this opinion, including (i) the organizational documents of the Company, (ii) minutes and records of the corporate proceedings of the Company and (iii) the Registration Statement and the exhibits thereto.</w:t>
      </w:r>
    </w:p>
    <w:p>
      <w:pPr>
        <w:spacing w:after="0" w:line="139" w:lineRule="exact"/>
        <w:rPr>
          <w:sz w:val="20"/>
          <w:szCs w:val="20"/>
          <w:color w:val="auto"/>
        </w:rPr>
      </w:pPr>
    </w:p>
    <w:p>
      <w:pPr>
        <w:ind w:left="160" w:right="199" w:firstLine="347"/>
        <w:spacing w:after="0" w:line="260" w:lineRule="auto"/>
        <w:rPr>
          <w:sz w:val="20"/>
          <w:szCs w:val="20"/>
          <w:color w:val="auto"/>
        </w:rPr>
      </w:pPr>
      <w:r>
        <w:rPr>
          <w:rFonts w:ascii="Times New Roman" w:cs="Times New Roman" w:eastAsia="Times New Roman" w:hAnsi="Times New Roman"/>
          <w:sz w:val="14"/>
          <w:szCs w:val="14"/>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the officers and other representatives of the Company.</w:t>
      </w:r>
    </w:p>
    <w:p>
      <w:pPr>
        <w:sectPr>
          <w:pgSz w:w="11900" w:h="16838" w:orient="portrait"/>
          <w:cols w:equalWidth="0" w:num="1">
            <w:col w:w="9019"/>
          </w:cols>
          <w:pgMar w:left="1440" w:top="123" w:right="1440" w:bottom="1440" w:gutter="0" w:footer="0" w:header="0"/>
        </w:sectPr>
      </w:pPr>
    </w:p>
    <w:bookmarkStart w:id="22" w:name="page23"/>
    <w:bookmarkEnd w:id="22"/>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2961005</wp:posOffset>
            </wp:positionH>
            <wp:positionV relativeFrom="page">
              <wp:posOffset>163195</wp:posOffset>
            </wp:positionV>
            <wp:extent cx="1626870" cy="161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626870" cy="161925"/>
                    </a:xfrm>
                    <a:prstGeom prst="rect">
                      <a:avLst/>
                    </a:prstGeom>
                    <a:noFill/>
                  </pic:spPr>
                </pic:pic>
              </a:graphicData>
            </a:graphic>
          </wp:anchor>
        </w:drawing>
        <w:t>March 27, 2026</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2</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also assumed that:</w:t>
      </w:r>
    </w:p>
    <w:p>
      <w:pPr>
        <w:spacing w:after="0" w:line="105" w:lineRule="exact"/>
        <w:rPr>
          <w:sz w:val="20"/>
          <w:szCs w:val="20"/>
          <w:color w:val="auto"/>
        </w:rPr>
      </w:pPr>
    </w:p>
    <w:p>
      <w:pPr>
        <w:ind w:left="940" w:right="259" w:hanging="433"/>
        <w:spacing w:after="0" w:line="288"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will be effective and will comply with all applicable laws at the time the Shares are offered as contemplated by the Registration Statement;</w:t>
      </w:r>
    </w:p>
    <w:p>
      <w:pPr>
        <w:spacing w:after="0" w:line="49" w:lineRule="exact"/>
        <w:rPr>
          <w:rFonts w:ascii="Times New Roman" w:cs="Times New Roman" w:eastAsia="Times New Roman" w:hAnsi="Times New Roman"/>
          <w:sz w:val="14"/>
          <w:szCs w:val="14"/>
          <w:color w:val="auto"/>
        </w:rPr>
      </w:pPr>
    </w:p>
    <w:p>
      <w:pPr>
        <w:ind w:left="940" w:right="319" w:hanging="433"/>
        <w:spacing w:after="0" w:line="288"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prospectus supplement or term sheet (the “</w:t>
      </w:r>
      <w:r>
        <w:rPr>
          <w:rFonts w:ascii="Times New Roman" w:cs="Times New Roman" w:eastAsia="Times New Roman" w:hAnsi="Times New Roman"/>
          <w:sz w:val="14"/>
          <w:szCs w:val="14"/>
          <w:u w:val="single" w:color="auto"/>
          <w:color w:val="auto"/>
        </w:rPr>
        <w:t>Prospectus Supplement</w:t>
      </w:r>
      <w:r>
        <w:rPr>
          <w:rFonts w:ascii="Times New Roman" w:cs="Times New Roman" w:eastAsia="Times New Roman" w:hAnsi="Times New Roman"/>
          <w:sz w:val="14"/>
          <w:szCs w:val="14"/>
          <w:color w:val="auto"/>
        </w:rPr>
        <w:t>”) will have been prepared and filed with the Commission describing the Shares offered thereby and will comply with all applicable laws;</w:t>
      </w:r>
    </w:p>
    <w:p>
      <w:pPr>
        <w:spacing w:after="0" w:line="49" w:lineRule="exact"/>
        <w:rPr>
          <w:rFonts w:ascii="Times New Roman" w:cs="Times New Roman" w:eastAsia="Times New Roman" w:hAnsi="Times New Roman"/>
          <w:sz w:val="14"/>
          <w:szCs w:val="14"/>
          <w:color w:val="auto"/>
        </w:rPr>
      </w:pPr>
    </w:p>
    <w:p>
      <w:pPr>
        <w:ind w:left="940" w:right="759" w:hanging="433"/>
        <w:spacing w:after="0" w:line="288"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will be sold in compliance with applicable federal and state securities laws and in the manner stated in the Registration Statement and the appropriate Prospectus Supplement;</w:t>
      </w:r>
    </w:p>
    <w:p>
      <w:pPr>
        <w:spacing w:after="0" w:line="49" w:lineRule="exact"/>
        <w:rPr>
          <w:rFonts w:ascii="Times New Roman" w:cs="Times New Roman" w:eastAsia="Times New Roman" w:hAnsi="Times New Roman"/>
          <w:sz w:val="14"/>
          <w:szCs w:val="14"/>
          <w:color w:val="auto"/>
        </w:rPr>
      </w:pPr>
    </w:p>
    <w:p>
      <w:pPr>
        <w:ind w:left="940" w:right="299" w:hanging="433"/>
        <w:spacing w:after="0" w:line="288"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definitive purchase, underwriting, or similar agreement, if applicable, with respect to any Shares offered will have been duly authorized and validly executed and delivered by the Company and the other parties thereto; and</w:t>
      </w:r>
    </w:p>
    <w:p>
      <w:pPr>
        <w:spacing w:after="0" w:line="49" w:lineRule="exact"/>
        <w:rPr>
          <w:rFonts w:ascii="Times New Roman" w:cs="Times New Roman" w:eastAsia="Times New Roman" w:hAnsi="Times New Roman"/>
          <w:sz w:val="14"/>
          <w:szCs w:val="14"/>
          <w:color w:val="auto"/>
        </w:rPr>
      </w:pPr>
    </w:p>
    <w:p>
      <w:pPr>
        <w:ind w:left="940" w:right="759" w:hanging="433"/>
        <w:spacing w:after="0" w:line="288"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issued and sold in the form and containing the terms set forth in the Registration Statement and the appropriate Prospectus Supplement.</w:t>
      </w:r>
    </w:p>
    <w:p>
      <w:pPr>
        <w:spacing w:after="0" w:line="124" w:lineRule="exact"/>
        <w:rPr>
          <w:sz w:val="20"/>
          <w:szCs w:val="20"/>
          <w:color w:val="auto"/>
        </w:rPr>
      </w:pPr>
    </w:p>
    <w:p>
      <w:pPr>
        <w:ind w:left="160" w:right="179" w:firstLine="347"/>
        <w:spacing w:after="0" w:line="270" w:lineRule="auto"/>
        <w:rPr>
          <w:sz w:val="20"/>
          <w:szCs w:val="20"/>
          <w:color w:val="auto"/>
        </w:rPr>
      </w:pPr>
      <w:r>
        <w:rPr>
          <w:rFonts w:ascii="Times New Roman" w:cs="Times New Roman" w:eastAsia="Times New Roman" w:hAnsi="Times New Roman"/>
          <w:sz w:val="14"/>
          <w:szCs w:val="14"/>
          <w:color w:val="auto"/>
        </w:rPr>
        <w:t>Based upon and subject to the foregoing qualifications, assumptions and limitations and the further limitations set forth below, we are of the opinion that when the Shares have been duly authorized by appropriate corporate action and issued upon receipt of payment therefor, such Shares will be validly issued, fully paid and non-assessable.</w:t>
      </w:r>
    </w:p>
    <w:p>
      <w:pPr>
        <w:spacing w:after="0" w:line="137" w:lineRule="exact"/>
        <w:rPr>
          <w:sz w:val="20"/>
          <w:szCs w:val="20"/>
          <w:color w:val="auto"/>
        </w:rPr>
      </w:pPr>
    </w:p>
    <w:p>
      <w:pPr>
        <w:ind w:left="160" w:right="219" w:firstLine="347"/>
        <w:spacing w:after="0" w:line="270" w:lineRule="auto"/>
        <w:rPr>
          <w:sz w:val="20"/>
          <w:szCs w:val="20"/>
          <w:color w:val="auto"/>
        </w:rPr>
      </w:pPr>
      <w:r>
        <w:rPr>
          <w:rFonts w:ascii="Times New Roman" w:cs="Times New Roman" w:eastAsia="Times New Roman" w:hAnsi="Times New Roman"/>
          <w:sz w:val="14"/>
          <w:szCs w:val="14"/>
          <w:color w:val="auto"/>
        </w:rPr>
        <w:t>Our opinion expressed above is subject to the qualifications that we express no opinion as to the applicability of, compliance with, or effect of any laws except the laws of the State of New York and the General Corporation Law of the State of Delaware, including the applicable provisions of the Delaware constitution and reported judicial decisions interpreting these laws.</w:t>
      </w:r>
    </w:p>
    <w:p>
      <w:pPr>
        <w:spacing w:after="0" w:line="137" w:lineRule="exact"/>
        <w:rPr>
          <w:sz w:val="20"/>
          <w:szCs w:val="20"/>
          <w:color w:val="auto"/>
        </w:rPr>
      </w:pPr>
    </w:p>
    <w:p>
      <w:pPr>
        <w:jc w:val="both"/>
        <w:ind w:left="160" w:right="219" w:firstLine="347"/>
        <w:spacing w:after="0" w:line="270" w:lineRule="auto"/>
        <w:rPr>
          <w:sz w:val="20"/>
          <w:szCs w:val="20"/>
          <w:color w:val="auto"/>
        </w:rPr>
      </w:pPr>
      <w:r>
        <w:rPr>
          <w:rFonts w:ascii="Times New Roman" w:cs="Times New Roman" w:eastAsia="Times New Roman" w:hAnsi="Times New Roman"/>
          <w:sz w:val="14"/>
          <w:szCs w:val="14"/>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w:t>
      </w:r>
    </w:p>
    <w:p>
      <w:pPr>
        <w:spacing w:after="0" w:line="137" w:lineRule="exact"/>
        <w:rPr>
          <w:sz w:val="20"/>
          <w:szCs w:val="20"/>
          <w:color w:val="auto"/>
        </w:rPr>
      </w:pPr>
    </w:p>
    <w:p>
      <w:pPr>
        <w:ind w:left="160" w:right="239" w:firstLine="347"/>
        <w:spacing w:after="0" w:line="288" w:lineRule="auto"/>
        <w:rPr>
          <w:sz w:val="20"/>
          <w:szCs w:val="20"/>
          <w:color w:val="auto"/>
        </w:rPr>
      </w:pPr>
      <w:r>
        <w:rPr>
          <w:rFonts w:ascii="Times New Roman" w:cs="Times New Roman" w:eastAsia="Times New Roman" w:hAnsi="Times New Roman"/>
          <w:sz w:val="14"/>
          <w:szCs w:val="14"/>
          <w:color w:val="auto"/>
        </w:rPr>
        <w:t>We do not find it necessary for the purposes of this opinion, and accordingly we do not purport to cover herein, the application of the securities or “Blue Sky” laws of the various states to the sale of the Shares.</w:t>
      </w:r>
    </w:p>
    <w:p>
      <w:pPr>
        <w:sectPr>
          <w:pgSz w:w="11900" w:h="16838" w:orient="portrait"/>
          <w:cols w:equalWidth="0" w:num="1">
            <w:col w:w="9019"/>
          </w:cols>
          <w:pgMar w:left="1440" w:top="497" w:right="1440" w:bottom="1440" w:gutter="0" w:footer="0" w:header="0"/>
        </w:sectPr>
      </w:pPr>
    </w:p>
    <w:bookmarkStart w:id="23" w:name="page24"/>
    <w:bookmarkEnd w:id="23"/>
    <w:p>
      <w:pPr>
        <w:ind w:left="1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26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200265" cy="33020"/>
                    </a:xfrm>
                    <a:prstGeom prst="rect">
                      <a:avLst/>
                    </a:prstGeom>
                    <a:noFill/>
                  </pic:spPr>
                </pic:pic>
              </a:graphicData>
            </a:graphic>
          </wp:anchor>
        </w:drawing>
        <w:drawing>
          <wp:anchor simplePos="0" relativeHeight="251657728" behindDoc="1" locked="0" layoutInCell="0" allowOverlap="1">
            <wp:simplePos x="0" y="0"/>
            <wp:positionH relativeFrom="page">
              <wp:posOffset>2974340</wp:posOffset>
            </wp:positionH>
            <wp:positionV relativeFrom="page">
              <wp:posOffset>163195</wp:posOffset>
            </wp:positionV>
            <wp:extent cx="1606550" cy="161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606550" cy="161925"/>
                    </a:xfrm>
                    <a:prstGeom prst="rect">
                      <a:avLst/>
                    </a:prstGeom>
                    <a:noFill/>
                  </pic:spPr>
                </pic:pic>
              </a:graphicData>
            </a:graphic>
          </wp:anchor>
        </w:drawing>
        <w:t>March 27, 2026</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Page 3</w:t>
      </w:r>
    </w:p>
    <w:p>
      <w:pPr>
        <w:spacing w:after="0" w:line="112" w:lineRule="exact"/>
        <w:rPr>
          <w:sz w:val="20"/>
          <w:szCs w:val="20"/>
          <w:color w:val="auto"/>
        </w:rPr>
      </w:pPr>
    </w:p>
    <w:p>
      <w:pPr>
        <w:ind w:left="160" w:right="199" w:firstLine="347"/>
        <w:spacing w:after="0" w:line="262" w:lineRule="auto"/>
        <w:rPr>
          <w:sz w:val="20"/>
          <w:szCs w:val="20"/>
          <w:color w:val="auto"/>
        </w:rPr>
      </w:pPr>
      <w:r>
        <w:rPr>
          <w:rFonts w:ascii="Times New Roman" w:cs="Times New Roman" w:eastAsia="Times New Roman" w:hAnsi="Times New Roman"/>
          <w:sz w:val="14"/>
          <w:szCs w:val="14"/>
          <w:color w:val="auto"/>
        </w:rPr>
        <w:t>This opinion is limited to the specific issues addressed herein, and no opinion may be inferred or implied beyond that expressly stated herein. The Shares may be sold from time to time on a delayed or continuous basis, and this opinion is limited to the laws, including the rules and regulations, as in effect on the date hereof, which laws are subject to change with possible retroactive effect. We assume no obligation to revise or supplement this opinion should the present federal securities laws of the United States, laws of the State of New York or the General Corporation Law of the State of Delaware be changed by legislative action, judicial decision or otherwise.</w:t>
      </w:r>
    </w:p>
    <w:p>
      <w:pPr>
        <w:spacing w:after="0" w:line="142" w:lineRule="exact"/>
        <w:rPr>
          <w:sz w:val="20"/>
          <w:szCs w:val="20"/>
          <w:color w:val="auto"/>
        </w:rPr>
      </w:pPr>
    </w:p>
    <w:p>
      <w:pPr>
        <w:ind w:left="160" w:right="299" w:firstLine="347"/>
        <w:spacing w:after="0" w:line="288" w:lineRule="auto"/>
        <w:rPr>
          <w:sz w:val="20"/>
          <w:szCs w:val="20"/>
          <w:color w:val="auto"/>
        </w:rPr>
      </w:pPr>
      <w:r>
        <w:rPr>
          <w:rFonts w:ascii="Times New Roman" w:cs="Times New Roman" w:eastAsia="Times New Roman" w:hAnsi="Times New Roman"/>
          <w:sz w:val="14"/>
          <w:szCs w:val="14"/>
          <w:color w:val="auto"/>
        </w:rPr>
        <w:t>This opinion is furnished to you in connection with the filing of the Registration Statement, and is not to be used, circulated, quoted or otherwise relied upon for any other purpose.</w:t>
      </w:r>
    </w:p>
    <w:p>
      <w:pPr>
        <w:spacing w:after="0" w:line="14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Sincerely,</w:t>
      </w:r>
    </w:p>
    <w:p>
      <w:pPr>
        <w:spacing w:after="0" w:line="1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Kirkland &amp; Ellis LLP</w:t>
      </w:r>
    </w:p>
    <w:p>
      <w:pPr>
        <w:sectPr>
          <w:pgSz w:w="11900" w:h="16838" w:orient="portrait"/>
          <w:cols w:equalWidth="0" w:num="1">
            <w:col w:w="9019"/>
          </w:cols>
          <w:pgMar w:left="1440" w:top="497" w:right="1440" w:bottom="1440" w:gutter="0" w:footer="0" w:header="0"/>
        </w:sectPr>
      </w:pPr>
    </w:p>
    <w:bookmarkStart w:id="24" w:name="page25"/>
    <w:bookmarkEnd w:id="24"/>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CONSENT OF INDEPENDENT REGISTERED PUBLIC ACCOUNTING FIRM</w:t>
      </w:r>
    </w:p>
    <w:p>
      <w:pPr>
        <w:spacing w:after="0" w:line="181" w:lineRule="exact"/>
        <w:rPr>
          <w:sz w:val="20"/>
          <w:szCs w:val="20"/>
          <w:color w:val="auto"/>
        </w:rPr>
      </w:pPr>
    </w:p>
    <w:p>
      <w:pPr>
        <w:ind w:left="160" w:right="259"/>
        <w:spacing w:after="0" w:line="265"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 dated February 19, 2026 relating to the consolidated financial statements of Avis Budget Group, Inc. and subsidiaries (the “Company”) and the effectiveness of the Company’s internal control over financial reporting, appearing in the Annual Report on Form 10-K of the Company for the year ended December 31, 2025. We also consent to the reference to us under the heading “Experts” in such Registration Statement.</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30 Rockefeller Plaza</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New York, New York 10112</w:t>
      </w:r>
    </w:p>
    <w:p>
      <w:pPr>
        <w:spacing w:after="0" w:line="1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March 27, 2026</w:t>
      </w:r>
    </w:p>
    <w:p>
      <w:pPr>
        <w:sectPr>
          <w:pgSz w:w="11900" w:h="16838" w:orient="portrait"/>
          <w:cols w:equalWidth="0" w:num="1">
            <w:col w:w="9019"/>
          </w:cols>
          <w:pgMar w:left="1440" w:top="123" w:right="1440" w:bottom="1440" w:gutter="0" w:footer="0" w:header="0"/>
        </w:sectPr>
      </w:pPr>
    </w:p>
    <w:bookmarkStart w:id="25" w:name="page26"/>
    <w:bookmarkEnd w:id="25"/>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3"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AVIS BUDGET GROUP, INC.</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0"/>
                <w:szCs w:val="10"/>
                <w:color w:val="auto"/>
              </w:rPr>
            </w:pPr>
          </w:p>
        </w:tc>
        <w:tc>
          <w:tcPr>
            <w:tcW w:w="8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0"/>
                <w:szCs w:val="10"/>
                <w:color w:val="auto"/>
              </w:rPr>
            </w:pPr>
          </w:p>
        </w:tc>
        <w:tc>
          <w:tcPr>
            <w:tcW w:w="8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Price</w:t>
            </w:r>
          </w:p>
        </w:tc>
        <w:tc>
          <w:tcPr>
            <w:tcW w:w="20" w:type="dxa"/>
            <w:vAlign w:val="bottom"/>
          </w:tcPr>
          <w:p>
            <w:pPr>
              <w:spacing w:after="0"/>
              <w:rPr>
                <w:sz w:val="10"/>
                <w:szCs w:val="10"/>
                <w:color w:val="auto"/>
              </w:rPr>
            </w:pPr>
          </w:p>
        </w:tc>
        <w:tc>
          <w:tcPr>
            <w:tcW w:w="8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to be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20" w:type="dxa"/>
            <w:vAlign w:val="bottom"/>
            <w:gridSpan w:val="8"/>
          </w:tcPr>
          <w:p>
            <w:pPr>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1"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Stock,$0.01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line="191"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-1791335</wp:posOffset>
            </wp:positionV>
            <wp:extent cx="7213600" cy="3340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213600" cy="33401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Fees</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Previously</w:t>
      </w:r>
    </w:p>
    <w:p>
      <w:pPr>
        <w:ind w:left="40"/>
        <w:spacing w:after="0"/>
        <w:rPr>
          <w:sz w:val="20"/>
          <w:szCs w:val="20"/>
          <w:color w:val="auto"/>
        </w:rPr>
      </w:pPr>
      <w:r>
        <w:rPr>
          <w:rFonts w:ascii="Arial" w:cs="Arial" w:eastAsia="Arial" w:hAnsi="Arial"/>
          <w:sz w:val="17"/>
          <w:szCs w:val="17"/>
          <w:color w:val="auto"/>
        </w:rPr>
        <w:t>Paid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Carry Forward Securities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Carry</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Forward</w:t>
      </w:r>
    </w:p>
    <w:p>
      <w:pPr>
        <w:ind w:left="40"/>
        <w:spacing w:after="0"/>
        <w:rPr>
          <w:sz w:val="20"/>
          <w:szCs w:val="20"/>
          <w:color w:val="auto"/>
        </w:rPr>
      </w:pPr>
      <w:r>
        <w:rPr>
          <w:rFonts w:ascii="Arial" w:cs="Arial" w:eastAsia="Arial" w:hAnsi="Arial"/>
          <w:sz w:val="17"/>
          <w:szCs w:val="17"/>
          <w:color w:val="auto"/>
        </w:rPr>
        <w:t>Securities</w:t>
      </w:r>
    </w:p>
    <w:p>
      <w:pPr>
        <w:spacing w:after="0" w:line="22" w:lineRule="exact"/>
        <w:rPr>
          <w:sz w:val="20"/>
          <w:szCs w:val="20"/>
          <w:color w:val="auto"/>
        </w:rPr>
      </w:pPr>
    </w:p>
    <w:tbl>
      <w:tblPr>
        <w:tblLayout w:type="fixed"/>
        <w:tblInd w:w="2480" w:type="dxa"/>
        <w:tblCellMar>
          <w:top w:w="0" w:type="dxa"/>
          <w:left w:w="0" w:type="dxa"/>
          <w:bottom w:w="0" w:type="dxa"/>
          <w:right w:w="0" w:type="dxa"/>
        </w:tblCellMar>
      </w:tblPr>
      <w:tr>
        <w:trPr>
          <w:trHeight w:val="224"/>
        </w:trPr>
        <w:tc>
          <w:tcPr>
            <w:tcW w:w="2680" w:type="dxa"/>
            <w:vAlign w:val="bottom"/>
          </w:tcPr>
          <w:p>
            <w:pPr>
              <w:jc w:val="right"/>
              <w:ind w:right="535"/>
              <w:spacing w:after="0"/>
              <w:rPr>
                <w:sz w:val="20"/>
                <w:szCs w:val="20"/>
                <w:color w:val="auto"/>
              </w:rPr>
            </w:pPr>
            <w:r>
              <w:rPr>
                <w:rFonts w:ascii="Arial" w:cs="Arial" w:eastAsia="Arial" w:hAnsi="Arial"/>
                <w:sz w:val="17"/>
                <w:szCs w:val="17"/>
                <w:color w:val="auto"/>
              </w:rPr>
              <w:t>Total Offering Amounts:</w:t>
            </w:r>
          </w:p>
        </w:tc>
        <w:tc>
          <w:tcPr>
            <w:tcW w:w="1800" w:type="dxa"/>
            <w:vAlign w:val="bottom"/>
          </w:tcPr>
          <w:p>
            <w:pPr>
              <w:jc w:val="right"/>
              <w:ind w:right="615"/>
              <w:spacing w:after="0"/>
              <w:rPr>
                <w:sz w:val="20"/>
                <w:szCs w:val="20"/>
                <w:color w:val="auto"/>
              </w:rPr>
            </w:pPr>
            <w:r>
              <w:rPr>
                <w:rFonts w:ascii="Arial" w:cs="Arial" w:eastAsia="Arial" w:hAnsi="Arial"/>
                <w:sz w:val="17"/>
                <w:szCs w:val="17"/>
                <w:color w:val="auto"/>
              </w:rPr>
              <w:t>$ 0.00</w:t>
            </w: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35"/>
              <w:spacing w:after="0"/>
              <w:rPr>
                <w:sz w:val="20"/>
                <w:szCs w:val="20"/>
                <w:color w:val="auto"/>
              </w:rPr>
            </w:pPr>
            <w:r>
              <w:rPr>
                <w:rFonts w:ascii="Arial" w:cs="Arial" w:eastAsia="Arial" w:hAnsi="Arial"/>
                <w:sz w:val="17"/>
                <w:szCs w:val="17"/>
                <w:color w:val="auto"/>
                <w:w w:val="98"/>
              </w:rPr>
              <w:t>Total Fees Previously Paid:</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35"/>
              <w:spacing w:after="0"/>
              <w:rPr>
                <w:sz w:val="20"/>
                <w:szCs w:val="20"/>
                <w:color w:val="auto"/>
              </w:rPr>
            </w:pPr>
            <w:r>
              <w:rPr>
                <w:rFonts w:ascii="Arial" w:cs="Arial" w:eastAsia="Arial" w:hAnsi="Arial"/>
                <w:sz w:val="17"/>
                <w:szCs w:val="17"/>
                <w:color w:val="auto"/>
              </w:rPr>
              <w:t>Total Fee Offsets:</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4"/>
        </w:trPr>
        <w:tc>
          <w:tcPr>
            <w:tcW w:w="2680" w:type="dxa"/>
            <w:vAlign w:val="bottom"/>
          </w:tcPr>
          <w:p>
            <w:pPr>
              <w:jc w:val="right"/>
              <w:ind w:right="535"/>
              <w:spacing w:after="0"/>
              <w:rPr>
                <w:sz w:val="20"/>
                <w:szCs w:val="20"/>
                <w:color w:val="auto"/>
              </w:rPr>
            </w:pPr>
            <w:r>
              <w:rPr>
                <w:rFonts w:ascii="Arial" w:cs="Arial" w:eastAsia="Arial" w:hAnsi="Arial"/>
                <w:sz w:val="17"/>
                <w:szCs w:val="17"/>
                <w:color w:val="auto"/>
              </w:rPr>
              <w:t>Net Fee Due:</w:t>
            </w:r>
          </w:p>
        </w:tc>
        <w:tc>
          <w:tcPr>
            <w:tcW w:w="1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$ 0.00</w:t>
            </w:r>
          </w:p>
        </w:tc>
      </w:tr>
    </w:tbl>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3" w:lineRule="exact"/>
        <w:rPr>
          <w:sz w:val="20"/>
          <w:szCs w:val="20"/>
          <w:color w:val="auto"/>
        </w:rPr>
      </w:pPr>
    </w:p>
    <w:p>
      <w:pPr>
        <w:ind w:left="220" w:right="160" w:hanging="183"/>
        <w:spacing w:after="0" w:line="231" w:lineRule="auto"/>
        <w:tabs>
          <w:tab w:leader="none" w:pos="220" w:val="left"/>
        </w:tabs>
        <w:numPr>
          <w:ilvl w:val="0"/>
          <w:numId w:val="16"/>
        </w:numPr>
        <w:rPr>
          <w:rFonts w:ascii="Arial" w:cs="Arial" w:eastAsia="Arial" w:hAnsi="Arial"/>
          <w:sz w:val="21"/>
          <w:szCs w:val="21"/>
          <w:color w:val="auto"/>
          <w:vertAlign w:val="superscript"/>
        </w:rPr>
      </w:pPr>
      <w:r>
        <w:rPr>
          <w:rFonts w:ascii="Arial" w:cs="Arial" w:eastAsia="Arial" w:hAnsi="Arial"/>
          <w:sz w:val="17"/>
          <w:szCs w:val="17"/>
          <w:color w:val="auto"/>
        </w:rPr>
        <w:t>The registrant is relying on Rule 456(b) and Rule 457(r) under the Securities Act of 1933, as amended, to defer payment of all registration fees.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An indeterminate aggregate initial offering price and number or amount of common stock is being registered for possible offering from time to time at indeterminate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714629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4629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ind w:left="15"/>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ind w:left="15"/>
              <w:spacing w:after="0"/>
              <w:rPr>
                <w:sz w:val="20"/>
                <w:szCs w:val="20"/>
                <w:color w:val="auto"/>
              </w:rPr>
            </w:pPr>
            <w:r>
              <w:rPr>
                <w:rFonts w:ascii="Arial" w:cs="Arial" w:eastAsia="Arial" w:hAnsi="Arial"/>
                <w:sz w:val="17"/>
                <w:szCs w:val="17"/>
                <w:b w:val="1"/>
                <w:bCs w:val="1"/>
                <w:color w:val="auto"/>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shd w:val="clear" w:color="auto" w:fill="9ADAF6"/>
          </w:tcPr>
          <w:p>
            <w:pPr>
              <w:jc w:val="center"/>
              <w:ind w:left="15"/>
              <w:spacing w:after="0" w:line="170" w:lineRule="exact"/>
              <w:rPr>
                <w:sz w:val="20"/>
                <w:szCs w:val="20"/>
                <w:color w:val="auto"/>
              </w:rPr>
            </w:pPr>
            <w:r>
              <w:rPr>
                <w:rFonts w:ascii="Arial" w:cs="Arial" w:eastAsia="Arial" w:hAnsi="Arial"/>
                <w:sz w:val="17"/>
                <w:szCs w:val="17"/>
                <w:b w:val="1"/>
                <w:bCs w:val="1"/>
                <w:color w:val="auto"/>
              </w:rPr>
              <w:t>Offset</w:t>
            </w: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700" w:type="dxa"/>
            <w:vAlign w:val="bottom"/>
            <w:gridSpan w:val="4"/>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14"/>
          </w:tcPr>
          <w:p>
            <w:pPr>
              <w:jc w:val="center"/>
              <w:ind w:left="535"/>
              <w:spacing w:after="0"/>
              <w:rPr>
                <w:sz w:val="20"/>
                <w:szCs w:val="20"/>
                <w:color w:val="auto"/>
              </w:rPr>
            </w:pPr>
            <w:r>
              <w:rPr>
                <w:rFonts w:ascii="Arial" w:cs="Arial" w:eastAsia="Arial" w:hAnsi="Arial"/>
                <w:sz w:val="17"/>
                <w:szCs w:val="17"/>
                <w:b w:val="1"/>
                <w:bCs w:val="1"/>
                <w:color w:val="auto"/>
                <w:w w:val="99"/>
              </w:rPr>
              <w:t>Rules 457(b) and 0-11(a)(2)</w:t>
            </w: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8"/>
          </w:tcPr>
          <w:p>
            <w:pPr>
              <w:jc w:val="center"/>
              <w:ind w:right="220"/>
              <w:spacing w:after="0"/>
              <w:rPr>
                <w:sz w:val="20"/>
                <w:szCs w:val="20"/>
                <w:color w:val="auto"/>
              </w:rPr>
            </w:pPr>
            <w:r>
              <w:rPr>
                <w:rFonts w:ascii="Arial" w:cs="Arial" w:eastAsia="Arial" w:hAnsi="Arial"/>
                <w:sz w:val="17"/>
                <w:szCs w:val="17"/>
                <w:b w:val="1"/>
                <w:bCs w:val="1"/>
                <w:color w:val="auto"/>
              </w:rPr>
              <w:t>Rule 457(p)</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1"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90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295"/>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59"/>
              <w:spacing w:after="0" w:line="191" w:lineRule="exact"/>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2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2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restart"/>
            <w:shd w:val="clear" w:color="auto" w:fill="9ADAF6"/>
          </w:tcPr>
          <w:p>
            <w:pPr>
              <w:jc w:val="center"/>
              <w:ind w:right="5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40"/>
              <w:spacing w:after="0" w:line="191"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9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973"/>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140E0F76"/>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9">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lvl w:ilvl="3">
      <w:lvlJc w:val="left"/>
      <w:lvlText w:val="(%4)"/>
      <w:numFmt w:val="upperLetter"/>
      <w:start w:val="2"/>
    </w:lvl>
  </w:abstractNum>
  <w:abstractNum w:abstractNumId="10">
    <w:nsid w:val="109CF92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lvl w:ilvl="3">
      <w:lvlJc w:val="left"/>
      <w:lvlText w:val="%4"/>
      <w:numFmt w:val="upperLetter"/>
      <w:start w:val="1"/>
    </w:lvl>
  </w:abstractNum>
  <w:abstractNum w:abstractNumId="11">
    <w:nsid w:val="DED726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12">
    <w:nsid w:val="7FDCC233"/>
    <w:multiLevelType w:val="hybridMultilevel"/>
    <w:lvl w:ilvl="0">
      <w:lvlJc w:val="left"/>
      <w:lvlText w:val="%1"/>
      <w:numFmt w:val="decimal"/>
      <w:start w:val="107"/>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jpeg"/><Relationship Id="rId49" Type="http://schemas.openxmlformats.org/officeDocument/2006/relationships/image" Target="media/image35.png"/><Relationship Id="rId50" Type="http://schemas.openxmlformats.org/officeDocument/2006/relationships/image" Target="media/image36.jpeg"/><Relationship Id="rId51" Type="http://schemas.openxmlformats.org/officeDocument/2006/relationships/image" Target="media/image37.png"/><Relationship Id="rId52" Type="http://schemas.openxmlformats.org/officeDocument/2006/relationships/image" Target="media/image38.jpeg"/><Relationship Id="rId53" Type="http://schemas.openxmlformats.org/officeDocument/2006/relationships/image" Target="media/image39.png"/><Relationship Id="rId54" Type="http://schemas.openxmlformats.org/officeDocument/2006/relationships/image" Target="media/image40.png"/><Relationship Id="rId23" Type="http://schemas.openxmlformats.org/officeDocument/2006/relationships/hyperlink" Target="http://www.sec.gov/ix?doc=/Archives/edgar/data/723612/000072361226000012/car-20251231.htm" TargetMode="External"/><Relationship Id="rId24" Type="http://schemas.openxmlformats.org/officeDocument/2006/relationships/hyperlink" Target="http://www.sec.gov/ix?doc=/Archives/edgar/data/723612/000095014226000034/eh260721539_8k.htm" TargetMode="External"/><Relationship Id="rId25" Type="http://schemas.openxmlformats.org/officeDocument/2006/relationships/hyperlink" Target="http://www.sec.gov/ix?doc=/Archives/edgar/data/723612/000095014226000719/eh260747683_8k.htm" TargetMode="External"/><Relationship Id="rId26" Type="http://schemas.openxmlformats.org/officeDocument/2006/relationships/hyperlink" Target="http://www.sec.gov/ix?doc=/Archives/edgar/data/723612/000114036125010716/ny20041928x2_def14a.htm" TargetMode="External"/><Relationship Id="rId27" Type="http://schemas.openxmlformats.org/officeDocument/2006/relationships/hyperlink" Target="http://www.sec.gov/Archives/edgar/data/723612/000072361222000006/exhibit48-descriptionofreg.htm" TargetMode="External"/><Relationship Id="rId42" Type="http://schemas.openxmlformats.org/officeDocument/2006/relationships/hyperlink" Target="http://www.sec.gov/Archives/edgar/data/723612/000095014225002060/eh250656068_ex0301.htm" TargetMode="External"/><Relationship Id="rId43" Type="http://schemas.openxmlformats.org/officeDocument/2006/relationships/hyperlink" Target="http://www.sec.gov/Archives/edgar/data/723612/000119312520218349/d84038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2026-03-27T15:16:18Z</dcterms:created>
  <dcterms:modified xsi:type="dcterms:W3CDTF">2026-03-27T15:16:18Z</dcterms:modified>
</cp:coreProperties>
</file>