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429260</wp:posOffset>
            </wp:positionV>
            <wp:extent cx="7089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454660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2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1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WASHINGTON, D.C. 20549</w:t>
            </w:r>
          </w:p>
        </w:tc>
        <w:tc>
          <w:tcPr>
            <w:tcW w:w="3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2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5"/>
        </w:trPr>
        <w:tc>
          <w:tcPr>
            <w:tcW w:w="2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40" w:type="dxa"/>
            <w:vAlign w:val="bottom"/>
            <w:gridSpan w:val="2"/>
          </w:tcPr>
          <w:p>
            <w:pPr>
              <w:jc w:val="center"/>
              <w:ind w:right="840"/>
              <w:spacing w:after="0"/>
              <w:rPr>
                <w:sz w:val="20"/>
                <w:szCs w:val="20"/>
                <w:color w:val="auto"/>
              </w:rPr>
            </w:pPr>
            <w:r>
              <w:rPr>
                <w:rFonts w:ascii="Arial" w:cs="Arial" w:eastAsia="Arial" w:hAnsi="Arial"/>
                <w:sz w:val="32"/>
                <w:szCs w:val="32"/>
                <w:b w:val="1"/>
                <w:bCs w:val="1"/>
                <w:color w:val="auto"/>
              </w:rPr>
              <w:t>Form 10-Q</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2120" w:type="dxa"/>
            <w:vAlign w:val="bottom"/>
            <w:vMerge w:val="restart"/>
          </w:tcPr>
          <w:p>
            <w:pPr>
              <w:ind w:left="460"/>
              <w:spacing w:after="0" w:line="201" w:lineRule="exact"/>
              <w:rPr>
                <w:sz w:val="20"/>
                <w:szCs w:val="20"/>
                <w:color w:val="auto"/>
              </w:rPr>
            </w:pPr>
            <w:r>
              <w:rPr>
                <w:rFonts w:ascii="MS PGothic" w:cs="MS PGothic" w:eastAsia="MS PGothic" w:hAnsi="MS PGothic"/>
                <w:sz w:val="20"/>
                <w:szCs w:val="20"/>
                <w:color w:val="auto"/>
              </w:rPr>
              <w:t>☒</w:t>
            </w:r>
          </w:p>
        </w:tc>
        <w:tc>
          <w:tcPr>
            <w:tcW w:w="2360" w:type="dxa"/>
            <w:vAlign w:val="bottom"/>
            <w:gridSpan w:val="2"/>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613"/>
        </w:trPr>
        <w:tc>
          <w:tcPr>
            <w:tcW w:w="2120" w:type="dxa"/>
            <w:vAlign w:val="bottom"/>
            <w:vMerge w:val="continue"/>
          </w:tcPr>
          <w:p>
            <w:pPr>
              <w:spacing w:after="0"/>
              <w:rPr>
                <w:sz w:val="24"/>
                <w:szCs w:val="24"/>
                <w:color w:val="auto"/>
              </w:rPr>
            </w:pPr>
          </w:p>
        </w:tc>
        <w:tc>
          <w:tcPr>
            <w:tcW w:w="8760" w:type="dxa"/>
            <w:vAlign w:val="bottom"/>
            <w:gridSpan w:val="5"/>
          </w:tcPr>
          <w:p>
            <w:pPr>
              <w:ind w:left="140"/>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269"/>
        </w:trPr>
        <w:tc>
          <w:tcPr>
            <w:tcW w:w="21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3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For the quarterly period ended March 31, 2022</w:t>
            </w:r>
          </w:p>
        </w:tc>
        <w:tc>
          <w:tcPr>
            <w:tcW w:w="3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8"/>
        </w:trPr>
        <w:tc>
          <w:tcPr>
            <w:tcW w:w="2120" w:type="dxa"/>
            <w:vAlign w:val="bottom"/>
            <w:vMerge w:val="restart"/>
          </w:tcPr>
          <w:p>
            <w:pPr>
              <w:ind w:left="460"/>
              <w:spacing w:after="0" w:line="221" w:lineRule="exact"/>
              <w:rPr>
                <w:sz w:val="20"/>
                <w:szCs w:val="20"/>
                <w:color w:val="auto"/>
              </w:rPr>
            </w:pPr>
            <w:r>
              <w:rPr>
                <w:rFonts w:ascii="MS PGothic" w:cs="MS PGothic" w:eastAsia="MS PGothic" w:hAnsi="MS PGothic"/>
                <w:sz w:val="22"/>
                <w:szCs w:val="22"/>
                <w:color w:val="auto"/>
              </w:rPr>
              <w:t>☐</w:t>
            </w: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rPr>
              <w:t>OR</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120" w:type="dxa"/>
            <w:vAlign w:val="bottom"/>
            <w:vMerge w:val="continue"/>
          </w:tcPr>
          <w:p>
            <w:pPr>
              <w:spacing w:after="0"/>
              <w:rPr>
                <w:sz w:val="24"/>
                <w:szCs w:val="24"/>
                <w:color w:val="auto"/>
              </w:rPr>
            </w:pPr>
          </w:p>
        </w:tc>
        <w:tc>
          <w:tcPr>
            <w:tcW w:w="8760" w:type="dxa"/>
            <w:vAlign w:val="bottom"/>
            <w:gridSpan w:val="5"/>
          </w:tcPr>
          <w:p>
            <w:pPr>
              <w:ind w:left="140"/>
              <w:spacing w:after="0"/>
              <w:rPr>
                <w:sz w:val="20"/>
                <w:szCs w:val="20"/>
                <w:color w:val="auto"/>
              </w:rPr>
            </w:pPr>
            <w:r>
              <w:rPr>
                <w:rFonts w:ascii="Arial" w:cs="Arial" w:eastAsia="Arial" w:hAnsi="Arial"/>
                <w:sz w:val="14"/>
                <w:szCs w:val="14"/>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74"/>
        </w:trPr>
        <w:tc>
          <w:tcPr>
            <w:tcW w:w="21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3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For the transition period from _____ to _____</w:t>
            </w:r>
          </w:p>
        </w:tc>
        <w:tc>
          <w:tcPr>
            <w:tcW w:w="3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5"/>
        </w:trPr>
        <w:tc>
          <w:tcPr>
            <w:tcW w:w="2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14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Commission File No. 001-10308</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2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4"/>
        </w:trPr>
        <w:tc>
          <w:tcPr>
            <w:tcW w:w="2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80" w:type="dxa"/>
            <w:vAlign w:val="bottom"/>
            <w:gridSpan w:val="3"/>
          </w:tcPr>
          <w:p>
            <w:pPr>
              <w:jc w:val="center"/>
              <w:ind w:right="100"/>
              <w:spacing w:after="0"/>
              <w:rPr>
                <w:sz w:val="20"/>
                <w:szCs w:val="20"/>
                <w:color w:val="auto"/>
              </w:rPr>
            </w:pPr>
            <w:r>
              <w:rPr>
                <w:rFonts w:ascii="Arial" w:cs="Arial" w:eastAsia="Arial" w:hAnsi="Arial"/>
                <w:sz w:val="25"/>
                <w:szCs w:val="25"/>
                <w:b w:val="1"/>
                <w:bCs w:val="1"/>
                <w:color w:val="auto"/>
              </w:rPr>
              <w:t>Avis Budget Group, Inc.</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80" w:type="dxa"/>
            <w:vAlign w:val="bottom"/>
            <w:gridSpan w:val="3"/>
          </w:tcPr>
          <w:p>
            <w:pPr>
              <w:jc w:val="center"/>
              <w:ind w:right="140"/>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120" w:type="dxa"/>
            <w:vAlign w:val="bottom"/>
          </w:tcPr>
          <w:p>
            <w:pPr>
              <w:jc w:val="center"/>
              <w:ind w:left="1102"/>
              <w:spacing w:after="0"/>
              <w:rPr>
                <w:sz w:val="20"/>
                <w:szCs w:val="20"/>
                <w:color w:val="auto"/>
              </w:rPr>
            </w:pPr>
            <w:r>
              <w:rPr>
                <w:rFonts w:ascii="Arial" w:cs="Arial" w:eastAsia="Arial" w:hAnsi="Arial"/>
                <w:sz w:val="14"/>
                <w:szCs w:val="14"/>
                <w:b w:val="1"/>
                <w:bCs w:val="1"/>
                <w:color w:val="auto"/>
              </w:rPr>
              <w:t>Delaware</w:t>
            </w:r>
          </w:p>
        </w:tc>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60" w:type="dxa"/>
            <w:vAlign w:val="bottom"/>
          </w:tcPr>
          <w:p>
            <w:pPr>
              <w:jc w:val="right"/>
              <w:ind w:right="868"/>
              <w:spacing w:after="0"/>
              <w:rPr>
                <w:sz w:val="20"/>
                <w:szCs w:val="20"/>
                <w:color w:val="auto"/>
              </w:rPr>
            </w:pPr>
            <w:r>
              <w:rPr>
                <w:rFonts w:ascii="Arial" w:cs="Arial" w:eastAsia="Arial" w:hAnsi="Arial"/>
                <w:sz w:val="14"/>
                <w:szCs w:val="14"/>
                <w:b w:val="1"/>
                <w:bCs w:val="1"/>
                <w:color w:val="auto"/>
              </w:rPr>
              <w:t>06-0918165</w:t>
            </w:r>
          </w:p>
        </w:tc>
        <w:tc>
          <w:tcPr>
            <w:tcW w:w="0" w:type="dxa"/>
            <w:vAlign w:val="bottom"/>
          </w:tcPr>
          <w:p>
            <w:pPr>
              <w:spacing w:after="0"/>
              <w:rPr>
                <w:sz w:val="1"/>
                <w:szCs w:val="1"/>
                <w:color w:val="auto"/>
              </w:rPr>
            </w:pPr>
          </w:p>
        </w:tc>
      </w:tr>
      <w:tr>
        <w:trPr>
          <w:trHeight w:val="157"/>
        </w:trPr>
        <w:tc>
          <w:tcPr>
            <w:tcW w:w="3740" w:type="dxa"/>
            <w:vAlign w:val="bottom"/>
            <w:gridSpan w:val="2"/>
          </w:tcPr>
          <w:p>
            <w:pPr>
              <w:jc w:val="center"/>
              <w:ind w:right="148"/>
              <w:spacing w:after="0" w:line="157" w:lineRule="exact"/>
              <w:rPr>
                <w:sz w:val="20"/>
                <w:szCs w:val="20"/>
                <w:color w:val="auto"/>
              </w:rPr>
            </w:pPr>
            <w:r>
              <w:rPr>
                <w:rFonts w:ascii="Arial" w:cs="Arial" w:eastAsia="Arial" w:hAnsi="Arial"/>
                <w:sz w:val="14"/>
                <w:szCs w:val="14"/>
                <w:i w:val="1"/>
                <w:iCs w:val="1"/>
                <w:color w:val="auto"/>
              </w:rPr>
              <w:t>(State or other jurisdiction of</w:t>
            </w:r>
          </w:p>
        </w:tc>
        <w:tc>
          <w:tcPr>
            <w:tcW w:w="7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60" w:type="dxa"/>
            <w:vAlign w:val="bottom"/>
          </w:tcPr>
          <w:p>
            <w:pPr>
              <w:jc w:val="center"/>
              <w:ind w:left="548"/>
              <w:spacing w:after="0" w:line="157" w:lineRule="exact"/>
              <w:rPr>
                <w:sz w:val="20"/>
                <w:szCs w:val="20"/>
                <w:color w:val="auto"/>
              </w:rPr>
            </w:pPr>
            <w:r>
              <w:rPr>
                <w:rFonts w:ascii="Arial" w:cs="Arial" w:eastAsia="Arial" w:hAnsi="Arial"/>
                <w:sz w:val="14"/>
                <w:szCs w:val="14"/>
                <w:i w:val="1"/>
                <w:iCs w:val="1"/>
                <w:color w:val="auto"/>
              </w:rPr>
              <w:t>(I.R.S. Employer</w:t>
            </w:r>
          </w:p>
        </w:tc>
        <w:tc>
          <w:tcPr>
            <w:tcW w:w="0" w:type="dxa"/>
            <w:vAlign w:val="bottom"/>
          </w:tcPr>
          <w:p>
            <w:pPr>
              <w:spacing w:after="0"/>
              <w:rPr>
                <w:sz w:val="1"/>
                <w:szCs w:val="1"/>
                <w:color w:val="auto"/>
              </w:rPr>
            </w:pPr>
          </w:p>
        </w:tc>
      </w:tr>
      <w:tr>
        <w:trPr>
          <w:trHeight w:val="187"/>
        </w:trPr>
        <w:tc>
          <w:tcPr>
            <w:tcW w:w="3740" w:type="dxa"/>
            <w:vAlign w:val="bottom"/>
            <w:gridSpan w:val="2"/>
          </w:tcPr>
          <w:p>
            <w:pPr>
              <w:jc w:val="center"/>
              <w:ind w:right="148"/>
              <w:spacing w:after="0"/>
              <w:rPr>
                <w:sz w:val="20"/>
                <w:szCs w:val="20"/>
                <w:color w:val="auto"/>
              </w:rPr>
            </w:pPr>
            <w:r>
              <w:rPr>
                <w:rFonts w:ascii="Arial" w:cs="Arial" w:eastAsia="Arial" w:hAnsi="Arial"/>
                <w:sz w:val="14"/>
                <w:szCs w:val="14"/>
                <w:i w:val="1"/>
                <w:iCs w:val="1"/>
                <w:color w:val="auto"/>
              </w:rPr>
              <w:t>incorporation or organization)</w:t>
            </w:r>
          </w:p>
        </w:tc>
        <w:tc>
          <w:tcPr>
            <w:tcW w:w="7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60" w:type="dxa"/>
            <w:vAlign w:val="bottom"/>
          </w:tcPr>
          <w:p>
            <w:pPr>
              <w:jc w:val="center"/>
              <w:ind w:left="548"/>
              <w:spacing w:after="0"/>
              <w:rPr>
                <w:sz w:val="20"/>
                <w:szCs w:val="20"/>
                <w:color w:val="auto"/>
              </w:rPr>
            </w:pPr>
            <w:r>
              <w:rPr>
                <w:rFonts w:ascii="Arial" w:cs="Arial" w:eastAsia="Arial" w:hAnsi="Arial"/>
                <w:sz w:val="14"/>
                <w:szCs w:val="14"/>
                <w:i w:val="1"/>
                <w:iCs w:val="1"/>
                <w:color w:val="auto"/>
              </w:rPr>
              <w:t>Identification Number)</w:t>
            </w:r>
          </w:p>
        </w:tc>
        <w:tc>
          <w:tcPr>
            <w:tcW w:w="0" w:type="dxa"/>
            <w:vAlign w:val="bottom"/>
          </w:tcPr>
          <w:p>
            <w:pPr>
              <w:spacing w:after="0"/>
              <w:rPr>
                <w:sz w:val="1"/>
                <w:szCs w:val="1"/>
                <w:color w:val="auto"/>
              </w:rPr>
            </w:pPr>
          </w:p>
        </w:tc>
      </w:tr>
      <w:tr>
        <w:trPr>
          <w:trHeight w:val="196"/>
        </w:trPr>
        <w:tc>
          <w:tcPr>
            <w:tcW w:w="2120" w:type="dxa"/>
            <w:vAlign w:val="bottom"/>
          </w:tcPr>
          <w:p>
            <w:pPr>
              <w:jc w:val="center"/>
              <w:ind w:left="1102"/>
              <w:spacing w:after="0"/>
              <w:rPr>
                <w:sz w:val="20"/>
                <w:szCs w:val="20"/>
                <w:color w:val="auto"/>
              </w:rPr>
            </w:pPr>
            <w:r>
              <w:rPr>
                <w:rFonts w:ascii="Arial" w:cs="Arial" w:eastAsia="Arial" w:hAnsi="Arial"/>
                <w:sz w:val="14"/>
                <w:szCs w:val="14"/>
                <w:b w:val="1"/>
                <w:bCs w:val="1"/>
                <w:color w:val="auto"/>
              </w:rPr>
              <w:t>6 Sylvan Way</w:t>
            </w:r>
          </w:p>
        </w:tc>
        <w:tc>
          <w:tcPr>
            <w:tcW w:w="1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tcPr>
          <w:p>
            <w:pPr>
              <w:ind w:left="1060"/>
              <w:spacing w:after="0"/>
              <w:rPr>
                <w:sz w:val="20"/>
                <w:szCs w:val="20"/>
                <w:color w:val="auto"/>
              </w:rPr>
            </w:pPr>
            <w:r>
              <w:rPr>
                <w:rFonts w:ascii="Arial" w:cs="Arial" w:eastAsia="Arial" w:hAnsi="Arial"/>
                <w:sz w:val="14"/>
                <w:szCs w:val="14"/>
                <w:b w:val="1"/>
                <w:bCs w:val="1"/>
                <w:color w:val="auto"/>
              </w:rPr>
              <w:t>Parsippany,</w:t>
            </w:r>
          </w:p>
        </w:tc>
        <w:tc>
          <w:tcPr>
            <w:tcW w:w="1620" w:type="dxa"/>
            <w:vAlign w:val="bottom"/>
          </w:tcPr>
          <w:p>
            <w:pPr>
              <w:spacing w:after="0"/>
              <w:rPr>
                <w:sz w:val="20"/>
                <w:szCs w:val="20"/>
                <w:color w:val="auto"/>
              </w:rPr>
            </w:pPr>
            <w:r>
              <w:rPr>
                <w:rFonts w:ascii="Arial" w:cs="Arial" w:eastAsia="Arial" w:hAnsi="Arial"/>
                <w:sz w:val="14"/>
                <w:szCs w:val="14"/>
                <w:b w:val="1"/>
                <w:bCs w:val="1"/>
                <w:color w:val="auto"/>
              </w:rPr>
              <w:t>NJ</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60" w:type="dxa"/>
            <w:vAlign w:val="bottom"/>
          </w:tcPr>
          <w:p>
            <w:pPr>
              <w:jc w:val="right"/>
              <w:ind w:right="1048"/>
              <w:spacing w:after="0"/>
              <w:rPr>
                <w:sz w:val="20"/>
                <w:szCs w:val="20"/>
                <w:color w:val="auto"/>
              </w:rPr>
            </w:pPr>
            <w:r>
              <w:rPr>
                <w:rFonts w:ascii="Arial" w:cs="Arial" w:eastAsia="Arial" w:hAnsi="Arial"/>
                <w:sz w:val="14"/>
                <w:szCs w:val="14"/>
                <w:b w:val="1"/>
                <w:bCs w:val="1"/>
                <w:color w:val="auto"/>
              </w:rPr>
              <w:t>07054</w:t>
            </w:r>
          </w:p>
        </w:tc>
        <w:tc>
          <w:tcPr>
            <w:tcW w:w="0" w:type="dxa"/>
            <w:vAlign w:val="bottom"/>
          </w:tcPr>
          <w:p>
            <w:pPr>
              <w:spacing w:after="0"/>
              <w:rPr>
                <w:sz w:val="1"/>
                <w:szCs w:val="1"/>
                <w:color w:val="auto"/>
              </w:rPr>
            </w:pPr>
          </w:p>
        </w:tc>
      </w:tr>
      <w:tr>
        <w:trPr>
          <w:trHeight w:val="196"/>
        </w:trPr>
        <w:tc>
          <w:tcPr>
            <w:tcW w:w="3740" w:type="dxa"/>
            <w:vAlign w:val="bottom"/>
            <w:gridSpan w:val="2"/>
          </w:tcPr>
          <w:p>
            <w:pPr>
              <w:jc w:val="center"/>
              <w:ind w:right="168"/>
              <w:spacing w:after="0"/>
              <w:rPr>
                <w:sz w:val="20"/>
                <w:szCs w:val="20"/>
                <w:color w:val="auto"/>
              </w:rPr>
            </w:pPr>
            <w:r>
              <w:rPr>
                <w:rFonts w:ascii="Arial" w:cs="Arial" w:eastAsia="Arial" w:hAnsi="Arial"/>
                <w:sz w:val="14"/>
                <w:szCs w:val="14"/>
                <w:i w:val="1"/>
                <w:iCs w:val="1"/>
                <w:color w:val="auto"/>
              </w:rPr>
              <w:t>(Address of principal executive offices)</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60" w:type="dxa"/>
            <w:vAlign w:val="bottom"/>
          </w:tcPr>
          <w:p>
            <w:pPr>
              <w:jc w:val="center"/>
              <w:ind w:left="548"/>
              <w:spacing w:after="0"/>
              <w:rPr>
                <w:sz w:val="20"/>
                <w:szCs w:val="20"/>
                <w:color w:val="auto"/>
              </w:rPr>
            </w:pPr>
            <w:r>
              <w:rPr>
                <w:rFonts w:ascii="Arial" w:cs="Arial" w:eastAsia="Arial" w:hAnsi="Arial"/>
                <w:sz w:val="14"/>
                <w:szCs w:val="14"/>
                <w:i w:val="1"/>
                <w:iCs w:val="1"/>
                <w:color w:val="auto"/>
              </w:rPr>
              <w:t>(Zip Code)</w:t>
            </w:r>
          </w:p>
        </w:tc>
        <w:tc>
          <w:tcPr>
            <w:tcW w:w="0" w:type="dxa"/>
            <w:vAlign w:val="bottom"/>
          </w:tcPr>
          <w:p>
            <w:pPr>
              <w:spacing w:after="0"/>
              <w:rPr>
                <w:sz w:val="1"/>
                <w:szCs w:val="1"/>
                <w:color w:val="auto"/>
              </w:rPr>
            </w:pPr>
          </w:p>
        </w:tc>
      </w:tr>
      <w:tr>
        <w:trPr>
          <w:trHeight w:val="209"/>
        </w:trPr>
        <w:tc>
          <w:tcPr>
            <w:tcW w:w="2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40" w:type="dxa"/>
            <w:vAlign w:val="bottom"/>
            <w:gridSpan w:val="2"/>
          </w:tcPr>
          <w:p>
            <w:pPr>
              <w:jc w:val="right"/>
              <w:ind w:right="453"/>
              <w:spacing w:after="0"/>
              <w:rPr>
                <w:sz w:val="20"/>
                <w:szCs w:val="20"/>
                <w:color w:val="auto"/>
              </w:rPr>
            </w:pPr>
            <w:r>
              <w:rPr>
                <w:rFonts w:ascii="Arial" w:cs="Arial" w:eastAsia="Arial" w:hAnsi="Arial"/>
                <w:sz w:val="14"/>
                <w:szCs w:val="14"/>
                <w:b w:val="1"/>
                <w:bCs w:val="1"/>
                <w:color w:val="auto"/>
              </w:rPr>
              <w:t>(973)   496-4700</w:t>
            </w:r>
          </w:p>
        </w:tc>
        <w:tc>
          <w:tcPr>
            <w:tcW w:w="8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880" w:type="dxa"/>
            <w:vAlign w:val="bottom"/>
            <w:gridSpan w:val="3"/>
          </w:tcPr>
          <w:p>
            <w:pPr>
              <w:ind w:left="260"/>
              <w:spacing w:after="0"/>
              <w:rPr>
                <w:sz w:val="20"/>
                <w:szCs w:val="20"/>
                <w:color w:val="auto"/>
              </w:rPr>
            </w:pPr>
            <w:r>
              <w:rPr>
                <w:rFonts w:ascii="Arial" w:cs="Arial" w:eastAsia="Arial" w:hAnsi="Arial"/>
                <w:sz w:val="14"/>
                <w:szCs w:val="14"/>
                <w:color w:val="auto"/>
              </w:rPr>
              <w:t>(Registrant’s telephone number, including area code)</w:t>
            </w:r>
          </w:p>
        </w:tc>
        <w:tc>
          <w:tcPr>
            <w:tcW w:w="3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8"/>
        </w:trPr>
        <w:tc>
          <w:tcPr>
            <w:tcW w:w="374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7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740" w:type="dxa"/>
            <w:vAlign w:val="bottom"/>
          </w:tcPr>
          <w:p>
            <w:pPr>
              <w:spacing w:after="0"/>
              <w:rPr>
                <w:sz w:val="19"/>
                <w:szCs w:val="19"/>
                <w:color w:val="auto"/>
              </w:rPr>
            </w:pPr>
          </w:p>
        </w:tc>
        <w:tc>
          <w:tcPr>
            <w:tcW w:w="314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rPr>
              <w:t>Trading Symbol(s)</w:t>
            </w:r>
          </w:p>
        </w:tc>
        <w:tc>
          <w:tcPr>
            <w:tcW w:w="3260" w:type="dxa"/>
            <w:vAlign w:val="bottom"/>
          </w:tcPr>
          <w:p>
            <w:pPr>
              <w:jc w:val="center"/>
              <w:ind w:left="148"/>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6"/>
        </w:trPr>
        <w:tc>
          <w:tcPr>
            <w:tcW w:w="3740" w:type="dxa"/>
            <w:vAlign w:val="bottom"/>
            <w:gridSpan w:val="2"/>
          </w:tcPr>
          <w:p>
            <w:pPr>
              <w:jc w:val="center"/>
              <w:spacing w:after="0"/>
              <w:rPr>
                <w:sz w:val="20"/>
                <w:szCs w:val="20"/>
                <w:color w:val="auto"/>
              </w:rPr>
            </w:pPr>
            <w:r>
              <w:rPr>
                <w:rFonts w:ascii="Arial" w:cs="Arial" w:eastAsia="Arial" w:hAnsi="Arial"/>
                <w:sz w:val="14"/>
                <w:szCs w:val="14"/>
                <w:color w:val="auto"/>
              </w:rPr>
              <w:t>Common Stock, Par Value $0.01</w:t>
            </w:r>
          </w:p>
        </w:tc>
        <w:tc>
          <w:tcPr>
            <w:tcW w:w="740" w:type="dxa"/>
            <w:vAlign w:val="bottom"/>
          </w:tcPr>
          <w:p>
            <w:pPr>
              <w:spacing w:after="0"/>
              <w:rPr>
                <w:sz w:val="17"/>
                <w:szCs w:val="17"/>
                <w:color w:val="auto"/>
              </w:rPr>
            </w:pPr>
          </w:p>
        </w:tc>
        <w:tc>
          <w:tcPr>
            <w:tcW w:w="3140" w:type="dxa"/>
            <w:vAlign w:val="bottom"/>
            <w:gridSpan w:val="2"/>
          </w:tcPr>
          <w:p>
            <w:pPr>
              <w:jc w:val="center"/>
              <w:ind w:right="880"/>
              <w:spacing w:after="0"/>
              <w:rPr>
                <w:sz w:val="20"/>
                <w:szCs w:val="20"/>
                <w:color w:val="auto"/>
              </w:rPr>
            </w:pPr>
            <w:r>
              <w:rPr>
                <w:rFonts w:ascii="Arial" w:cs="Arial" w:eastAsia="Arial" w:hAnsi="Arial"/>
                <w:sz w:val="14"/>
                <w:szCs w:val="14"/>
                <w:color w:val="auto"/>
              </w:rPr>
              <w:t>CAR</w:t>
            </w:r>
          </w:p>
        </w:tc>
        <w:tc>
          <w:tcPr>
            <w:tcW w:w="3260" w:type="dxa"/>
            <w:vAlign w:val="bottom"/>
          </w:tcPr>
          <w:p>
            <w:pPr>
              <w:jc w:val="center"/>
              <w:ind w:left="148"/>
              <w:spacing w:after="0"/>
              <w:rPr>
                <w:sz w:val="20"/>
                <w:szCs w:val="20"/>
                <w:color w:val="auto"/>
              </w:rPr>
            </w:pPr>
            <w:r>
              <w:rPr>
                <w:rFonts w:ascii="Arial" w:cs="Arial" w:eastAsia="Arial" w:hAnsi="Arial"/>
                <w:sz w:val="14"/>
                <w:szCs w:val="14"/>
                <w:color w:val="auto"/>
              </w:rPr>
              <w:t>The NASDAQ Global Select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31" w:lineRule="exact"/>
        <w:rPr>
          <w:sz w:val="24"/>
          <w:szCs w:val="24"/>
          <w:color w:val="auto"/>
        </w:rPr>
      </w:pPr>
    </w:p>
    <w:p>
      <w:pPr>
        <w:ind w:right="80"/>
        <w:spacing w:after="0" w:line="25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84" w:lineRule="exact"/>
        <w:tabs>
          <w:tab w:leader="none" w:pos="480" w:val="left"/>
          <w:tab w:leader="none" w:pos="1120" w:val="left"/>
        </w:tabs>
        <w:rPr>
          <w:sz w:val="20"/>
          <w:szCs w:val="20"/>
          <w:color w:val="auto"/>
        </w:rPr>
      </w:pPr>
      <w:r>
        <w:rPr>
          <w:rFonts w:ascii="Arial" w:cs="Arial" w:eastAsia="Arial" w:hAnsi="Arial"/>
          <w:sz w:val="14"/>
          <w:szCs w:val="14"/>
          <w:color w:val="auto"/>
        </w:rPr>
        <w:t>days.</w:t>
        <w:tab/>
        <w:t xml:space="preserve">Yes </w:t>
      </w:r>
      <w:r>
        <w:rPr>
          <w:rFonts w:ascii="MS PGothic" w:cs="MS PGothic" w:eastAsia="MS PGothic" w:hAnsi="MS PGothic"/>
          <w:sz w:val="16"/>
          <w:szCs w:val="16"/>
          <w:color w:val="auto"/>
        </w:rPr>
        <w:t>☒</w:t>
      </w:r>
      <w:r>
        <w:rPr>
          <w:rFonts w:ascii="Arial" w:cs="Arial" w:eastAsia="Arial" w:hAnsi="Arial"/>
          <w:sz w:val="14"/>
          <w:szCs w:val="14"/>
          <w:color w:val="auto"/>
        </w:rPr>
        <w:tab/>
        <w:t xml:space="preserve">No </w:t>
      </w:r>
      <w:r>
        <w:rPr>
          <w:rFonts w:ascii="MS PGothic" w:cs="MS PGothic" w:eastAsia="MS PGothic" w:hAnsi="MS PGothic"/>
          <w:sz w:val="16"/>
          <w:szCs w:val="16"/>
          <w:color w:val="auto"/>
        </w:rPr>
        <w:t>☐</w:t>
      </w:r>
    </w:p>
    <w:p>
      <w:pPr>
        <w:spacing w:after="0" w:line="173" w:lineRule="exact"/>
        <w:rPr>
          <w:sz w:val="24"/>
          <w:szCs w:val="24"/>
          <w:color w:val="auto"/>
        </w:rPr>
      </w:pPr>
    </w:p>
    <w:p>
      <w:pPr>
        <w:spacing w:after="0" w:line="19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41"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w:t>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ectPr>
          <w:pgSz w:w="11900" w:h="16838" w:orient="portrait"/>
          <w:cols w:equalWidth="0" w:num="1">
            <w:col w:w="11220"/>
          </w:cols>
          <w:pgMar w:left="320" w:top="229" w:right="359" w:bottom="1440" w:gutter="0" w:footer="0" w:header="0"/>
        </w:sectPr>
      </w:pPr>
    </w:p>
    <w:p>
      <w:pPr>
        <w:spacing w:after="0" w:line="82" w:lineRule="exact"/>
        <w:rPr>
          <w:sz w:val="24"/>
          <w:szCs w:val="24"/>
          <w:color w:val="auto"/>
        </w:rPr>
      </w:pPr>
    </w:p>
    <w:p>
      <w:pPr>
        <w:ind w:left="100" w:right="880"/>
        <w:spacing w:after="0" w:line="412" w:lineRule="auto"/>
        <w:rPr>
          <w:sz w:val="20"/>
          <w:szCs w:val="20"/>
          <w:color w:val="auto"/>
        </w:rPr>
      </w:pPr>
      <w:r>
        <w:rPr>
          <w:rFonts w:ascii="Arial" w:cs="Arial" w:eastAsia="Arial" w:hAnsi="Arial"/>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MS PGothic" w:cs="MS PGothic" w:eastAsia="MS PGothic" w:hAnsi="MS PGothic"/>
          <w:sz w:val="18"/>
          <w:szCs w:val="18"/>
          <w:color w:val="auto"/>
        </w:rPr>
        <w:t>☒</w:t>
      </w:r>
    </w:p>
    <w:p>
      <w:pPr>
        <w:spacing w:after="0" w:line="9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96"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MS PGothic" w:cs="MS PGothic" w:eastAsia="MS PGothic" w:hAnsi="MS PGothic"/>
          <w:sz w:val="18"/>
          <w:szCs w:val="18"/>
          <w:color w:val="auto"/>
        </w:rPr>
        <w:t>☐</w:t>
      </w:r>
    </w:p>
    <w:p>
      <w:pPr>
        <w:spacing w:after="0" w:line="9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MS PGothic" w:cs="MS PGothic" w:eastAsia="MS PGothic" w:hAnsi="MS PGothic"/>
          <w:sz w:val="18"/>
          <w:szCs w:val="18"/>
          <w:color w:val="auto"/>
        </w:rPr>
        <w:t>☐</w:t>
      </w:r>
    </w:p>
    <w:p>
      <w:pPr>
        <w:spacing w:after="0" w:line="440" w:lineRule="exact"/>
        <w:rPr>
          <w:sz w:val="24"/>
          <w:szCs w:val="24"/>
          <w:color w:val="auto"/>
        </w:rPr>
      </w:pPr>
    </w:p>
    <w:p>
      <w:pPr>
        <w:sectPr>
          <w:pgSz w:w="11900" w:h="16838" w:orient="portrait"/>
          <w:cols w:equalWidth="0" w:num="6">
            <w:col w:w="2780" w:space="720"/>
            <w:col w:w="180" w:space="100"/>
            <w:col w:w="2700" w:space="720"/>
            <w:col w:w="180" w:space="100"/>
            <w:col w:w="2700" w:space="720"/>
            <w:col w:w="320"/>
          </w:cols>
          <w:pgMar w:left="320" w:top="229" w:right="359" w:bottom="1440" w:gutter="0" w:footer="0" w:header="0"/>
          <w:type w:val="continuous"/>
        </w:sectPr>
      </w:pPr>
    </w:p>
    <w:p>
      <w:pPr>
        <w:ind w:right="280"/>
        <w:spacing w:after="0" w:line="20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92" w:lineRule="exact"/>
        <w:rPr>
          <w:sz w:val="24"/>
          <w:szCs w:val="24"/>
          <w:color w:val="auto"/>
        </w:rPr>
      </w:pPr>
    </w:p>
    <w:p>
      <w:pPr>
        <w:spacing w:after="0" w:line="184" w:lineRule="exact"/>
        <w:tabs>
          <w:tab w:leader="none" w:pos="792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4"/>
          <w:szCs w:val="14"/>
          <w:color w:val="auto"/>
        </w:rPr>
        <w:tab/>
        <w:t xml:space="preserve">No </w:t>
      </w:r>
      <w:r>
        <w:rPr>
          <w:rFonts w:ascii="MS PGothic" w:cs="MS PGothic" w:eastAsia="MS PGothic" w:hAnsi="MS PGothic"/>
          <w:sz w:val="16"/>
          <w:szCs w:val="16"/>
          <w:color w:val="auto"/>
        </w:rPr>
        <w:t>☒</w:t>
      </w:r>
    </w:p>
    <w:p>
      <w:pPr>
        <w:spacing w:after="0" w:line="279"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the issuer’s common stock was 48,287,272 shares as of April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722630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1680" w:type="dxa"/>
            <w:vAlign w:val="bottom"/>
            <w:gridSpan w:val="7"/>
            <w:vMerge w:val="restart"/>
          </w:tcPr>
          <w:p>
            <w:pPr>
              <w:spacing w:after="0"/>
              <w:rPr>
                <w:sz w:val="20"/>
                <w:szCs w:val="20"/>
                <w:color w:val="auto"/>
              </w:rPr>
            </w:pPr>
            <w:r>
              <w:rPr>
                <w:rFonts w:ascii="Arial" w:cs="Arial" w:eastAsia="Arial" w:hAnsi="Arial"/>
                <w:sz w:val="18"/>
                <w:szCs w:val="18"/>
                <w:color w:val="0000FF"/>
                <w:w w:val="99"/>
              </w:rPr>
              <w:t>Financial Information</w:t>
            </w:r>
          </w:p>
        </w:tc>
        <w:tc>
          <w:tcPr>
            <w:tcW w:w="7760" w:type="dxa"/>
            <w:vAlign w:val="bottom"/>
            <w:gridSpan w:val="11"/>
            <w:vMerge w:val="restart"/>
          </w:tcPr>
          <w:p>
            <w:pPr>
              <w:spacing w:after="0"/>
              <w:rPr>
                <w:sz w:val="14"/>
                <w:szCs w:val="14"/>
                <w:color w:val="auto"/>
              </w:rPr>
            </w:pPr>
          </w:p>
        </w:tc>
        <w:tc>
          <w:tcPr>
            <w:tcW w:w="7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5"/>
        </w:trPr>
        <w:tc>
          <w:tcPr>
            <w:tcW w:w="1020" w:type="dxa"/>
            <w:vAlign w:val="bottom"/>
            <w:vMerge w:val="continue"/>
          </w:tcPr>
          <w:p>
            <w:pPr>
              <w:spacing w:after="0"/>
              <w:rPr>
                <w:sz w:val="18"/>
                <w:szCs w:val="18"/>
                <w:color w:val="auto"/>
              </w:rPr>
            </w:pPr>
          </w:p>
        </w:tc>
        <w:tc>
          <w:tcPr>
            <w:tcW w:w="1680" w:type="dxa"/>
            <w:vAlign w:val="bottom"/>
            <w:tcBorders>
              <w:bottom w:val="single" w:sz="8" w:color="0000FF"/>
            </w:tcBorders>
            <w:gridSpan w:val="7"/>
            <w:vMerge w:val="continue"/>
          </w:tcPr>
          <w:p>
            <w:pPr>
              <w:spacing w:after="0"/>
              <w:rPr>
                <w:sz w:val="18"/>
                <w:szCs w:val="18"/>
                <w:color w:val="auto"/>
              </w:rPr>
            </w:pPr>
          </w:p>
        </w:tc>
        <w:tc>
          <w:tcPr>
            <w:tcW w:w="7760" w:type="dxa"/>
            <w:vAlign w:val="bottom"/>
            <w:gridSpan w:val="11"/>
            <w:vMerge w:val="continue"/>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1.</w:t>
            </w:r>
          </w:p>
        </w:tc>
        <w:tc>
          <w:tcPr>
            <w:tcW w:w="9440" w:type="dxa"/>
            <w:vAlign w:val="bottom"/>
            <w:gridSpan w:val="18"/>
          </w:tcPr>
          <w:p>
            <w:pPr>
              <w:spacing w:after="0"/>
              <w:rPr>
                <w:sz w:val="20"/>
                <w:szCs w:val="20"/>
                <w:color w:val="auto"/>
              </w:rPr>
            </w:pPr>
            <w:r>
              <w:rPr>
                <w:rFonts w:ascii="Arial" w:cs="Arial" w:eastAsia="Arial" w:hAnsi="Arial"/>
                <w:sz w:val="18"/>
                <w:szCs w:val="18"/>
                <w:color w:val="0000FF"/>
              </w:rPr>
              <w:t>Financial Statements</w:t>
            </w:r>
          </w:p>
        </w:tc>
        <w:tc>
          <w:tcPr>
            <w:tcW w:w="780" w:type="dxa"/>
            <w:vAlign w:val="bottom"/>
            <w:gridSpan w:val="5"/>
            <w:vMerge w:val="restart"/>
          </w:tcPr>
          <w:p>
            <w:pPr>
              <w:jc w:val="right"/>
              <w:ind w:right="60"/>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020" w:type="dxa"/>
            <w:vAlign w:val="bottom"/>
          </w:tcPr>
          <w:p>
            <w:pPr>
              <w:spacing w:after="0"/>
              <w:rPr>
                <w:sz w:val="18"/>
                <w:szCs w:val="18"/>
                <w:color w:val="auto"/>
              </w:rPr>
            </w:pPr>
          </w:p>
        </w:tc>
        <w:tc>
          <w:tcPr>
            <w:tcW w:w="9440" w:type="dxa"/>
            <w:vAlign w:val="bottom"/>
            <w:gridSpan w:val="18"/>
          </w:tcPr>
          <w:p>
            <w:pPr>
              <w:spacing w:after="0" w:line="196" w:lineRule="exact"/>
              <w:rPr>
                <w:sz w:val="20"/>
                <w:szCs w:val="20"/>
                <w:color w:val="auto"/>
              </w:rPr>
            </w:pPr>
            <w:r>
              <w:rPr>
                <w:rFonts w:ascii="Arial" w:cs="Arial" w:eastAsia="Arial" w:hAnsi="Arial"/>
                <w:sz w:val="18"/>
                <w:szCs w:val="18"/>
                <w:color w:val="0000FF"/>
              </w:rPr>
              <w:t>Consolidated Condensed Statements of Comprehensive Income for the Three Months Ended March 31, 2022</w:t>
            </w:r>
          </w:p>
        </w:tc>
        <w:tc>
          <w:tcPr>
            <w:tcW w:w="78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8720" w:type="dxa"/>
            <w:vAlign w:val="bottom"/>
            <w:tcBorders>
              <w:top w:val="single" w:sz="8" w:color="0000FF"/>
            </w:tcBorders>
            <w:gridSpan w:val="16"/>
          </w:tcPr>
          <w:p>
            <w:pPr>
              <w:spacing w:after="0" w:line="202" w:lineRule="exact"/>
              <w:rPr>
                <w:sz w:val="20"/>
                <w:szCs w:val="20"/>
                <w:color w:val="auto"/>
              </w:rPr>
            </w:pPr>
            <w:r>
              <w:rPr>
                <w:rFonts w:ascii="Arial" w:cs="Arial" w:eastAsia="Arial" w:hAnsi="Arial"/>
                <w:sz w:val="18"/>
                <w:szCs w:val="18"/>
                <w:color w:val="0000FF"/>
              </w:rPr>
              <w:t>and 2021 (Unaudited)</w:t>
            </w:r>
          </w:p>
        </w:tc>
        <w:tc>
          <w:tcPr>
            <w:tcW w:w="72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5"/>
            <w:vMerge w:val="restart"/>
          </w:tcPr>
          <w:p>
            <w:pPr>
              <w:jc w:val="right"/>
              <w:ind w:right="60"/>
              <w:spacing w:after="0"/>
              <w:rPr>
                <w:sz w:val="20"/>
                <w:szCs w:val="20"/>
                <w:color w:val="auto"/>
              </w:rPr>
            </w:pPr>
            <w:r>
              <w:rPr>
                <w:rFonts w:ascii="Arial" w:cs="Arial" w:eastAsia="Arial" w:hAnsi="Arial"/>
                <w:sz w:val="18"/>
                <w:szCs w:val="18"/>
                <w:color w:val="0000FF"/>
              </w:rPr>
              <w:t>5</w:t>
            </w: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440" w:type="dxa"/>
            <w:vAlign w:val="bottom"/>
            <w:gridSpan w:val="18"/>
          </w:tcPr>
          <w:p>
            <w:pPr>
              <w:spacing w:after="0"/>
              <w:rPr>
                <w:sz w:val="20"/>
                <w:szCs w:val="20"/>
                <w:color w:val="auto"/>
              </w:rPr>
            </w:pPr>
            <w:r>
              <w:rPr>
                <w:rFonts w:ascii="Arial" w:cs="Arial" w:eastAsia="Arial" w:hAnsi="Arial"/>
                <w:sz w:val="18"/>
                <w:szCs w:val="18"/>
                <w:color w:val="0000FF"/>
              </w:rPr>
              <w:t>Consolidated Condensed Balance Sheets as of March 31, 2022 and December 31, 2021 (Unaudited)</w:t>
            </w:r>
          </w:p>
        </w:tc>
        <w:tc>
          <w:tcPr>
            <w:tcW w:w="78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40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500" w:type="dxa"/>
            <w:vAlign w:val="bottom"/>
            <w:tcBorders>
              <w:bottom w:val="single" w:sz="8" w:color="0000FF"/>
            </w:tcBorders>
            <w:gridSpan w:val="3"/>
            <w:shd w:val="clear" w:color="auto" w:fill="0000FF"/>
          </w:tcPr>
          <w:p>
            <w:pPr>
              <w:spacing w:after="0" w:line="20" w:lineRule="exact"/>
              <w:rPr>
                <w:sz w:val="1"/>
                <w:szCs w:val="1"/>
                <w:color w:val="auto"/>
              </w:rPr>
            </w:pPr>
          </w:p>
        </w:tc>
        <w:tc>
          <w:tcPr>
            <w:tcW w:w="2700" w:type="dxa"/>
            <w:vAlign w:val="bottom"/>
            <w:tcBorders>
              <w:bottom w:val="single" w:sz="8" w:color="0000FF"/>
            </w:tcBorders>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600" w:type="dxa"/>
            <w:vAlign w:val="bottom"/>
            <w:tcBorders>
              <w:bottom w:val="single" w:sz="8" w:color="0000FF"/>
            </w:tcBorders>
            <w:shd w:val="clear" w:color="auto" w:fill="0000FF"/>
          </w:tcPr>
          <w:p>
            <w:pPr>
              <w:spacing w:after="0" w:line="20" w:lineRule="exact"/>
              <w:rPr>
                <w:sz w:val="1"/>
                <w:szCs w:val="1"/>
                <w:color w:val="auto"/>
              </w:rPr>
            </w:pPr>
          </w:p>
        </w:tc>
        <w:tc>
          <w:tcPr>
            <w:tcW w:w="1620" w:type="dxa"/>
            <w:vAlign w:val="bottom"/>
            <w:tcBorders>
              <w:bottom w:val="single" w:sz="8" w:color="0000FF"/>
            </w:tcBorders>
            <w:shd w:val="clear" w:color="auto" w:fill="0000FF"/>
          </w:tcPr>
          <w:p>
            <w:pPr>
              <w:spacing w:after="0" w:line="20" w:lineRule="exact"/>
              <w:rPr>
                <w:sz w:val="1"/>
                <w:szCs w:val="1"/>
                <w:color w:val="auto"/>
              </w:rPr>
            </w:pPr>
          </w:p>
        </w:tc>
        <w:tc>
          <w:tcPr>
            <w:tcW w:w="960" w:type="dxa"/>
            <w:vAlign w:val="bottom"/>
            <w:tcBorders>
              <w:bottom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440" w:type="dxa"/>
            <w:vAlign w:val="bottom"/>
            <w:gridSpan w:val="18"/>
          </w:tcPr>
          <w:p>
            <w:pPr>
              <w:spacing w:after="0"/>
              <w:rPr>
                <w:sz w:val="20"/>
                <w:szCs w:val="20"/>
                <w:color w:val="auto"/>
              </w:rPr>
            </w:pPr>
            <w:r>
              <w:rPr>
                <w:rFonts w:ascii="Arial" w:cs="Arial" w:eastAsia="Arial" w:hAnsi="Arial"/>
                <w:sz w:val="18"/>
                <w:szCs w:val="18"/>
                <w:color w:val="0000FF"/>
              </w:rPr>
              <w:t>Consolidated Condensed Statements of Cash Flows for the Three Months Ended March 31, 2022 and 2021</w:t>
            </w:r>
          </w:p>
        </w:tc>
        <w:tc>
          <w:tcPr>
            <w:tcW w:w="620" w:type="dxa"/>
            <w:vAlign w:val="bottom"/>
            <w:gridSpan w:val="3"/>
          </w:tcPr>
          <w:p>
            <w:pPr>
              <w:spacing w:after="0"/>
              <w:rPr>
                <w:sz w:val="20"/>
                <w:szCs w:val="20"/>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0000FF"/>
                <w:w w:val="79"/>
              </w:rPr>
              <w:t>6</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8560" w:type="dxa"/>
            <w:vAlign w:val="bottom"/>
            <w:tcBorders>
              <w:top w:val="single" w:sz="8" w:color="0000FF"/>
            </w:tcBorders>
            <w:gridSpan w:val="15"/>
          </w:tcPr>
          <w:p>
            <w:pPr>
              <w:spacing w:after="0" w:line="202" w:lineRule="exact"/>
              <w:rPr>
                <w:sz w:val="20"/>
                <w:szCs w:val="20"/>
                <w:color w:val="auto"/>
              </w:rPr>
            </w:pPr>
            <w:r>
              <w:rPr>
                <w:rFonts w:ascii="Arial" w:cs="Arial" w:eastAsia="Arial" w:hAnsi="Arial"/>
                <w:sz w:val="18"/>
                <w:szCs w:val="18"/>
                <w:color w:val="0000FF"/>
              </w:rPr>
              <w:t>(Unaudited)</w:t>
            </w:r>
          </w:p>
        </w:tc>
        <w:tc>
          <w:tcPr>
            <w:tcW w:w="880" w:type="dxa"/>
            <w:vAlign w:val="bottom"/>
            <w:gridSpan w:val="3"/>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5"/>
            <w:vMerge w:val="restart"/>
          </w:tcPr>
          <w:p>
            <w:pPr>
              <w:jc w:val="right"/>
              <w:ind w:right="60"/>
              <w:spacing w:after="0"/>
              <w:rPr>
                <w:sz w:val="20"/>
                <w:szCs w:val="20"/>
                <w:color w:val="auto"/>
              </w:rPr>
            </w:pPr>
            <w:r>
              <w:rPr>
                <w:rFonts w:ascii="Arial" w:cs="Arial" w:eastAsia="Arial" w:hAnsi="Arial"/>
                <w:sz w:val="18"/>
                <w:szCs w:val="18"/>
                <w:color w:val="0000FF"/>
              </w:rPr>
              <w:t>8</w:t>
            </w:r>
          </w:p>
        </w:tc>
        <w:tc>
          <w:tcPr>
            <w:tcW w:w="0" w:type="dxa"/>
            <w:vAlign w:val="bottom"/>
          </w:tcPr>
          <w:p>
            <w:pPr>
              <w:spacing w:after="0" w:line="20" w:lineRule="exact"/>
              <w:rPr>
                <w:sz w:val="1"/>
                <w:szCs w:val="1"/>
                <w:color w:val="auto"/>
              </w:rPr>
            </w:pPr>
          </w:p>
        </w:tc>
      </w:tr>
      <w:tr>
        <w:trPr>
          <w:trHeight w:val="244"/>
        </w:trPr>
        <w:tc>
          <w:tcPr>
            <w:tcW w:w="1020" w:type="dxa"/>
            <w:vAlign w:val="bottom"/>
          </w:tcPr>
          <w:p>
            <w:pPr>
              <w:spacing w:after="0"/>
              <w:rPr>
                <w:sz w:val="21"/>
                <w:szCs w:val="21"/>
                <w:color w:val="auto"/>
              </w:rPr>
            </w:pPr>
          </w:p>
        </w:tc>
        <w:tc>
          <w:tcPr>
            <w:tcW w:w="9440" w:type="dxa"/>
            <w:vAlign w:val="bottom"/>
            <w:gridSpan w:val="18"/>
          </w:tcPr>
          <w:p>
            <w:pPr>
              <w:spacing w:after="0"/>
              <w:rPr>
                <w:sz w:val="20"/>
                <w:szCs w:val="20"/>
                <w:color w:val="auto"/>
              </w:rPr>
            </w:pPr>
            <w:r>
              <w:rPr>
                <w:rFonts w:ascii="Arial" w:cs="Arial" w:eastAsia="Arial" w:hAnsi="Arial"/>
                <w:sz w:val="18"/>
                <w:szCs w:val="18"/>
                <w:color w:val="0000FF"/>
              </w:rPr>
              <w:t>Consolidated Condensed Statements of Stockholders’ Equity for the Three Months Ended March 31, 2022 and</w:t>
            </w:r>
          </w:p>
        </w:tc>
        <w:tc>
          <w:tcPr>
            <w:tcW w:w="780" w:type="dxa"/>
            <w:vAlign w:val="bottom"/>
            <w:gridSpan w:val="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1400" w:type="dxa"/>
            <w:vAlign w:val="bottom"/>
            <w:tcBorders>
              <w:top w:val="single" w:sz="8" w:color="0000FF"/>
              <w:bottom w:val="single" w:sz="8" w:color="0000FF"/>
            </w:tcBorders>
            <w:gridSpan w:val="5"/>
          </w:tcPr>
          <w:p>
            <w:pPr>
              <w:spacing w:after="0" w:line="202" w:lineRule="exact"/>
              <w:rPr>
                <w:sz w:val="20"/>
                <w:szCs w:val="20"/>
                <w:color w:val="auto"/>
              </w:rPr>
            </w:pPr>
            <w:r>
              <w:rPr>
                <w:rFonts w:ascii="Arial" w:cs="Arial" w:eastAsia="Arial" w:hAnsi="Arial"/>
                <w:sz w:val="18"/>
                <w:szCs w:val="18"/>
                <w:color w:val="0000FF"/>
                <w:w w:val="99"/>
              </w:rPr>
              <w:t>2021 (Unaudited)</w:t>
            </w:r>
          </w:p>
        </w:tc>
        <w:tc>
          <w:tcPr>
            <w:tcW w:w="7400" w:type="dxa"/>
            <w:vAlign w:val="bottom"/>
            <w:tcBorders>
              <w:top w:val="single" w:sz="8" w:color="0000FF"/>
            </w:tcBorders>
            <w:gridSpan w:val="12"/>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9440" w:type="dxa"/>
            <w:vAlign w:val="bottom"/>
            <w:gridSpan w:val="18"/>
          </w:tcPr>
          <w:p>
            <w:pPr>
              <w:spacing w:after="0"/>
              <w:rPr>
                <w:sz w:val="20"/>
                <w:szCs w:val="20"/>
                <w:color w:val="auto"/>
              </w:rPr>
            </w:pPr>
            <w:r>
              <w:rPr>
                <w:rFonts w:ascii="Arial" w:cs="Arial" w:eastAsia="Arial" w:hAnsi="Arial"/>
                <w:sz w:val="18"/>
                <w:szCs w:val="18"/>
                <w:color w:val="0000FF"/>
              </w:rPr>
              <w:t>Notes to Consolidated Condensed Financial Statements (Unaudited)</w:t>
            </w:r>
          </w:p>
        </w:tc>
        <w:tc>
          <w:tcPr>
            <w:tcW w:w="780" w:type="dxa"/>
            <w:vAlign w:val="bottom"/>
            <w:gridSpan w:val="5"/>
          </w:tcPr>
          <w:p>
            <w:pPr>
              <w:jc w:val="right"/>
              <w:ind w:right="60"/>
              <w:spacing w:after="0"/>
              <w:rPr>
                <w:sz w:val="20"/>
                <w:szCs w:val="20"/>
                <w:color w:val="auto"/>
              </w:rPr>
            </w:pPr>
            <w:r>
              <w:rPr>
                <w:rFonts w:ascii="Arial" w:cs="Arial" w:eastAsia="Arial" w:hAnsi="Arial"/>
                <w:sz w:val="18"/>
                <w:szCs w:val="18"/>
                <w:color w:val="0000FF"/>
              </w:rPr>
              <w:t>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2.</w:t>
            </w:r>
          </w:p>
        </w:tc>
        <w:tc>
          <w:tcPr>
            <w:tcW w:w="9440" w:type="dxa"/>
            <w:vAlign w:val="bottom"/>
            <w:gridSpan w:val="18"/>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gridSpan w:val="5"/>
          </w:tcPr>
          <w:p>
            <w:pPr>
              <w:jc w:val="right"/>
              <w:ind w:right="60"/>
              <w:spacing w:after="0"/>
              <w:rPr>
                <w:sz w:val="20"/>
                <w:szCs w:val="20"/>
                <w:color w:val="auto"/>
              </w:rPr>
            </w:pPr>
            <w:r>
              <w:rPr>
                <w:rFonts w:ascii="Arial" w:cs="Arial" w:eastAsia="Arial" w:hAnsi="Arial"/>
                <w:sz w:val="18"/>
                <w:szCs w:val="18"/>
                <w:color w:val="0000FF"/>
              </w:rPr>
              <w:t>25</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3.</w:t>
            </w:r>
          </w:p>
        </w:tc>
        <w:tc>
          <w:tcPr>
            <w:tcW w:w="4700" w:type="dxa"/>
            <w:vAlign w:val="bottom"/>
            <w:gridSpan w:val="10"/>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80" w:type="dxa"/>
            <w:vAlign w:val="bottom"/>
            <w:gridSpan w:val="3"/>
          </w:tcPr>
          <w:p>
            <w:pPr>
              <w:spacing w:after="0"/>
              <w:rPr>
                <w:sz w:val="18"/>
                <w:szCs w:val="18"/>
                <w:color w:val="auto"/>
              </w:rPr>
            </w:pPr>
          </w:p>
        </w:tc>
        <w:tc>
          <w:tcPr>
            <w:tcW w:w="2360" w:type="dxa"/>
            <w:vAlign w:val="bottom"/>
            <w:gridSpan w:val="5"/>
          </w:tcPr>
          <w:p>
            <w:pPr>
              <w:spacing w:after="0"/>
              <w:rPr>
                <w:sz w:val="18"/>
                <w:szCs w:val="18"/>
                <w:color w:val="auto"/>
              </w:rPr>
            </w:pPr>
          </w:p>
        </w:tc>
        <w:tc>
          <w:tcPr>
            <w:tcW w:w="520" w:type="dxa"/>
            <w:vAlign w:val="bottom"/>
            <w:gridSpan w:val="2"/>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33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4.</w:t>
            </w:r>
          </w:p>
        </w:tc>
        <w:tc>
          <w:tcPr>
            <w:tcW w:w="2000" w:type="dxa"/>
            <w:vAlign w:val="bottom"/>
            <w:gridSpan w:val="9"/>
          </w:tcPr>
          <w:p>
            <w:pPr>
              <w:spacing w:after="0"/>
              <w:rPr>
                <w:sz w:val="20"/>
                <w:szCs w:val="20"/>
                <w:color w:val="auto"/>
              </w:rPr>
            </w:pPr>
            <w:r>
              <w:rPr>
                <w:rFonts w:ascii="Arial" w:cs="Arial" w:eastAsia="Arial" w:hAnsi="Arial"/>
                <w:sz w:val="18"/>
                <w:szCs w:val="18"/>
                <w:color w:val="0000FF"/>
                <w:w w:val="99"/>
              </w:rPr>
              <w:t>Controls and Procedures</w:t>
            </w:r>
          </w:p>
        </w:tc>
        <w:tc>
          <w:tcPr>
            <w:tcW w:w="2700" w:type="dxa"/>
            <w:vAlign w:val="bottom"/>
          </w:tcPr>
          <w:p>
            <w:pPr>
              <w:spacing w:after="0"/>
              <w:rPr>
                <w:sz w:val="18"/>
                <w:szCs w:val="18"/>
                <w:color w:val="auto"/>
              </w:rPr>
            </w:pPr>
          </w:p>
        </w:tc>
        <w:tc>
          <w:tcPr>
            <w:tcW w:w="4740" w:type="dxa"/>
            <w:vAlign w:val="bottom"/>
            <w:gridSpan w:val="8"/>
          </w:tcPr>
          <w:p>
            <w:pPr>
              <w:spacing w:after="0"/>
              <w:rPr>
                <w:sz w:val="18"/>
                <w:szCs w:val="18"/>
                <w:color w:val="auto"/>
              </w:rPr>
            </w:pPr>
          </w:p>
        </w:tc>
        <w:tc>
          <w:tcPr>
            <w:tcW w:w="520" w:type="dxa"/>
            <w:vAlign w:val="bottom"/>
            <w:gridSpan w:val="2"/>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33</w:t>
            </w: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200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Other Information</w:t>
            </w:r>
          </w:p>
        </w:tc>
        <w:tc>
          <w:tcPr>
            <w:tcW w:w="7440" w:type="dxa"/>
            <w:vAlign w:val="bottom"/>
            <w:gridSpan w:val="9"/>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1.</w:t>
            </w:r>
          </w:p>
        </w:tc>
        <w:tc>
          <w:tcPr>
            <w:tcW w:w="1500" w:type="dxa"/>
            <w:vAlign w:val="bottom"/>
            <w:gridSpan w:val="6"/>
          </w:tcPr>
          <w:p>
            <w:pPr>
              <w:spacing w:after="0"/>
              <w:rPr>
                <w:sz w:val="20"/>
                <w:szCs w:val="20"/>
                <w:color w:val="auto"/>
              </w:rPr>
            </w:pPr>
            <w:r>
              <w:rPr>
                <w:rFonts w:ascii="Arial" w:cs="Arial" w:eastAsia="Arial" w:hAnsi="Arial"/>
                <w:sz w:val="18"/>
                <w:szCs w:val="18"/>
                <w:color w:val="0000FF"/>
                <w:w w:val="99"/>
              </w:rPr>
              <w:t>Legal Proceedings</w:t>
            </w:r>
          </w:p>
        </w:tc>
        <w:tc>
          <w:tcPr>
            <w:tcW w:w="7940" w:type="dxa"/>
            <w:vAlign w:val="bottom"/>
            <w:gridSpan w:val="12"/>
          </w:tcPr>
          <w:p>
            <w:pPr>
              <w:spacing w:after="0"/>
              <w:rPr>
                <w:sz w:val="18"/>
                <w:szCs w:val="18"/>
                <w:color w:val="auto"/>
              </w:rPr>
            </w:pPr>
          </w:p>
        </w:tc>
        <w:tc>
          <w:tcPr>
            <w:tcW w:w="520" w:type="dxa"/>
            <w:vAlign w:val="bottom"/>
            <w:gridSpan w:val="2"/>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34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1A.</w:t>
            </w:r>
          </w:p>
        </w:tc>
        <w:tc>
          <w:tcPr>
            <w:tcW w:w="1500" w:type="dxa"/>
            <w:vAlign w:val="bottom"/>
            <w:gridSpan w:val="6"/>
          </w:tcPr>
          <w:p>
            <w:pPr>
              <w:spacing w:after="0"/>
              <w:rPr>
                <w:sz w:val="20"/>
                <w:szCs w:val="20"/>
                <w:color w:val="auto"/>
              </w:rPr>
            </w:pPr>
            <w:r>
              <w:rPr>
                <w:rFonts w:ascii="Arial" w:cs="Arial" w:eastAsia="Arial" w:hAnsi="Arial"/>
                <w:sz w:val="18"/>
                <w:szCs w:val="18"/>
                <w:color w:val="0000FF"/>
              </w:rPr>
              <w:t>Risk Factors</w:t>
            </w:r>
          </w:p>
        </w:tc>
        <w:tc>
          <w:tcPr>
            <w:tcW w:w="7940" w:type="dxa"/>
            <w:vAlign w:val="bottom"/>
            <w:gridSpan w:val="12"/>
          </w:tcPr>
          <w:p>
            <w:pPr>
              <w:spacing w:after="0"/>
              <w:rPr>
                <w:sz w:val="18"/>
                <w:szCs w:val="18"/>
                <w:color w:val="auto"/>
              </w:rPr>
            </w:pPr>
          </w:p>
        </w:tc>
        <w:tc>
          <w:tcPr>
            <w:tcW w:w="520" w:type="dxa"/>
            <w:vAlign w:val="bottom"/>
            <w:gridSpan w:val="2"/>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34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60" w:type="dxa"/>
            <w:vAlign w:val="bottom"/>
            <w:gridSpan w:val="7"/>
          </w:tcPr>
          <w:p>
            <w:pPr>
              <w:spacing w:after="0" w:line="20" w:lineRule="exact"/>
              <w:rPr>
                <w:sz w:val="1"/>
                <w:szCs w:val="1"/>
                <w:color w:val="auto"/>
              </w:rPr>
            </w:pPr>
          </w:p>
        </w:tc>
        <w:tc>
          <w:tcPr>
            <w:tcW w:w="458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2.</w:t>
            </w:r>
          </w:p>
        </w:tc>
        <w:tc>
          <w:tcPr>
            <w:tcW w:w="4860" w:type="dxa"/>
            <w:vAlign w:val="bottom"/>
            <w:gridSpan w:val="11"/>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4580" w:type="dxa"/>
            <w:vAlign w:val="bottom"/>
            <w:gridSpan w:val="7"/>
          </w:tcPr>
          <w:p>
            <w:pPr>
              <w:spacing w:after="0"/>
              <w:rPr>
                <w:sz w:val="18"/>
                <w:szCs w:val="18"/>
                <w:color w:val="auto"/>
              </w:rPr>
            </w:pPr>
          </w:p>
        </w:tc>
        <w:tc>
          <w:tcPr>
            <w:tcW w:w="520" w:type="dxa"/>
            <w:vAlign w:val="bottom"/>
            <w:gridSpan w:val="2"/>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34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sz w:val="20"/>
                <w:szCs w:val="20"/>
                <w:color w:val="auto"/>
              </w:rPr>
            </w:pPr>
            <w:r>
              <w:rPr>
                <w:rFonts w:ascii="Arial" w:cs="Arial" w:eastAsia="Arial" w:hAnsi="Arial"/>
                <w:sz w:val="18"/>
                <w:szCs w:val="18"/>
                <w:color w:val="0000FF"/>
                <w:w w:val="98"/>
              </w:rPr>
              <w:t>Exhibits</w:t>
            </w:r>
          </w:p>
        </w:tc>
        <w:tc>
          <w:tcPr>
            <w:tcW w:w="4220" w:type="dxa"/>
            <w:vAlign w:val="bottom"/>
            <w:gridSpan w:val="10"/>
          </w:tcPr>
          <w:p>
            <w:pPr>
              <w:spacing w:after="0"/>
              <w:rPr>
                <w:sz w:val="18"/>
                <w:szCs w:val="18"/>
                <w:color w:val="auto"/>
              </w:rPr>
            </w:pPr>
          </w:p>
        </w:tc>
        <w:tc>
          <w:tcPr>
            <w:tcW w:w="4580" w:type="dxa"/>
            <w:vAlign w:val="bottom"/>
            <w:gridSpan w:val="7"/>
          </w:tcPr>
          <w:p>
            <w:pPr>
              <w:spacing w:after="0"/>
              <w:rPr>
                <w:sz w:val="18"/>
                <w:szCs w:val="18"/>
                <w:color w:val="auto"/>
              </w:rPr>
            </w:pPr>
          </w:p>
        </w:tc>
        <w:tc>
          <w:tcPr>
            <w:tcW w:w="520" w:type="dxa"/>
            <w:vAlign w:val="bottom"/>
            <w:gridSpan w:val="2"/>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34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580" w:type="dxa"/>
            <w:vAlign w:val="bottom"/>
            <w:gridSpan w:val="1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spacing w:after="0"/>
              <w:rPr>
                <w:sz w:val="18"/>
                <w:szCs w:val="18"/>
                <w:color w:val="auto"/>
              </w:rPr>
            </w:pPr>
          </w:p>
        </w:tc>
        <w:tc>
          <w:tcPr>
            <w:tcW w:w="9440" w:type="dxa"/>
            <w:vAlign w:val="bottom"/>
            <w:gridSpan w:val="18"/>
          </w:tcPr>
          <w:p>
            <w:pPr>
              <w:spacing w:after="0"/>
              <w:rPr>
                <w:sz w:val="20"/>
                <w:szCs w:val="20"/>
                <w:color w:val="auto"/>
              </w:rPr>
            </w:pPr>
            <w:r>
              <w:rPr>
                <w:rFonts w:ascii="Arial" w:cs="Arial" w:eastAsia="Arial" w:hAnsi="Arial"/>
                <w:sz w:val="18"/>
                <w:szCs w:val="18"/>
                <w:color w:val="0000FF"/>
              </w:rPr>
              <w:t>Signatures</w:t>
            </w:r>
          </w:p>
        </w:tc>
        <w:tc>
          <w:tcPr>
            <w:tcW w:w="780" w:type="dxa"/>
            <w:vAlign w:val="bottom"/>
            <w:gridSpan w:val="5"/>
          </w:tcPr>
          <w:p>
            <w:pPr>
              <w:jc w:val="right"/>
              <w:ind w:right="60"/>
              <w:spacing w:after="0"/>
              <w:rPr>
                <w:sz w:val="20"/>
                <w:szCs w:val="20"/>
                <w:color w:val="auto"/>
              </w:rPr>
            </w:pPr>
            <w:r>
              <w:rPr>
                <w:rFonts w:ascii="Arial" w:cs="Arial" w:eastAsia="Arial" w:hAnsi="Arial"/>
                <w:sz w:val="18"/>
                <w:szCs w:val="18"/>
                <w:color w:val="0000FF"/>
              </w:rPr>
              <w:t>35</w:t>
            </w:r>
          </w:p>
        </w:tc>
        <w:tc>
          <w:tcPr>
            <w:tcW w:w="0" w:type="dxa"/>
            <w:vAlign w:val="bottom"/>
          </w:tcPr>
          <w:p>
            <w:pPr>
              <w:spacing w:after="0"/>
              <w:rPr>
                <w:sz w:val="1"/>
                <w:szCs w:val="1"/>
                <w:color w:val="auto"/>
              </w:rPr>
            </w:pPr>
          </w:p>
        </w:tc>
      </w:tr>
      <w:tr>
        <w:trPr>
          <w:trHeight w:val="1054"/>
        </w:trPr>
        <w:tc>
          <w:tcPr>
            <w:tcW w:w="102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statements contained in this Quarterly Report on Form 10-Q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and similar words, expressions or phrases. The following important factors and assumptions could affect our future results and could cause actual results to differ materially from those expressed in such forward-looking statements. Additionally, many of these risks and uncertainties are currently amplified by and will continue to be amplified by, or in the future may be amplified by, the Coronavirus (“COVID-19”) pandemic, the continued restrictions that have been placed on travel in many countries and the resulting adverse impact on the global economy, and the potential effects on the global economy and markets as a result of the ongoing military conflict between Russia and Ukraine. These factors include, but are not limited to:</w:t>
      </w:r>
    </w:p>
    <w:p>
      <w:pPr>
        <w:spacing w:after="0" w:line="217" w:lineRule="exact"/>
        <w:rPr>
          <w:sz w:val="20"/>
          <w:szCs w:val="20"/>
          <w:color w:val="auto"/>
        </w:rPr>
      </w:pPr>
    </w:p>
    <w:p>
      <w:pPr>
        <w:jc w:val="both"/>
        <w:ind w:left="660" w:hanging="328"/>
        <w:spacing w:after="0" w:line="262"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COVID-19 and its resulting impact on the global economy, which has had, and is expected to continue to have, a significant impact on our operations, including unprecedented volatility in demand levels, as well as its current, and uncertain future impact including, but not limited to, its effect on the ability or desire of people to travel, including due to travel restrictions, and other restrictions and orders, which may continue to impact our results, operations, outlooks, plans, goals, growth, cash flows, liquidity, and stock price;</w:t>
      </w:r>
    </w:p>
    <w:p>
      <w:pPr>
        <w:spacing w:after="0" w:line="203"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high level of competition in the mobility industry, including from new companies or technology, and the impact such competition may have on pricing and rental volume;</w:t>
      </w:r>
    </w:p>
    <w:p>
      <w:pPr>
        <w:spacing w:after="0" w:line="179"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change in our fleet costs, including as a result of a change in the cost of new vehicles, resulting from inflation or otherwise, manufacturer recalls, disruption in the supply of new vehicles, shortages in semiconductors used in new vehicle production, and/or a change in the price at which we dispose of used vehicles either in the used vehicle market or under repurchase or guaranteed depreciation programs;</w:t>
      </w:r>
    </w:p>
    <w:p>
      <w:pPr>
        <w:spacing w:after="0" w:line="203"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results of operations or financial condition of the manufacturers of our vehicles, which could impact their ability to perform their payment obligations under our agreements with them, including repurchase and/or guaranteed depreciation arrangements, and/or their willingness or ability to make vehicles available to us or the mobility industry as a whole on commercially reasonable terms or at all particularly as COVID-19 related restrictions are lifted and travel demand increases;</w:t>
      </w:r>
    </w:p>
    <w:p>
      <w:pPr>
        <w:spacing w:after="0" w:line="203"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significant volatility in travel demand as a result of COVID-19, including the current and any future disruptions in airline passenger traffic;</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deterioration in economic conditions, particularly during our peak season or in key market segments;</w:t>
      </w:r>
    </w:p>
    <w:p>
      <w:pPr>
        <w:spacing w:after="0" w:line="25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occurrence or threat of terrorism, the current and any future pandemic diseases, natural disasters, military conflict, including the ongoing military conflict between Russia and Ukraine, or civil unrest in the locations in which we operate, and the potential effects of sanctions on the world economy and markets and/or international trade;</w:t>
      </w:r>
    </w:p>
    <w:p>
      <w:pPr>
        <w:spacing w:after="0" w:line="197"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substantial changes in the cost or supply of fuel, vehicle parts, energy, labor or other resources on which we depend to operate our business, including as a result of COVID-19, the ongoing military conflict between Russia and Ukraine, and any embargos on oil sales imposed on or by the Russian government;</w:t>
      </w:r>
    </w:p>
    <w:p>
      <w:pPr>
        <w:spacing w:after="0" w:line="19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continue to successfully implement our business strategies, achieve and maintain cost savings and adapt our business to changes in mobility;</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color w:val="auto"/>
        </w:rPr>
        <w:t>political, economic or commercial instability in the countries in which we operate, and our ability to conform to multiple and conflicting laws or regulations in those countries;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6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third-party distribution channels, third-party suppliers of other services and co-marketing arrangements with third parties;</w:t>
      </w:r>
    </w:p>
    <w:p>
      <w:pPr>
        <w:spacing w:after="0" w:line="179"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completed or future acquisitions or investments that we may pursue, including the incurrence of incremental indebtedness to help fund such transactions and our ability to promptly and effectively integrate any acquired businesses or capitalize on joint ventures, partnerships and other investments;</w:t>
      </w:r>
    </w:p>
    <w:p>
      <w:pPr>
        <w:spacing w:after="0" w:line="19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utilize derivative instruments, and the impact of derivative instruments we utilize, which can be affected by fluctuations in interest rates, gasoline prices and exchange rates, changes in government regulations and other factors;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exposure to uninsured or unpaid claims in excess of historical levels and our ability to obtain insurance at desired levels and the cost of that insurance;</w:t>
      </w:r>
    </w:p>
    <w:p>
      <w:pPr>
        <w:spacing w:after="0" w:line="179"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litigation, governmental or regulatory inquiries, or any failure or inability to comply with laws, regulations or contractual obligations or any changes in laws, regulations or contractual obligations, including with respect to personally identifiable information and consumer privacy, labor and employment, and tax;</w:t>
      </w:r>
    </w:p>
    <w:p>
      <w:pPr>
        <w:spacing w:after="0" w:line="197"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protecting the integrity of, and preventing unauthorized access to, our information technology systems or those of our third-party vendors, licensees, dealers, independent operators and independent contractors, and protecting the confidential information of our employees and customers against security breaches, including physical or cybersecurity breaches, attacks, or other disruptions, compliance with privacy and data protection regulation, and the effects of any potential increase in cyberattacks on the world economy and markets and/or international trade;</w:t>
      </w:r>
    </w:p>
    <w:p>
      <w:pPr>
        <w:spacing w:after="0" w:line="206"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impact on us from the actions of our third-party vendors, licensees, dealers, independent operators and independent contractors and/or disputes that may arise out of our agreements with such parties;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major disruptions in our communication networks or information systems;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tax obligations and the effect of future changes in tax laws and accounting standards;</w:t>
      </w:r>
    </w:p>
    <w:p>
      <w:pPr>
        <w:spacing w:after="0" w:line="2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indebtedness, including our substantial outstanding debt obligations, potential interest rate increases, recent and potential further downgrades by rating agencies and our ability to incur substantially more debt;</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financing for our global operations, including the funding of our vehicle fleet through the issuance of asset-backed securities and use of the global lending markets;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meet the financial and other covenants contained in the agreements governing our indebtedness, or to obtain a waiver or amendment of such covenants should we be unable to meet such covenants;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significant changes in the assumptions and estimates that are used in our impairment testing for goodwill or intangible assets, which could result in a significant impairment of our goodwill or intangible assets; and</w:t>
      </w:r>
    </w:p>
    <w:p>
      <w:pPr>
        <w:spacing w:after="0" w:line="179"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business, economic, competitive, governmental, regulatory, political or technological factors affecting our operations, pricing or services.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if future results are materially different from those forecast or anticipated. Other factors and assumptions not identified above, including those discussed in “Management’s Discussion and Analysis of Financial Condition and Results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of Operations,” in Item 2 and “Risk Factors” in Item 1A in this quarterly report and in similarly titled sections set forth in Item 7 and in Item 1A and in other portions of our 2021 Annual Report on Form 10-K filed with the Securities and Exchange Commission on February 17, 2022 (the “2021 Form 10-K”), may cause actual results to differ materially from those projected in any forward-looking statements.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0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jc w:val="center"/>
        <w:ind w:left="8260"/>
        <w:spacing w:after="0"/>
        <w:rPr>
          <w:sz w:val="20"/>
          <w:szCs w:val="20"/>
          <w:color w:val="auto"/>
        </w:rPr>
      </w:pPr>
      <w:r>
        <w:rPr>
          <w:rFonts w:ascii="Arial" w:cs="Arial" w:eastAsia="Arial" w:hAnsi="Arial"/>
          <w:sz w:val="18"/>
          <w:szCs w:val="18"/>
          <w:b w:val="1"/>
          <w:bCs w:val="1"/>
          <w:color w:val="auto"/>
        </w:rPr>
        <w:t>Three Months Ended</w:t>
      </w:r>
    </w:p>
    <w:p>
      <w:pPr>
        <w:jc w:val="center"/>
        <w:ind w:left="830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830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8300" w:type="dxa"/>
            <w:vAlign w:val="bottom"/>
            <w:vMerge w:val="continue"/>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353"/>
        </w:trPr>
        <w:tc>
          <w:tcPr>
            <w:tcW w:w="830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300" w:type="dxa"/>
            <w:vAlign w:val="bottom"/>
          </w:tcPr>
          <w:p>
            <w:pPr>
              <w:ind w:left="120"/>
              <w:spacing w:after="0"/>
              <w:rPr>
                <w:sz w:val="20"/>
                <w:szCs w:val="20"/>
                <w:color w:val="auto"/>
              </w:rPr>
            </w:pPr>
            <w:r>
              <w:rPr>
                <w:rFonts w:ascii="Arial" w:cs="Arial" w:eastAsia="Arial" w:hAnsi="Arial"/>
                <w:sz w:val="18"/>
                <w:szCs w:val="18"/>
                <w:color w:val="auto"/>
              </w:rPr>
              <w:t>Operating</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30"/>
        </w:trPr>
        <w:tc>
          <w:tcPr>
            <w:tcW w:w="8300" w:type="dxa"/>
            <w:vAlign w:val="bottom"/>
          </w:tcPr>
          <w:p>
            <w:pPr>
              <w:ind w:left="120"/>
              <w:spacing w:after="0"/>
              <w:rPr>
                <w:sz w:val="20"/>
                <w:szCs w:val="20"/>
                <w:color w:val="auto"/>
              </w:rPr>
            </w:pPr>
            <w:r>
              <w:rPr>
                <w:rFonts w:ascii="Arial" w:cs="Arial" w:eastAsia="Arial" w:hAnsi="Arial"/>
                <w:sz w:val="18"/>
                <w:szCs w:val="18"/>
                <w:color w:val="auto"/>
              </w:rPr>
              <w:t>Vehicle depreciation and lease charges, 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9"/>
        </w:trPr>
        <w:tc>
          <w:tcPr>
            <w:tcW w:w="830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9"/>
        </w:trPr>
        <w:tc>
          <w:tcPr>
            <w:tcW w:w="8300" w:type="dxa"/>
            <w:vAlign w:val="bottom"/>
          </w:tcPr>
          <w:p>
            <w:pPr>
              <w:ind w:left="120"/>
              <w:spacing w:after="0"/>
              <w:rPr>
                <w:sz w:val="20"/>
                <w:szCs w:val="20"/>
                <w:color w:val="auto"/>
              </w:rPr>
            </w:pPr>
            <w:r>
              <w:rPr>
                <w:rFonts w:ascii="Arial" w:cs="Arial" w:eastAsia="Arial" w:hAnsi="Arial"/>
                <w:sz w:val="18"/>
                <w:szCs w:val="18"/>
                <w:color w:val="auto"/>
              </w:rPr>
              <w:t>Vehicle interest, 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8300" w:type="dxa"/>
            <w:vAlign w:val="bottom"/>
          </w:tcPr>
          <w:p>
            <w:pPr>
              <w:ind w:left="120"/>
              <w:spacing w:after="0"/>
              <w:rPr>
                <w:sz w:val="20"/>
                <w:szCs w:val="20"/>
                <w:color w:val="auto"/>
              </w:rPr>
            </w:pPr>
            <w:r>
              <w:rPr>
                <w:rFonts w:ascii="Arial" w:cs="Arial" w:eastAsia="Arial" w:hAnsi="Arial"/>
                <w:sz w:val="18"/>
                <w:szCs w:val="18"/>
                <w:color w:val="auto"/>
              </w:rPr>
              <w:t>Non-vehicle related depreciation and amortization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8300" w:type="dxa"/>
            <w:vAlign w:val="bottom"/>
          </w:tcPr>
          <w:p>
            <w:pPr>
              <w:ind w:left="120"/>
              <w:spacing w:after="0"/>
              <w:rPr>
                <w:sz w:val="20"/>
                <w:szCs w:val="20"/>
                <w:color w:val="auto"/>
              </w:rPr>
            </w:pPr>
            <w:r>
              <w:rPr>
                <w:rFonts w:ascii="Arial" w:cs="Arial" w:eastAsia="Arial" w:hAnsi="Arial"/>
                <w:sz w:val="18"/>
                <w:szCs w:val="18"/>
                <w:color w:val="auto"/>
              </w:rPr>
              <w:t>Interest expense related to corporate debt, net:</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0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8300" w:type="dxa"/>
            <w:vAlign w:val="bottom"/>
          </w:tcPr>
          <w:p>
            <w:pPr>
              <w:ind w:left="340"/>
              <w:spacing w:after="0"/>
              <w:rPr>
                <w:sz w:val="20"/>
                <w:szCs w:val="20"/>
                <w:color w:val="auto"/>
              </w:rPr>
            </w:pPr>
            <w:r>
              <w:rPr>
                <w:rFonts w:ascii="Arial" w:cs="Arial" w:eastAsia="Arial" w:hAnsi="Arial"/>
                <w:sz w:val="18"/>
                <w:szCs w:val="18"/>
                <w:color w:val="auto"/>
              </w:rPr>
              <w:t>Early extinguishment of debt</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9"/>
        </w:trPr>
        <w:tc>
          <w:tcPr>
            <w:tcW w:w="8300" w:type="dxa"/>
            <w:vAlign w:val="bottom"/>
          </w:tcPr>
          <w:p>
            <w:pPr>
              <w:ind w:left="120"/>
              <w:spacing w:after="0"/>
              <w:rPr>
                <w:sz w:val="20"/>
                <w:szCs w:val="20"/>
                <w:color w:val="auto"/>
              </w:rPr>
            </w:pPr>
            <w:r>
              <w:rPr>
                <w:rFonts w:ascii="Arial" w:cs="Arial" w:eastAsia="Arial" w:hAnsi="Arial"/>
                <w:sz w:val="18"/>
                <w:szCs w:val="18"/>
                <w:color w:val="auto"/>
              </w:rPr>
              <w:t>Restructuring and other related charges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5"/>
        </w:trPr>
        <w:tc>
          <w:tcPr>
            <w:tcW w:w="8300" w:type="dxa"/>
            <w:vAlign w:val="bottom"/>
          </w:tcPr>
          <w:p>
            <w:pPr>
              <w:ind w:left="120"/>
              <w:spacing w:after="0"/>
              <w:rPr>
                <w:sz w:val="20"/>
                <w:szCs w:val="20"/>
                <w:color w:val="auto"/>
              </w:rPr>
            </w:pPr>
            <w:r>
              <w:rPr>
                <w:rFonts w:ascii="Arial" w:cs="Arial" w:eastAsia="Arial" w:hAnsi="Arial"/>
                <w:sz w:val="18"/>
                <w:szCs w:val="18"/>
                <w:color w:val="auto"/>
              </w:rPr>
              <w:t>Transaction-related costs, net</w:t>
            </w:r>
          </w:p>
        </w:tc>
        <w:tc>
          <w:tcPr>
            <w:tcW w:w="3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8300" w:type="dxa"/>
            <w:vAlign w:val="bottom"/>
          </w:tcPr>
          <w:p>
            <w:pPr>
              <w:spacing w:after="0"/>
              <w:rPr>
                <w:sz w:val="20"/>
                <w:szCs w:val="20"/>
                <w:color w:val="auto"/>
              </w:rPr>
            </w:pPr>
            <w:r>
              <w:rPr>
                <w:rFonts w:ascii="Arial" w:cs="Arial" w:eastAsia="Arial" w:hAnsi="Arial"/>
                <w:sz w:val="18"/>
                <w:szCs w:val="18"/>
                <w:color w:val="auto"/>
              </w:rPr>
              <w:t>Total expenses</w:t>
            </w: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1,737</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466"/>
        </w:trPr>
        <w:tc>
          <w:tcPr>
            <w:tcW w:w="830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3"/>
        </w:trPr>
        <w:tc>
          <w:tcPr>
            <w:tcW w:w="8300" w:type="dxa"/>
            <w:vAlign w:val="bottom"/>
          </w:tcPr>
          <w:p>
            <w:pPr>
              <w:ind w:left="120"/>
              <w:spacing w:after="0"/>
              <w:rPr>
                <w:sz w:val="20"/>
                <w:szCs w:val="20"/>
                <w:color w:val="auto"/>
              </w:rPr>
            </w:pPr>
            <w:r>
              <w:rPr>
                <w:rFonts w:ascii="Arial" w:cs="Arial" w:eastAsia="Arial" w:hAnsi="Arial"/>
                <w:sz w:val="18"/>
                <w:szCs w:val="18"/>
                <w:color w:val="auto"/>
              </w:rPr>
              <w:t>Provision for (benefit from) income taxes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830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3"/>
        </w:trPr>
        <w:tc>
          <w:tcPr>
            <w:tcW w:w="8300" w:type="dxa"/>
            <w:vAlign w:val="bottom"/>
          </w:tcPr>
          <w:p>
            <w:pPr>
              <w:ind w:left="120"/>
              <w:spacing w:after="0"/>
              <w:rPr>
                <w:sz w:val="20"/>
                <w:szCs w:val="20"/>
                <w:color w:val="auto"/>
              </w:rPr>
            </w:pPr>
            <w:r>
              <w:rPr>
                <w:rFonts w:ascii="Arial" w:cs="Arial" w:eastAsia="Arial" w:hAnsi="Arial"/>
                <w:sz w:val="18"/>
                <w:szCs w:val="18"/>
                <w:color w:val="auto"/>
              </w:rPr>
              <w:t>Less: net loss attributable to non-controlling interests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300" w:type="dxa"/>
            <w:vAlign w:val="bottom"/>
          </w:tcPr>
          <w:p>
            <w:pPr>
              <w:spacing w:after="0"/>
              <w:rPr>
                <w:sz w:val="20"/>
                <w:szCs w:val="20"/>
                <w:color w:val="auto"/>
              </w:rPr>
            </w:pPr>
            <w:r>
              <w:rPr>
                <w:rFonts w:ascii="Arial" w:cs="Arial" w:eastAsia="Arial" w:hAnsi="Arial"/>
                <w:sz w:val="18"/>
                <w:szCs w:val="18"/>
                <w:b w:val="1"/>
                <w:bCs w:val="1"/>
                <w:color w:val="auto"/>
              </w:rPr>
              <w:t>Net income (loss) attributable to Avis Budget Group, Inc.</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8300" w:type="dxa"/>
            <w:vAlign w:val="bottom"/>
          </w:tcPr>
          <w:p>
            <w:pPr>
              <w:spacing w:after="0"/>
              <w:rPr>
                <w:sz w:val="20"/>
                <w:szCs w:val="20"/>
                <w:color w:val="auto"/>
              </w:rPr>
            </w:pPr>
            <w:r>
              <w:rPr>
                <w:rFonts w:ascii="Arial" w:cs="Arial" w:eastAsia="Arial" w:hAnsi="Arial"/>
                <w:sz w:val="18"/>
                <w:szCs w:val="18"/>
                <w:b w:val="1"/>
                <w:bCs w:val="1"/>
                <w:color w:val="auto"/>
              </w:rPr>
              <w:t>Comprehensive income (loss) attributable to Avis Budget Group, Inc.</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353"/>
        </w:trPr>
        <w:tc>
          <w:tcPr>
            <w:tcW w:w="8300" w:type="dxa"/>
            <w:vAlign w:val="bottom"/>
          </w:tcPr>
          <w:p>
            <w:pPr>
              <w:spacing w:after="0"/>
              <w:rPr>
                <w:sz w:val="20"/>
                <w:szCs w:val="20"/>
                <w:color w:val="auto"/>
              </w:rPr>
            </w:pPr>
            <w:r>
              <w:rPr>
                <w:rFonts w:ascii="Arial" w:cs="Arial" w:eastAsia="Arial" w:hAnsi="Arial"/>
                <w:sz w:val="18"/>
                <w:szCs w:val="18"/>
                <w:b w:val="1"/>
                <w:bCs w:val="1"/>
                <w:color w:val="auto"/>
              </w:rPr>
              <w:t>Earnings (loss) per share</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12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9.96</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39"/>
        </w:trPr>
        <w:tc>
          <w:tcPr>
            <w:tcW w:w="8300" w:type="dxa"/>
            <w:vAlign w:val="bottom"/>
          </w:tcPr>
          <w:p>
            <w:pPr>
              <w:ind w:left="12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5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85"/>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7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760" w:type="dxa"/>
            <w:vAlign w:val="bottom"/>
          </w:tcPr>
          <w:p>
            <w:pPr>
              <w:spacing w:after="0"/>
              <w:rPr>
                <w:sz w:val="20"/>
                <w:szCs w:val="20"/>
                <w:color w:val="auto"/>
              </w:rPr>
            </w:pPr>
            <w:r>
              <w:rPr>
                <w:rFonts w:ascii="Arial" w:cs="Arial" w:eastAsia="Arial" w:hAnsi="Arial"/>
                <w:sz w:val="14"/>
                <w:szCs w:val="14"/>
                <w:color w:val="auto"/>
              </w:rPr>
              <w:t>Current assets:</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Cash and cash equivalents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Receivables, net</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779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775</w:t>
            </w:r>
          </w:p>
        </w:tc>
        <w:tc>
          <w:tcPr>
            <w:tcW w:w="0" w:type="dxa"/>
            <w:vAlign w:val="bottom"/>
          </w:tcPr>
          <w:p>
            <w:pPr>
              <w:spacing w:after="0"/>
              <w:rPr>
                <w:sz w:val="1"/>
                <w:szCs w:val="1"/>
                <w:color w:val="auto"/>
              </w:rPr>
            </w:pPr>
          </w:p>
        </w:tc>
      </w:tr>
      <w:tr>
        <w:trPr>
          <w:trHeight w:val="204"/>
        </w:trPr>
        <w:tc>
          <w:tcPr>
            <w:tcW w:w="7760" w:type="dxa"/>
            <w:vAlign w:val="bottom"/>
          </w:tcPr>
          <w:p>
            <w:pPr>
              <w:ind w:left="220"/>
              <w:spacing w:after="0"/>
              <w:rPr>
                <w:sz w:val="20"/>
                <w:szCs w:val="20"/>
                <w:color w:val="auto"/>
              </w:rPr>
            </w:pPr>
            <w:r>
              <w:rPr>
                <w:rFonts w:ascii="Arial" w:cs="Arial" w:eastAsia="Arial" w:hAnsi="Arial"/>
                <w:sz w:val="14"/>
                <w:szCs w:val="14"/>
                <w:color w:val="auto"/>
              </w:rPr>
              <w:t>Other current assets</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439</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194"/>
        </w:trPr>
        <w:tc>
          <w:tcPr>
            <w:tcW w:w="7760" w:type="dxa"/>
            <w:vAlign w:val="bottom"/>
          </w:tcPr>
          <w:p>
            <w:pPr>
              <w:spacing w:after="0"/>
              <w:rPr>
                <w:sz w:val="20"/>
                <w:szCs w:val="20"/>
                <w:color w:val="auto"/>
              </w:rPr>
            </w:pPr>
            <w:r>
              <w:rPr>
                <w:rFonts w:ascii="Arial" w:cs="Arial" w:eastAsia="Arial" w:hAnsi="Arial"/>
                <w:sz w:val="14"/>
                <w:szCs w:val="14"/>
                <w:color w:val="auto"/>
              </w:rPr>
              <w:t>Total current assets</w:t>
            </w:r>
          </w:p>
        </w:tc>
        <w:tc>
          <w:tcPr>
            <w:tcW w:w="3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1,768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1,847</w:t>
            </w:r>
          </w:p>
        </w:tc>
        <w:tc>
          <w:tcPr>
            <w:tcW w:w="0" w:type="dxa"/>
            <w:vAlign w:val="bottom"/>
          </w:tcPr>
          <w:p>
            <w:pPr>
              <w:spacing w:after="0"/>
              <w:rPr>
                <w:sz w:val="1"/>
                <w:szCs w:val="1"/>
                <w:color w:val="auto"/>
              </w:rPr>
            </w:pPr>
          </w:p>
        </w:tc>
      </w:tr>
      <w:tr>
        <w:trPr>
          <w:trHeight w:val="351"/>
        </w:trPr>
        <w:tc>
          <w:tcPr>
            <w:tcW w:w="776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3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531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537</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4"/>
                <w:szCs w:val="14"/>
                <w:color w:val="auto"/>
              </w:rPr>
              <w:t>Operating lease right-of-use assets</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2,417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2,368</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1,540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1,615</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4"/>
                <w:szCs w:val="14"/>
                <w:color w:val="auto"/>
              </w:rPr>
              <w:t>Goodwill</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1,096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1,108</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4"/>
                <w:szCs w:val="14"/>
                <w:color w:val="auto"/>
              </w:rPr>
              <w:t>Other intangibles, net</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706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724</w:t>
            </w:r>
          </w:p>
        </w:tc>
        <w:tc>
          <w:tcPr>
            <w:tcW w:w="0" w:type="dxa"/>
            <w:vAlign w:val="bottom"/>
          </w:tcPr>
          <w:p>
            <w:pPr>
              <w:spacing w:after="0"/>
              <w:rPr>
                <w:sz w:val="1"/>
                <w:szCs w:val="1"/>
                <w:color w:val="auto"/>
              </w:rPr>
            </w:pPr>
          </w:p>
        </w:tc>
      </w:tr>
      <w:tr>
        <w:trPr>
          <w:trHeight w:val="204"/>
        </w:trPr>
        <w:tc>
          <w:tcPr>
            <w:tcW w:w="776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4"/>
                <w:szCs w:val="14"/>
                <w:color w:val="auto"/>
              </w:rPr>
              <w:t>Total assets exclusive of assets under vehicle programs</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8,437</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8,581</w:t>
            </w:r>
          </w:p>
        </w:tc>
        <w:tc>
          <w:tcPr>
            <w:tcW w:w="0" w:type="dxa"/>
            <w:vAlign w:val="bottom"/>
          </w:tcPr>
          <w:p>
            <w:pPr>
              <w:spacing w:after="0"/>
              <w:rPr>
                <w:sz w:val="1"/>
                <w:szCs w:val="1"/>
                <w:color w:val="auto"/>
              </w:rPr>
            </w:pPr>
          </w:p>
        </w:tc>
      </w:tr>
      <w:tr>
        <w:trPr>
          <w:trHeight w:val="329"/>
        </w:trPr>
        <w:tc>
          <w:tcPr>
            <w:tcW w:w="776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Program cash</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Vehicles, net</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13,987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12,866</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Receivables from vehicle manufacturers and other</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207"/>
        </w:trPr>
        <w:tc>
          <w:tcPr>
            <w:tcW w:w="7760" w:type="dxa"/>
            <w:vAlign w:val="bottom"/>
          </w:tcPr>
          <w:p>
            <w:pPr>
              <w:ind w:left="220"/>
              <w:spacing w:after="0"/>
              <w:rPr>
                <w:sz w:val="20"/>
                <w:szCs w:val="20"/>
                <w:color w:val="auto"/>
              </w:rPr>
            </w:pPr>
            <w:r>
              <w:rPr>
                <w:rFonts w:ascii="Arial" w:cs="Arial" w:eastAsia="Arial" w:hAnsi="Arial"/>
                <w:sz w:val="14"/>
                <w:szCs w:val="14"/>
                <w:color w:val="auto"/>
              </w:rPr>
              <w:t>Investment in Avis Budget Rental Car Funding (AESOP) LLC—related party</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842</w:t>
            </w:r>
          </w:p>
        </w:tc>
        <w:tc>
          <w:tcPr>
            <w:tcW w:w="0" w:type="dxa"/>
            <w:vAlign w:val="bottom"/>
          </w:tcPr>
          <w:p>
            <w:pPr>
              <w:spacing w:after="0"/>
              <w:rPr>
                <w:sz w:val="1"/>
                <w:szCs w:val="1"/>
                <w:color w:val="auto"/>
              </w:rPr>
            </w:pPr>
          </w:p>
        </w:tc>
      </w:tr>
      <w:tr>
        <w:trPr>
          <w:trHeight w:val="193"/>
        </w:trPr>
        <w:tc>
          <w:tcPr>
            <w:tcW w:w="7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15,136</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14,019</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23,573</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22,600</w:t>
            </w:r>
          </w:p>
        </w:tc>
        <w:tc>
          <w:tcPr>
            <w:tcW w:w="0" w:type="dxa"/>
            <w:vAlign w:val="bottom"/>
          </w:tcPr>
          <w:p>
            <w:pPr>
              <w:spacing w:after="0"/>
              <w:rPr>
                <w:sz w:val="1"/>
                <w:szCs w:val="1"/>
                <w:color w:val="auto"/>
              </w:rPr>
            </w:pPr>
          </w:p>
        </w:tc>
      </w:tr>
      <w:tr>
        <w:trPr>
          <w:trHeight w:val="27"/>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5"/>
        </w:trPr>
        <w:tc>
          <w:tcPr>
            <w:tcW w:w="77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4"/>
                <w:szCs w:val="14"/>
                <w:color w:val="auto"/>
              </w:rPr>
              <w:t>Current liabilities:</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Accounts payable and other current liabilities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2,675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2,389</w:t>
            </w:r>
          </w:p>
        </w:tc>
        <w:tc>
          <w:tcPr>
            <w:tcW w:w="0" w:type="dxa"/>
            <w:vAlign w:val="bottom"/>
          </w:tcPr>
          <w:p>
            <w:pPr>
              <w:spacing w:after="0"/>
              <w:rPr>
                <w:sz w:val="1"/>
                <w:szCs w:val="1"/>
                <w:color w:val="auto"/>
              </w:rPr>
            </w:pPr>
          </w:p>
        </w:tc>
      </w:tr>
      <w:tr>
        <w:trPr>
          <w:trHeight w:val="204"/>
        </w:trPr>
        <w:tc>
          <w:tcPr>
            <w:tcW w:w="7760" w:type="dxa"/>
            <w:vAlign w:val="bottom"/>
          </w:tcPr>
          <w:p>
            <w:pPr>
              <w:ind w:left="220"/>
              <w:spacing w:after="0"/>
              <w:rPr>
                <w:sz w:val="20"/>
                <w:szCs w:val="20"/>
                <w:color w:val="auto"/>
              </w:rPr>
            </w:pPr>
            <w:r>
              <w:rPr>
                <w:rFonts w:ascii="Arial" w:cs="Arial" w:eastAsia="Arial" w:hAnsi="Arial"/>
                <w:sz w:val="14"/>
                <w:szCs w:val="14"/>
                <w:color w:val="auto"/>
              </w:rPr>
              <w:t>Short-term debt and current portion of long-term debt</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4"/>
        </w:trPr>
        <w:tc>
          <w:tcPr>
            <w:tcW w:w="776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3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2,702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2,408</w:t>
            </w:r>
          </w:p>
        </w:tc>
        <w:tc>
          <w:tcPr>
            <w:tcW w:w="0" w:type="dxa"/>
            <w:vAlign w:val="bottom"/>
          </w:tcPr>
          <w:p>
            <w:pPr>
              <w:spacing w:after="0"/>
              <w:rPr>
                <w:sz w:val="1"/>
                <w:szCs w:val="1"/>
                <w:color w:val="auto"/>
              </w:rPr>
            </w:pPr>
          </w:p>
        </w:tc>
      </w:tr>
      <w:tr>
        <w:trPr>
          <w:trHeight w:val="351"/>
        </w:trPr>
        <w:tc>
          <w:tcPr>
            <w:tcW w:w="7760" w:type="dxa"/>
            <w:vAlign w:val="bottom"/>
          </w:tcPr>
          <w:p>
            <w:pPr>
              <w:spacing w:after="0"/>
              <w:rPr>
                <w:sz w:val="20"/>
                <w:szCs w:val="20"/>
                <w:color w:val="auto"/>
              </w:rPr>
            </w:pPr>
            <w:r>
              <w:rPr>
                <w:rFonts w:ascii="Arial" w:cs="Arial" w:eastAsia="Arial" w:hAnsi="Arial"/>
                <w:sz w:val="14"/>
                <w:szCs w:val="14"/>
                <w:color w:val="auto"/>
              </w:rPr>
              <w:t>Long-term debt</w:t>
            </w:r>
          </w:p>
        </w:tc>
        <w:tc>
          <w:tcPr>
            <w:tcW w:w="3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4,678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3,990</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4"/>
                <w:szCs w:val="14"/>
                <w:color w:val="auto"/>
              </w:rPr>
              <w:t>Long-term operating lease liabilities</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1,918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1,910</w:t>
            </w:r>
          </w:p>
        </w:tc>
        <w:tc>
          <w:tcPr>
            <w:tcW w:w="0" w:type="dxa"/>
            <w:vAlign w:val="bottom"/>
          </w:tcPr>
          <w:p>
            <w:pPr>
              <w:spacing w:after="0"/>
              <w:rPr>
                <w:sz w:val="1"/>
                <w:szCs w:val="1"/>
                <w:color w:val="auto"/>
              </w:rPr>
            </w:pPr>
          </w:p>
        </w:tc>
      </w:tr>
      <w:tr>
        <w:trPr>
          <w:trHeight w:val="204"/>
        </w:trPr>
        <w:tc>
          <w:tcPr>
            <w:tcW w:w="776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 programs</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9,883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8,933</w:t>
            </w:r>
          </w:p>
        </w:tc>
        <w:tc>
          <w:tcPr>
            <w:tcW w:w="0" w:type="dxa"/>
            <w:vAlign w:val="bottom"/>
          </w:tcPr>
          <w:p>
            <w:pPr>
              <w:spacing w:after="0"/>
              <w:rPr>
                <w:sz w:val="1"/>
                <w:szCs w:val="1"/>
                <w:color w:val="auto"/>
              </w:rPr>
            </w:pPr>
          </w:p>
        </w:tc>
      </w:tr>
      <w:tr>
        <w:trPr>
          <w:trHeight w:val="329"/>
        </w:trPr>
        <w:tc>
          <w:tcPr>
            <w:tcW w:w="776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Debt</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2,356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2,542</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Debt due to Avis Budget Rental Car Funding (AESOP) LLC—related party</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9,743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8,848</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2,323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2,242</w:t>
            </w:r>
          </w:p>
        </w:tc>
        <w:tc>
          <w:tcPr>
            <w:tcW w:w="0" w:type="dxa"/>
            <w:vAlign w:val="bottom"/>
          </w:tcPr>
          <w:p>
            <w:pPr>
              <w:spacing w:after="0"/>
              <w:rPr>
                <w:sz w:val="1"/>
                <w:szCs w:val="1"/>
                <w:color w:val="auto"/>
              </w:rPr>
            </w:pPr>
          </w:p>
        </w:tc>
      </w:tr>
      <w:tr>
        <w:trPr>
          <w:trHeight w:val="207"/>
        </w:trPr>
        <w:tc>
          <w:tcPr>
            <w:tcW w:w="7760" w:type="dxa"/>
            <w:vAlign w:val="bottom"/>
          </w:tcPr>
          <w:p>
            <w:pPr>
              <w:ind w:left="22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94"/>
        </w:trPr>
        <w:tc>
          <w:tcPr>
            <w:tcW w:w="7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14,673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13,876</w:t>
            </w:r>
          </w:p>
        </w:tc>
        <w:tc>
          <w:tcPr>
            <w:tcW w:w="0" w:type="dxa"/>
            <w:vAlign w:val="bottom"/>
          </w:tcPr>
          <w:p>
            <w:pPr>
              <w:spacing w:after="0"/>
              <w:rPr>
                <w:sz w:val="1"/>
                <w:szCs w:val="1"/>
                <w:color w:val="auto"/>
              </w:rPr>
            </w:pPr>
          </w:p>
        </w:tc>
      </w:tr>
      <w:tr>
        <w:trPr>
          <w:trHeight w:val="181"/>
        </w:trPr>
        <w:tc>
          <w:tcPr>
            <w:tcW w:w="7760" w:type="dxa"/>
            <w:vAlign w:val="bottom"/>
          </w:tcPr>
          <w:p>
            <w:pPr>
              <w:spacing w:after="0"/>
              <w:rPr>
                <w:sz w:val="20"/>
                <w:szCs w:val="20"/>
                <w:color w:val="auto"/>
              </w:rPr>
            </w:pPr>
            <w:r>
              <w:rPr>
                <w:rFonts w:ascii="Arial" w:cs="Arial" w:eastAsia="Arial" w:hAnsi="Arial"/>
                <w:sz w:val="14"/>
                <w:szCs w:val="14"/>
                <w:color w:val="auto"/>
              </w:rPr>
              <w:t>Commitments and contingencies (Note 12)</w:t>
            </w: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7760" w:type="dxa"/>
            <w:vAlign w:val="bottom"/>
          </w:tcPr>
          <w:p>
            <w:pPr>
              <w:spacing w:after="0"/>
              <w:rPr>
                <w:sz w:val="20"/>
                <w:szCs w:val="20"/>
                <w:color w:val="auto"/>
              </w:rPr>
            </w:pPr>
            <w:r>
              <w:rPr>
                <w:rFonts w:ascii="Arial" w:cs="Arial" w:eastAsia="Arial" w:hAnsi="Arial"/>
                <w:sz w:val="14"/>
                <w:szCs w:val="14"/>
                <w:color w:val="auto"/>
              </w:rPr>
              <w:t>Stockholders’ equity:</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Preferred stock, $0.01 par value—authorized 10 shares; nonene issued and outstanding, respectively</w:t>
            </w:r>
          </w:p>
        </w:tc>
        <w:tc>
          <w:tcPr>
            <w:tcW w:w="30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Common stock, $0.01 par value—authorized 250 shares; issued 137 shares, respectively</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Additional paid-in capital</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6,646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6,676</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Retained earnings (accumulated deficit)</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Accumulated other comprehensive loss</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04"/>
        </w:trPr>
        <w:tc>
          <w:tcPr>
            <w:tcW w:w="7760" w:type="dxa"/>
            <w:vAlign w:val="bottom"/>
          </w:tcPr>
          <w:p>
            <w:pPr>
              <w:ind w:left="220"/>
              <w:spacing w:after="0"/>
              <w:rPr>
                <w:sz w:val="20"/>
                <w:szCs w:val="20"/>
                <w:color w:val="auto"/>
              </w:rPr>
            </w:pPr>
            <w:r>
              <w:rPr>
                <w:rFonts w:ascii="Arial" w:cs="Arial" w:eastAsia="Arial" w:hAnsi="Arial"/>
                <w:sz w:val="14"/>
                <w:szCs w:val="14"/>
                <w:color w:val="auto"/>
              </w:rPr>
              <w:t>Treasury stock, at cost— 87 and 81 shares, respectively</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(7,889)</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(6,579)</w:t>
            </w:r>
          </w:p>
        </w:tc>
        <w:tc>
          <w:tcPr>
            <w:tcW w:w="0" w:type="dxa"/>
            <w:vAlign w:val="bottom"/>
          </w:tcPr>
          <w:p>
            <w:pPr>
              <w:spacing w:after="0"/>
              <w:rPr>
                <w:sz w:val="1"/>
                <w:szCs w:val="1"/>
                <w:color w:val="auto"/>
              </w:rPr>
            </w:pPr>
          </w:p>
        </w:tc>
      </w:tr>
      <w:tr>
        <w:trPr>
          <w:trHeight w:val="195"/>
        </w:trPr>
        <w:tc>
          <w:tcPr>
            <w:tcW w:w="7760" w:type="dxa"/>
            <w:vAlign w:val="bottom"/>
          </w:tcPr>
          <w:p>
            <w:pPr>
              <w:spacing w:after="0"/>
              <w:rPr>
                <w:sz w:val="20"/>
                <w:szCs w:val="20"/>
                <w:color w:val="auto"/>
              </w:rPr>
            </w:pPr>
            <w:r>
              <w:rPr>
                <w:rFonts w:ascii="Arial" w:cs="Arial" w:eastAsia="Arial" w:hAnsi="Arial"/>
                <w:sz w:val="14"/>
                <w:szCs w:val="14"/>
                <w:color w:val="auto"/>
              </w:rPr>
              <w:t>Stockholders’ equity attributable to Avis Budget Group, Inc.</w:t>
            </w:r>
          </w:p>
        </w:tc>
        <w:tc>
          <w:tcPr>
            <w:tcW w:w="3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(992)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204"/>
        </w:trPr>
        <w:tc>
          <w:tcPr>
            <w:tcW w:w="7760" w:type="dxa"/>
            <w:vAlign w:val="bottom"/>
          </w:tcPr>
          <w:p>
            <w:pPr>
              <w:ind w:left="220"/>
              <w:spacing w:after="0"/>
              <w:rPr>
                <w:sz w:val="20"/>
                <w:szCs w:val="20"/>
                <w:color w:val="auto"/>
              </w:rPr>
            </w:pPr>
            <w:r>
              <w:rPr>
                <w:rFonts w:ascii="Arial" w:cs="Arial" w:eastAsia="Arial" w:hAnsi="Arial"/>
                <w:sz w:val="14"/>
                <w:szCs w:val="14"/>
                <w:color w:val="auto"/>
              </w:rPr>
              <w:t>Non-controlling interests</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99"/>
        </w:trPr>
        <w:tc>
          <w:tcPr>
            <w:tcW w:w="776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23,573</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22,600</w:t>
            </w:r>
          </w:p>
        </w:tc>
        <w:tc>
          <w:tcPr>
            <w:tcW w:w="0" w:type="dxa"/>
            <w:vAlign w:val="bottom"/>
          </w:tcPr>
          <w:p>
            <w:pPr>
              <w:spacing w:after="0"/>
              <w:rPr>
                <w:sz w:val="1"/>
                <w:szCs w:val="1"/>
                <w:color w:val="auto"/>
              </w:rPr>
            </w:pPr>
          </w:p>
        </w:tc>
      </w:tr>
      <w:tr>
        <w:trPr>
          <w:trHeight w:val="24"/>
        </w:trPr>
        <w:tc>
          <w:tcPr>
            <w:tcW w:w="7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2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1400" w:type="dxa"/>
            <w:vAlign w:val="bottom"/>
            <w:tcBorders>
              <w:top w:val="single" w:sz="8" w:color="0000FF"/>
            </w:tcBorders>
          </w:tcPr>
          <w:p>
            <w:pPr>
              <w:spacing w:after="0"/>
              <w:rPr>
                <w:sz w:val="24"/>
                <w:szCs w:val="24"/>
                <w:color w:val="auto"/>
              </w:rPr>
            </w:pPr>
          </w:p>
        </w:tc>
        <w:tc>
          <w:tcPr>
            <w:tcW w:w="6820" w:type="dxa"/>
            <w:vAlign w:val="bottom"/>
          </w:tcPr>
          <w:p>
            <w:pPr>
              <w:ind w:left="3520"/>
              <w:spacing w:after="0"/>
              <w:rPr>
                <w:sz w:val="20"/>
                <w:szCs w:val="20"/>
                <w:color w:val="auto"/>
              </w:rPr>
            </w:pPr>
            <w:r>
              <w:rPr>
                <w:rFonts w:ascii="Arial" w:cs="Arial" w:eastAsia="Arial" w:hAnsi="Arial"/>
                <w:sz w:val="18"/>
                <w:szCs w:val="18"/>
                <w:b w:val="1"/>
                <w:bCs w:val="1"/>
                <w:color w:val="auto"/>
              </w:rPr>
              <w:t>Avis Budget Group, Inc.</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140" w:type="dxa"/>
            <w:vAlign w:val="bottom"/>
            <w:gridSpan w:val="2"/>
          </w:tcPr>
          <w:p>
            <w:pPr>
              <w:jc w:val="center"/>
              <w:ind w:left="1230"/>
              <w:spacing w:after="0"/>
              <w:rPr>
                <w:sz w:val="20"/>
                <w:szCs w:val="20"/>
                <w:color w:val="auto"/>
              </w:rPr>
            </w:pPr>
            <w:r>
              <w:rPr>
                <w:rFonts w:ascii="Arial" w:cs="Arial" w:eastAsia="Arial" w:hAnsi="Arial"/>
                <w:sz w:val="18"/>
                <w:szCs w:val="18"/>
                <w:b w:val="1"/>
                <w:bCs w:val="1"/>
                <w:color w:val="auto"/>
                <w:w w:val="99"/>
              </w:rPr>
              <w:t>CONSOLIDATED CONDENSED STATEMENTS OF CASH FLOWS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8"/>
              </w:rPr>
              <w:t>(In millions)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6820" w:type="dxa"/>
            <w:vAlign w:val="bottom"/>
          </w:tcPr>
          <w:p>
            <w:pPr>
              <w:jc w:val="center"/>
              <w:ind w:left="1490"/>
              <w:spacing w:after="0"/>
              <w:rPr>
                <w:sz w:val="20"/>
                <w:szCs w:val="20"/>
                <w:color w:val="auto"/>
              </w:rPr>
            </w:pPr>
            <w:r>
              <w:rPr>
                <w:rFonts w:ascii="Arial" w:cs="Arial" w:eastAsia="Arial" w:hAnsi="Arial"/>
                <w:sz w:val="18"/>
                <w:szCs w:val="18"/>
                <w:b w:val="1"/>
                <w:bCs w:val="1"/>
                <w:color w:val="auto"/>
                <w:w w:val="99"/>
              </w:rPr>
              <w:t>(Unaudited)</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4"/>
        </w:trPr>
        <w:tc>
          <w:tcPr>
            <w:tcW w:w="140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68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98"/>
              </w:rPr>
              <w:t>March 31,</w:t>
            </w: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2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4"/>
        </w:trPr>
        <w:tc>
          <w:tcPr>
            <w:tcW w:w="822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Vehicle depreciation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Amortization of right-of-use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(Gain) loss on sale of vehicles,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Non-vehicle related depreciation and amortization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Amortization of debt financing fees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Early extinguishment of debt costs</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Net change in assets and liabilities: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gridSpan w:val="2"/>
          </w:tcPr>
          <w:p>
            <w:pPr>
              <w:ind w:left="340"/>
              <w:spacing w:after="0"/>
              <w:rPr>
                <w:sz w:val="20"/>
                <w:szCs w:val="20"/>
                <w:color w:val="auto"/>
              </w:rPr>
            </w:pPr>
            <w:r>
              <w:rPr>
                <w:rFonts w:ascii="Arial" w:cs="Arial" w:eastAsia="Arial" w:hAnsi="Arial"/>
                <w:sz w:val="18"/>
                <w:szCs w:val="18"/>
                <w:color w:val="auto"/>
              </w:rPr>
              <w:t>Receivables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8220" w:type="dxa"/>
            <w:vAlign w:val="bottom"/>
            <w:gridSpan w:val="2"/>
          </w:tcPr>
          <w:p>
            <w:pPr>
              <w:ind w:left="340"/>
              <w:spacing w:after="0"/>
              <w:rPr>
                <w:sz w:val="20"/>
                <w:szCs w:val="20"/>
                <w:color w:val="auto"/>
              </w:rPr>
            </w:pPr>
            <w:r>
              <w:rPr>
                <w:rFonts w:ascii="Arial" w:cs="Arial" w:eastAsia="Arial" w:hAnsi="Arial"/>
                <w:sz w:val="18"/>
                <w:szCs w:val="18"/>
                <w:color w:val="auto"/>
              </w:rPr>
              <w:t>Income taxes and deferred income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9"/>
        </w:trPr>
        <w:tc>
          <w:tcPr>
            <w:tcW w:w="8220" w:type="dxa"/>
            <w:vAlign w:val="bottom"/>
            <w:gridSpan w:val="2"/>
          </w:tcPr>
          <w:p>
            <w:pPr>
              <w:ind w:left="340"/>
              <w:spacing w:after="0"/>
              <w:rPr>
                <w:sz w:val="20"/>
                <w:szCs w:val="20"/>
                <w:color w:val="auto"/>
              </w:rPr>
            </w:pPr>
            <w:r>
              <w:rPr>
                <w:rFonts w:ascii="Arial" w:cs="Arial" w:eastAsia="Arial" w:hAnsi="Arial"/>
                <w:sz w:val="18"/>
                <w:szCs w:val="18"/>
                <w:color w:val="auto"/>
              </w:rPr>
              <w:t>Accounts payable and other current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0"/>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Operating lease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5"/>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82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461"/>
        </w:trPr>
        <w:tc>
          <w:tcPr>
            <w:tcW w:w="822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Property and equipment additions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Proceeds received on asset sales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Net assets acquired (net of cash acquired)</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5"/>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used in investing activities exclusive of vehicle programs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61"/>
        </w:trPr>
        <w:tc>
          <w:tcPr>
            <w:tcW w:w="8220" w:type="dxa"/>
            <w:vAlign w:val="bottom"/>
            <w:gridSpan w:val="2"/>
          </w:tcPr>
          <w:p>
            <w:pPr>
              <w:ind w:left="20"/>
              <w:spacing w:after="0"/>
              <w:rPr>
                <w:sz w:val="20"/>
                <w:szCs w:val="20"/>
                <w:color w:val="auto"/>
              </w:rPr>
            </w:pPr>
            <w:r>
              <w:rPr>
                <w:rFonts w:ascii="Arial" w:cs="Arial" w:eastAsia="Arial" w:hAnsi="Arial"/>
                <w:sz w:val="18"/>
                <w:szCs w:val="18"/>
                <w:i w:val="1"/>
                <w:iCs w:val="1"/>
                <w:color w:val="auto"/>
              </w:rPr>
              <w:t>Vehicle programs: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Investment in vehicles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(2,727)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(3,032)</w:t>
            </w:r>
          </w:p>
        </w:tc>
        <w:tc>
          <w:tcPr>
            <w:tcW w:w="0" w:type="dxa"/>
            <w:vAlign w:val="bottom"/>
          </w:tcPr>
          <w:p>
            <w:pPr>
              <w:spacing w:after="0"/>
              <w:rPr>
                <w:sz w:val="1"/>
                <w:szCs w:val="1"/>
                <w:color w:val="auto"/>
              </w:rPr>
            </w:pPr>
          </w:p>
        </w:tc>
      </w:tr>
      <w:tr>
        <w:trPr>
          <w:trHeight w:val="230"/>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Proceeds received on disposition of vehicles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30"/>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Investment in debt securities of Avis Budget Rental Car Funding (AESOP) LLC—related party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5"/>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Proceeds from debt securities of Avis Budget Rental Car Funding (AESOP) LLC—related party</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82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23"/>
        </w:trPr>
        <w:tc>
          <w:tcPr>
            <w:tcW w:w="8220" w:type="dxa"/>
            <w:vAlign w:val="bottom"/>
            <w:gridSpan w:val="2"/>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82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1400" w:type="dxa"/>
            <w:vAlign w:val="bottom"/>
            <w:tcBorders>
              <w:top w:val="single" w:sz="8" w:color="0000FF"/>
            </w:tcBorders>
          </w:tcPr>
          <w:p>
            <w:pPr>
              <w:spacing w:after="0"/>
              <w:rPr>
                <w:sz w:val="24"/>
                <w:szCs w:val="24"/>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Avis Budget Group, Inc.</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83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CONSOLIDATED CONDENSED STATEMENTS OF CASH FLOWS (Continued)</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8"/>
              </w:rPr>
              <w:t>(In millions)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(Unaudited)</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4"/>
        </w:trPr>
        <w:tc>
          <w:tcPr>
            <w:tcW w:w="140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4"/>
          </w:tcPr>
          <w:p>
            <w:pPr>
              <w:jc w:val="center"/>
              <w:ind w:right="290"/>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68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98"/>
              </w:rPr>
              <w:t>March 31,</w:t>
            </w:r>
          </w:p>
        </w:tc>
        <w:tc>
          <w:tcPr>
            <w:tcW w:w="10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2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4"/>
        </w:trPr>
        <w:tc>
          <w:tcPr>
            <w:tcW w:w="822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Proceeds from long-term borrowings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Payments on long-term borrowings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Repurchases of common stock</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5"/>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Debt financing fees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82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used in financing activities exclusive of vehicle programs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61"/>
        </w:trPr>
        <w:tc>
          <w:tcPr>
            <w:tcW w:w="8220" w:type="dxa"/>
            <w:vAlign w:val="bottom"/>
            <w:gridSpan w:val="2"/>
          </w:tcPr>
          <w:p>
            <w:pPr>
              <w:ind w:left="20"/>
              <w:spacing w:after="0"/>
              <w:rPr>
                <w:sz w:val="20"/>
                <w:szCs w:val="20"/>
                <w:color w:val="auto"/>
              </w:rPr>
            </w:pPr>
            <w:r>
              <w:rPr>
                <w:rFonts w:ascii="Arial" w:cs="Arial" w:eastAsia="Arial" w:hAnsi="Arial"/>
                <w:sz w:val="18"/>
                <w:szCs w:val="18"/>
                <w:i w:val="1"/>
                <w:iCs w:val="1"/>
                <w:color w:val="auto"/>
              </w:rPr>
              <w:t>Vehicle programs: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Proceeds from borrowings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3,481</w:t>
            </w:r>
          </w:p>
        </w:tc>
        <w:tc>
          <w:tcPr>
            <w:tcW w:w="0" w:type="dxa"/>
            <w:vAlign w:val="bottom"/>
          </w:tcPr>
          <w:p>
            <w:pPr>
              <w:spacing w:after="0"/>
              <w:rPr>
                <w:sz w:val="1"/>
                <w:szCs w:val="1"/>
                <w:color w:val="auto"/>
              </w:rPr>
            </w:pPr>
          </w:p>
        </w:tc>
      </w:tr>
      <w:tr>
        <w:trPr>
          <w:trHeight w:val="230"/>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Payments on borrowings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(3,403)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235"/>
        </w:trPr>
        <w:tc>
          <w:tcPr>
            <w:tcW w:w="8220" w:type="dxa"/>
            <w:vAlign w:val="bottom"/>
            <w:gridSpan w:val="2"/>
          </w:tcPr>
          <w:p>
            <w:pPr>
              <w:ind w:left="180"/>
              <w:spacing w:after="0"/>
              <w:rPr>
                <w:sz w:val="20"/>
                <w:szCs w:val="20"/>
                <w:color w:val="auto"/>
              </w:rPr>
            </w:pPr>
            <w:r>
              <w:rPr>
                <w:rFonts w:ascii="Arial" w:cs="Arial" w:eastAsia="Arial" w:hAnsi="Arial"/>
                <w:sz w:val="18"/>
                <w:szCs w:val="18"/>
                <w:color w:val="auto"/>
              </w:rPr>
              <w:t>Debt financing fees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23"/>
        </w:trPr>
        <w:tc>
          <w:tcPr>
            <w:tcW w:w="8220" w:type="dxa"/>
            <w:vAlign w:val="bottom"/>
            <w:gridSpan w:val="2"/>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466"/>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Effect of changes in exchange rates on cash and cash equivalents, program and restricted cash</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61"/>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Net increase (decrease) in cash and cash equivalents, program and restricted cash</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5"/>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program and restricted cash, beginning of period</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23"/>
        </w:trPr>
        <w:tc>
          <w:tcPr>
            <w:tcW w:w="82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and cash equivalents, program and restricted cash,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220"/>
          </w:cols>
          <w:pgMar w:left="320" w:top="10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0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4"/>
              </w:rPr>
              <w:t>Retained</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Stockholders’</w:t>
            </w: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00" w:type="dxa"/>
            <w:vAlign w:val="bottom"/>
          </w:tcPr>
          <w:p>
            <w:pPr>
              <w:spacing w:after="0"/>
              <w:rPr>
                <w:sz w:val="10"/>
                <w:szCs w:val="10"/>
                <w:color w:val="auto"/>
              </w:rPr>
            </w:pPr>
          </w:p>
        </w:tc>
        <w:tc>
          <w:tcPr>
            <w:tcW w:w="1440" w:type="dxa"/>
            <w:vAlign w:val="bottom"/>
            <w:gridSpan w:val="5"/>
          </w:tcPr>
          <w:p>
            <w:pPr>
              <w:ind w:left="280"/>
              <w:spacing w:after="0" w:line="122" w:lineRule="exact"/>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0"/>
                <w:szCs w:val="10"/>
                <w:color w:val="auto"/>
              </w:rPr>
            </w:pPr>
          </w:p>
        </w:tc>
        <w:tc>
          <w:tcPr>
            <w:tcW w:w="7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6"/>
              </w:rPr>
              <w:t>Additional</w:t>
            </w:r>
          </w:p>
        </w:tc>
        <w:tc>
          <w:tcPr>
            <w:tcW w:w="80" w:type="dxa"/>
            <w:vAlign w:val="bottom"/>
          </w:tcPr>
          <w:p>
            <w:pPr>
              <w:spacing w:after="0"/>
              <w:rPr>
                <w:sz w:val="10"/>
                <w:szCs w:val="10"/>
                <w:color w:val="auto"/>
              </w:rPr>
            </w:pPr>
          </w:p>
        </w:tc>
        <w:tc>
          <w:tcPr>
            <w:tcW w:w="9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rPr>
              <w:t>Earnings</w:t>
            </w:r>
          </w:p>
        </w:tc>
        <w:tc>
          <w:tcPr>
            <w:tcW w:w="12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8"/>
              </w:rPr>
              <w:t>Accumulated Other</w:t>
            </w:r>
          </w:p>
        </w:tc>
        <w:tc>
          <w:tcPr>
            <w:tcW w:w="1520" w:type="dxa"/>
            <w:vAlign w:val="bottom"/>
            <w:gridSpan w:val="5"/>
          </w:tcPr>
          <w:p>
            <w:pPr>
              <w:ind w:left="320"/>
              <w:spacing w:after="0" w:line="122" w:lineRule="exact"/>
              <w:rPr>
                <w:sz w:val="20"/>
                <w:szCs w:val="20"/>
                <w:color w:val="auto"/>
              </w:rPr>
            </w:pPr>
            <w:r>
              <w:rPr>
                <w:rFonts w:ascii="Arial" w:cs="Arial" w:eastAsia="Arial" w:hAnsi="Arial"/>
                <w:sz w:val="11"/>
                <w:szCs w:val="11"/>
                <w:b w:val="1"/>
                <w:bCs w:val="1"/>
                <w:color w:val="auto"/>
              </w:rPr>
              <w:t>Treasury Stock</w:t>
            </w:r>
          </w:p>
        </w:tc>
        <w:tc>
          <w:tcPr>
            <w:tcW w:w="1120" w:type="dxa"/>
            <w:vAlign w:val="bottom"/>
            <w:gridSpan w:val="3"/>
          </w:tcPr>
          <w:p>
            <w:pPr>
              <w:jc w:val="center"/>
              <w:ind w:right="80"/>
              <w:spacing w:after="0" w:line="122" w:lineRule="exact"/>
              <w:rPr>
                <w:sz w:val="20"/>
                <w:szCs w:val="20"/>
                <w:color w:val="auto"/>
              </w:rPr>
            </w:pPr>
            <w:r>
              <w:rPr>
                <w:rFonts w:ascii="Arial" w:cs="Arial" w:eastAsia="Arial" w:hAnsi="Arial"/>
                <w:sz w:val="11"/>
                <w:szCs w:val="11"/>
                <w:b w:val="1"/>
                <w:bCs w:val="1"/>
                <w:color w:val="auto"/>
                <w:w w:val="97"/>
              </w:rPr>
              <w:t>Equity Attributable</w:t>
            </w: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54"/>
        </w:trPr>
        <w:tc>
          <w:tcPr>
            <w:tcW w:w="20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Paid-in</w:t>
            </w:r>
          </w:p>
        </w:tc>
        <w:tc>
          <w:tcPr>
            <w:tcW w:w="80" w:type="dxa"/>
            <w:vAlign w:val="bottom"/>
          </w:tcPr>
          <w:p>
            <w:pPr>
              <w:spacing w:after="0"/>
              <w:rPr>
                <w:sz w:val="4"/>
                <w:szCs w:val="4"/>
                <w:color w:val="auto"/>
              </w:rPr>
            </w:pPr>
          </w:p>
        </w:tc>
        <w:tc>
          <w:tcPr>
            <w:tcW w:w="96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(Accumulated</w:t>
            </w:r>
          </w:p>
        </w:tc>
        <w:tc>
          <w:tcPr>
            <w:tcW w:w="120" w:type="dxa"/>
            <w:vAlign w:val="bottom"/>
          </w:tcPr>
          <w:p>
            <w:pPr>
              <w:spacing w:after="0"/>
              <w:rPr>
                <w:sz w:val="4"/>
                <w:szCs w:val="4"/>
                <w:color w:val="auto"/>
              </w:rPr>
            </w:pPr>
          </w:p>
        </w:tc>
        <w:tc>
          <w:tcPr>
            <w:tcW w:w="1120" w:type="dxa"/>
            <w:vAlign w:val="bottom"/>
            <w:gridSpan w:val="2"/>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rPr>
              <w:t>Comprehensive</w:t>
            </w: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to Avis Budget</w:t>
            </w:r>
          </w:p>
        </w:tc>
        <w:tc>
          <w:tcPr>
            <w:tcW w:w="80" w:type="dxa"/>
            <w:vAlign w:val="bottom"/>
          </w:tcPr>
          <w:p>
            <w:pPr>
              <w:spacing w:after="0"/>
              <w:rPr>
                <w:sz w:val="4"/>
                <w:szCs w:val="4"/>
                <w:color w:val="auto"/>
              </w:rPr>
            </w:pPr>
          </w:p>
        </w:tc>
        <w:tc>
          <w:tcPr>
            <w:tcW w:w="980" w:type="dxa"/>
            <w:vAlign w:val="bottom"/>
            <w:gridSpan w:val="2"/>
            <w:vMerge w:val="restart"/>
          </w:tcPr>
          <w:p>
            <w:pPr>
              <w:jc w:val="center"/>
              <w:ind w:right="160"/>
              <w:spacing w:after="0" w:line="95" w:lineRule="exact"/>
              <w:rPr>
                <w:sz w:val="20"/>
                <w:szCs w:val="20"/>
                <w:color w:val="auto"/>
              </w:rPr>
            </w:pPr>
            <w:r>
              <w:rPr>
                <w:rFonts w:ascii="Arial" w:cs="Arial" w:eastAsia="Arial" w:hAnsi="Arial"/>
                <w:sz w:val="10"/>
                <w:szCs w:val="10"/>
                <w:b w:val="1"/>
                <w:bCs w:val="1"/>
                <w:color w:val="auto"/>
              </w:rPr>
              <w:t>Non-controlling</w:t>
            </w:r>
          </w:p>
        </w:tc>
        <w:tc>
          <w:tcPr>
            <w:tcW w:w="100" w:type="dxa"/>
            <w:vAlign w:val="bottom"/>
          </w:tcPr>
          <w:p>
            <w:pPr>
              <w:spacing w:after="0"/>
              <w:rPr>
                <w:sz w:val="4"/>
                <w:szCs w:val="4"/>
                <w:color w:val="auto"/>
              </w:rPr>
            </w:pPr>
          </w:p>
        </w:tc>
        <w:tc>
          <w:tcPr>
            <w:tcW w:w="840" w:type="dxa"/>
            <w:vAlign w:val="bottom"/>
            <w:vMerge w:val="restart"/>
          </w:tcPr>
          <w:p>
            <w:pPr>
              <w:jc w:val="center"/>
              <w:ind w:right="46"/>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line="20" w:lineRule="exact"/>
              <w:rPr>
                <w:sz w:val="1"/>
                <w:szCs w:val="1"/>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68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line="20" w:lineRule="exact"/>
              <w:rPr>
                <w:sz w:val="1"/>
                <w:szCs w:val="1"/>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Capital</w:t>
            </w:r>
          </w:p>
        </w:tc>
        <w:tc>
          <w:tcPr>
            <w:tcW w:w="8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Deficit)</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Income (Loss)</w:t>
            </w:r>
          </w:p>
        </w:tc>
        <w:tc>
          <w:tcPr>
            <w:tcW w:w="6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Group, Inc.</w:t>
            </w:r>
          </w:p>
        </w:tc>
        <w:tc>
          <w:tcPr>
            <w:tcW w:w="8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Interests</w:t>
            </w:r>
          </w:p>
        </w:tc>
        <w:tc>
          <w:tcPr>
            <w:tcW w:w="100" w:type="dxa"/>
            <w:vAlign w:val="bottom"/>
          </w:tcPr>
          <w:p>
            <w:pPr>
              <w:spacing w:after="0"/>
              <w:rPr>
                <w:sz w:val="13"/>
                <w:szCs w:val="13"/>
                <w:color w:val="auto"/>
              </w:rPr>
            </w:pPr>
          </w:p>
        </w:tc>
        <w:tc>
          <w:tcPr>
            <w:tcW w:w="840" w:type="dxa"/>
            <w:vAlign w:val="bottom"/>
          </w:tcPr>
          <w:p>
            <w:pPr>
              <w:jc w:val="center"/>
              <w:ind w:right="4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20"/>
                <w:szCs w:val="20"/>
                <w:color w:val="auto"/>
              </w:rPr>
            </w:pPr>
            <w:r>
              <w:rPr>
                <w:rFonts w:ascii="Arial" w:cs="Arial" w:eastAsia="Arial" w:hAnsi="Arial"/>
                <w:sz w:val="11"/>
                <w:szCs w:val="11"/>
                <w:b w:val="1"/>
                <w:bCs w:val="1"/>
                <w:color w:val="auto"/>
              </w:rPr>
              <w:t>Balance at December 31, 2021</w:t>
            </w:r>
          </w:p>
        </w:tc>
        <w:tc>
          <w:tcPr>
            <w:tcW w:w="6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6,676</w:t>
            </w:r>
          </w:p>
        </w:tc>
        <w:tc>
          <w:tcPr>
            <w:tcW w:w="1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(185)</w:t>
            </w:r>
          </w:p>
        </w:tc>
        <w:tc>
          <w:tcPr>
            <w:tcW w:w="12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(133)</w:t>
            </w:r>
          </w:p>
        </w:tc>
        <w:tc>
          <w:tcPr>
            <w:tcW w:w="100" w:type="dxa"/>
            <w:vAlign w:val="bottom"/>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(81.2)</w:t>
            </w:r>
          </w:p>
        </w:tc>
        <w:tc>
          <w:tcPr>
            <w:tcW w:w="10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(6,579)</w:t>
            </w:r>
          </w:p>
        </w:tc>
        <w:tc>
          <w:tcPr>
            <w:tcW w:w="10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(220)</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(209)</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1"/>
                <w:szCs w:val="11"/>
                <w:b w:val="1"/>
                <w:bCs w:val="1"/>
                <w:color w:val="auto"/>
              </w:rPr>
              <w:t>Comprehensive income (loss):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00" w:type="dxa"/>
            <w:vAlign w:val="bottom"/>
          </w:tcPr>
          <w:p>
            <w:pPr>
              <w:ind w:left="120"/>
              <w:spacing w:after="0"/>
              <w:rPr>
                <w:sz w:val="20"/>
                <w:szCs w:val="20"/>
                <w:color w:val="auto"/>
              </w:rPr>
            </w:pPr>
            <w:r>
              <w:rPr>
                <w:rFonts w:ascii="Arial" w:cs="Arial" w:eastAsia="Arial" w:hAnsi="Arial"/>
                <w:sz w:val="11"/>
                <w:szCs w:val="11"/>
                <w:color w:val="auto"/>
              </w:rPr>
              <w:t>Net income (loss)</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529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529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527</w:t>
            </w:r>
          </w:p>
        </w:tc>
        <w:tc>
          <w:tcPr>
            <w:tcW w:w="0" w:type="dxa"/>
            <w:vAlign w:val="bottom"/>
          </w:tcPr>
          <w:p>
            <w:pPr>
              <w:spacing w:after="0"/>
              <w:rPr>
                <w:sz w:val="1"/>
                <w:szCs w:val="1"/>
                <w:color w:val="auto"/>
              </w:rPr>
            </w:pPr>
          </w:p>
        </w:tc>
      </w:tr>
      <w:tr>
        <w:trPr>
          <w:trHeight w:val="176"/>
        </w:trPr>
        <w:tc>
          <w:tcPr>
            <w:tcW w:w="2000" w:type="dxa"/>
            <w:vAlign w:val="bottom"/>
          </w:tcPr>
          <w:p>
            <w:pPr>
              <w:ind w:left="120"/>
              <w:spacing w:after="0"/>
              <w:rPr>
                <w:sz w:val="20"/>
                <w:szCs w:val="20"/>
                <w:color w:val="auto"/>
              </w:rPr>
            </w:pPr>
            <w:r>
              <w:rPr>
                <w:rFonts w:ascii="Arial" w:cs="Arial" w:eastAsia="Arial" w:hAnsi="Arial"/>
                <w:sz w:val="11"/>
                <w:szCs w:val="11"/>
                <w:color w:val="auto"/>
              </w:rPr>
              <w:t>Other comprehensive income</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39</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39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39</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20"/>
                <w:szCs w:val="20"/>
                <w:color w:val="auto"/>
              </w:rPr>
            </w:pPr>
            <w:r>
              <w:rPr>
                <w:rFonts w:ascii="Arial" w:cs="Arial" w:eastAsia="Arial" w:hAnsi="Arial"/>
                <w:sz w:val="11"/>
                <w:szCs w:val="11"/>
                <w:b w:val="1"/>
                <w:bCs w:val="1"/>
                <w:color w:val="auto"/>
              </w:rPr>
              <w:t>Total comprehensive income (loss)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529</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39</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568</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566</w:t>
            </w:r>
          </w:p>
        </w:tc>
        <w:tc>
          <w:tcPr>
            <w:tcW w:w="0" w:type="dxa"/>
            <w:vAlign w:val="bottom"/>
          </w:tcPr>
          <w:p>
            <w:pPr>
              <w:spacing w:after="0"/>
              <w:rPr>
                <w:sz w:val="1"/>
                <w:szCs w:val="1"/>
                <w:color w:val="auto"/>
              </w:rPr>
            </w:pPr>
          </w:p>
        </w:tc>
      </w:tr>
      <w:tr>
        <w:trPr>
          <w:trHeight w:val="176"/>
        </w:trPr>
        <w:tc>
          <w:tcPr>
            <w:tcW w:w="2000" w:type="dxa"/>
            <w:vAlign w:val="bottom"/>
          </w:tcPr>
          <w:p>
            <w:pPr>
              <w:spacing w:after="0"/>
              <w:rPr>
                <w:sz w:val="20"/>
                <w:szCs w:val="20"/>
                <w:color w:val="auto"/>
              </w:rPr>
            </w:pPr>
            <w:r>
              <w:rPr>
                <w:rFonts w:ascii="Arial" w:cs="Arial" w:eastAsia="Arial" w:hAnsi="Arial"/>
                <w:sz w:val="11"/>
                <w:szCs w:val="11"/>
                <w:color w:val="auto"/>
              </w:rPr>
              <w:t>Net activity related to restricted stock</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(30)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(33)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(33)</w:t>
            </w:r>
          </w:p>
        </w:tc>
        <w:tc>
          <w:tcPr>
            <w:tcW w:w="0" w:type="dxa"/>
            <w:vAlign w:val="bottom"/>
          </w:tcPr>
          <w:p>
            <w:pPr>
              <w:spacing w:after="0"/>
              <w:rPr>
                <w:sz w:val="1"/>
                <w:szCs w:val="1"/>
                <w:color w:val="auto"/>
              </w:rPr>
            </w:pPr>
          </w:p>
        </w:tc>
      </w:tr>
      <w:tr>
        <w:trPr>
          <w:trHeight w:val="142"/>
        </w:trPr>
        <w:tc>
          <w:tcPr>
            <w:tcW w:w="2000" w:type="dxa"/>
            <w:vAlign w:val="bottom"/>
          </w:tcPr>
          <w:p>
            <w:pPr>
              <w:spacing w:after="0"/>
              <w:rPr>
                <w:sz w:val="20"/>
                <w:szCs w:val="20"/>
                <w:color w:val="auto"/>
              </w:rPr>
            </w:pPr>
            <w:r>
              <w:rPr>
                <w:rFonts w:ascii="Arial" w:cs="Arial" w:eastAsia="Arial" w:hAnsi="Arial"/>
                <w:sz w:val="11"/>
                <w:szCs w:val="11"/>
                <w:color w:val="auto"/>
              </w:rPr>
              <w:t>units</w:t>
            </w: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00" w:type="dxa"/>
            <w:vAlign w:val="bottom"/>
          </w:tcPr>
          <w:p>
            <w:pPr>
              <w:spacing w:after="0"/>
              <w:rPr>
                <w:sz w:val="20"/>
                <w:szCs w:val="20"/>
                <w:color w:val="auto"/>
              </w:rPr>
            </w:pPr>
            <w:r>
              <w:rPr>
                <w:rFonts w:ascii="Arial" w:cs="Arial" w:eastAsia="Arial" w:hAnsi="Arial"/>
                <w:sz w:val="11"/>
                <w:szCs w:val="11"/>
                <w:color w:val="auto"/>
              </w:rPr>
              <w:t>Repurchase of common stock</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(6.4)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(1,307)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(1,307)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(1,307)</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20"/>
                <w:szCs w:val="20"/>
                <w:color w:val="auto"/>
              </w:rPr>
            </w:pPr>
            <w:r>
              <w:rPr>
                <w:rFonts w:ascii="Arial" w:cs="Arial" w:eastAsia="Arial" w:hAnsi="Arial"/>
                <w:sz w:val="11"/>
                <w:szCs w:val="11"/>
                <w:b w:val="1"/>
                <w:bCs w:val="1"/>
                <w:color w:val="auto"/>
              </w:rPr>
              <w:t>Balance at March 31, 2022</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6,646</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344</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(94)</w:t>
            </w:r>
          </w:p>
        </w:tc>
        <w:tc>
          <w:tcPr>
            <w:tcW w:w="10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(87.4)</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(7,889)</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(992)</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(983)</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2000" w:type="dxa"/>
            <w:vAlign w:val="bottom"/>
          </w:tcPr>
          <w:p>
            <w:pPr>
              <w:spacing w:after="0"/>
              <w:rPr>
                <w:sz w:val="20"/>
                <w:szCs w:val="20"/>
                <w:color w:val="auto"/>
              </w:rPr>
            </w:pPr>
            <w:r>
              <w:rPr>
                <w:rFonts w:ascii="Arial" w:cs="Arial" w:eastAsia="Arial" w:hAnsi="Arial"/>
                <w:sz w:val="11"/>
                <w:szCs w:val="11"/>
                <w:b w:val="1"/>
                <w:bCs w:val="1"/>
                <w:color w:val="auto"/>
              </w:rPr>
              <w:t>Balance at December 31, 2020</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6,668</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(1,470)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(187)</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(67.3)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(5,167)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(155)</w:t>
            </w:r>
          </w:p>
        </w:tc>
        <w:tc>
          <w:tcPr>
            <w:tcW w:w="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(155)</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1"/>
                <w:szCs w:val="11"/>
                <w:b w:val="1"/>
                <w:bCs w:val="1"/>
                <w:color w:val="auto"/>
              </w:rPr>
              <w:t>Comprehensive income (loss):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00" w:type="dxa"/>
            <w:vAlign w:val="bottom"/>
          </w:tcPr>
          <w:p>
            <w:pPr>
              <w:ind w:left="120"/>
              <w:spacing w:after="0"/>
              <w:rPr>
                <w:sz w:val="20"/>
                <w:szCs w:val="20"/>
                <w:color w:val="auto"/>
              </w:rPr>
            </w:pPr>
            <w:r>
              <w:rPr>
                <w:rFonts w:ascii="Arial" w:cs="Arial" w:eastAsia="Arial" w:hAnsi="Arial"/>
                <w:sz w:val="11"/>
                <w:szCs w:val="11"/>
                <w:color w:val="auto"/>
              </w:rPr>
              <w:t>Net loss</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(170)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(170)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(170)</w:t>
            </w:r>
          </w:p>
        </w:tc>
        <w:tc>
          <w:tcPr>
            <w:tcW w:w="0" w:type="dxa"/>
            <w:vAlign w:val="bottom"/>
          </w:tcPr>
          <w:p>
            <w:pPr>
              <w:spacing w:after="0"/>
              <w:rPr>
                <w:sz w:val="1"/>
                <w:szCs w:val="1"/>
                <w:color w:val="auto"/>
              </w:rPr>
            </w:pPr>
          </w:p>
        </w:tc>
      </w:tr>
      <w:tr>
        <w:trPr>
          <w:trHeight w:val="175"/>
        </w:trPr>
        <w:tc>
          <w:tcPr>
            <w:tcW w:w="2000" w:type="dxa"/>
            <w:vAlign w:val="bottom"/>
          </w:tcPr>
          <w:p>
            <w:pPr>
              <w:ind w:left="120"/>
              <w:spacing w:after="0"/>
              <w:rPr>
                <w:sz w:val="20"/>
                <w:szCs w:val="20"/>
                <w:color w:val="auto"/>
              </w:rPr>
            </w:pPr>
            <w:r>
              <w:rPr>
                <w:rFonts w:ascii="Arial" w:cs="Arial" w:eastAsia="Arial" w:hAnsi="Arial"/>
                <w:sz w:val="11"/>
                <w:szCs w:val="11"/>
                <w:color w:val="auto"/>
              </w:rPr>
              <w:t>Other comprehensive income</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1020" w:type="dxa"/>
            <w:vAlign w:val="bottom"/>
          </w:tcPr>
          <w:p>
            <w:pPr>
              <w:jc w:val="right"/>
              <w:ind w:right="6"/>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24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20"/>
                <w:szCs w:val="20"/>
                <w:color w:val="auto"/>
              </w:rPr>
            </w:pPr>
            <w:r>
              <w:rPr>
                <w:rFonts w:ascii="Arial" w:cs="Arial" w:eastAsia="Arial" w:hAnsi="Arial"/>
                <w:sz w:val="11"/>
                <w:szCs w:val="11"/>
                <w:b w:val="1"/>
                <w:bCs w:val="1"/>
                <w:color w:val="auto"/>
              </w:rPr>
              <w:t>Total comprehensive income (loss)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(170)</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(146)</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(146)</w:t>
            </w:r>
          </w:p>
        </w:tc>
        <w:tc>
          <w:tcPr>
            <w:tcW w:w="0" w:type="dxa"/>
            <w:vAlign w:val="bottom"/>
          </w:tcPr>
          <w:p>
            <w:pPr>
              <w:spacing w:after="0"/>
              <w:rPr>
                <w:sz w:val="1"/>
                <w:szCs w:val="1"/>
                <w:color w:val="auto"/>
              </w:rPr>
            </w:pPr>
          </w:p>
        </w:tc>
      </w:tr>
      <w:tr>
        <w:trPr>
          <w:trHeight w:val="176"/>
        </w:trPr>
        <w:tc>
          <w:tcPr>
            <w:tcW w:w="2000" w:type="dxa"/>
            <w:vAlign w:val="bottom"/>
          </w:tcPr>
          <w:p>
            <w:pPr>
              <w:spacing w:after="0"/>
              <w:rPr>
                <w:sz w:val="20"/>
                <w:szCs w:val="20"/>
                <w:color w:val="auto"/>
              </w:rPr>
            </w:pPr>
            <w:r>
              <w:rPr>
                <w:rFonts w:ascii="Arial" w:cs="Arial" w:eastAsia="Arial" w:hAnsi="Arial"/>
                <w:sz w:val="11"/>
                <w:szCs w:val="11"/>
                <w:color w:val="auto"/>
              </w:rPr>
              <w:t>Net activity related to restricted stock</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(26)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580" w:type="dxa"/>
            <w:vAlign w:val="bottom"/>
            <w:vMerge w:val="restart"/>
          </w:tcPr>
          <w:p>
            <w:pPr>
              <w:jc w:val="right"/>
              <w:ind w:right="6"/>
              <w:spacing w:after="0"/>
              <w:rPr>
                <w:sz w:val="20"/>
                <w:szCs w:val="20"/>
                <w:color w:val="auto"/>
              </w:rPr>
            </w:pPr>
            <w:r>
              <w:rPr>
                <w:rFonts w:ascii="Arial" w:cs="Arial" w:eastAsia="Arial" w:hAnsi="Arial"/>
                <w:sz w:val="11"/>
                <w:szCs w:val="11"/>
                <w:color w:val="auto"/>
              </w:rPr>
              <w:t>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42"/>
        </w:trPr>
        <w:tc>
          <w:tcPr>
            <w:tcW w:w="2000" w:type="dxa"/>
            <w:vAlign w:val="bottom"/>
          </w:tcPr>
          <w:p>
            <w:pPr>
              <w:spacing w:after="0"/>
              <w:rPr>
                <w:sz w:val="20"/>
                <w:szCs w:val="20"/>
                <w:color w:val="auto"/>
              </w:rPr>
            </w:pPr>
            <w:r>
              <w:rPr>
                <w:rFonts w:ascii="Arial" w:cs="Arial" w:eastAsia="Arial" w:hAnsi="Arial"/>
                <w:sz w:val="11"/>
                <w:szCs w:val="11"/>
                <w:color w:val="auto"/>
              </w:rPr>
              <w:t>units</w:t>
            </w: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20"/>
                <w:szCs w:val="20"/>
                <w:color w:val="auto"/>
              </w:rPr>
            </w:pPr>
            <w:r>
              <w:rPr>
                <w:rFonts w:ascii="Arial" w:cs="Arial" w:eastAsia="Arial" w:hAnsi="Arial"/>
                <w:sz w:val="11"/>
                <w:szCs w:val="11"/>
                <w:color w:val="auto"/>
              </w:rPr>
              <w:t>Repurchases of common stock</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(0.1)</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62"/>
        </w:trPr>
        <w:tc>
          <w:tcPr>
            <w:tcW w:w="2000" w:type="dxa"/>
            <w:vAlign w:val="bottom"/>
          </w:tcPr>
          <w:p>
            <w:pPr>
              <w:spacing w:after="0"/>
              <w:rPr>
                <w:sz w:val="20"/>
                <w:szCs w:val="20"/>
                <w:color w:val="auto"/>
              </w:rPr>
            </w:pPr>
            <w:r>
              <w:rPr>
                <w:rFonts w:ascii="Arial" w:cs="Arial" w:eastAsia="Arial" w:hAnsi="Arial"/>
                <w:sz w:val="11"/>
                <w:szCs w:val="11"/>
                <w:b w:val="1"/>
                <w:bCs w:val="1"/>
                <w:color w:val="auto"/>
              </w:rPr>
              <w:t>Balance at March 31, 2021</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6,642</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(1,640)</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(163)</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(67.2)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(5,156)</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(316)</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(316)</w:t>
            </w: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(Unless otherwise noted, all dollar amounts in tables are in millions, except per share amounts)</w:t>
      </w:r>
    </w:p>
    <w:p>
      <w:pPr>
        <w:spacing w:after="0" w:line="234"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52"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Avis Budget Group, Inc. provides mobility solutions to businesses and consumers worldwide. The accompanying unaudited Consolidated Condensed Financial Statements include the accounts and transactions of Avis Budget Group, Inc. and its subsidiaries, as well as entities in which Avis Budget Group, Inc. directly or indirectly has a controlling financial interest (collectively, “we”, “our”, “us”, or the “Company”), and have been prepared pursuant to the rules and regulations of the U.S. Securities and Exchange Commission for interim financial reporting.</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operate the following reportable business segments:</w:t>
      </w:r>
    </w:p>
    <w:p>
      <w:pPr>
        <w:spacing w:after="0" w:line="252" w:lineRule="exact"/>
        <w:rPr>
          <w:sz w:val="20"/>
          <w:szCs w:val="20"/>
          <w:color w:val="auto"/>
        </w:rPr>
      </w:pPr>
    </w:p>
    <w:p>
      <w:pPr>
        <w:jc w:val="both"/>
        <w:ind w:left="1300" w:hanging="482"/>
        <w:spacing w:after="0" w:line="268"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Americas</w:t>
      </w:r>
      <w:r>
        <w:rPr>
          <w:rFonts w:ascii="Arial" w:cs="Arial" w:eastAsia="Arial" w:hAnsi="Arial"/>
          <w:sz w:val="18"/>
          <w:szCs w:val="18"/>
          <w:color w:val="auto"/>
        </w:rPr>
        <w:t>—consisting primarily of (i) vehicle rental operations in North America, South America, Central America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Caribbean, (ii) car sharing operations in certain of these markets, and (iii) licensees in certain areas in which we do not operate directly.</w:t>
      </w:r>
    </w:p>
    <w:p>
      <w:pPr>
        <w:spacing w:after="0" w:line="62" w:lineRule="exact"/>
        <w:rPr>
          <w:rFonts w:ascii="Arial" w:cs="Arial" w:eastAsia="Arial" w:hAnsi="Arial"/>
          <w:sz w:val="18"/>
          <w:szCs w:val="18"/>
          <w:color w:val="auto"/>
        </w:rPr>
      </w:pPr>
    </w:p>
    <w:p>
      <w:pPr>
        <w:ind w:left="1300" w:hanging="482"/>
        <w:spacing w:after="0" w:line="287"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International</w:t>
      </w:r>
      <w:r>
        <w:rPr>
          <w:rFonts w:ascii="Arial" w:cs="Arial" w:eastAsia="Arial" w:hAnsi="Arial"/>
          <w:sz w:val="18"/>
          <w:szCs w:val="18"/>
          <w:color w:val="auto"/>
        </w:rPr>
        <w:t>—consisting primarily of (i) vehicle rental operations in Europe, the Middle East, Africa, Asia and Australasia,</w:t>
      </w:r>
      <w:r>
        <w:rPr>
          <w:rFonts w:ascii="Arial" w:cs="Arial" w:eastAsia="Arial" w:hAnsi="Arial"/>
          <w:sz w:val="18"/>
          <w:szCs w:val="18"/>
          <w:b w:val="1"/>
          <w:bCs w:val="1"/>
          <w:color w:val="auto"/>
        </w:rPr>
        <w:t xml:space="preserve"> </w:t>
      </w:r>
      <w:r>
        <w:rPr>
          <w:rFonts w:ascii="Arial" w:cs="Arial" w:eastAsia="Arial" w:hAnsi="Arial"/>
          <w:sz w:val="18"/>
          <w:szCs w:val="18"/>
          <w:color w:val="auto"/>
        </w:rPr>
        <w:t>(ii) car sharing operations in certain of these markets, and (iii) licensees in certain areas in which we do not operate directly.</w:t>
      </w:r>
    </w:p>
    <w:p>
      <w:pPr>
        <w:spacing w:after="0" w:line="166" w:lineRule="exact"/>
        <w:rPr>
          <w:sz w:val="20"/>
          <w:szCs w:val="20"/>
          <w:color w:val="auto"/>
        </w:rPr>
      </w:pPr>
    </w:p>
    <w:p>
      <w:pPr>
        <w:jc w:val="both"/>
        <w:ind w:left="500"/>
        <w:spacing w:after="0" w:line="237" w:lineRule="auto"/>
        <w:rPr>
          <w:sz w:val="20"/>
          <w:szCs w:val="20"/>
          <w:color w:val="auto"/>
        </w:rPr>
      </w:pPr>
      <w:r>
        <w:rPr>
          <w:rFonts w:ascii="Arial" w:cs="Arial" w:eastAsia="Arial" w:hAnsi="Arial"/>
          <w:sz w:val="18"/>
          <w:szCs w:val="18"/>
          <w:color w:val="auto"/>
        </w:rPr>
        <w:t>The operating results of acquired businesses are included in the accompanying Consolidated Condensed Financial Statements from the dates of acquisition. Differences between the preliminary allocation of purchase price and the final allocation for our 2021</w:t>
      </w:r>
    </w:p>
    <w:p>
      <w:pPr>
        <w:spacing w:after="0" w:line="1" w:lineRule="exact"/>
        <w:rPr>
          <w:sz w:val="20"/>
          <w:szCs w:val="20"/>
          <w:color w:val="auto"/>
        </w:rPr>
      </w:pPr>
    </w:p>
    <w:p>
      <w:pPr>
        <w:jc w:val="both"/>
        <w:ind w:left="500"/>
        <w:spacing w:after="0" w:line="231" w:lineRule="auto"/>
        <w:rPr>
          <w:sz w:val="20"/>
          <w:szCs w:val="20"/>
          <w:color w:val="auto"/>
        </w:rPr>
      </w:pPr>
      <w:r>
        <w:rPr>
          <w:rFonts w:ascii="Arial" w:cs="Arial" w:eastAsia="Arial" w:hAnsi="Arial"/>
          <w:sz w:val="18"/>
          <w:szCs w:val="18"/>
          <w:color w:val="auto"/>
        </w:rPr>
        <w:t>acquisitions of various licensees were not material. We consolidate joint venture activities when we have more than 50% controlling interests and record non-controlling interests within stockholders’ equity and the statement of comprehensive income equal to the percentage of ownership interest retained in such entities by the respective non-controlling party.</w:t>
      </w:r>
    </w:p>
    <w:p>
      <w:pPr>
        <w:spacing w:after="0" w:line="208"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In presenting the Consolidated Condensed Financial Statements in accordance with accounting principles generally accepted in the United States of America (“GAAP”), management makes estimates and assumptions that affect the amounts reported and related disclosures. Estimates, by their nature, are based on judgment and available information. Accordingly, actual results could differ from those estimates. In management’s opinion, the Consolidated Condensed Financial Statements contain all adjustments necessary for a fair presentation of interim results reported. The results of operations reported for interim periods are not necessarily indicative of the results of operations for the entire year or any subsequent interim period. These financial statements should be read in conjunction with our 2021 Annual Report on Form 10-K (the “2021 Form 10-K”).</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significant accounting policies are fully described in Note 2, “Summary of Significant Accounting Policies,” in our 2021 Form 10-K.</w:t>
      </w:r>
    </w:p>
    <w:p>
      <w:pPr>
        <w:spacing w:after="0" w:line="252"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i w:val="1"/>
          <w:iCs w:val="1"/>
          <w:color w:val="auto"/>
        </w:rPr>
        <w:t xml:space="preserve">Cash and cash equivalents, Program cash and Restricted cash. </w:t>
      </w:r>
      <w:r>
        <w:rPr>
          <w:rFonts w:ascii="Arial" w:cs="Arial" w:eastAsia="Arial" w:hAnsi="Arial"/>
          <w:sz w:val="18"/>
          <w:szCs w:val="18"/>
          <w:color w:val="auto"/>
        </w:rPr>
        <w:t>The following table provides a detail of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and restricted cash reported within the Consolidated Condensed Balance Sheets to the amounts shown in the Consolidated Condensed Statements of Cash Flows.</w:t>
      </w:r>
    </w:p>
    <w:p>
      <w:pPr>
        <w:spacing w:after="0" w:line="238" w:lineRule="exact"/>
        <w:rPr>
          <w:sz w:val="20"/>
          <w:szCs w:val="20"/>
          <w:color w:val="auto"/>
        </w:rPr>
      </w:pPr>
    </w:p>
    <w:tbl>
      <w:tblPr>
        <w:tblLayout w:type="fixed"/>
        <w:tblInd w:w="520" w:type="dxa"/>
        <w:tblCellMar>
          <w:top w:w="0" w:type="dxa"/>
          <w:left w:w="0" w:type="dxa"/>
          <w:bottom w:w="0" w:type="dxa"/>
          <w:right w:w="0" w:type="dxa"/>
        </w:tblCellMar>
      </w:tblPr>
      <w:tr>
        <w:trPr>
          <w:trHeight w:val="235"/>
        </w:trPr>
        <w:tc>
          <w:tcPr>
            <w:tcW w:w="7120" w:type="dxa"/>
            <w:vAlign w:val="bottom"/>
          </w:tcPr>
          <w:p>
            <w:pPr>
              <w:spacing w:after="0"/>
              <w:rPr>
                <w:sz w:val="20"/>
                <w:szCs w:val="20"/>
                <w:color w:val="auto"/>
              </w:rPr>
            </w:pPr>
          </w:p>
        </w:tc>
        <w:tc>
          <w:tcPr>
            <w:tcW w:w="250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As of March 31,</w:t>
            </w:r>
          </w:p>
        </w:tc>
        <w:tc>
          <w:tcPr>
            <w:tcW w:w="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20" w:type="dxa"/>
            <w:vAlign w:val="bottom"/>
            <w:vMerge w:val="restart"/>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120" w:type="dxa"/>
            <w:vAlign w:val="bottom"/>
            <w:vMerge w:val="continue"/>
          </w:tcPr>
          <w:p>
            <w:pPr>
              <w:spacing w:after="0"/>
              <w:rPr>
                <w:sz w:val="18"/>
                <w:szCs w:val="18"/>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18"/>
                <w:szCs w:val="18"/>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29"/>
        </w:trPr>
        <w:tc>
          <w:tcPr>
            <w:tcW w:w="7120" w:type="dxa"/>
            <w:vAlign w:val="bottom"/>
          </w:tcPr>
          <w:p>
            <w:pPr>
              <w:spacing w:after="0"/>
              <w:rPr>
                <w:sz w:val="20"/>
                <w:szCs w:val="20"/>
                <w:color w:val="auto"/>
              </w:rPr>
            </w:pPr>
            <w:r>
              <w:rPr>
                <w:rFonts w:ascii="Arial" w:cs="Arial" w:eastAsia="Arial" w:hAnsi="Arial"/>
                <w:sz w:val="18"/>
                <w:szCs w:val="18"/>
                <w:color w:val="auto"/>
              </w:rPr>
              <w:t>Program cash</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5"/>
        </w:trPr>
        <w:tc>
          <w:tcPr>
            <w:tcW w:w="7120" w:type="dxa"/>
            <w:vAlign w:val="bottom"/>
          </w:tcPr>
          <w:p>
            <w:pPr>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9"/>
                <w:szCs w:val="9"/>
                <w:color w:val="auto"/>
              </w:rPr>
              <w:t>(a)</w:t>
            </w:r>
          </w:p>
        </w:tc>
        <w:tc>
          <w:tcPr>
            <w:tcW w:w="9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Total cash and cash equivalents, program and restricted cash</w:t>
            </w: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w:t>
      </w:r>
    </w:p>
    <w:p>
      <w:pPr>
        <w:ind w:left="820" w:hanging="326"/>
        <w:spacing w:after="0" w:line="234" w:lineRule="auto"/>
        <w:tabs>
          <w:tab w:leader="none" w:pos="82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Included within other current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i w:val="1"/>
          <w:iCs w:val="1"/>
          <w:color w:val="auto"/>
        </w:rPr>
        <w:t xml:space="preserve">Vehicle Programs. </w:t>
      </w:r>
      <w:r>
        <w:rPr>
          <w:rFonts w:ascii="Arial" w:cs="Arial" w:eastAsia="Arial" w:hAnsi="Arial"/>
          <w:sz w:val="18"/>
          <w:szCs w:val="18"/>
          <w:color w:val="auto"/>
        </w:rPr>
        <w:t>We present separately the financial data of our vehicle programs. These programs are distinct from our other</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since the assets under vehicle programs are generally funded through the issuance of debt that is collateralized by such assets. The income generated by these assets is used, in part, to repay the principal and interest associated with the debt. Cash inflows and outflows relating to the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209"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i w:val="1"/>
          <w:iCs w:val="1"/>
          <w:color w:val="auto"/>
        </w:rPr>
        <w:t xml:space="preserve">Transaction-related costs, net. </w:t>
      </w:r>
      <w:r>
        <w:rPr>
          <w:rFonts w:ascii="Arial" w:cs="Arial" w:eastAsia="Arial" w:hAnsi="Arial"/>
          <w:sz w:val="18"/>
          <w:szCs w:val="18"/>
          <w:color w:val="auto"/>
        </w:rPr>
        <w:t>Transaction-related costs, net are classified separately in the Consolidated Condensed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These costs are comprised of expenses primarily related to acquisition-related activities such as due diligence and other advisory costs, expenses related to the integration of the acquiree’s operations with those of our operations, including the implementation of best practices and process improvements, non-cash gains and losses related to re-acquired rights, expenses related to pre-acquisition contingencies and contingent consideration related to acquisitions.</w:t>
      </w:r>
    </w:p>
    <w:p>
      <w:pPr>
        <w:spacing w:after="0" w:line="206"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i w:val="1"/>
          <w:iCs w:val="1"/>
          <w:color w:val="auto"/>
        </w:rPr>
        <w:t xml:space="preserve">Currency Transactions. </w:t>
      </w:r>
      <w:r>
        <w:rPr>
          <w:rFonts w:ascii="Arial" w:cs="Arial" w:eastAsia="Arial" w:hAnsi="Arial"/>
          <w:sz w:val="18"/>
          <w:szCs w:val="18"/>
          <w:color w:val="auto"/>
        </w:rPr>
        <w:t>We record the gain or loss on foreign currency transactions on certain intercompany loans and the gain or loss</w:t>
      </w:r>
      <w:r>
        <w:rPr>
          <w:rFonts w:ascii="Arial" w:cs="Arial" w:eastAsia="Arial" w:hAnsi="Arial"/>
          <w:sz w:val="18"/>
          <w:szCs w:val="18"/>
          <w:i w:val="1"/>
          <w:iCs w:val="1"/>
          <w:color w:val="auto"/>
        </w:rPr>
        <w:t xml:space="preserve"> </w:t>
      </w:r>
      <w:r>
        <w:rPr>
          <w:rFonts w:ascii="Arial" w:cs="Arial" w:eastAsia="Arial" w:hAnsi="Arial"/>
          <w:sz w:val="18"/>
          <w:szCs w:val="18"/>
          <w:color w:val="auto"/>
        </w:rPr>
        <w:t>on intercompany loan hedges within interest expense related to corporate debt, net.</w:t>
      </w:r>
    </w:p>
    <w:p>
      <w:pPr>
        <w:spacing w:after="0" w:line="180"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i w:val="1"/>
          <w:iCs w:val="1"/>
          <w:color w:val="auto"/>
        </w:rPr>
        <w:t xml:space="preserve">Divestitures. </w:t>
      </w:r>
      <w:r>
        <w:rPr>
          <w:rFonts w:ascii="Arial" w:cs="Arial" w:eastAsia="Arial" w:hAnsi="Arial"/>
          <w:sz w:val="18"/>
          <w:szCs w:val="18"/>
          <w:color w:val="auto"/>
        </w:rPr>
        <w:t>In February 2022, we completed the sale of our operations in the United States Virgin Islands for $13 million, for the right</w:t>
      </w:r>
      <w:r>
        <w:rPr>
          <w:rFonts w:ascii="Arial" w:cs="Arial" w:eastAsia="Arial" w:hAnsi="Arial"/>
          <w:sz w:val="18"/>
          <w:szCs w:val="18"/>
          <w:i w:val="1"/>
          <w:iCs w:val="1"/>
          <w:color w:val="auto"/>
        </w:rPr>
        <w:t xml:space="preserve"> </w:t>
      </w:r>
      <w:r>
        <w:rPr>
          <w:rFonts w:ascii="Arial" w:cs="Arial" w:eastAsia="Arial" w:hAnsi="Arial"/>
          <w:sz w:val="18"/>
          <w:szCs w:val="18"/>
          <w:color w:val="auto"/>
        </w:rPr>
        <w:t>to operate the Avis brand. During the three months ended March 31, 2022, we recorded a gain of $2 million within restructuring and other related charges.</w:t>
      </w:r>
    </w:p>
    <w:p>
      <w:pPr>
        <w:spacing w:after="0" w:line="198"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In March 2022, we completed the sale of our operations in the Netherlands for $15 million, subject to working capital adjustments, for the right to operate the Avis and Budget brands. During the three months ended March 31, 2022, we recorded a loss of $7 million, net of impact of foreign currency adjustments, within restructuring and other related charges.</w:t>
      </w:r>
    </w:p>
    <w:p>
      <w:pPr>
        <w:spacing w:after="0" w:line="198"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As of March 31, 2022 and December 31, 2021, we had equity method investments with a carrying value of $71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$72 million, respectively, which are recorded within other non-current assets. Earnings from our equity method investments are reported within operating expenses. For the three months ended March 31, 2022 and 2021, we recorded an immaterial amount related to our equity method investments, in each period.</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are recognized under “Leases (Topic 842),” with the exception of royalty fee revenue derived from our licensees</w:t>
      </w:r>
    </w:p>
    <w:p>
      <w:pPr>
        <w:spacing w:after="0" w:line="14" w:lineRule="exact"/>
        <w:rPr>
          <w:sz w:val="20"/>
          <w:szCs w:val="20"/>
          <w:color w:val="auto"/>
        </w:rPr>
      </w:pPr>
    </w:p>
    <w:p>
      <w:pPr>
        <w:jc w:val="both"/>
        <w:ind w:left="500"/>
        <w:spacing w:after="0" w:line="237" w:lineRule="auto"/>
        <w:rPr>
          <w:sz w:val="20"/>
          <w:szCs w:val="20"/>
          <w:color w:val="auto"/>
        </w:rPr>
      </w:pPr>
      <w:r>
        <w:rPr>
          <w:rFonts w:ascii="Arial" w:cs="Arial" w:eastAsia="Arial" w:hAnsi="Arial"/>
          <w:sz w:val="18"/>
          <w:szCs w:val="18"/>
          <w:color w:val="auto"/>
        </w:rPr>
        <w:t>and revenue related to our customer loyalty program, which were approximately $34 million and $40 million during the three months ended March 31, 2022 and 2021, respectively.</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our revenues disaggregated by geography:</w:t>
      </w:r>
    </w:p>
    <w:p>
      <w:pPr>
        <w:spacing w:after="0" w:line="36"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Three Months Ended</w:t>
      </w:r>
    </w:p>
    <w:p>
      <w:pPr>
        <w:jc w:val="center"/>
        <w:ind w:left="726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260" w:type="dxa"/>
            <w:vAlign w:val="bottom"/>
            <w:vMerge w:val="restart"/>
          </w:tcPr>
          <w:p>
            <w:pPr>
              <w:ind w:left="520"/>
              <w:spacing w:after="0"/>
              <w:rPr>
                <w:sz w:val="20"/>
                <w:szCs w:val="20"/>
                <w:color w:val="auto"/>
              </w:rPr>
            </w:pPr>
            <w:r>
              <w:rPr>
                <w:rFonts w:ascii="Arial" w:cs="Arial" w:eastAsia="Arial" w:hAnsi="Arial"/>
                <w:sz w:val="18"/>
                <w:szCs w:val="18"/>
                <w:color w:val="auto"/>
              </w:rPr>
              <w:t>Americas</w:t>
            </w:r>
          </w:p>
        </w:tc>
        <w:tc>
          <w:tcPr>
            <w:tcW w:w="35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2021</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260" w:type="dxa"/>
            <w:vAlign w:val="bottom"/>
            <w:vMerge w:val="continue"/>
          </w:tcPr>
          <w:p>
            <w:pPr>
              <w:spacing w:after="0"/>
              <w:rPr>
                <w:sz w:val="17"/>
                <w:szCs w:val="17"/>
                <w:color w:val="auto"/>
              </w:rPr>
            </w:pPr>
          </w:p>
        </w:tc>
        <w:tc>
          <w:tcPr>
            <w:tcW w:w="3520" w:type="dxa"/>
            <w:vAlign w:val="bottom"/>
          </w:tcPr>
          <w:p>
            <w:pPr>
              <w:spacing w:after="0"/>
              <w:rPr>
                <w:sz w:val="17"/>
                <w:szCs w:val="17"/>
                <w:color w:val="auto"/>
              </w:rPr>
            </w:pPr>
          </w:p>
        </w:tc>
        <w:tc>
          <w:tcPr>
            <w:tcW w:w="920" w:type="dxa"/>
            <w:vAlign w:val="bottom"/>
          </w:tcPr>
          <w:p>
            <w:pPr>
              <w:jc w:val="right"/>
              <w:ind w:right="716"/>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2,000</w:t>
            </w:r>
          </w:p>
        </w:tc>
        <w:tc>
          <w:tcPr>
            <w:tcW w:w="10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1,080</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520"/>
              <w:spacing w:after="0"/>
              <w:rPr>
                <w:sz w:val="20"/>
                <w:szCs w:val="20"/>
                <w:color w:val="auto"/>
              </w:rPr>
            </w:pPr>
            <w:r>
              <w:rPr>
                <w:rFonts w:ascii="Arial" w:cs="Arial" w:eastAsia="Arial" w:hAnsi="Arial"/>
                <w:sz w:val="18"/>
                <w:szCs w:val="18"/>
                <w:color w:val="auto"/>
              </w:rPr>
              <w:t>Europe, Middle East and Africa</w:t>
            </w:r>
          </w:p>
        </w:tc>
        <w:tc>
          <w:tcPr>
            <w:tcW w:w="3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203</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260" w:type="dxa"/>
            <w:vAlign w:val="bottom"/>
          </w:tcPr>
          <w:p>
            <w:pPr>
              <w:ind w:left="520"/>
              <w:spacing w:after="0"/>
              <w:rPr>
                <w:sz w:val="20"/>
                <w:szCs w:val="20"/>
                <w:color w:val="auto"/>
              </w:rPr>
            </w:pPr>
            <w:r>
              <w:rPr>
                <w:rFonts w:ascii="Arial" w:cs="Arial" w:eastAsia="Arial" w:hAnsi="Arial"/>
                <w:sz w:val="18"/>
                <w:szCs w:val="18"/>
                <w:color w:val="auto"/>
              </w:rPr>
              <w:t>Asia and Australasia</w:t>
            </w:r>
          </w:p>
        </w:tc>
        <w:tc>
          <w:tcPr>
            <w:tcW w:w="35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60" w:type="dxa"/>
            <w:vAlign w:val="bottom"/>
          </w:tcPr>
          <w:p>
            <w:pPr>
              <w:ind w:left="520"/>
              <w:spacing w:after="0"/>
              <w:rPr>
                <w:sz w:val="20"/>
                <w:szCs w:val="20"/>
                <w:color w:val="auto"/>
              </w:rPr>
            </w:pPr>
            <w:r>
              <w:rPr>
                <w:rFonts w:ascii="Arial" w:cs="Arial" w:eastAsia="Arial" w:hAnsi="Arial"/>
                <w:sz w:val="18"/>
                <w:szCs w:val="18"/>
                <w:color w:val="auto"/>
              </w:rPr>
              <w:t>Total revenues</w:t>
            </w:r>
          </w:p>
        </w:tc>
        <w:tc>
          <w:tcPr>
            <w:tcW w:w="3520" w:type="dxa"/>
            <w:vAlign w:val="bottom"/>
          </w:tcPr>
          <w:p>
            <w:pPr>
              <w:spacing w:after="0"/>
              <w:rPr>
                <w:sz w:val="18"/>
                <w:szCs w:val="18"/>
                <w:color w:val="auto"/>
              </w:rPr>
            </w:pPr>
          </w:p>
        </w:tc>
        <w:tc>
          <w:tcPr>
            <w:tcW w:w="920" w:type="dxa"/>
            <w:vAlign w:val="bottom"/>
            <w:tcBorders>
              <w:bottom w:val="single" w:sz="8" w:color="auto"/>
            </w:tcBorders>
          </w:tcPr>
          <w:p>
            <w:pPr>
              <w:jc w:val="right"/>
              <w:ind w:right="716"/>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2,432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1,372</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3520" w:type="dxa"/>
            <w:vAlign w:val="bottom"/>
            <w:vMerge w:val="restart"/>
          </w:tcPr>
          <w:p>
            <w:pPr>
              <w:jc w:val="right"/>
              <w:ind w:right="1970"/>
              <w:spacing w:after="0"/>
              <w:rPr>
                <w:sz w:val="20"/>
                <w:szCs w:val="20"/>
                <w:color w:val="auto"/>
              </w:rPr>
            </w:pPr>
            <w:r>
              <w:rPr>
                <w:rFonts w:ascii="Arial" w:cs="Arial" w:eastAsia="Arial" w:hAnsi="Arial"/>
                <w:sz w:val="18"/>
                <w:szCs w:val="18"/>
                <w:color w:val="auto"/>
              </w:rPr>
              <w:t>10</w:t>
            </w: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5"/>
        </w:trPr>
        <w:tc>
          <w:tcPr>
            <w:tcW w:w="426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260" w:type="dxa"/>
            <w:vAlign w:val="bottom"/>
            <w:tcBorders>
              <w:bottom w:val="single" w:sz="8" w:color="9A9A9A"/>
            </w:tcBorders>
          </w:tcPr>
          <w:p>
            <w:pPr>
              <w:spacing w:after="0"/>
              <w:rPr>
                <w:sz w:val="9"/>
                <w:szCs w:val="9"/>
                <w:color w:val="auto"/>
              </w:rPr>
            </w:pPr>
          </w:p>
        </w:tc>
        <w:tc>
          <w:tcPr>
            <w:tcW w:w="35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our revenues disaggregated by brand:</w:t>
      </w:r>
    </w:p>
    <w:p>
      <w:pPr>
        <w:spacing w:after="0" w:line="36" w:lineRule="exact"/>
        <w:rPr>
          <w:sz w:val="20"/>
          <w:szCs w:val="20"/>
          <w:color w:val="auto"/>
        </w:rPr>
      </w:pPr>
    </w:p>
    <w:p>
      <w:pPr>
        <w:jc w:val="center"/>
        <w:ind w:left="7400"/>
        <w:spacing w:after="0"/>
        <w:rPr>
          <w:sz w:val="20"/>
          <w:szCs w:val="20"/>
          <w:color w:val="auto"/>
        </w:rPr>
      </w:pPr>
      <w:r>
        <w:rPr>
          <w:rFonts w:ascii="Arial" w:cs="Arial" w:eastAsia="Arial" w:hAnsi="Arial"/>
          <w:sz w:val="18"/>
          <w:szCs w:val="18"/>
          <w:b w:val="1"/>
          <w:bCs w:val="1"/>
          <w:color w:val="auto"/>
        </w:rPr>
        <w:t>Three Months Ended</w:t>
      </w:r>
    </w:p>
    <w:p>
      <w:pPr>
        <w:jc w:val="center"/>
        <w:ind w:left="744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520" w:type="dxa"/>
        <w:tblCellMar>
          <w:top w:w="0" w:type="dxa"/>
          <w:left w:w="0" w:type="dxa"/>
          <w:bottom w:w="0" w:type="dxa"/>
          <w:right w:w="0" w:type="dxa"/>
        </w:tblCellMar>
      </w:tblPr>
      <w:tr>
        <w:trPr>
          <w:trHeight w:val="224"/>
        </w:trPr>
        <w:tc>
          <w:tcPr>
            <w:tcW w:w="7360" w:type="dxa"/>
            <w:vAlign w:val="bottom"/>
            <w:vMerge w:val="restart"/>
          </w:tcPr>
          <w:p>
            <w:pPr>
              <w:spacing w:after="0"/>
              <w:rPr>
                <w:sz w:val="20"/>
                <w:szCs w:val="20"/>
                <w:color w:val="auto"/>
              </w:rPr>
            </w:pPr>
            <w:r>
              <w:rPr>
                <w:rFonts w:ascii="Arial" w:cs="Arial" w:eastAsia="Arial" w:hAnsi="Arial"/>
                <w:sz w:val="18"/>
                <w:szCs w:val="18"/>
                <w:color w:val="auto"/>
              </w:rPr>
              <w:t>Avis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4"/>
        </w:trPr>
        <w:tc>
          <w:tcPr>
            <w:tcW w:w="7360" w:type="dxa"/>
            <w:vAlign w:val="bottom"/>
            <w:vMerge w:val="continue"/>
          </w:tcPr>
          <w:p>
            <w:pPr>
              <w:spacing w:after="0"/>
              <w:rPr>
                <w:sz w:val="17"/>
                <w:szCs w:val="17"/>
                <w:color w:val="auto"/>
              </w:rPr>
            </w:pPr>
          </w:p>
        </w:tc>
        <w:tc>
          <w:tcPr>
            <w:tcW w:w="920" w:type="dxa"/>
            <w:vAlign w:val="bottom"/>
          </w:tcPr>
          <w:p>
            <w:pPr>
              <w:jc w:val="right"/>
              <w:ind w:right="736"/>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1,281</w:t>
            </w:r>
          </w:p>
        </w:tc>
        <w:tc>
          <w:tcPr>
            <w:tcW w:w="10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717</w:t>
            </w:r>
          </w:p>
        </w:tc>
        <w:tc>
          <w:tcPr>
            <w:tcW w:w="0" w:type="dxa"/>
            <w:vAlign w:val="bottom"/>
          </w:tcPr>
          <w:p>
            <w:pPr>
              <w:spacing w:after="0"/>
              <w:rPr>
                <w:sz w:val="1"/>
                <w:szCs w:val="1"/>
                <w:color w:val="auto"/>
              </w:rPr>
            </w:pPr>
          </w:p>
        </w:tc>
      </w:tr>
      <w:tr>
        <w:trPr>
          <w:trHeight w:val="229"/>
        </w:trPr>
        <w:tc>
          <w:tcPr>
            <w:tcW w:w="7360" w:type="dxa"/>
            <w:vAlign w:val="bottom"/>
          </w:tcPr>
          <w:p>
            <w:pPr>
              <w:spacing w:after="0"/>
              <w:rPr>
                <w:sz w:val="20"/>
                <w:szCs w:val="20"/>
                <w:color w:val="auto"/>
              </w:rPr>
            </w:pPr>
            <w:r>
              <w:rPr>
                <w:rFonts w:ascii="Arial" w:cs="Arial" w:eastAsia="Arial" w:hAnsi="Arial"/>
                <w:sz w:val="18"/>
                <w:szCs w:val="18"/>
                <w:color w:val="auto"/>
              </w:rPr>
              <w:t>Budget</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35"/>
        </w:trPr>
        <w:tc>
          <w:tcPr>
            <w:tcW w:w="736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0"/>
        </w:trPr>
        <w:tc>
          <w:tcPr>
            <w:tcW w:w="7360" w:type="dxa"/>
            <w:vAlign w:val="bottom"/>
          </w:tcPr>
          <w:p>
            <w:pPr>
              <w:spacing w:after="0"/>
              <w:rPr>
                <w:sz w:val="20"/>
                <w:szCs w:val="20"/>
                <w:color w:val="auto"/>
              </w:rPr>
            </w:pPr>
            <w:r>
              <w:rPr>
                <w:rFonts w:ascii="Arial" w:cs="Arial" w:eastAsia="Arial" w:hAnsi="Arial"/>
                <w:sz w:val="18"/>
                <w:szCs w:val="18"/>
                <w:color w:val="auto"/>
              </w:rPr>
              <w:t>Total revenues</w:t>
            </w: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2,432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1,372</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w:t>
      </w:r>
    </w:p>
    <w:p>
      <w:pPr>
        <w:spacing w:after="0" w:line="1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Other includes Zipcar and other operating brands.</w:t>
      </w:r>
    </w:p>
    <w:p>
      <w:pPr>
        <w:spacing w:after="0" w:line="23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Accounting for Contract Assets and Contract Liabilities from Contracts with Customers</w:t>
      </w:r>
    </w:p>
    <w:p>
      <w:pPr>
        <w:spacing w:after="0" w:line="250"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In October 2021, the Financial Accounting Standards Board (“FASB”) issued Accounting Standard Update (“ASU”) 2021-08, “Accounting for Contract Assets and Contract Liabilities from Contracts with Customers,” which amends Topic 805 to add contract assets and contract liabilities to the list of exceptions to the recognition and measurement principles that apply to business combinations and to require an acquirer to recognize and measure contract assets and contract liabilities acquired in a business combination in accordance with Topic 606. ASU 2021-08 becomes effective for us on January 1, 2023. Early adoption is permitted on a retrospective or prospective basis. The adoption of this accounting pronouncement is not expected to have a material impact on our Consolidated Condensed Financial Statements.</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Reference Rate Reform</w:t>
      </w:r>
    </w:p>
    <w:p>
      <w:pPr>
        <w:spacing w:after="0" w:line="250"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In January 2021, the FASB issued ASU 2021-01, “Reference Rate Reform (Topic 848),” which amends ASU 2020-04 and clarifies the scope and guidance of Topic 848 to allow derivatives impacted by the reference rate reform to qualify for certain optional expedients and exceptions for contract modifications and hedge accounting. The guidance is optional and is effective for a limited period of time through December 31, 2022. As of March 31, 2022, this guidance had no impact on our Consolidated Condensed Financial Statements and we will continue to evaluate this guidance.</w:t>
      </w:r>
    </w:p>
    <w:p>
      <w:pPr>
        <w:spacing w:after="0" w:line="206" w:lineRule="exact"/>
        <w:rPr>
          <w:sz w:val="20"/>
          <w:szCs w:val="20"/>
          <w:color w:val="auto"/>
        </w:rPr>
      </w:pPr>
    </w:p>
    <w:p>
      <w:pPr>
        <w:ind w:left="500" w:right="10160" w:hanging="492"/>
        <w:spacing w:after="0" w:line="328" w:lineRule="auto"/>
        <w:tabs>
          <w:tab w:leader="none" w:pos="364"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Leases </w:t>
      </w:r>
      <w:r>
        <w:rPr>
          <w:rFonts w:ascii="Arial" w:cs="Arial" w:eastAsia="Arial" w:hAnsi="Arial"/>
          <w:sz w:val="17"/>
          <w:szCs w:val="17"/>
          <w:b w:val="1"/>
          <w:bCs w:val="1"/>
          <w:i w:val="1"/>
          <w:iCs w:val="1"/>
          <w:color w:val="auto"/>
        </w:rPr>
        <w:t>Lessor</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our lease revenues disaggregated by geography:</w:t>
      </w:r>
    </w:p>
    <w:p>
      <w:pPr>
        <w:spacing w:after="0" w:line="50" w:lineRule="exact"/>
        <w:rPr>
          <w:sz w:val="20"/>
          <w:szCs w:val="20"/>
          <w:color w:val="auto"/>
        </w:rPr>
      </w:pPr>
    </w:p>
    <w:p>
      <w:pPr>
        <w:jc w:val="center"/>
        <w:ind w:left="6660"/>
        <w:spacing w:after="0"/>
        <w:rPr>
          <w:sz w:val="20"/>
          <w:szCs w:val="20"/>
          <w:color w:val="auto"/>
        </w:rPr>
      </w:pPr>
      <w:r>
        <w:rPr>
          <w:rFonts w:ascii="Arial" w:cs="Arial" w:eastAsia="Arial" w:hAnsi="Arial"/>
          <w:sz w:val="18"/>
          <w:szCs w:val="18"/>
          <w:b w:val="1"/>
          <w:bCs w:val="1"/>
          <w:color w:val="auto"/>
        </w:rPr>
        <w:t>Three Months Ended</w:t>
      </w:r>
    </w:p>
    <w:p>
      <w:pPr>
        <w:jc w:val="center"/>
        <w:ind w:left="6720"/>
        <w:spacing w:after="0"/>
        <w:rPr>
          <w:sz w:val="20"/>
          <w:szCs w:val="20"/>
          <w:color w:val="auto"/>
        </w:rPr>
      </w:pPr>
      <w:r>
        <w:rPr>
          <w:rFonts w:ascii="Arial" w:cs="Arial" w:eastAsia="Arial" w:hAnsi="Arial"/>
          <w:sz w:val="18"/>
          <w:szCs w:val="18"/>
          <w:b w:val="1"/>
          <w:bCs w:val="1"/>
          <w:color w:val="auto"/>
        </w:rPr>
        <w:t>March 31,</w:t>
      </w:r>
    </w:p>
    <w:p>
      <w:pPr>
        <w:spacing w:after="0" w:line="10" w:lineRule="exact"/>
        <w:rPr>
          <w:sz w:val="20"/>
          <w:szCs w:val="20"/>
          <w:color w:val="auto"/>
        </w:rPr>
      </w:pPr>
    </w:p>
    <w:tbl>
      <w:tblPr>
        <w:tblLayout w:type="fixed"/>
        <w:tblInd w:w="520" w:type="dxa"/>
        <w:tblCellMar>
          <w:top w:w="0" w:type="dxa"/>
          <w:left w:w="0" w:type="dxa"/>
          <w:bottom w:w="0" w:type="dxa"/>
          <w:right w:w="0" w:type="dxa"/>
        </w:tblCellMar>
      </w:tblPr>
      <w:tr>
        <w:trPr>
          <w:trHeight w:val="223"/>
        </w:trPr>
        <w:tc>
          <w:tcPr>
            <w:tcW w:w="6980" w:type="dxa"/>
            <w:vAlign w:val="bottom"/>
            <w:vMerge w:val="restart"/>
          </w:tcPr>
          <w:p>
            <w:pPr>
              <w:spacing w:after="0"/>
              <w:rPr>
                <w:sz w:val="20"/>
                <w:szCs w:val="20"/>
                <w:color w:val="auto"/>
              </w:rPr>
            </w:pPr>
            <w:r>
              <w:rPr>
                <w:rFonts w:ascii="Arial" w:cs="Arial" w:eastAsia="Arial" w:hAnsi="Arial"/>
                <w:sz w:val="18"/>
                <w:szCs w:val="18"/>
                <w:color w:val="auto"/>
              </w:rPr>
              <w:t>Americas</w:t>
            </w: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8"/>
        </w:trPr>
        <w:tc>
          <w:tcPr>
            <w:tcW w:w="6980" w:type="dxa"/>
            <w:vAlign w:val="bottom"/>
            <w:vMerge w:val="continue"/>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1,985</w:t>
            </w:r>
          </w:p>
        </w:tc>
        <w:tc>
          <w:tcPr>
            <w:tcW w:w="14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5"/>
        </w:trPr>
        <w:tc>
          <w:tcPr>
            <w:tcW w:w="6980" w:type="dxa"/>
            <w:vAlign w:val="bottom"/>
          </w:tcPr>
          <w:p>
            <w:pPr>
              <w:spacing w:after="0"/>
              <w:rPr>
                <w:sz w:val="20"/>
                <w:szCs w:val="20"/>
                <w:color w:val="auto"/>
              </w:rPr>
            </w:pPr>
            <w:r>
              <w:rPr>
                <w:rFonts w:ascii="Arial" w:cs="Arial" w:eastAsia="Arial" w:hAnsi="Arial"/>
                <w:sz w:val="18"/>
                <w:szCs w:val="18"/>
                <w:color w:val="auto"/>
              </w:rPr>
              <w:t>Asia and Australasia</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Total lease revenues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2,398</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our lease revenues disaggregated by brand:</w:t>
      </w:r>
    </w:p>
    <w:p>
      <w:pPr>
        <w:spacing w:after="0" w:line="36" w:lineRule="exact"/>
        <w:rPr>
          <w:sz w:val="20"/>
          <w:szCs w:val="20"/>
          <w:color w:val="auto"/>
        </w:rPr>
      </w:pPr>
    </w:p>
    <w:p>
      <w:pPr>
        <w:jc w:val="center"/>
        <w:ind w:left="6780"/>
        <w:spacing w:after="0"/>
        <w:rPr>
          <w:sz w:val="20"/>
          <w:szCs w:val="20"/>
          <w:color w:val="auto"/>
        </w:rPr>
      </w:pPr>
      <w:r>
        <w:rPr>
          <w:rFonts w:ascii="Arial" w:cs="Arial" w:eastAsia="Arial" w:hAnsi="Arial"/>
          <w:sz w:val="18"/>
          <w:szCs w:val="18"/>
          <w:b w:val="1"/>
          <w:bCs w:val="1"/>
          <w:color w:val="auto"/>
        </w:rPr>
        <w:t>Three Months Ended</w:t>
      </w:r>
    </w:p>
    <w:p>
      <w:pPr>
        <w:jc w:val="center"/>
        <w:ind w:left="682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520" w:type="dxa"/>
        <w:tblCellMar>
          <w:top w:w="0" w:type="dxa"/>
          <w:left w:w="0" w:type="dxa"/>
          <w:bottom w:w="0" w:type="dxa"/>
          <w:right w:w="0" w:type="dxa"/>
        </w:tblCellMar>
      </w:tblPr>
      <w:tr>
        <w:trPr>
          <w:trHeight w:val="225"/>
        </w:trPr>
        <w:tc>
          <w:tcPr>
            <w:tcW w:w="7040" w:type="dxa"/>
            <w:vAlign w:val="bottom"/>
            <w:vMerge w:val="restart"/>
          </w:tcPr>
          <w:p>
            <w:pPr>
              <w:spacing w:after="0"/>
              <w:rPr>
                <w:sz w:val="20"/>
                <w:szCs w:val="20"/>
                <w:color w:val="auto"/>
              </w:rPr>
            </w:pPr>
            <w:r>
              <w:rPr>
                <w:rFonts w:ascii="Arial" w:cs="Arial" w:eastAsia="Arial" w:hAnsi="Arial"/>
                <w:sz w:val="18"/>
                <w:szCs w:val="18"/>
                <w:color w:val="auto"/>
              </w:rPr>
              <w:t>Avis</w:t>
            </w: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8"/>
        </w:trPr>
        <w:tc>
          <w:tcPr>
            <w:tcW w:w="7040" w:type="dxa"/>
            <w:vAlign w:val="bottom"/>
            <w:vMerge w:val="continue"/>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1,261</w:t>
            </w:r>
          </w:p>
        </w:tc>
        <w:tc>
          <w:tcPr>
            <w:tcW w:w="12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29"/>
        </w:trPr>
        <w:tc>
          <w:tcPr>
            <w:tcW w:w="7040" w:type="dxa"/>
            <w:vAlign w:val="bottom"/>
          </w:tcPr>
          <w:p>
            <w:pPr>
              <w:spacing w:after="0"/>
              <w:rPr>
                <w:sz w:val="20"/>
                <w:szCs w:val="20"/>
                <w:color w:val="auto"/>
              </w:rPr>
            </w:pPr>
            <w:r>
              <w:rPr>
                <w:rFonts w:ascii="Arial" w:cs="Arial" w:eastAsia="Arial" w:hAnsi="Arial"/>
                <w:sz w:val="18"/>
                <w:szCs w:val="18"/>
                <w:color w:val="auto"/>
              </w:rPr>
              <w:t>Budget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35"/>
        </w:trPr>
        <w:tc>
          <w:tcPr>
            <w:tcW w:w="704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3"/>
        </w:trPr>
        <w:tc>
          <w:tcPr>
            <w:tcW w:w="7040" w:type="dxa"/>
            <w:vAlign w:val="bottom"/>
          </w:tcPr>
          <w:p>
            <w:pPr>
              <w:spacing w:after="0"/>
              <w:rPr>
                <w:sz w:val="20"/>
                <w:szCs w:val="20"/>
                <w:color w:val="auto"/>
              </w:rPr>
            </w:pPr>
            <w:r>
              <w:rPr>
                <w:rFonts w:ascii="Arial" w:cs="Arial" w:eastAsia="Arial" w:hAnsi="Arial"/>
                <w:sz w:val="18"/>
                <w:szCs w:val="18"/>
                <w:color w:val="auto"/>
              </w:rPr>
              <w:t>Total lease revenues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80"/>
        <w:spacing w:after="0"/>
        <w:rPr>
          <w:sz w:val="20"/>
          <w:szCs w:val="20"/>
          <w:color w:val="auto"/>
        </w:rPr>
      </w:pPr>
      <w:r>
        <w:rPr>
          <w:rFonts w:ascii="Arial" w:cs="Arial" w:eastAsia="Arial" w:hAnsi="Arial"/>
          <w:sz w:val="14"/>
          <w:szCs w:val="14"/>
          <w:color w:val="auto"/>
        </w:rPr>
        <w:t>_______</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4"/>
          <w:szCs w:val="14"/>
          <w:color w:val="auto"/>
        </w:rPr>
        <w:t>Other includes Zipcar and other operating brands.</w:t>
      </w:r>
    </w:p>
    <w:p>
      <w:pPr>
        <w:spacing w:after="0" w:line="23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Lessee</w:t>
      </w:r>
    </w:p>
    <w:p>
      <w:pPr>
        <w:spacing w:after="0" w:line="304" w:lineRule="exact"/>
        <w:rPr>
          <w:sz w:val="20"/>
          <w:szCs w:val="20"/>
          <w:color w:val="auto"/>
        </w:rPr>
      </w:pPr>
    </w:p>
    <w:p>
      <w:pPr>
        <w:jc w:val="both"/>
        <w:ind w:left="500"/>
        <w:spacing w:after="0" w:line="256" w:lineRule="auto"/>
        <w:rPr>
          <w:sz w:val="20"/>
          <w:szCs w:val="20"/>
          <w:color w:val="auto"/>
        </w:rPr>
      </w:pPr>
      <w:r>
        <w:rPr>
          <w:rFonts w:ascii="Arial" w:cs="Arial" w:eastAsia="Arial" w:hAnsi="Arial"/>
          <w:sz w:val="18"/>
          <w:szCs w:val="18"/>
          <w:color w:val="auto"/>
        </w:rPr>
        <w:t>We have operating and finance leases for rental locations, corporate offices, vehicle rental fleet and equipment. Many of our operating leases for rental locations contain concession agreements with various airport authorities that allow us to conduct our vehicle rental operations on site. In general, concession fees for airport locations are based on a percentage of total commissionable revenue as defined by each airport authority, some of which are subject to minimum annual guaranteed amounts. Concession fees other than minimum annual guaranteed amounts are not included in the measurement of operating lease Right of Use (“ROU”) assets and operating lease liabilities, and are recorded as variable lease expense as incurred. Our operating leases for rental locations often also require us to pay or reimburse operating expenses.</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lease expense are as follows:</w:t>
      </w:r>
    </w:p>
    <w:p>
      <w:pPr>
        <w:spacing w:after="0" w:line="50" w:lineRule="exact"/>
        <w:rPr>
          <w:sz w:val="20"/>
          <w:szCs w:val="20"/>
          <w:color w:val="auto"/>
        </w:rPr>
      </w:pPr>
    </w:p>
    <w:p>
      <w:pPr>
        <w:jc w:val="center"/>
        <w:ind w:left="7260"/>
        <w:spacing w:after="0"/>
        <w:rPr>
          <w:sz w:val="20"/>
          <w:szCs w:val="20"/>
          <w:color w:val="auto"/>
        </w:rPr>
      </w:pPr>
      <w:r>
        <w:rPr>
          <w:rFonts w:ascii="Arial" w:cs="Arial" w:eastAsia="Arial" w:hAnsi="Arial"/>
          <w:sz w:val="18"/>
          <w:szCs w:val="18"/>
          <w:b w:val="1"/>
          <w:bCs w:val="1"/>
          <w:color w:val="auto"/>
        </w:rPr>
        <w:t>Three Months Ended</w:t>
      </w:r>
    </w:p>
    <w:p>
      <w:pPr>
        <w:jc w:val="center"/>
        <w:ind w:left="7300"/>
        <w:spacing w:after="0"/>
        <w:rPr>
          <w:sz w:val="20"/>
          <w:szCs w:val="20"/>
          <w:color w:val="auto"/>
        </w:rPr>
      </w:pPr>
      <w:r>
        <w:rPr>
          <w:rFonts w:ascii="Arial" w:cs="Arial" w:eastAsia="Arial" w:hAnsi="Arial"/>
          <w:sz w:val="18"/>
          <w:szCs w:val="18"/>
          <w:b w:val="1"/>
          <w:bCs w:val="1"/>
          <w:color w:val="auto"/>
        </w:rPr>
        <w:t>March 31,</w:t>
      </w:r>
    </w:p>
    <w:p>
      <w:pPr>
        <w:spacing w:after="0" w:line="10" w:lineRule="exact"/>
        <w:rPr>
          <w:sz w:val="20"/>
          <w:szCs w:val="20"/>
          <w:color w:val="auto"/>
        </w:rPr>
      </w:pPr>
    </w:p>
    <w:tbl>
      <w:tblPr>
        <w:tblLayout w:type="fixed"/>
        <w:tblInd w:w="520" w:type="dxa"/>
        <w:tblCellMar>
          <w:top w:w="0" w:type="dxa"/>
          <w:left w:w="0" w:type="dxa"/>
          <w:bottom w:w="0" w:type="dxa"/>
          <w:right w:w="0" w:type="dxa"/>
        </w:tblCellMar>
      </w:tblPr>
      <w:tr>
        <w:trPr>
          <w:trHeight w:val="223"/>
        </w:trPr>
        <w:tc>
          <w:tcPr>
            <w:tcW w:w="730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Property leases </w:t>
            </w:r>
            <w:r>
              <w:rPr>
                <w:rFonts w:ascii="Arial" w:cs="Arial" w:eastAsia="Arial" w:hAnsi="Arial"/>
                <w:sz w:val="23"/>
                <w:szCs w:val="23"/>
                <w:b w:val="1"/>
                <w:bCs w:val="1"/>
                <w:color w:val="auto"/>
                <w:vertAlign w:val="superscript"/>
              </w:rPr>
              <w:t>(a)</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4"/>
        </w:trPr>
        <w:tc>
          <w:tcPr>
            <w:tcW w:w="730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Operating lease expense</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5"/>
        </w:trPr>
        <w:tc>
          <w:tcPr>
            <w:tcW w:w="7300" w:type="dxa"/>
            <w:vAlign w:val="bottom"/>
          </w:tcPr>
          <w:p>
            <w:pPr>
              <w:spacing w:after="0"/>
              <w:rPr>
                <w:sz w:val="20"/>
                <w:szCs w:val="20"/>
                <w:color w:val="auto"/>
              </w:rPr>
            </w:pPr>
            <w:r>
              <w:rPr>
                <w:rFonts w:ascii="Arial" w:cs="Arial" w:eastAsia="Arial" w:hAnsi="Arial"/>
                <w:sz w:val="18"/>
                <w:szCs w:val="18"/>
                <w:color w:val="auto"/>
              </w:rPr>
              <w:t>Variable lease expense</w:t>
            </w:r>
          </w:p>
        </w:tc>
        <w:tc>
          <w:tcPr>
            <w:tcW w:w="9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b w:val="1"/>
                <w:bCs w:val="1"/>
                <w:color w:val="auto"/>
              </w:rPr>
              <w:t>Total property lease expense</w:t>
            </w: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spacing w:after="0" w:line="32" w:lineRule="exact"/>
        <w:rPr>
          <w:sz w:val="20"/>
          <w:szCs w:val="20"/>
          <w:color w:val="auto"/>
        </w:rPr>
      </w:pPr>
    </w:p>
    <w:p>
      <w:pPr>
        <w:ind w:left="820" w:right="120" w:hanging="326"/>
        <w:spacing w:after="0" w:line="285" w:lineRule="auto"/>
        <w:tabs>
          <w:tab w:leader="none" w:pos="770" w:val="left"/>
        </w:tabs>
        <w:numPr>
          <w:ilvl w:val="0"/>
          <w:numId w:val="7"/>
        </w:numPr>
        <w:rPr>
          <w:rFonts w:ascii="Arial" w:cs="Arial" w:eastAsia="Arial" w:hAnsi="Arial"/>
          <w:sz w:val="9"/>
          <w:szCs w:val="9"/>
          <w:color w:val="auto"/>
        </w:rPr>
      </w:pPr>
      <w:r>
        <w:rPr>
          <w:rFonts w:ascii="Arial" w:cs="Arial" w:eastAsia="Arial" w:hAnsi="Arial"/>
          <w:sz w:val="14"/>
          <w:szCs w:val="14"/>
          <w:color w:val="auto"/>
        </w:rPr>
        <w:t>Primarily within operating expense and includes $(7) million and $19 million for the three months ended March 31, 2022 and 2021, respectively, of minimum annual guaranteed rent in excess of concession fees, net, as defined in our rental concession agreements.</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Supplemental balance sheet information related to leases is as follows:</w:t>
      </w:r>
    </w:p>
    <w:p>
      <w:pPr>
        <w:spacing w:after="0" w:line="23"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5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rPr>
              <w:t>As of</w:t>
            </w:r>
          </w:p>
        </w:tc>
        <w:tc>
          <w:tcPr>
            <w:tcW w:w="220" w:type="dxa"/>
            <w:vAlign w:val="bottom"/>
          </w:tcPr>
          <w:p>
            <w:pPr>
              <w:spacing w:after="0"/>
              <w:rPr>
                <w:sz w:val="18"/>
                <w:szCs w:val="18"/>
                <w:color w:val="auto"/>
              </w:rPr>
            </w:pPr>
          </w:p>
        </w:tc>
        <w:tc>
          <w:tcPr>
            <w:tcW w:w="2060" w:type="dxa"/>
            <w:vAlign w:val="bottom"/>
          </w:tcPr>
          <w:p>
            <w:pPr>
              <w:jc w:val="right"/>
              <w:ind w:right="85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43"/>
        </w:trPr>
        <w:tc>
          <w:tcPr>
            <w:tcW w:w="5460" w:type="dxa"/>
            <w:vAlign w:val="bottom"/>
            <w:vMerge w:val="restart"/>
          </w:tcPr>
          <w:p>
            <w:pPr>
              <w:spacing w:after="0"/>
              <w:rPr>
                <w:sz w:val="20"/>
                <w:szCs w:val="20"/>
                <w:color w:val="auto"/>
              </w:rPr>
            </w:pPr>
            <w:r>
              <w:rPr>
                <w:rFonts w:ascii="Arial" w:cs="Arial" w:eastAsia="Arial" w:hAnsi="Arial"/>
                <w:sz w:val="18"/>
                <w:szCs w:val="18"/>
                <w:b w:val="1"/>
                <w:bCs w:val="1"/>
                <w:color w:val="auto"/>
              </w:rPr>
              <w:t>Property leases</w:t>
            </w:r>
          </w:p>
        </w:tc>
        <w:tc>
          <w:tcPr>
            <w:tcW w:w="300" w:type="dxa"/>
            <w:vAlign w:val="bottom"/>
          </w:tcPr>
          <w:p>
            <w:pPr>
              <w:spacing w:after="0"/>
              <w:rPr>
                <w:sz w:val="21"/>
                <w:szCs w:val="21"/>
                <w:color w:val="auto"/>
              </w:rPr>
            </w:pPr>
          </w:p>
        </w:tc>
        <w:tc>
          <w:tcPr>
            <w:tcW w:w="2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March 31, 2022</w:t>
            </w:r>
          </w:p>
        </w:tc>
        <w:tc>
          <w:tcPr>
            <w:tcW w:w="220" w:type="dxa"/>
            <w:vAlign w:val="bottom"/>
          </w:tcPr>
          <w:p>
            <w:pPr>
              <w:spacing w:after="0"/>
              <w:rPr>
                <w:sz w:val="21"/>
                <w:szCs w:val="21"/>
                <w:color w:val="auto"/>
              </w:rPr>
            </w:pPr>
          </w:p>
        </w:tc>
        <w:tc>
          <w:tcPr>
            <w:tcW w:w="206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 2021</w:t>
            </w:r>
          </w:p>
        </w:tc>
        <w:tc>
          <w:tcPr>
            <w:tcW w:w="0" w:type="dxa"/>
            <w:vAlign w:val="bottom"/>
          </w:tcPr>
          <w:p>
            <w:pPr>
              <w:spacing w:after="0"/>
              <w:rPr>
                <w:sz w:val="1"/>
                <w:szCs w:val="1"/>
                <w:color w:val="auto"/>
              </w:rPr>
            </w:pPr>
          </w:p>
        </w:tc>
      </w:tr>
      <w:tr>
        <w:trPr>
          <w:trHeight w:val="221"/>
        </w:trPr>
        <w:tc>
          <w:tcPr>
            <w:tcW w:w="5460" w:type="dxa"/>
            <w:vAlign w:val="bottom"/>
            <w:vMerge w:val="continue"/>
          </w:tcPr>
          <w:p>
            <w:pPr>
              <w:spacing w:after="0"/>
              <w:rPr>
                <w:sz w:val="19"/>
                <w:szCs w:val="19"/>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2,417</w:t>
            </w:r>
          </w:p>
        </w:tc>
        <w:tc>
          <w:tcPr>
            <w:tcW w:w="100" w:type="dxa"/>
            <w:vAlign w:val="bottom"/>
          </w:tcPr>
          <w:p>
            <w:pPr>
              <w:spacing w:after="0"/>
              <w:rPr>
                <w:sz w:val="19"/>
                <w:szCs w:val="19"/>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2,368</w:t>
            </w:r>
          </w:p>
        </w:tc>
        <w:tc>
          <w:tcPr>
            <w:tcW w:w="0" w:type="dxa"/>
            <w:vAlign w:val="bottom"/>
          </w:tcPr>
          <w:p>
            <w:pPr>
              <w:spacing w:after="0"/>
              <w:rPr>
                <w:sz w:val="1"/>
                <w:szCs w:val="1"/>
                <w:color w:val="auto"/>
              </w:rPr>
            </w:pPr>
          </w:p>
        </w:tc>
      </w:tr>
      <w:tr>
        <w:trPr>
          <w:trHeight w:val="223"/>
        </w:trPr>
        <w:tc>
          <w:tcPr>
            <w:tcW w:w="5460" w:type="dxa"/>
            <w:vAlign w:val="bottom"/>
          </w:tcPr>
          <w:p>
            <w:pPr>
              <w:ind w:left="200"/>
              <w:spacing w:after="0"/>
              <w:rPr>
                <w:sz w:val="20"/>
                <w:szCs w:val="20"/>
                <w:color w:val="auto"/>
              </w:rPr>
            </w:pPr>
            <w:r>
              <w:rPr>
                <w:rFonts w:ascii="Arial" w:cs="Arial" w:eastAsia="Arial" w:hAnsi="Arial"/>
                <w:sz w:val="18"/>
                <w:szCs w:val="18"/>
                <w:color w:val="auto"/>
              </w:rPr>
              <w:t>Operating lease ROU assets</w:t>
            </w:r>
          </w:p>
        </w:tc>
        <w:tc>
          <w:tcPr>
            <w:tcW w:w="300" w:type="dxa"/>
            <w:vAlign w:val="bottom"/>
            <w:tcBorders>
              <w:bottom w:val="single" w:sz="8" w:color="auto"/>
            </w:tcBorders>
            <w:vMerge w:val="continue"/>
          </w:tcPr>
          <w:p>
            <w:pPr>
              <w:spacing w:after="0"/>
              <w:rPr>
                <w:sz w:val="18"/>
                <w:szCs w:val="18"/>
                <w:color w:val="auto"/>
              </w:rPr>
            </w:pPr>
          </w:p>
        </w:tc>
        <w:tc>
          <w:tcPr>
            <w:tcW w:w="19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2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5460" w:type="dxa"/>
            <w:vAlign w:val="bottom"/>
          </w:tcPr>
          <w:p>
            <w:pPr>
              <w:ind w:left="200"/>
              <w:spacing w:after="0"/>
              <w:rPr>
                <w:sz w:val="20"/>
                <w:szCs w:val="20"/>
                <w:color w:val="auto"/>
              </w:rPr>
            </w:pPr>
            <w:r>
              <w:rPr>
                <w:rFonts w:ascii="Arial" w:cs="Arial" w:eastAsia="Arial" w:hAnsi="Arial"/>
                <w:sz w:val="18"/>
                <w:szCs w:val="18"/>
                <w:color w:val="auto"/>
              </w:rPr>
              <w:t xml:space="preserve">Short-term operating lease liabilities </w:t>
            </w:r>
            <w:r>
              <w:rPr>
                <w:rFonts w:ascii="Arial" w:cs="Arial" w:eastAsia="Arial" w:hAnsi="Arial"/>
                <w:sz w:val="9"/>
                <w:szCs w:val="9"/>
                <w:color w:val="auto"/>
              </w:rPr>
              <w:t>(a)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50"/>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ind w:right="15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35"/>
        </w:trPr>
        <w:tc>
          <w:tcPr>
            <w:tcW w:w="5460" w:type="dxa"/>
            <w:vAlign w:val="bottom"/>
          </w:tcPr>
          <w:p>
            <w:pPr>
              <w:ind w:left="200"/>
              <w:spacing w:after="0"/>
              <w:rPr>
                <w:sz w:val="20"/>
                <w:szCs w:val="20"/>
                <w:color w:val="auto"/>
              </w:rPr>
            </w:pPr>
            <w:r>
              <w:rPr>
                <w:rFonts w:ascii="Arial" w:cs="Arial" w:eastAsia="Arial" w:hAnsi="Arial"/>
                <w:sz w:val="18"/>
                <w:szCs w:val="18"/>
                <w:color w:val="auto"/>
              </w:rPr>
              <w:t>Long-term operating lease liabilities</w:t>
            </w:r>
          </w:p>
        </w:tc>
        <w:tc>
          <w:tcPr>
            <w:tcW w:w="3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1,918</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23"/>
        </w:trPr>
        <w:tc>
          <w:tcPr>
            <w:tcW w:w="5460" w:type="dxa"/>
            <w:vAlign w:val="bottom"/>
          </w:tcPr>
          <w:p>
            <w:pPr>
              <w:ind w:left="200"/>
              <w:spacing w:after="0"/>
              <w:rPr>
                <w:sz w:val="20"/>
                <w:szCs w:val="20"/>
                <w:color w:val="auto"/>
              </w:rPr>
            </w:pPr>
            <w:r>
              <w:rPr>
                <w:rFonts w:ascii="Arial" w:cs="Arial" w:eastAsia="Arial" w:hAnsi="Arial"/>
                <w:sz w:val="18"/>
                <w:szCs w:val="18"/>
                <w:color w:val="auto"/>
              </w:rPr>
              <w:t>Operating lease liabilities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2,454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5460" w:type="dxa"/>
            <w:vAlign w:val="bottom"/>
          </w:tcPr>
          <w:p>
            <w:pPr>
              <w:ind w:left="200"/>
              <w:spacing w:after="0"/>
              <w:rPr>
                <w:sz w:val="20"/>
                <w:szCs w:val="20"/>
                <w:color w:val="auto"/>
              </w:rPr>
            </w:pPr>
            <w:r>
              <w:rPr>
                <w:rFonts w:ascii="Arial" w:cs="Arial" w:eastAsia="Arial" w:hAnsi="Arial"/>
                <w:sz w:val="18"/>
                <w:szCs w:val="18"/>
                <w:color w:val="auto"/>
              </w:rPr>
              <w:t>Weighted average remaining lease term</w:t>
            </w:r>
          </w:p>
        </w:tc>
        <w:tc>
          <w:tcPr>
            <w:tcW w:w="300" w:type="dxa"/>
            <w:vAlign w:val="bottom"/>
          </w:tcPr>
          <w:p>
            <w:pPr>
              <w:spacing w:after="0"/>
              <w:rPr>
                <w:sz w:val="24"/>
                <w:szCs w:val="24"/>
                <w:color w:val="auto"/>
              </w:rPr>
            </w:pPr>
          </w:p>
        </w:tc>
        <w:tc>
          <w:tcPr>
            <w:tcW w:w="2040" w:type="dxa"/>
            <w:vAlign w:val="bottom"/>
            <w:gridSpan w:val="2"/>
          </w:tcPr>
          <w:p>
            <w:pPr>
              <w:ind w:left="1180"/>
              <w:spacing w:after="0"/>
              <w:rPr>
                <w:sz w:val="20"/>
                <w:szCs w:val="20"/>
                <w:color w:val="auto"/>
              </w:rPr>
            </w:pPr>
            <w:r>
              <w:rPr>
                <w:rFonts w:ascii="Arial" w:cs="Arial" w:eastAsia="Arial" w:hAnsi="Arial"/>
                <w:sz w:val="18"/>
                <w:szCs w:val="18"/>
                <w:color w:val="auto"/>
              </w:rPr>
              <w:t>8.6 years</w:t>
            </w:r>
          </w:p>
        </w:tc>
        <w:tc>
          <w:tcPr>
            <w:tcW w:w="22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8.8 years</w:t>
            </w:r>
          </w:p>
        </w:tc>
        <w:tc>
          <w:tcPr>
            <w:tcW w:w="0" w:type="dxa"/>
            <w:vAlign w:val="bottom"/>
          </w:tcPr>
          <w:p>
            <w:pPr>
              <w:spacing w:after="0"/>
              <w:rPr>
                <w:sz w:val="1"/>
                <w:szCs w:val="1"/>
                <w:color w:val="auto"/>
              </w:rPr>
            </w:pPr>
          </w:p>
        </w:tc>
      </w:tr>
      <w:tr>
        <w:trPr>
          <w:trHeight w:val="239"/>
        </w:trPr>
        <w:tc>
          <w:tcPr>
            <w:tcW w:w="5460" w:type="dxa"/>
            <w:vAlign w:val="bottom"/>
          </w:tcPr>
          <w:p>
            <w:pPr>
              <w:ind w:left="200"/>
              <w:spacing w:after="0"/>
              <w:rPr>
                <w:sz w:val="20"/>
                <w:szCs w:val="20"/>
                <w:color w:val="auto"/>
              </w:rPr>
            </w:pPr>
            <w:r>
              <w:rPr>
                <w:rFonts w:ascii="Arial" w:cs="Arial" w:eastAsia="Arial" w:hAnsi="Arial"/>
                <w:sz w:val="18"/>
                <w:szCs w:val="18"/>
                <w:color w:val="auto"/>
              </w:rPr>
              <w:t>Weighted average discount rate</w:t>
            </w:r>
          </w:p>
        </w:tc>
        <w:tc>
          <w:tcPr>
            <w:tcW w:w="3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3.81 %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3.84 %</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w:t>
      </w:r>
    </w:p>
    <w:p>
      <w:pPr>
        <w:ind w:left="760" w:hanging="266"/>
        <w:spacing w:after="0" w:line="229" w:lineRule="auto"/>
        <w:tabs>
          <w:tab w:leader="none" w:pos="76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Included in Accounts payable and other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Supplemental cash flow information related to leases is as follows:</w:t>
      </w:r>
    </w:p>
    <w:p>
      <w:pPr>
        <w:spacing w:after="0" w:line="36" w:lineRule="exact"/>
        <w:rPr>
          <w:sz w:val="20"/>
          <w:szCs w:val="20"/>
          <w:color w:val="auto"/>
        </w:rPr>
      </w:pPr>
    </w:p>
    <w:p>
      <w:pPr>
        <w:jc w:val="center"/>
        <w:ind w:left="6940"/>
        <w:spacing w:after="0"/>
        <w:rPr>
          <w:sz w:val="20"/>
          <w:szCs w:val="20"/>
          <w:color w:val="auto"/>
        </w:rPr>
      </w:pPr>
      <w:r>
        <w:rPr>
          <w:rFonts w:ascii="Arial" w:cs="Arial" w:eastAsia="Arial" w:hAnsi="Arial"/>
          <w:sz w:val="18"/>
          <w:szCs w:val="18"/>
          <w:b w:val="1"/>
          <w:bCs w:val="1"/>
          <w:color w:val="auto"/>
        </w:rPr>
        <w:t>Three Months Ended</w:t>
      </w:r>
    </w:p>
    <w:p>
      <w:pPr>
        <w:jc w:val="center"/>
        <w:ind w:left="698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520" w:type="dxa"/>
        <w:tblCellMar>
          <w:top w:w="0" w:type="dxa"/>
          <w:left w:w="0" w:type="dxa"/>
          <w:bottom w:w="0" w:type="dxa"/>
          <w:right w:w="0" w:type="dxa"/>
        </w:tblCellMar>
      </w:tblPr>
      <w:tr>
        <w:trPr>
          <w:trHeight w:val="225"/>
        </w:trPr>
        <w:tc>
          <w:tcPr>
            <w:tcW w:w="7120" w:type="dxa"/>
            <w:vAlign w:val="bottom"/>
            <w:vMerge w:val="restart"/>
          </w:tcPr>
          <w:p>
            <w:pPr>
              <w:spacing w:after="0"/>
              <w:rPr>
                <w:sz w:val="20"/>
                <w:szCs w:val="20"/>
                <w:color w:val="auto"/>
              </w:rPr>
            </w:pPr>
            <w:r>
              <w:rPr>
                <w:rFonts w:ascii="Arial" w:cs="Arial" w:eastAsia="Arial" w:hAnsi="Arial"/>
                <w:sz w:val="18"/>
                <w:szCs w:val="18"/>
                <w:color w:val="auto"/>
              </w:rPr>
              <w:t>Cash payments for lease liabilities within operating activities:</w:t>
            </w: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4"/>
        </w:trPr>
        <w:tc>
          <w:tcPr>
            <w:tcW w:w="71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200"/>
              <w:spacing w:after="0"/>
              <w:rPr>
                <w:sz w:val="20"/>
                <w:szCs w:val="20"/>
                <w:color w:val="auto"/>
              </w:rPr>
            </w:pPr>
            <w:r>
              <w:rPr>
                <w:rFonts w:ascii="Arial" w:cs="Arial" w:eastAsia="Arial" w:hAnsi="Arial"/>
                <w:sz w:val="18"/>
                <w:szCs w:val="18"/>
                <w:color w:val="auto"/>
              </w:rPr>
              <w:t>Property operating leases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9"/>
        </w:trPr>
        <w:tc>
          <w:tcPr>
            <w:tcW w:w="7120" w:type="dxa"/>
            <w:vAlign w:val="bottom"/>
          </w:tcPr>
          <w:p>
            <w:pPr>
              <w:spacing w:after="0"/>
              <w:rPr>
                <w:sz w:val="20"/>
                <w:szCs w:val="20"/>
                <w:color w:val="auto"/>
              </w:rPr>
            </w:pPr>
            <w:r>
              <w:rPr>
                <w:rFonts w:ascii="Arial" w:cs="Arial" w:eastAsia="Arial" w:hAnsi="Arial"/>
                <w:sz w:val="18"/>
                <w:szCs w:val="18"/>
                <w:color w:val="auto"/>
              </w:rPr>
              <w:t>Non-cash activities - increase (decrease) in ROU assets in exchange for lease liabilities: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120" w:type="dxa"/>
            <w:vAlign w:val="bottom"/>
          </w:tcPr>
          <w:p>
            <w:pPr>
              <w:ind w:left="200"/>
              <w:spacing w:after="0"/>
              <w:rPr>
                <w:sz w:val="20"/>
                <w:szCs w:val="20"/>
                <w:color w:val="auto"/>
              </w:rPr>
            </w:pPr>
            <w:r>
              <w:rPr>
                <w:rFonts w:ascii="Arial" w:cs="Arial" w:eastAsia="Arial" w:hAnsi="Arial"/>
                <w:sz w:val="18"/>
                <w:szCs w:val="18"/>
                <w:color w:val="auto"/>
              </w:rPr>
              <w:t>Property operating leases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bl>
    <w:p>
      <w:pPr>
        <w:spacing w:after="0" w:line="32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w:t>
        <w:tab/>
        <w:t>Restructuring and Other Related Charges</w:t>
      </w:r>
    </w:p>
    <w:p>
      <w:pPr>
        <w:spacing w:after="0" w:line="2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Restructuring</w:t>
      </w:r>
    </w:p>
    <w:p>
      <w:pPr>
        <w:spacing w:after="0" w:line="304"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During the first quarter of 2021, we initiated a global restructuring plan to focus on cost discipline by reviewing headcounts, facilities and contractor agreements. We are transforming our business as we prepare to exit the COVID-19 crisis by controlling fixed costs and matching variable costs to demand (“T21”). During the quarter ended March 31, 2022, we formally communicated the termination of employment to approximately 45 employees, as part of this process, and terminated approximately 40 of these employees. We expect no further restructuring expense to be incurred in 2022 under this program.</w:t>
      </w:r>
    </w:p>
    <w:p>
      <w:pPr>
        <w:spacing w:after="0" w:line="206" w:lineRule="exact"/>
        <w:rPr>
          <w:sz w:val="20"/>
          <w:szCs w:val="20"/>
          <w:color w:val="auto"/>
        </w:rPr>
      </w:pPr>
    </w:p>
    <w:p>
      <w:pPr>
        <w:jc w:val="both"/>
        <w:ind w:left="500" w:right="20"/>
        <w:spacing w:after="0" w:line="287" w:lineRule="auto"/>
        <w:rPr>
          <w:sz w:val="20"/>
          <w:szCs w:val="20"/>
          <w:color w:val="auto"/>
        </w:rPr>
      </w:pPr>
      <w:r>
        <w:rPr>
          <w:rFonts w:ascii="Arial" w:cs="Arial" w:eastAsia="Arial" w:hAnsi="Arial"/>
          <w:sz w:val="18"/>
          <w:szCs w:val="18"/>
          <w:color w:val="auto"/>
        </w:rPr>
        <w:t>The following tables summarize the changes to our restructuring-related liabilities and identifies the amounts recorded within our reporting segments for restructuring charges and corresponding payments and utilizations:</w:t>
      </w:r>
    </w:p>
    <w:p>
      <w:pPr>
        <w:spacing w:after="0" w:line="90" w:lineRule="exact"/>
        <w:rPr>
          <w:sz w:val="20"/>
          <w:szCs w:val="20"/>
          <w:color w:val="auto"/>
        </w:rPr>
      </w:pPr>
    </w:p>
    <w:tbl>
      <w:tblPr>
        <w:tblLayout w:type="fixed"/>
        <w:tblInd w:w="520" w:type="dxa"/>
        <w:tblCellMar>
          <w:top w:w="0" w:type="dxa"/>
          <w:left w:w="0" w:type="dxa"/>
          <w:bottom w:w="0" w:type="dxa"/>
          <w:right w:w="0" w:type="dxa"/>
        </w:tblCellMar>
      </w:tblPr>
      <w:tr>
        <w:trPr>
          <w:trHeight w:val="217"/>
        </w:trPr>
        <w:tc>
          <w:tcPr>
            <w:tcW w:w="4420" w:type="dxa"/>
            <w:vAlign w:val="bottom"/>
            <w:vMerge w:val="restart"/>
          </w:tcPr>
          <w:p>
            <w:pPr>
              <w:spacing w:after="0"/>
              <w:rPr>
                <w:sz w:val="20"/>
                <w:szCs w:val="20"/>
                <w:color w:val="auto"/>
              </w:rPr>
            </w:pPr>
            <w:r>
              <w:rPr>
                <w:rFonts w:ascii="Arial" w:cs="Arial" w:eastAsia="Arial" w:hAnsi="Arial"/>
                <w:sz w:val="18"/>
                <w:szCs w:val="18"/>
                <w:color w:val="auto"/>
              </w:rPr>
              <w:t>Balance as of January 1, 2022</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left="194"/>
              <w:spacing w:after="0"/>
              <w:rPr>
                <w:sz w:val="20"/>
                <w:szCs w:val="20"/>
                <w:color w:val="auto"/>
              </w:rPr>
            </w:pPr>
            <w:r>
              <w:rPr>
                <w:rFonts w:ascii="Arial" w:cs="Arial" w:eastAsia="Arial" w:hAnsi="Arial"/>
                <w:sz w:val="16"/>
                <w:szCs w:val="16"/>
                <w:b w:val="1"/>
                <w:bCs w:val="1"/>
                <w:color w:val="auto"/>
                <w:w w:val="99"/>
              </w:rPr>
              <w:t>Americas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International</w:t>
            </w:r>
          </w:p>
        </w:tc>
        <w:tc>
          <w:tcPr>
            <w:tcW w:w="300" w:type="dxa"/>
            <w:vAlign w:val="bottom"/>
          </w:tcPr>
          <w:p>
            <w:pPr>
              <w:spacing w:after="0"/>
              <w:rPr>
                <w:sz w:val="18"/>
                <w:szCs w:val="18"/>
                <w:color w:val="auto"/>
              </w:rPr>
            </w:pPr>
          </w:p>
        </w:tc>
        <w:tc>
          <w:tcPr>
            <w:tcW w:w="1020" w:type="dxa"/>
            <w:vAlign w:val="bottom"/>
          </w:tcPr>
          <w:p>
            <w:pPr>
              <w:jc w:val="right"/>
              <w:ind w:right="3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8"/>
        </w:trPr>
        <w:tc>
          <w:tcPr>
            <w:tcW w:w="442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420" w:type="dxa"/>
            <w:vAlign w:val="bottom"/>
          </w:tcPr>
          <w:p>
            <w:pPr>
              <w:ind w:left="180"/>
              <w:spacing w:after="0"/>
              <w:rPr>
                <w:sz w:val="20"/>
                <w:szCs w:val="20"/>
                <w:color w:val="auto"/>
              </w:rPr>
            </w:pPr>
            <w:r>
              <w:rPr>
                <w:rFonts w:ascii="Arial" w:cs="Arial" w:eastAsia="Arial" w:hAnsi="Arial"/>
                <w:sz w:val="18"/>
                <w:szCs w:val="18"/>
                <w:color w:val="auto"/>
              </w:rPr>
              <w:t>Restructuring expense:</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300"/>
              <w:spacing w:after="0"/>
              <w:rPr>
                <w:sz w:val="20"/>
                <w:szCs w:val="20"/>
                <w:color w:val="auto"/>
              </w:rPr>
            </w:pPr>
            <w:r>
              <w:rPr>
                <w:rFonts w:ascii="Arial" w:cs="Arial" w:eastAsia="Arial" w:hAnsi="Arial"/>
                <w:sz w:val="18"/>
                <w:szCs w:val="18"/>
                <w:color w:val="auto"/>
              </w:rPr>
              <w:t>T21</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420" w:type="dxa"/>
            <w:vAlign w:val="bottom"/>
          </w:tcPr>
          <w:p>
            <w:pPr>
              <w:ind w:left="180"/>
              <w:spacing w:after="0"/>
              <w:rPr>
                <w:sz w:val="20"/>
                <w:szCs w:val="20"/>
                <w:color w:val="auto"/>
              </w:rPr>
            </w:pPr>
            <w:r>
              <w:rPr>
                <w:rFonts w:ascii="Arial" w:cs="Arial" w:eastAsia="Arial" w:hAnsi="Arial"/>
                <w:sz w:val="18"/>
                <w:szCs w:val="18"/>
                <w:color w:val="auto"/>
              </w:rPr>
              <w:t>Restructuring payment/utilization:</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420" w:type="dxa"/>
            <w:vAlign w:val="bottom"/>
          </w:tcPr>
          <w:p>
            <w:pPr>
              <w:ind w:left="300"/>
              <w:spacing w:after="0"/>
              <w:rPr>
                <w:sz w:val="20"/>
                <w:szCs w:val="20"/>
                <w:color w:val="auto"/>
              </w:rPr>
            </w:pPr>
            <w:r>
              <w:rPr>
                <w:rFonts w:ascii="Arial" w:cs="Arial" w:eastAsia="Arial" w:hAnsi="Arial"/>
                <w:sz w:val="18"/>
                <w:szCs w:val="18"/>
                <w:color w:val="auto"/>
              </w:rPr>
              <w:t>T21</w:t>
            </w: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Balance as of March 31, 2022</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442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Personnel</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center"/>
              <w:ind w:left="194"/>
              <w:spacing w:after="0"/>
              <w:rPr>
                <w:sz w:val="20"/>
                <w:szCs w:val="20"/>
                <w:color w:val="auto"/>
              </w:rPr>
            </w:pPr>
            <w:r>
              <w:rPr>
                <w:rFonts w:ascii="Arial" w:cs="Arial" w:eastAsia="Arial" w:hAnsi="Arial"/>
                <w:sz w:val="16"/>
                <w:szCs w:val="16"/>
                <w:b w:val="1"/>
                <w:bCs w:val="1"/>
                <w:color w:val="auto"/>
              </w:rPr>
              <w:t>Facility</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3"/>
              </w:rPr>
              <w:t xml:space="preserve">Other </w:t>
            </w:r>
            <w:r>
              <w:rPr>
                <w:rFonts w:ascii="Arial" w:cs="Arial" w:eastAsia="Arial" w:hAnsi="Arial"/>
                <w:sz w:val="21"/>
                <w:szCs w:val="21"/>
                <w:b w:val="1"/>
                <w:bCs w:val="1"/>
                <w:color w:val="auto"/>
                <w:w w:val="93"/>
                <w:vertAlign w:val="superscript"/>
              </w:rPr>
              <w:t>(a)</w:t>
            </w:r>
          </w:p>
        </w:tc>
        <w:tc>
          <w:tcPr>
            <w:tcW w:w="300" w:type="dxa"/>
            <w:vAlign w:val="bottom"/>
          </w:tcPr>
          <w:p>
            <w:pPr>
              <w:spacing w:after="0"/>
              <w:rPr>
                <w:sz w:val="24"/>
                <w:szCs w:val="24"/>
                <w:color w:val="auto"/>
              </w:rPr>
            </w:pPr>
          </w:p>
        </w:tc>
        <w:tc>
          <w:tcPr>
            <w:tcW w:w="1020" w:type="dxa"/>
            <w:vAlign w:val="bottom"/>
            <w:vMerge w:val="restart"/>
          </w:tcPr>
          <w:p>
            <w:pPr>
              <w:jc w:val="right"/>
              <w:ind w:right="3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4420" w:type="dxa"/>
            <w:vAlign w:val="bottom"/>
            <w:vMerge w:val="restart"/>
          </w:tcPr>
          <w:p>
            <w:pPr>
              <w:spacing w:after="0"/>
              <w:rPr>
                <w:sz w:val="20"/>
                <w:szCs w:val="20"/>
                <w:color w:val="auto"/>
              </w:rPr>
            </w:pPr>
            <w:r>
              <w:rPr>
                <w:rFonts w:ascii="Arial" w:cs="Arial" w:eastAsia="Arial" w:hAnsi="Arial"/>
                <w:sz w:val="18"/>
                <w:szCs w:val="18"/>
                <w:color w:val="auto"/>
              </w:rPr>
              <w:t>Balance as of January 1, 2022</w:t>
            </w:r>
          </w:p>
        </w:tc>
        <w:tc>
          <w:tcPr>
            <w:tcW w:w="11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left="194"/>
              <w:spacing w:after="0"/>
              <w:rPr>
                <w:sz w:val="20"/>
                <w:szCs w:val="20"/>
                <w:color w:val="auto"/>
              </w:rPr>
            </w:pPr>
            <w:r>
              <w:rPr>
                <w:rFonts w:ascii="Arial" w:cs="Arial" w:eastAsia="Arial" w:hAnsi="Arial"/>
                <w:sz w:val="16"/>
                <w:szCs w:val="16"/>
                <w:b w:val="1"/>
                <w:bCs w:val="1"/>
                <w:color w:val="auto"/>
              </w:rPr>
              <w:t>Related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420" w:type="dxa"/>
            <w:vAlign w:val="bottom"/>
            <w:vMerge w:val="continue"/>
          </w:tcPr>
          <w:p>
            <w:pPr>
              <w:spacing w:after="0"/>
              <w:rPr>
                <w:sz w:val="18"/>
                <w:szCs w:val="18"/>
                <w:color w:val="auto"/>
              </w:rPr>
            </w:pPr>
          </w:p>
        </w:tc>
        <w:tc>
          <w:tcPr>
            <w:tcW w:w="1100" w:type="dxa"/>
            <w:vAlign w:val="bottom"/>
            <w:tcBorders>
              <w:top w:val="single" w:sz="8" w:color="auto"/>
            </w:tcBorders>
          </w:tcPr>
          <w:p>
            <w:pPr>
              <w:jc w:val="right"/>
              <w:ind w:right="893"/>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8"/>
                <w:szCs w:val="18"/>
                <w:color w:val="auto"/>
              </w:rPr>
            </w:pPr>
          </w:p>
        </w:tc>
        <w:tc>
          <w:tcPr>
            <w:tcW w:w="1080" w:type="dxa"/>
            <w:vAlign w:val="bottom"/>
            <w:tcBorders>
              <w:top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4420" w:type="dxa"/>
            <w:vAlign w:val="bottom"/>
          </w:tcPr>
          <w:p>
            <w:pPr>
              <w:ind w:left="180"/>
              <w:spacing w:after="0"/>
              <w:rPr>
                <w:sz w:val="20"/>
                <w:szCs w:val="20"/>
                <w:color w:val="auto"/>
              </w:rPr>
            </w:pPr>
            <w:r>
              <w:rPr>
                <w:rFonts w:ascii="Arial" w:cs="Arial" w:eastAsia="Arial" w:hAnsi="Arial"/>
                <w:sz w:val="18"/>
                <w:szCs w:val="18"/>
                <w:color w:val="auto"/>
              </w:rPr>
              <w:t>Restructuring expense:</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300"/>
              <w:spacing w:after="0"/>
              <w:rPr>
                <w:sz w:val="20"/>
                <w:szCs w:val="20"/>
                <w:color w:val="auto"/>
              </w:rPr>
            </w:pPr>
            <w:r>
              <w:rPr>
                <w:rFonts w:ascii="Arial" w:cs="Arial" w:eastAsia="Arial" w:hAnsi="Arial"/>
                <w:sz w:val="18"/>
                <w:szCs w:val="18"/>
                <w:color w:val="auto"/>
              </w:rPr>
              <w:t>T21</w:t>
            </w:r>
          </w:p>
        </w:tc>
        <w:tc>
          <w:tcPr>
            <w:tcW w:w="1100" w:type="dxa"/>
            <w:vAlign w:val="bottom"/>
          </w:tcPr>
          <w:p>
            <w:pPr>
              <w:spacing w:after="0"/>
              <w:rPr>
                <w:sz w:val="19"/>
                <w:szCs w:val="19"/>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420" w:type="dxa"/>
            <w:vAlign w:val="bottom"/>
          </w:tcPr>
          <w:p>
            <w:pPr>
              <w:ind w:left="180"/>
              <w:spacing w:after="0"/>
              <w:rPr>
                <w:sz w:val="20"/>
                <w:szCs w:val="20"/>
                <w:color w:val="auto"/>
              </w:rPr>
            </w:pPr>
            <w:r>
              <w:rPr>
                <w:rFonts w:ascii="Arial" w:cs="Arial" w:eastAsia="Arial" w:hAnsi="Arial"/>
                <w:sz w:val="18"/>
                <w:szCs w:val="18"/>
                <w:color w:val="auto"/>
              </w:rPr>
              <w:t>Restructuring payment/utilization:</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420" w:type="dxa"/>
            <w:vAlign w:val="bottom"/>
          </w:tcPr>
          <w:p>
            <w:pPr>
              <w:ind w:left="300"/>
              <w:spacing w:after="0"/>
              <w:rPr>
                <w:sz w:val="20"/>
                <w:szCs w:val="20"/>
                <w:color w:val="auto"/>
              </w:rPr>
            </w:pPr>
            <w:r>
              <w:rPr>
                <w:rFonts w:ascii="Arial" w:cs="Arial" w:eastAsia="Arial" w:hAnsi="Arial"/>
                <w:sz w:val="18"/>
                <w:szCs w:val="18"/>
                <w:color w:val="auto"/>
              </w:rPr>
              <w:t>T21</w:t>
            </w:r>
          </w:p>
        </w:tc>
        <w:tc>
          <w:tcPr>
            <w:tcW w:w="1100" w:type="dxa"/>
            <w:vAlign w:val="bottom"/>
          </w:tcPr>
          <w:p>
            <w:pPr>
              <w:spacing w:after="0"/>
              <w:rPr>
                <w:sz w:val="20"/>
                <w:szCs w:val="20"/>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Balance as of March 31, 2022</w:t>
            </w:r>
          </w:p>
        </w:tc>
        <w:tc>
          <w:tcPr>
            <w:tcW w:w="1100" w:type="dxa"/>
            <w:vAlign w:val="bottom"/>
            <w:tcBorders>
              <w:top w:val="single" w:sz="8" w:color="auto"/>
              <w:bottom w:val="single" w:sz="8" w:color="auto"/>
            </w:tcBorders>
          </w:tcPr>
          <w:p>
            <w:pPr>
              <w:jc w:val="right"/>
              <w:ind w:right="893"/>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w:t>
      </w:r>
    </w:p>
    <w:p>
      <w:pPr>
        <w:ind w:left="820" w:hanging="326"/>
        <w:spacing w:after="0" w:line="218" w:lineRule="auto"/>
        <w:tabs>
          <w:tab w:leader="none" w:pos="82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Includes expenses primarily related to the disposition of vehicles.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computation of basic and diluted earnings per share (“EPS”) (shares in millions):</w:t>
      </w:r>
    </w:p>
    <w:p>
      <w:pPr>
        <w:spacing w:after="0" w:line="36" w:lineRule="exact"/>
        <w:rPr>
          <w:sz w:val="20"/>
          <w:szCs w:val="20"/>
          <w:color w:val="auto"/>
        </w:rPr>
      </w:pPr>
    </w:p>
    <w:p>
      <w:pPr>
        <w:jc w:val="center"/>
        <w:ind w:left="7600"/>
        <w:spacing w:after="0"/>
        <w:rPr>
          <w:sz w:val="20"/>
          <w:szCs w:val="20"/>
          <w:color w:val="auto"/>
        </w:rPr>
      </w:pPr>
      <w:r>
        <w:rPr>
          <w:rFonts w:ascii="Arial" w:cs="Arial" w:eastAsia="Arial" w:hAnsi="Arial"/>
          <w:sz w:val="18"/>
          <w:szCs w:val="18"/>
          <w:b w:val="1"/>
          <w:bCs w:val="1"/>
          <w:color w:val="auto"/>
        </w:rPr>
        <w:t>Three Months Ended</w:t>
      </w:r>
    </w:p>
    <w:p>
      <w:pPr>
        <w:jc w:val="center"/>
        <w:ind w:left="766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520" w:type="dxa"/>
        <w:tblCellMar>
          <w:top w:w="0" w:type="dxa"/>
          <w:left w:w="0" w:type="dxa"/>
          <w:bottom w:w="0" w:type="dxa"/>
          <w:right w:w="0" w:type="dxa"/>
        </w:tblCellMar>
      </w:tblPr>
      <w:tr>
        <w:trPr>
          <w:trHeight w:val="225"/>
        </w:trPr>
        <w:tc>
          <w:tcPr>
            <w:tcW w:w="77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7700" w:type="dxa"/>
            <w:vAlign w:val="bottom"/>
          </w:tcPr>
          <w:p>
            <w:pPr>
              <w:spacing w:after="0"/>
              <w:rPr>
                <w:sz w:val="20"/>
                <w:szCs w:val="20"/>
                <w:color w:val="auto"/>
              </w:rPr>
            </w:pPr>
            <w:r>
              <w:rPr>
                <w:rFonts w:ascii="Arial" w:cs="Arial" w:eastAsia="Arial" w:hAnsi="Arial"/>
                <w:sz w:val="18"/>
                <w:szCs w:val="18"/>
                <w:color w:val="auto"/>
              </w:rPr>
              <w:t>Net income (loss) attributable to Avis Budget Group, Inc. for basic and diluted EPS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
        </w:trPr>
        <w:tc>
          <w:tcPr>
            <w:tcW w:w="7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7"/>
        </w:trPr>
        <w:tc>
          <w:tcPr>
            <w:tcW w:w="770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37"/>
        </w:trPr>
        <w:tc>
          <w:tcPr>
            <w:tcW w:w="7700" w:type="dxa"/>
            <w:vAlign w:val="bottom"/>
          </w:tcPr>
          <w:p>
            <w:pPr>
              <w:spacing w:after="0" w:line="237" w:lineRule="exact"/>
              <w:rPr>
                <w:sz w:val="20"/>
                <w:szCs w:val="20"/>
                <w:color w:val="auto"/>
              </w:rPr>
            </w:pPr>
            <w:r>
              <w:rPr>
                <w:rFonts w:ascii="Arial" w:cs="Arial" w:eastAsia="Arial" w:hAnsi="Arial"/>
                <w:sz w:val="18"/>
                <w:szCs w:val="18"/>
                <w:color w:val="auto"/>
              </w:rPr>
              <w:t xml:space="preserve">Non-vested stock </w:t>
            </w:r>
            <w:r>
              <w:rPr>
                <w:rFonts w:ascii="Arial" w:cs="Arial" w:eastAsia="Arial" w:hAnsi="Arial"/>
                <w:sz w:val="23"/>
                <w:szCs w:val="23"/>
                <w:color w:val="auto"/>
                <w:vertAlign w:val="superscript"/>
              </w:rPr>
              <w:t>(a)</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0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1"/>
        </w:trPr>
        <w:tc>
          <w:tcPr>
            <w:tcW w:w="7700" w:type="dxa"/>
            <w:vAlign w:val="bottom"/>
            <w:vMerge w:val="restart"/>
          </w:tcPr>
          <w:p>
            <w:pPr>
              <w:spacing w:after="0"/>
              <w:rPr>
                <w:sz w:val="20"/>
                <w:szCs w:val="20"/>
                <w:color w:val="auto"/>
              </w:rPr>
            </w:pPr>
            <w:r>
              <w:rPr>
                <w:rFonts w:ascii="Arial" w:cs="Arial" w:eastAsia="Arial" w:hAnsi="Arial"/>
                <w:sz w:val="18"/>
                <w:szCs w:val="18"/>
                <w:i w:val="1"/>
                <w:iCs w:val="1"/>
                <w:color w:val="auto"/>
              </w:rPr>
              <w:t>Earnings (loss) per share:</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9"/>
        </w:trPr>
        <w:tc>
          <w:tcPr>
            <w:tcW w:w="77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9.96</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39"/>
        </w:trPr>
        <w:tc>
          <w:tcPr>
            <w:tcW w:w="7700" w:type="dxa"/>
            <w:vAlign w:val="bottom"/>
          </w:tcPr>
          <w:p>
            <w:pPr>
              <w:ind w:left="8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113" w:lineRule="exact"/>
        <w:rPr>
          <w:sz w:val="20"/>
          <w:szCs w:val="20"/>
          <w:color w:val="auto"/>
        </w:rPr>
      </w:pPr>
    </w:p>
    <w:p>
      <w:pPr>
        <w:ind w:left="820" w:hanging="326"/>
        <w:spacing w:after="0" w:line="235" w:lineRule="auto"/>
        <w:tabs>
          <w:tab w:leader="none" w:pos="813" w:val="left"/>
        </w:tabs>
        <w:numPr>
          <w:ilvl w:val="1"/>
          <w:numId w:val="11"/>
        </w:numPr>
        <w:rPr>
          <w:rFonts w:ascii="Arial" w:cs="Arial" w:eastAsia="Arial" w:hAnsi="Arial"/>
          <w:sz w:val="21"/>
          <w:szCs w:val="21"/>
          <w:i w:val="1"/>
          <w:iCs w:val="1"/>
          <w:color w:val="auto"/>
          <w:vertAlign w:val="superscript"/>
        </w:rPr>
      </w:pPr>
      <w:r>
        <w:rPr>
          <w:rFonts w:ascii="Arial" w:cs="Arial" w:eastAsia="Arial" w:hAnsi="Arial"/>
          <w:sz w:val="16"/>
          <w:szCs w:val="16"/>
          <w:color w:val="auto"/>
        </w:rPr>
        <w:t>For the three months ended March 31, 2022 and 2021, 0.1 million and 1.1 million non-vested stock awards, respectively, have an anti-dilutive effect and therefore are excluded from the computation of diluted weighted average shares outstanding.</w:t>
      </w:r>
    </w:p>
    <w:p>
      <w:pPr>
        <w:spacing w:after="0" w:line="321" w:lineRule="exact"/>
        <w:rPr>
          <w:rFonts w:ascii="Arial" w:cs="Arial" w:eastAsia="Arial" w:hAnsi="Arial"/>
          <w:sz w:val="21"/>
          <w:szCs w:val="21"/>
          <w:i w:val="1"/>
          <w:iCs w:val="1"/>
          <w:color w:val="auto"/>
          <w:vertAlign w:val="superscript"/>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current assets consisted of:</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300" w:type="dxa"/>
            <w:vAlign w:val="bottom"/>
            <w:vMerge w:val="restart"/>
          </w:tcPr>
          <w:p>
            <w:pPr>
              <w:ind w:left="52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80" w:type="dxa"/>
            <w:vAlign w:val="bottom"/>
            <w:gridSpan w:val="5"/>
          </w:tcPr>
          <w:p>
            <w:pPr>
              <w:jc w:val="center"/>
              <w:ind w:left="57"/>
              <w:spacing w:after="0"/>
              <w:rPr>
                <w:sz w:val="20"/>
                <w:szCs w:val="20"/>
                <w:color w:val="auto"/>
              </w:rPr>
            </w:pPr>
            <w:r>
              <w:rPr>
                <w:rFonts w:ascii="Arial" w:cs="Arial" w:eastAsia="Arial" w:hAnsi="Arial"/>
                <w:sz w:val="18"/>
                <w:szCs w:val="18"/>
                <w:b w:val="1"/>
                <w:bCs w:val="1"/>
                <w:color w:val="auto"/>
                <w:w w:val="99"/>
              </w:rPr>
              <w:t>As of March 31, 2022</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60" w:type="dxa"/>
            <w:vAlign w:val="bottom"/>
            <w:gridSpan w:val="8"/>
          </w:tcPr>
          <w:p>
            <w:pPr>
              <w:jc w:val="right"/>
              <w:ind w:right="560"/>
              <w:spacing w:after="0"/>
              <w:rPr>
                <w:sz w:val="20"/>
                <w:szCs w:val="20"/>
                <w:color w:val="auto"/>
              </w:rPr>
            </w:pPr>
            <w:r>
              <w:rPr>
                <w:rFonts w:ascii="Arial" w:cs="Arial" w:eastAsia="Arial" w:hAnsi="Arial"/>
                <w:sz w:val="18"/>
                <w:szCs w:val="18"/>
                <w:b w:val="1"/>
                <w:bCs w:val="1"/>
                <w:color w:val="auto"/>
              </w:rPr>
              <w:t>As of December 31, 2021</w:t>
            </w:r>
          </w:p>
        </w:tc>
        <w:tc>
          <w:tcPr>
            <w:tcW w:w="0" w:type="dxa"/>
            <w:vAlign w:val="bottom"/>
          </w:tcPr>
          <w:p>
            <w:pPr>
              <w:spacing w:after="0"/>
              <w:rPr>
                <w:sz w:val="1"/>
                <w:szCs w:val="1"/>
                <w:color w:val="auto"/>
              </w:rPr>
            </w:pPr>
          </w:p>
        </w:tc>
      </w:tr>
      <w:tr>
        <w:trPr>
          <w:trHeight w:val="218"/>
        </w:trPr>
        <w:tc>
          <w:tcPr>
            <w:tcW w:w="33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5"/>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Pr>
          <w:p>
            <w:pPr>
              <w:spacing w:after="0"/>
              <w:rPr>
                <w:sz w:val="18"/>
                <w:szCs w:val="18"/>
                <w:color w:val="auto"/>
              </w:rPr>
            </w:pPr>
          </w:p>
        </w:tc>
        <w:tc>
          <w:tcPr>
            <w:tcW w:w="460" w:type="dxa"/>
            <w:vAlign w:val="bottom"/>
            <w:tcBorders>
              <w:top w:val="single" w:sz="8" w:color="auto"/>
            </w:tcBorders>
          </w:tcPr>
          <w:p>
            <w:pPr>
              <w:jc w:val="right"/>
              <w:ind w:right="252"/>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00" w:type="dxa"/>
            <w:vAlign w:val="bottom"/>
          </w:tcPr>
          <w:p>
            <w:pPr>
              <w:ind w:left="520"/>
              <w:spacing w:after="0"/>
              <w:rPr>
                <w:sz w:val="20"/>
                <w:szCs w:val="20"/>
                <w:color w:val="auto"/>
              </w:rPr>
            </w:pPr>
            <w:r>
              <w:rPr>
                <w:rFonts w:ascii="Arial" w:cs="Arial" w:eastAsia="Arial" w:hAnsi="Arial"/>
                <w:sz w:val="18"/>
                <w:szCs w:val="18"/>
                <w:color w:val="auto"/>
              </w:rPr>
              <w:t>Sales and use taxes</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300" w:type="dxa"/>
            <w:vAlign w:val="bottom"/>
          </w:tcPr>
          <w:p>
            <w:pPr>
              <w:ind w:left="5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00" w:type="dxa"/>
            <w:vAlign w:val="bottom"/>
          </w:tcPr>
          <w:p>
            <w:pPr>
              <w:ind w:left="52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8"/>
                <w:szCs w:val="18"/>
                <w:b w:val="1"/>
                <w:bCs w:val="1"/>
                <w:color w:val="auto"/>
              </w:rPr>
              <w:t>6.  Intangible Assets</w:t>
            </w: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2"/>
        </w:trPr>
        <w:tc>
          <w:tcPr>
            <w:tcW w:w="33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3300" w:type="dxa"/>
            <w:vAlign w:val="bottom"/>
          </w:tcPr>
          <w:p>
            <w:pPr>
              <w:ind w:left="500"/>
              <w:spacing w:after="0"/>
              <w:rPr>
                <w:sz w:val="20"/>
                <w:szCs w:val="20"/>
                <w:color w:val="auto"/>
              </w:rPr>
            </w:pPr>
            <w:r>
              <w:rPr>
                <w:rFonts w:ascii="Arial" w:cs="Arial" w:eastAsia="Arial" w:hAnsi="Arial"/>
                <w:sz w:val="18"/>
                <w:szCs w:val="18"/>
                <w:color w:val="auto"/>
              </w:rPr>
              <w:t>Intangible assets consisted of:</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ind w:left="820"/>
              <w:spacing w:after="0"/>
              <w:rPr>
                <w:sz w:val="20"/>
                <w:szCs w:val="20"/>
                <w:color w:val="auto"/>
              </w:rPr>
            </w:pPr>
            <w:r>
              <w:rPr>
                <w:rFonts w:ascii="Arial" w:cs="Arial" w:eastAsia="Arial" w:hAnsi="Arial"/>
                <w:sz w:val="16"/>
                <w:szCs w:val="16"/>
                <w:b w:val="1"/>
                <w:bCs w:val="1"/>
                <w:color w:val="auto"/>
              </w:rPr>
              <w:t>As of March 31, 2022</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As of December 31, 2021</w:t>
            </w:r>
          </w:p>
        </w:tc>
        <w:tc>
          <w:tcPr>
            <w:tcW w:w="5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3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3"/>
                <w:szCs w:val="13"/>
                <w:color w:val="auto"/>
              </w:rPr>
            </w:pPr>
          </w:p>
        </w:tc>
        <w:tc>
          <w:tcPr>
            <w:tcW w:w="820" w:type="dxa"/>
            <w:vAlign w:val="bottom"/>
          </w:tcPr>
          <w:p>
            <w:pPr>
              <w:jc w:val="center"/>
              <w:ind w:right="39"/>
              <w:spacing w:after="0" w:line="155" w:lineRule="exact"/>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3"/>
                <w:szCs w:val="13"/>
                <w:color w:val="auto"/>
              </w:rPr>
            </w:pPr>
          </w:p>
        </w:tc>
        <w:tc>
          <w:tcPr>
            <w:tcW w:w="1080" w:type="dxa"/>
            <w:vAlign w:val="bottom"/>
            <w:gridSpan w:val="3"/>
          </w:tcPr>
          <w:p>
            <w:pPr>
              <w:jc w:val="center"/>
              <w:spacing w:after="0" w:line="155" w:lineRule="exact"/>
              <w:rPr>
                <w:sz w:val="20"/>
                <w:szCs w:val="20"/>
                <w:color w:val="auto"/>
              </w:rPr>
            </w:pPr>
            <w:r>
              <w:rPr>
                <w:rFonts w:ascii="Arial" w:cs="Arial" w:eastAsia="Arial" w:hAnsi="Arial"/>
                <w:sz w:val="16"/>
                <w:szCs w:val="16"/>
                <w:b w:val="1"/>
                <w:bCs w:val="1"/>
                <w:color w:val="auto"/>
                <w:w w:val="99"/>
              </w:rPr>
              <w:t>Gross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3"/>
                <w:szCs w:val="13"/>
                <w:color w:val="auto"/>
              </w:rPr>
            </w:pPr>
          </w:p>
        </w:tc>
        <w:tc>
          <w:tcPr>
            <w:tcW w:w="800" w:type="dxa"/>
            <w:vAlign w:val="bottom"/>
            <w:gridSpan w:val="2"/>
          </w:tcPr>
          <w:p>
            <w:pPr>
              <w:jc w:val="center"/>
              <w:ind w:right="140"/>
              <w:spacing w:after="0" w:line="155" w:lineRule="exact"/>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Carrying</w:t>
            </w:r>
          </w:p>
        </w:tc>
        <w:tc>
          <w:tcPr>
            <w:tcW w:w="1080" w:type="dxa"/>
            <w:vAlign w:val="bottom"/>
            <w:gridSpan w:val="3"/>
          </w:tcPr>
          <w:p>
            <w:pPr>
              <w:jc w:val="center"/>
              <w:spacing w:after="0" w:line="162" w:lineRule="exact"/>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216"/>
        </w:trPr>
        <w:tc>
          <w:tcPr>
            <w:tcW w:w="3300" w:type="dxa"/>
            <w:vAlign w:val="bottom"/>
            <w:vMerge w:val="restart"/>
          </w:tcPr>
          <w:p>
            <w:pPr>
              <w:ind w:left="520"/>
              <w:spacing w:after="0"/>
              <w:rPr>
                <w:sz w:val="20"/>
                <w:szCs w:val="20"/>
                <w:color w:val="auto"/>
              </w:rPr>
            </w:pPr>
            <w:r>
              <w:rPr>
                <w:rFonts w:ascii="Arial" w:cs="Arial" w:eastAsia="Arial" w:hAnsi="Arial"/>
                <w:sz w:val="16"/>
                <w:szCs w:val="16"/>
                <w:i w:val="1"/>
                <w:iCs w:val="1"/>
                <w:color w:val="auto"/>
              </w:rPr>
              <w:t>Amortized Intangible Assets</w:t>
            </w:r>
          </w:p>
        </w:tc>
        <w:tc>
          <w:tcPr>
            <w:tcW w:w="160" w:type="dxa"/>
            <w:vAlign w:val="bottom"/>
          </w:tcPr>
          <w:p>
            <w:pPr>
              <w:spacing w:after="0"/>
              <w:rPr>
                <w:sz w:val="18"/>
                <w:szCs w:val="18"/>
                <w:color w:val="auto"/>
              </w:rPr>
            </w:pPr>
          </w:p>
        </w:tc>
        <w:tc>
          <w:tcPr>
            <w:tcW w:w="92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10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Amount</w:t>
            </w:r>
          </w:p>
        </w:tc>
        <w:tc>
          <w:tcPr>
            <w:tcW w:w="1080" w:type="dxa"/>
            <w:vAlign w:val="bottom"/>
            <w:gridSpan w:val="3"/>
          </w:tcPr>
          <w:p>
            <w:pPr>
              <w:jc w:val="center"/>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8"/>
                <w:szCs w:val="18"/>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194"/>
        </w:trPr>
        <w:tc>
          <w:tcPr>
            <w:tcW w:w="330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520"/>
              <w:spacing w:after="0"/>
              <w:rPr>
                <w:sz w:val="20"/>
                <w:szCs w:val="20"/>
                <w:color w:val="auto"/>
              </w:rPr>
            </w:pPr>
            <w:r>
              <w:rPr>
                <w:rFonts w:ascii="Arial" w:cs="Arial" w:eastAsia="Arial" w:hAnsi="Arial"/>
                <w:sz w:val="16"/>
                <w:szCs w:val="16"/>
                <w:color w:val="auto"/>
              </w:rPr>
              <w:t>License agreements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295</w:t>
            </w:r>
          </w:p>
        </w:tc>
        <w:tc>
          <w:tcPr>
            <w:tcW w:w="520" w:type="dxa"/>
            <w:vAlign w:val="bottom"/>
            <w:gridSpan w:val="3"/>
          </w:tcPr>
          <w:p>
            <w:pPr>
              <w:jc w:val="right"/>
              <w:ind w:right="215"/>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460" w:type="dxa"/>
            <w:vAlign w:val="bottom"/>
          </w:tcPr>
          <w:p>
            <w:pPr>
              <w:jc w:val="right"/>
              <w:ind w:right="256"/>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298</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6"/>
        </w:trPr>
        <w:tc>
          <w:tcPr>
            <w:tcW w:w="3300" w:type="dxa"/>
            <w:vAlign w:val="bottom"/>
          </w:tcPr>
          <w:p>
            <w:pPr>
              <w:ind w:left="520"/>
              <w:spacing w:after="0"/>
              <w:rPr>
                <w:sz w:val="20"/>
                <w:szCs w:val="20"/>
                <w:color w:val="auto"/>
              </w:rPr>
            </w:pPr>
            <w:r>
              <w:rPr>
                <w:rFonts w:ascii="Arial" w:cs="Arial" w:eastAsia="Arial" w:hAnsi="Arial"/>
                <w:sz w:val="16"/>
                <w:szCs w:val="16"/>
                <w:color w:val="auto"/>
              </w:rPr>
              <w:t>Customer relationships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7"/>
        </w:trPr>
        <w:tc>
          <w:tcPr>
            <w:tcW w:w="3300" w:type="dxa"/>
            <w:vAlign w:val="bottom"/>
          </w:tcPr>
          <w:p>
            <w:pPr>
              <w:ind w:left="5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0"/>
        </w:trPr>
        <w:tc>
          <w:tcPr>
            <w:tcW w:w="3300" w:type="dxa"/>
            <w:vAlign w:val="bottom"/>
          </w:tcPr>
          <w:p>
            <w:pPr>
              <w:ind w:left="5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w:t>
            </w:r>
          </w:p>
        </w:tc>
        <w:tc>
          <w:tcPr>
            <w:tcW w:w="100" w:type="dxa"/>
            <w:vAlign w:val="bottom"/>
          </w:tcPr>
          <w:p>
            <w:pPr>
              <w:spacing w:after="0"/>
              <w:rPr>
                <w:sz w:val="18"/>
                <w:szCs w:val="18"/>
                <w:color w:val="auto"/>
              </w:rPr>
            </w:pPr>
          </w:p>
        </w:tc>
        <w:tc>
          <w:tcPr>
            <w:tcW w:w="420" w:type="dxa"/>
            <w:vAlign w:val="bottom"/>
            <w:tcBorders>
              <w:bottom w:val="single" w:sz="8" w:color="auto"/>
            </w:tcBorders>
            <w:gridSpan w:val="2"/>
          </w:tcPr>
          <w:p>
            <w:pPr>
              <w:jc w:val="right"/>
              <w:ind w:right="215"/>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56"/>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606</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0"/>
        </w:trPr>
        <w:tc>
          <w:tcPr>
            <w:tcW w:w="3300" w:type="dxa"/>
            <w:vAlign w:val="bottom"/>
            <w:vMerge w:val="restart"/>
          </w:tcPr>
          <w:p>
            <w:pPr>
              <w:ind w:left="520"/>
              <w:spacing w:after="0"/>
              <w:rPr>
                <w:sz w:val="20"/>
                <w:szCs w:val="20"/>
                <w:color w:val="auto"/>
              </w:rPr>
            </w:pPr>
            <w:r>
              <w:rPr>
                <w:rFonts w:ascii="Arial" w:cs="Arial" w:eastAsia="Arial" w:hAnsi="Arial"/>
                <w:sz w:val="16"/>
                <w:szCs w:val="16"/>
                <w:i w:val="1"/>
                <w:iCs w:val="1"/>
                <w:color w:val="auto"/>
              </w:rPr>
              <w:t>Unamortized Intangible Assets</w:t>
            </w: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300" w:type="dxa"/>
            <w:vAlign w:val="bottom"/>
            <w:vMerge w:val="continue"/>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1,096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vMerge w:val="restart"/>
          </w:tcPr>
          <w:p>
            <w:pPr>
              <w:jc w:val="right"/>
              <w:ind w:right="256"/>
              <w:spacing w:after="0"/>
              <w:rPr>
                <w:sz w:val="20"/>
                <w:szCs w:val="20"/>
                <w:color w:val="auto"/>
              </w:rPr>
            </w:pPr>
            <w:r>
              <w:rPr>
                <w:rFonts w:ascii="Arial" w:cs="Arial" w:eastAsia="Arial" w:hAnsi="Arial"/>
                <w:sz w:val="16"/>
                <w:szCs w:val="16"/>
                <w:color w:val="auto"/>
              </w:rPr>
              <w:t>$</w:t>
            </w:r>
          </w:p>
        </w:tc>
        <w:tc>
          <w:tcPr>
            <w:tcW w:w="620" w:type="dxa"/>
            <w:vAlign w:val="bottom"/>
            <w:gridSpan w:val="2"/>
            <w:vMerge w:val="restart"/>
          </w:tcPr>
          <w:p>
            <w:pPr>
              <w:jc w:val="right"/>
              <w:spacing w:after="0"/>
              <w:rPr>
                <w:sz w:val="20"/>
                <w:szCs w:val="20"/>
                <w:color w:val="auto"/>
              </w:rPr>
            </w:pPr>
            <w:r>
              <w:rPr>
                <w:rFonts w:ascii="Arial" w:cs="Arial" w:eastAsia="Arial" w:hAnsi="Arial"/>
                <w:sz w:val="16"/>
                <w:szCs w:val="16"/>
                <w:color w:val="auto"/>
              </w:rPr>
              <w:t>1,108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300" w:type="dxa"/>
            <w:vAlign w:val="bottom"/>
          </w:tcPr>
          <w:p>
            <w:pPr>
              <w:ind w:left="520"/>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300" w:type="dxa"/>
            <w:vAlign w:val="bottom"/>
          </w:tcPr>
          <w:p>
            <w:pPr>
              <w:ind w:left="520"/>
              <w:spacing w:after="0"/>
              <w:rPr>
                <w:sz w:val="20"/>
                <w:szCs w:val="20"/>
                <w:color w:val="auto"/>
              </w:rPr>
            </w:pPr>
            <w:r>
              <w:rPr>
                <w:rFonts w:ascii="Arial" w:cs="Arial" w:eastAsia="Arial" w:hAnsi="Arial"/>
                <w:sz w:val="16"/>
                <w:szCs w:val="16"/>
                <w:color w:val="auto"/>
              </w:rPr>
              <w:t>Trademarks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56"/>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6"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For the three months ended March 31, 2022 and 2021, amortization expense related to amortizable intangible assets was approximately $16 million and $18 million, respectively. Based on our amortizable intangible assets at March 31, 2022, we expect amortization expense of approximately $30 million for the remainder of 2022, $27 million for 2023, $23 million for 2024, $16 million for 2025, $15 million for 2026 and $12 million for 2027, excluding effects of currency exchange rates.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Vehicle Rental Activities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vehicles, net within assets under vehicle programs were as follows:</w:t>
      </w:r>
    </w:p>
    <w:p>
      <w:pPr>
        <w:spacing w:after="0" w:line="54"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6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As of</w:t>
            </w: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As of</w:t>
            </w:r>
          </w:p>
        </w:tc>
      </w:tr>
      <w:tr>
        <w:trPr>
          <w:trHeight w:val="216"/>
        </w:trPr>
        <w:tc>
          <w:tcPr>
            <w:tcW w:w="6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8"/>
                <w:szCs w:val="18"/>
                <w:color w:val="auto"/>
              </w:rPr>
            </w:pPr>
          </w:p>
        </w:tc>
        <w:tc>
          <w:tcPr>
            <w:tcW w:w="1440" w:type="dxa"/>
            <w:vAlign w:val="bottom"/>
          </w:tcPr>
          <w:p>
            <w:pPr>
              <w:jc w:val="center"/>
              <w:ind w:right="139"/>
              <w:spacing w:after="0"/>
              <w:rPr>
                <w:sz w:val="20"/>
                <w:szCs w:val="20"/>
                <w:color w:val="auto"/>
              </w:rPr>
            </w:pPr>
            <w:r>
              <w:rPr>
                <w:rFonts w:ascii="Arial" w:cs="Arial" w:eastAsia="Arial" w:hAnsi="Arial"/>
                <w:sz w:val="16"/>
                <w:szCs w:val="16"/>
                <w:b w:val="1"/>
                <w:bCs w:val="1"/>
                <w:color w:val="auto"/>
              </w:rPr>
              <w:t>December 31,</w:t>
            </w:r>
          </w:p>
        </w:tc>
      </w:tr>
      <w:tr>
        <w:trPr>
          <w:trHeight w:val="217"/>
        </w:trPr>
        <w:tc>
          <w:tcPr>
            <w:tcW w:w="67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2021</w:t>
            </w:r>
          </w:p>
        </w:tc>
      </w:tr>
      <w:tr>
        <w:trPr>
          <w:trHeight w:val="208"/>
        </w:trPr>
        <w:tc>
          <w:tcPr>
            <w:tcW w:w="6720" w:type="dxa"/>
            <w:vAlign w:val="bottom"/>
          </w:tcPr>
          <w:p>
            <w:pPr>
              <w:spacing w:after="0"/>
              <w:rPr>
                <w:sz w:val="20"/>
                <w:szCs w:val="20"/>
                <w:color w:val="auto"/>
              </w:rPr>
            </w:pPr>
            <w:r>
              <w:rPr>
                <w:rFonts w:ascii="Arial" w:cs="Arial" w:eastAsia="Arial" w:hAnsi="Arial"/>
                <w:sz w:val="16"/>
                <w:szCs w:val="16"/>
                <w:color w:val="auto"/>
              </w:rPr>
              <w:t>Rental vehicles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15,768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14,612</w:t>
            </w:r>
          </w:p>
        </w:tc>
      </w:tr>
      <w:tr>
        <w:trPr>
          <w:trHeight w:val="216"/>
        </w:trPr>
        <w:tc>
          <w:tcPr>
            <w:tcW w:w="6720" w:type="dxa"/>
            <w:vAlign w:val="bottom"/>
          </w:tcPr>
          <w:p>
            <w:pPr>
              <w:spacing w:after="0"/>
              <w:rPr>
                <w:sz w:val="20"/>
                <w:szCs w:val="20"/>
                <w:color w:val="auto"/>
              </w:rPr>
            </w:pPr>
            <w:r>
              <w:rPr>
                <w:rFonts w:ascii="Arial" w:cs="Arial" w:eastAsia="Arial" w:hAnsi="Arial"/>
                <w:sz w:val="16"/>
                <w:szCs w:val="16"/>
                <w:color w:val="auto"/>
              </w:rPr>
              <w:t>Less: Accumulated depreciation</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(1,911)</w:t>
            </w:r>
          </w:p>
        </w:tc>
      </w:tr>
      <w:tr>
        <w:trPr>
          <w:trHeight w:val="209"/>
        </w:trPr>
        <w:tc>
          <w:tcPr>
            <w:tcW w:w="6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13,813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12,701</w:t>
            </w:r>
          </w:p>
        </w:tc>
      </w:tr>
      <w:tr>
        <w:trPr>
          <w:trHeight w:val="216"/>
        </w:trPr>
        <w:tc>
          <w:tcPr>
            <w:tcW w:w="6720" w:type="dxa"/>
            <w:vAlign w:val="bottom"/>
          </w:tcPr>
          <w:p>
            <w:pPr>
              <w:spacing w:after="0"/>
              <w:rPr>
                <w:sz w:val="20"/>
                <w:szCs w:val="20"/>
                <w:color w:val="auto"/>
              </w:rPr>
            </w:pPr>
            <w:r>
              <w:rPr>
                <w:rFonts w:ascii="Arial" w:cs="Arial" w:eastAsia="Arial" w:hAnsi="Arial"/>
                <w:sz w:val="16"/>
                <w:szCs w:val="16"/>
                <w:color w:val="auto"/>
              </w:rPr>
              <w:t>Vehicles held for sale</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r>
      <w:tr>
        <w:trPr>
          <w:trHeight w:val="210"/>
        </w:trPr>
        <w:tc>
          <w:tcPr>
            <w:tcW w:w="6720" w:type="dxa"/>
            <w:vAlign w:val="bottom"/>
          </w:tcPr>
          <w:p>
            <w:pPr>
              <w:spacing w:after="0"/>
              <w:rPr>
                <w:sz w:val="20"/>
                <w:szCs w:val="20"/>
                <w:color w:val="auto"/>
              </w:rPr>
            </w:pPr>
            <w:r>
              <w:rPr>
                <w:rFonts w:ascii="Arial" w:cs="Arial" w:eastAsia="Arial" w:hAnsi="Arial"/>
                <w:sz w:val="16"/>
                <w:szCs w:val="16"/>
                <w:color w:val="auto"/>
              </w:rPr>
              <w:t>Vehicles, net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13,987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12,866</w:t>
            </w:r>
          </w:p>
        </w:tc>
      </w:tr>
      <w:tr>
        <w:trPr>
          <w:trHeight w:val="21"/>
        </w:trPr>
        <w:tc>
          <w:tcPr>
            <w:tcW w:w="6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vehicle depreciation and lease charges, net are summarized below:</w:t>
      </w:r>
    </w:p>
    <w:p>
      <w:pPr>
        <w:spacing w:after="0" w:line="48" w:lineRule="exact"/>
        <w:rPr>
          <w:sz w:val="20"/>
          <w:szCs w:val="20"/>
          <w:color w:val="auto"/>
        </w:rPr>
      </w:pPr>
    </w:p>
    <w:p>
      <w:pPr>
        <w:jc w:val="center"/>
        <w:ind w:left="6520"/>
        <w:spacing w:after="0"/>
        <w:rPr>
          <w:sz w:val="20"/>
          <w:szCs w:val="20"/>
          <w:color w:val="auto"/>
        </w:rPr>
      </w:pPr>
      <w:r>
        <w:rPr>
          <w:rFonts w:ascii="Arial" w:cs="Arial" w:eastAsia="Arial" w:hAnsi="Arial"/>
          <w:sz w:val="16"/>
          <w:szCs w:val="16"/>
          <w:b w:val="1"/>
          <w:bCs w:val="1"/>
          <w:color w:val="auto"/>
        </w:rPr>
        <w:t>Three Months Ended</w:t>
      </w:r>
    </w:p>
    <w:p>
      <w:pPr>
        <w:jc w:val="center"/>
        <w:ind w:left="656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520" w:type="dxa"/>
        <w:tblCellMar>
          <w:top w:w="0" w:type="dxa"/>
          <w:left w:w="0" w:type="dxa"/>
          <w:bottom w:w="0" w:type="dxa"/>
          <w:right w:w="0" w:type="dxa"/>
        </w:tblCellMar>
      </w:tblPr>
      <w:tr>
        <w:trPr>
          <w:trHeight w:val="209"/>
        </w:trPr>
        <w:tc>
          <w:tcPr>
            <w:tcW w:w="67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r>
      <w:tr>
        <w:trPr>
          <w:trHeight w:val="208"/>
        </w:trPr>
        <w:tc>
          <w:tcPr>
            <w:tcW w:w="6720" w:type="dxa"/>
            <w:vAlign w:val="bottom"/>
          </w:tcPr>
          <w:p>
            <w:pPr>
              <w:spacing w:after="0"/>
              <w:rPr>
                <w:sz w:val="20"/>
                <w:szCs w:val="20"/>
                <w:color w:val="auto"/>
              </w:rPr>
            </w:pPr>
            <w:r>
              <w:rPr>
                <w:rFonts w:ascii="Arial" w:cs="Arial" w:eastAsia="Arial" w:hAnsi="Arial"/>
                <w:sz w:val="16"/>
                <w:szCs w:val="16"/>
                <w:color w:val="auto"/>
              </w:rPr>
              <w:t>Depreciation expense</w:t>
            </w:r>
          </w:p>
        </w:tc>
        <w:tc>
          <w:tcPr>
            <w:tcW w:w="1100" w:type="dxa"/>
            <w:vAlign w:val="bottom"/>
          </w:tcPr>
          <w:p>
            <w:pPr>
              <w:jc w:val="right"/>
              <w:ind w:right="89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259</w:t>
            </w:r>
          </w:p>
        </w:tc>
      </w:tr>
      <w:tr>
        <w:trPr>
          <w:trHeight w:val="215"/>
        </w:trPr>
        <w:tc>
          <w:tcPr>
            <w:tcW w:w="6720" w:type="dxa"/>
            <w:vAlign w:val="bottom"/>
          </w:tcPr>
          <w:p>
            <w:pPr>
              <w:spacing w:after="0"/>
              <w:rPr>
                <w:sz w:val="20"/>
                <w:szCs w:val="20"/>
                <w:color w:val="auto"/>
              </w:rPr>
            </w:pPr>
            <w:r>
              <w:rPr>
                <w:rFonts w:ascii="Arial" w:cs="Arial" w:eastAsia="Arial" w:hAnsi="Arial"/>
                <w:sz w:val="16"/>
                <w:szCs w:val="16"/>
                <w:color w:val="auto"/>
              </w:rPr>
              <w:t>Lease charges</w:t>
            </w:r>
          </w:p>
        </w:tc>
        <w:tc>
          <w:tcPr>
            <w:tcW w:w="1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7"/>
        </w:trPr>
        <w:tc>
          <w:tcPr>
            <w:tcW w:w="6720" w:type="dxa"/>
            <w:vAlign w:val="bottom"/>
          </w:tcPr>
          <w:p>
            <w:pPr>
              <w:spacing w:after="0"/>
              <w:rPr>
                <w:sz w:val="20"/>
                <w:szCs w:val="20"/>
                <w:color w:val="auto"/>
              </w:rPr>
            </w:pPr>
            <w:r>
              <w:rPr>
                <w:rFonts w:ascii="Arial" w:cs="Arial" w:eastAsia="Arial" w:hAnsi="Arial"/>
                <w:sz w:val="16"/>
                <w:szCs w:val="16"/>
                <w:color w:val="auto"/>
              </w:rPr>
              <w:t>(Gain) loss on sale of vehicles, net</w:t>
            </w:r>
          </w:p>
        </w:tc>
        <w:tc>
          <w:tcPr>
            <w:tcW w:w="1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r>
      <w:tr>
        <w:trPr>
          <w:trHeight w:val="211"/>
        </w:trPr>
        <w:tc>
          <w:tcPr>
            <w:tcW w:w="6720" w:type="dxa"/>
            <w:vAlign w:val="bottom"/>
          </w:tcPr>
          <w:p>
            <w:pPr>
              <w:spacing w:after="0"/>
              <w:rPr>
                <w:sz w:val="20"/>
                <w:szCs w:val="20"/>
                <w:color w:val="auto"/>
              </w:rPr>
            </w:pPr>
            <w:r>
              <w:rPr>
                <w:rFonts w:ascii="Arial" w:cs="Arial" w:eastAsia="Arial" w:hAnsi="Arial"/>
                <w:sz w:val="16"/>
                <w:szCs w:val="16"/>
                <w:color w:val="auto"/>
              </w:rPr>
              <w:t>Vehicle depreciation and lease charges, net</w:t>
            </w:r>
          </w:p>
        </w:tc>
        <w:tc>
          <w:tcPr>
            <w:tcW w:w="110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w:t>
            </w:r>
          </w:p>
        </w:tc>
      </w:tr>
      <w:tr>
        <w:trPr>
          <w:trHeight w:val="21"/>
        </w:trPr>
        <w:tc>
          <w:tcPr>
            <w:tcW w:w="67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At March 31, 2022 and 2021, we had payables related to vehicle purchases included in liabilities under vehicle programs - other of $150 million and $344 million, respectively, and receivables related to vehicle sales included in assets under vehicle programs - receivables from vehicle manufacturers and other of $64 million and $195 million, respectively.</w:t>
      </w:r>
    </w:p>
    <w:p>
      <w:pPr>
        <w:spacing w:after="0" w:line="198"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2"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Our effective tax rate for the three months ended March 31, 2022 and 2021 were provision and (benefit) of 24.2% and (32.0)%, respectively. Such rates differed from the Federal Statutory rate of 21.0% primarily due to foreign taxes on our International operations and state taxes.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300" w:type="dxa"/>
            <w:vAlign w:val="bottom"/>
          </w:tcPr>
          <w:p>
            <w:pPr>
              <w:spacing w:after="0"/>
              <w:rPr>
                <w:sz w:val="20"/>
                <w:szCs w:val="20"/>
                <w:color w:val="auto"/>
              </w:rPr>
            </w:pPr>
            <w:r>
              <w:rPr>
                <w:rFonts w:ascii="Arial" w:cs="Arial" w:eastAsia="Arial" w:hAnsi="Arial"/>
                <w:sz w:val="18"/>
                <w:szCs w:val="18"/>
                <w:b w:val="1"/>
                <w:bCs w:val="1"/>
                <w:color w:val="auto"/>
              </w:rPr>
              <w:t>9.  Accounts Payable and Other Current Liabilities</w:t>
            </w: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1"/>
        </w:trPr>
        <w:tc>
          <w:tcPr>
            <w:tcW w:w="7300" w:type="dxa"/>
            <w:vAlign w:val="bottom"/>
          </w:tcPr>
          <w:p>
            <w:pPr>
              <w:ind w:left="500"/>
              <w:spacing w:after="0"/>
              <w:rPr>
                <w:sz w:val="20"/>
                <w:szCs w:val="20"/>
                <w:color w:val="auto"/>
              </w:rPr>
            </w:pPr>
            <w:r>
              <w:rPr>
                <w:rFonts w:ascii="Arial" w:cs="Arial" w:eastAsia="Arial" w:hAnsi="Arial"/>
                <w:sz w:val="18"/>
                <w:szCs w:val="18"/>
                <w:color w:val="auto"/>
              </w:rPr>
              <w:t>Accounts payable and other current liabilities consisted of:</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7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1"/>
                <w:szCs w:val="21"/>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As of</w:t>
            </w:r>
          </w:p>
        </w:tc>
        <w:tc>
          <w:tcPr>
            <w:tcW w:w="0" w:type="dxa"/>
            <w:vAlign w:val="bottom"/>
          </w:tcPr>
          <w:p>
            <w:pPr>
              <w:spacing w:after="0"/>
              <w:rPr>
                <w:sz w:val="1"/>
                <w:szCs w:val="1"/>
                <w:color w:val="auto"/>
              </w:rPr>
            </w:pPr>
          </w:p>
        </w:tc>
      </w:tr>
      <w:tr>
        <w:trPr>
          <w:trHeight w:val="230"/>
        </w:trPr>
        <w:tc>
          <w:tcPr>
            <w:tcW w:w="7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8"/>
              </w:rPr>
              <w:t>March 31,</w:t>
            </w:r>
          </w:p>
        </w:tc>
        <w:tc>
          <w:tcPr>
            <w:tcW w:w="180" w:type="dxa"/>
            <w:vAlign w:val="bottom"/>
          </w:tcPr>
          <w:p>
            <w:pPr>
              <w:spacing w:after="0"/>
              <w:rPr>
                <w:sz w:val="19"/>
                <w:szCs w:val="19"/>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35"/>
        </w:trPr>
        <w:tc>
          <w:tcPr>
            <w:tcW w:w="7300" w:type="dxa"/>
            <w:vAlign w:val="bottom"/>
            <w:vMerge w:val="restart"/>
          </w:tcPr>
          <w:p>
            <w:pPr>
              <w:ind w:left="520"/>
              <w:spacing w:after="0"/>
              <w:rPr>
                <w:sz w:val="20"/>
                <w:szCs w:val="20"/>
                <w:color w:val="auto"/>
              </w:rPr>
            </w:pPr>
            <w:r>
              <w:rPr>
                <w:rFonts w:ascii="Arial" w:cs="Arial" w:eastAsia="Arial" w:hAnsi="Arial"/>
                <w:sz w:val="18"/>
                <w:szCs w:val="18"/>
                <w:color w:val="auto"/>
              </w:rPr>
              <w:t>Short-term operating lease liabilities</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218"/>
        </w:trPr>
        <w:tc>
          <w:tcPr>
            <w:tcW w:w="7300" w:type="dxa"/>
            <w:vAlign w:val="bottom"/>
            <w:vMerge w:val="continue"/>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29"/>
        </w:trPr>
        <w:tc>
          <w:tcPr>
            <w:tcW w:w="7300" w:type="dxa"/>
            <w:vAlign w:val="bottom"/>
          </w:tcPr>
          <w:p>
            <w:pPr>
              <w:ind w:left="52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30"/>
        </w:trPr>
        <w:tc>
          <w:tcPr>
            <w:tcW w:w="7300" w:type="dxa"/>
            <w:vAlign w:val="bottom"/>
          </w:tcPr>
          <w:p>
            <w:pPr>
              <w:ind w:left="520"/>
              <w:spacing w:after="0"/>
              <w:rPr>
                <w:sz w:val="20"/>
                <w:szCs w:val="20"/>
                <w:color w:val="auto"/>
              </w:rPr>
            </w:pPr>
            <w:r>
              <w:rPr>
                <w:rFonts w:ascii="Arial" w:cs="Arial" w:eastAsia="Arial" w:hAnsi="Arial"/>
                <w:sz w:val="18"/>
                <w:szCs w:val="18"/>
                <w:color w:val="auto"/>
              </w:rPr>
              <w:t>Deferred lease revenues - current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30"/>
        </w:trPr>
        <w:tc>
          <w:tcPr>
            <w:tcW w:w="7300" w:type="dxa"/>
            <w:vAlign w:val="bottom"/>
          </w:tcPr>
          <w:p>
            <w:pPr>
              <w:ind w:left="520"/>
              <w:spacing w:after="0"/>
              <w:rPr>
                <w:sz w:val="20"/>
                <w:szCs w:val="20"/>
                <w:color w:val="auto"/>
              </w:rPr>
            </w:pPr>
            <w:r>
              <w:rPr>
                <w:rFonts w:ascii="Arial" w:cs="Arial" w:eastAsia="Arial" w:hAnsi="Arial"/>
                <w:sz w:val="18"/>
                <w:szCs w:val="18"/>
                <w:color w:val="auto"/>
              </w:rPr>
              <w:t>Accrued advertising and marketing</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0"/>
        </w:trPr>
        <w:tc>
          <w:tcPr>
            <w:tcW w:w="7300" w:type="dxa"/>
            <w:vAlign w:val="bottom"/>
          </w:tcPr>
          <w:p>
            <w:pPr>
              <w:ind w:left="520"/>
              <w:spacing w:after="0"/>
              <w:rPr>
                <w:sz w:val="20"/>
                <w:szCs w:val="20"/>
                <w:color w:val="auto"/>
              </w:rPr>
            </w:pPr>
            <w:r>
              <w:rPr>
                <w:rFonts w:ascii="Arial" w:cs="Arial" w:eastAsia="Arial" w:hAnsi="Arial"/>
                <w:sz w:val="18"/>
                <w:szCs w:val="18"/>
                <w:color w:val="auto"/>
              </w:rPr>
              <w:t>Accrued sales and use taxes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9"/>
        </w:trPr>
        <w:tc>
          <w:tcPr>
            <w:tcW w:w="7300" w:type="dxa"/>
            <w:vAlign w:val="bottom"/>
          </w:tcPr>
          <w:p>
            <w:pPr>
              <w:ind w:left="520"/>
              <w:spacing w:after="0"/>
              <w:rPr>
                <w:sz w:val="20"/>
                <w:szCs w:val="20"/>
                <w:color w:val="auto"/>
              </w:rPr>
            </w:pPr>
            <w:r>
              <w:rPr>
                <w:rFonts w:ascii="Arial" w:cs="Arial" w:eastAsia="Arial" w:hAnsi="Arial"/>
                <w:sz w:val="18"/>
                <w:szCs w:val="18"/>
                <w:color w:val="auto"/>
              </w:rPr>
              <w:t>Accrued payroll and related</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0"/>
        </w:trPr>
        <w:tc>
          <w:tcPr>
            <w:tcW w:w="7300" w:type="dxa"/>
            <w:vAlign w:val="bottom"/>
          </w:tcPr>
          <w:p>
            <w:pPr>
              <w:ind w:left="520"/>
              <w:spacing w:after="0"/>
              <w:rPr>
                <w:sz w:val="20"/>
                <w:szCs w:val="20"/>
                <w:color w:val="auto"/>
              </w:rPr>
            </w:pPr>
            <w:r>
              <w:rPr>
                <w:rFonts w:ascii="Arial" w:cs="Arial" w:eastAsia="Arial" w:hAnsi="Arial"/>
                <w:sz w:val="18"/>
                <w:szCs w:val="18"/>
                <w:color w:val="auto"/>
              </w:rPr>
              <w:t>Public liability and property damage insurance liabilities - current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5"/>
        </w:trPr>
        <w:tc>
          <w:tcPr>
            <w:tcW w:w="7300" w:type="dxa"/>
            <w:vAlign w:val="bottom"/>
          </w:tcPr>
          <w:p>
            <w:pPr>
              <w:ind w:left="5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23"/>
        </w:trPr>
        <w:tc>
          <w:tcPr>
            <w:tcW w:w="7300" w:type="dxa"/>
            <w:vAlign w:val="bottom"/>
          </w:tcPr>
          <w:p>
            <w:pPr>
              <w:ind w:left="520"/>
              <w:spacing w:after="0"/>
              <w:rPr>
                <w:sz w:val="20"/>
                <w:szCs w:val="20"/>
                <w:color w:val="auto"/>
              </w:rPr>
            </w:pPr>
            <w:r>
              <w:rPr>
                <w:rFonts w:ascii="Arial" w:cs="Arial" w:eastAsia="Arial" w:hAnsi="Arial"/>
                <w:sz w:val="18"/>
                <w:szCs w:val="18"/>
                <w:color w:val="auto"/>
              </w:rPr>
              <w:t>Accounts payable and other current liabilities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Long-term Corporate Debt and Borrowing Arrangements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corporate debt and borrowing arrangements consisted of:</w:t>
      </w:r>
    </w:p>
    <w:p>
      <w:pPr>
        <w:spacing w:after="0" w:line="54"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As of</w:t>
            </w:r>
          </w:p>
        </w:tc>
        <w:tc>
          <w:tcPr>
            <w:tcW w:w="200" w:type="dxa"/>
            <w:vAlign w:val="bottom"/>
          </w:tcPr>
          <w:p>
            <w:pPr>
              <w:spacing w:after="0"/>
              <w:rPr>
                <w:sz w:val="18"/>
                <w:szCs w:val="18"/>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As of</w:t>
            </w:r>
          </w:p>
        </w:tc>
      </w:tr>
      <w:tr>
        <w:trPr>
          <w:trHeight w:val="217"/>
        </w:trPr>
        <w:tc>
          <w:tcPr>
            <w:tcW w:w="508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Maturity</w:t>
            </w:r>
          </w:p>
        </w:tc>
        <w:tc>
          <w:tcPr>
            <w:tcW w:w="280" w:type="dxa"/>
            <w:vAlign w:val="bottom"/>
          </w:tcPr>
          <w:p>
            <w:pPr>
              <w:spacing w:after="0"/>
              <w:rPr>
                <w:sz w:val="18"/>
                <w:szCs w:val="18"/>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8"/>
                <w:szCs w:val="18"/>
                <w:color w:val="auto"/>
              </w:rPr>
            </w:pPr>
          </w:p>
        </w:tc>
        <w:tc>
          <w:tcPr>
            <w:tcW w:w="1420" w:type="dxa"/>
            <w:vAlign w:val="bottom"/>
          </w:tcPr>
          <w:p>
            <w:pPr>
              <w:jc w:val="center"/>
              <w:ind w:right="119"/>
              <w:spacing w:after="0"/>
              <w:rPr>
                <w:sz w:val="20"/>
                <w:szCs w:val="20"/>
                <w:color w:val="auto"/>
              </w:rPr>
            </w:pPr>
            <w:r>
              <w:rPr>
                <w:rFonts w:ascii="Arial" w:cs="Arial" w:eastAsia="Arial" w:hAnsi="Arial"/>
                <w:sz w:val="16"/>
                <w:szCs w:val="16"/>
                <w:b w:val="1"/>
                <w:bCs w:val="1"/>
                <w:color w:val="auto"/>
              </w:rPr>
              <w:t>December 31,</w:t>
            </w:r>
          </w:p>
        </w:tc>
      </w:tr>
      <w:tr>
        <w:trPr>
          <w:trHeight w:val="216"/>
        </w:trPr>
        <w:tc>
          <w:tcPr>
            <w:tcW w:w="5080" w:type="dxa"/>
            <w:vAlign w:val="bottom"/>
          </w:tcPr>
          <w:p>
            <w:pPr>
              <w:spacing w:after="0"/>
              <w:rPr>
                <w:sz w:val="18"/>
                <w:szCs w:val="18"/>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Date</w:t>
            </w:r>
          </w:p>
        </w:tc>
        <w:tc>
          <w:tcPr>
            <w:tcW w:w="280" w:type="dxa"/>
            <w:vAlign w:val="bottom"/>
          </w:tcPr>
          <w:p>
            <w:pPr>
              <w:spacing w:after="0"/>
              <w:rPr>
                <w:sz w:val="18"/>
                <w:szCs w:val="18"/>
                <w:color w:val="auto"/>
              </w:rPr>
            </w:pPr>
          </w:p>
        </w:tc>
        <w:tc>
          <w:tcPr>
            <w:tcW w:w="1340" w:type="dxa"/>
            <w:vAlign w:val="bottom"/>
          </w:tcPr>
          <w:p>
            <w:pPr>
              <w:jc w:val="center"/>
              <w:ind w:right="21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2021</w:t>
            </w:r>
          </w:p>
        </w:tc>
      </w:tr>
      <w:tr>
        <w:trPr>
          <w:trHeight w:val="208"/>
        </w:trPr>
        <w:tc>
          <w:tcPr>
            <w:tcW w:w="5080" w:type="dxa"/>
            <w:vAlign w:val="bottom"/>
          </w:tcPr>
          <w:p>
            <w:pPr>
              <w:spacing w:after="0"/>
              <w:rPr>
                <w:sz w:val="20"/>
                <w:szCs w:val="20"/>
                <w:color w:val="auto"/>
              </w:rPr>
            </w:pPr>
            <w:r>
              <w:rPr>
                <w:rFonts w:ascii="Arial" w:cs="Arial" w:eastAsia="Arial" w:hAnsi="Arial"/>
                <w:sz w:val="16"/>
                <w:szCs w:val="16"/>
                <w:color w:val="auto"/>
              </w:rPr>
              <w:t>4.125% euro-denominated Senior Notes</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November 2024</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341</w:t>
            </w:r>
          </w:p>
        </w:tc>
      </w:tr>
      <w:tr>
        <w:trPr>
          <w:trHeight w:val="215"/>
        </w:trPr>
        <w:tc>
          <w:tcPr>
            <w:tcW w:w="5080" w:type="dxa"/>
            <w:vAlign w:val="bottom"/>
          </w:tcPr>
          <w:p>
            <w:pPr>
              <w:spacing w:after="0"/>
              <w:rPr>
                <w:sz w:val="20"/>
                <w:szCs w:val="20"/>
                <w:color w:val="auto"/>
              </w:rPr>
            </w:pPr>
            <w:r>
              <w:rPr>
                <w:rFonts w:ascii="Arial" w:cs="Arial" w:eastAsia="Arial" w:hAnsi="Arial"/>
                <w:sz w:val="16"/>
                <w:szCs w:val="16"/>
                <w:color w:val="auto"/>
              </w:rPr>
              <w:t>4.500% euro-denominated Senior Notes</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May 2025</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284</w:t>
            </w:r>
          </w:p>
        </w:tc>
      </w:tr>
      <w:tr>
        <w:trPr>
          <w:trHeight w:val="216"/>
        </w:trPr>
        <w:tc>
          <w:tcPr>
            <w:tcW w:w="5080" w:type="dxa"/>
            <w:vAlign w:val="bottom"/>
          </w:tcPr>
          <w:p>
            <w:pPr>
              <w:spacing w:after="0"/>
              <w:rPr>
                <w:sz w:val="20"/>
                <w:szCs w:val="20"/>
                <w:color w:val="auto"/>
              </w:rPr>
            </w:pPr>
            <w:r>
              <w:rPr>
                <w:rFonts w:ascii="Arial" w:cs="Arial" w:eastAsia="Arial" w:hAnsi="Arial"/>
                <w:sz w:val="16"/>
                <w:szCs w:val="16"/>
                <w:color w:val="auto"/>
              </w:rPr>
              <w:t>4.750% euro-denominated Senior Notes</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January 2026</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398</w:t>
            </w:r>
          </w:p>
        </w:tc>
      </w:tr>
      <w:tr>
        <w:trPr>
          <w:trHeight w:val="216"/>
        </w:trPr>
        <w:tc>
          <w:tcPr>
            <w:tcW w:w="5080" w:type="dxa"/>
            <w:vAlign w:val="bottom"/>
          </w:tcPr>
          <w:p>
            <w:pPr>
              <w:spacing w:after="0"/>
              <w:rPr>
                <w:sz w:val="20"/>
                <w:szCs w:val="20"/>
                <w:color w:val="auto"/>
              </w:rPr>
            </w:pPr>
            <w:r>
              <w:rPr>
                <w:rFonts w:ascii="Arial" w:cs="Arial" w:eastAsia="Arial" w:hAnsi="Arial"/>
                <w:sz w:val="16"/>
                <w:szCs w:val="16"/>
                <w:color w:val="auto"/>
              </w:rPr>
              <w:t>5.750% Senior Notes</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July 2027</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728</w:t>
            </w:r>
          </w:p>
        </w:tc>
      </w:tr>
      <w:tr>
        <w:trPr>
          <w:trHeight w:val="216"/>
        </w:trPr>
        <w:tc>
          <w:tcPr>
            <w:tcW w:w="5080" w:type="dxa"/>
            <w:vAlign w:val="bottom"/>
          </w:tcPr>
          <w:p>
            <w:pPr>
              <w:spacing w:after="0"/>
              <w:rPr>
                <w:sz w:val="20"/>
                <w:szCs w:val="20"/>
                <w:color w:val="auto"/>
              </w:rPr>
            </w:pPr>
            <w:r>
              <w:rPr>
                <w:rFonts w:ascii="Arial" w:cs="Arial" w:eastAsia="Arial" w:hAnsi="Arial"/>
                <w:sz w:val="16"/>
                <w:szCs w:val="16"/>
                <w:color w:val="auto"/>
              </w:rPr>
              <w:t>4.750% Senior Notes</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2028</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6"/>
        </w:trPr>
        <w:tc>
          <w:tcPr>
            <w:tcW w:w="5080" w:type="dxa"/>
            <w:vAlign w:val="bottom"/>
          </w:tcPr>
          <w:p>
            <w:pPr>
              <w:spacing w:after="0"/>
              <w:rPr>
                <w:sz w:val="20"/>
                <w:szCs w:val="20"/>
                <w:color w:val="auto"/>
              </w:rPr>
            </w:pPr>
            <w:r>
              <w:rPr>
                <w:rFonts w:ascii="Arial" w:cs="Arial" w:eastAsia="Arial" w:hAnsi="Arial"/>
                <w:sz w:val="16"/>
                <w:szCs w:val="16"/>
                <w:color w:val="auto"/>
              </w:rPr>
              <w:t>5.375% Senior Notes</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2029</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17"/>
        </w:trPr>
        <w:tc>
          <w:tcPr>
            <w:tcW w:w="5080" w:type="dxa"/>
            <w:vAlign w:val="bottom"/>
          </w:tcPr>
          <w:p>
            <w:pPr>
              <w:spacing w:after="0" w:line="218" w:lineRule="exact"/>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(a)</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August 2027</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1,187</w:t>
            </w:r>
          </w:p>
        </w:tc>
      </w:tr>
      <w:tr>
        <w:trPr>
          <w:trHeight w:val="215"/>
        </w:trPr>
        <w:tc>
          <w:tcPr>
            <w:tcW w:w="5080" w:type="dxa"/>
            <w:vAlign w:val="bottom"/>
          </w:tcPr>
          <w:p>
            <w:pPr>
              <w:spacing w:after="0"/>
              <w:rPr>
                <w:sz w:val="20"/>
                <w:szCs w:val="20"/>
                <w:color w:val="auto"/>
              </w:rPr>
            </w:pPr>
            <w:r>
              <w:rPr>
                <w:rFonts w:ascii="Arial" w:cs="Arial" w:eastAsia="Arial" w:hAnsi="Arial"/>
                <w:sz w:val="16"/>
                <w:szCs w:val="16"/>
                <w:color w:val="auto"/>
              </w:rPr>
              <w:t>Floating Rate Term Loan</w:t>
            </w:r>
          </w:p>
        </w:tc>
        <w:tc>
          <w:tcPr>
            <w:tcW w:w="170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2029</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080" w:type="dxa"/>
            <w:vAlign w:val="bottom"/>
          </w:tcPr>
          <w:p>
            <w:pPr>
              <w:spacing w:after="0" w:line="218"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(b)</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5"/>
        </w:trPr>
        <w:tc>
          <w:tcPr>
            <w:tcW w:w="5080" w:type="dxa"/>
            <w:vAlign w:val="bottom"/>
          </w:tcPr>
          <w:p>
            <w:pPr>
              <w:spacing w:after="0"/>
              <w:rPr>
                <w:sz w:val="20"/>
                <w:szCs w:val="20"/>
                <w:color w:val="auto"/>
              </w:rPr>
            </w:pPr>
            <w:r>
              <w:rPr>
                <w:rFonts w:ascii="Arial" w:cs="Arial" w:eastAsia="Arial" w:hAnsi="Arial"/>
                <w:sz w:val="16"/>
                <w:szCs w:val="16"/>
                <w:color w:val="auto"/>
              </w:rPr>
              <w:t>Deferred financing fees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r>
      <w:tr>
        <w:trPr>
          <w:trHeight w:val="210"/>
        </w:trPr>
        <w:tc>
          <w:tcPr>
            <w:tcW w:w="5080" w:type="dxa"/>
            <w:vAlign w:val="bottom"/>
          </w:tcPr>
          <w:p>
            <w:pPr>
              <w:spacing w:after="0"/>
              <w:rPr>
                <w:sz w:val="20"/>
                <w:szCs w:val="20"/>
                <w:color w:val="auto"/>
              </w:rPr>
            </w:pPr>
            <w:r>
              <w:rPr>
                <w:rFonts w:ascii="Arial" w:cs="Arial" w:eastAsia="Arial" w:hAnsi="Arial"/>
                <w:sz w:val="16"/>
                <w:szCs w:val="16"/>
                <w:color w:val="auto"/>
              </w:rPr>
              <w:t>Total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4,705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4,009</w:t>
            </w:r>
          </w:p>
        </w:tc>
      </w:tr>
      <w:tr>
        <w:trPr>
          <w:trHeight w:val="215"/>
        </w:trPr>
        <w:tc>
          <w:tcPr>
            <w:tcW w:w="5080" w:type="dxa"/>
            <w:vAlign w:val="bottom"/>
          </w:tcPr>
          <w:p>
            <w:pPr>
              <w:spacing w:after="0"/>
              <w:rPr>
                <w:sz w:val="20"/>
                <w:szCs w:val="20"/>
                <w:color w:val="auto"/>
              </w:rPr>
            </w:pPr>
            <w:r>
              <w:rPr>
                <w:rFonts w:ascii="Arial" w:cs="Arial" w:eastAsia="Arial" w:hAnsi="Arial"/>
                <w:sz w:val="16"/>
                <w:szCs w:val="16"/>
                <w:color w:val="auto"/>
              </w:rPr>
              <w:t>Less: Short-term debt and current portion of long-term debt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11"/>
        </w:trPr>
        <w:tc>
          <w:tcPr>
            <w:tcW w:w="5080" w:type="dxa"/>
            <w:vAlign w:val="bottom"/>
          </w:tcPr>
          <w:p>
            <w:pPr>
              <w:spacing w:after="0"/>
              <w:rPr>
                <w:sz w:val="20"/>
                <w:szCs w:val="20"/>
                <w:color w:val="auto"/>
              </w:rPr>
            </w:pPr>
            <w:r>
              <w:rPr>
                <w:rFonts w:ascii="Arial" w:cs="Arial" w:eastAsia="Arial" w:hAnsi="Arial"/>
                <w:sz w:val="16"/>
                <w:szCs w:val="16"/>
                <w:color w:val="auto"/>
              </w:rPr>
              <w:t>Long-term debt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3,990</w:t>
            </w:r>
          </w:p>
        </w:tc>
      </w:tr>
      <w:tr>
        <w:trPr>
          <w:trHeight w:val="21"/>
        </w:trPr>
        <w:tc>
          <w:tcPr>
            <w:tcW w:w="50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24" w:lineRule="exact"/>
        <w:rPr>
          <w:sz w:val="20"/>
          <w:szCs w:val="20"/>
          <w:color w:val="auto"/>
        </w:rPr>
      </w:pPr>
    </w:p>
    <w:p>
      <w:pPr>
        <w:jc w:val="both"/>
        <w:ind w:left="820" w:hanging="326"/>
        <w:spacing w:after="0" w:line="261" w:lineRule="auto"/>
        <w:tabs>
          <w:tab w:leader="none" w:pos="813" w:val="left"/>
        </w:tabs>
        <w:numPr>
          <w:ilvl w:val="0"/>
          <w:numId w:val="16"/>
        </w:numPr>
        <w:rPr>
          <w:rFonts w:ascii="Arial" w:cs="Arial" w:eastAsia="Arial" w:hAnsi="Arial"/>
          <w:sz w:val="9"/>
          <w:szCs w:val="9"/>
          <w:color w:val="auto"/>
        </w:rPr>
      </w:pPr>
      <w:r>
        <w:rPr>
          <w:rFonts w:ascii="Arial" w:cs="Arial" w:eastAsia="Arial" w:hAnsi="Arial"/>
          <w:sz w:val="14"/>
          <w:szCs w:val="14"/>
          <w:color w:val="auto"/>
        </w:rPr>
        <w:t>The floating rate term loan is part of our senior revolving credit facility, which is secured by pledges of capital stock of certain of our subsidiaries, and liens on substantially all of our intellectual property and certain other real and personal property. As of March 31, 2022, the floating rate term loan due 2027 bears interest at one-month LIBOR plus 175 basis points, for an aggregate rate of 2.21%. We have entered into a swap to hedge $700 million of its interest rate exposure related to the floating rate term loan at an aggregate rate of 4.75%.</w:t>
      </w:r>
    </w:p>
    <w:p>
      <w:pPr>
        <w:spacing w:after="0" w:line="1" w:lineRule="exact"/>
        <w:rPr>
          <w:rFonts w:ascii="Arial" w:cs="Arial" w:eastAsia="Arial" w:hAnsi="Arial"/>
          <w:sz w:val="9"/>
          <w:szCs w:val="9"/>
          <w:color w:val="auto"/>
        </w:rPr>
      </w:pPr>
    </w:p>
    <w:p>
      <w:pPr>
        <w:ind w:left="820" w:hanging="326"/>
        <w:spacing w:after="0" w:line="193" w:lineRule="auto"/>
        <w:tabs>
          <w:tab w:leader="none" w:pos="82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Primarily includes finance leases which are secured by liens on the related assets.</w:t>
      </w:r>
    </w:p>
    <w:p>
      <w:pPr>
        <w:spacing w:after="0" w:line="206"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color w:val="auto"/>
        </w:rPr>
        <w:t>In March 2022, we entered into a $750 million Floating Rate Term Loan due March 2029, at a price of 97% of the aggregate principal amount, with interest paid monthly, which is part of our senior credit facilities. The Floating Rate Term Loan due March 2029 bears interest at one-month Secured Overnight Financing Rate (“SOFR”) plus 350 basis points for an aggregate rate of 4.00%.</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Committed Credit Facilities and Available Funding Arrangements</w:t>
      </w:r>
    </w:p>
    <w:p>
      <w:pPr>
        <w:spacing w:after="0" w:line="2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2022, the committed corporate credit facilities available to us and/or our subsidiaries were as follows:</w:t>
      </w:r>
    </w:p>
    <w:p>
      <w:pPr>
        <w:spacing w:after="0" w:line="33"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Total</w:t>
            </w:r>
          </w:p>
        </w:tc>
        <w:tc>
          <w:tcPr>
            <w:tcW w:w="180" w:type="dxa"/>
            <w:vAlign w:val="bottom"/>
          </w:tcPr>
          <w:p>
            <w:pPr>
              <w:spacing w:after="0"/>
              <w:rPr>
                <w:sz w:val="16"/>
                <w:szCs w:val="16"/>
                <w:color w:val="auto"/>
              </w:rPr>
            </w:pPr>
          </w:p>
        </w:tc>
        <w:tc>
          <w:tcPr>
            <w:tcW w:w="1500" w:type="dxa"/>
            <w:vAlign w:val="bottom"/>
            <w:gridSpan w:val="3"/>
          </w:tcPr>
          <w:p>
            <w:pPr>
              <w:jc w:val="center"/>
              <w:ind w:right="339"/>
              <w:spacing w:after="0"/>
              <w:rPr>
                <w:sz w:val="20"/>
                <w:szCs w:val="20"/>
                <w:color w:val="auto"/>
              </w:rPr>
            </w:pPr>
            <w:r>
              <w:rPr>
                <w:rFonts w:ascii="Arial" w:cs="Arial" w:eastAsia="Arial" w:hAnsi="Arial"/>
                <w:sz w:val="16"/>
                <w:szCs w:val="16"/>
                <w:b w:val="1"/>
                <w:bCs w:val="1"/>
                <w:color w:val="auto"/>
              </w:rPr>
              <w:t>Outstanding</w:t>
            </w: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Letters of</w:t>
            </w:r>
          </w:p>
        </w:tc>
        <w:tc>
          <w:tcPr>
            <w:tcW w:w="220" w:type="dxa"/>
            <w:vAlign w:val="bottom"/>
          </w:tcPr>
          <w:p>
            <w:pPr>
              <w:spacing w:after="0"/>
              <w:rPr>
                <w:sz w:val="16"/>
                <w:szCs w:val="16"/>
                <w:color w:val="auto"/>
              </w:rPr>
            </w:pPr>
          </w:p>
        </w:tc>
        <w:tc>
          <w:tcPr>
            <w:tcW w:w="1180" w:type="dxa"/>
            <w:vAlign w:val="bottom"/>
          </w:tcPr>
          <w:p>
            <w:pPr>
              <w:ind w:left="120"/>
              <w:spacing w:after="0"/>
              <w:rPr>
                <w:sz w:val="20"/>
                <w:szCs w:val="20"/>
                <w:color w:val="auto"/>
              </w:rPr>
            </w:pPr>
            <w:r>
              <w:rPr>
                <w:rFonts w:ascii="Arial" w:cs="Arial" w:eastAsia="Arial" w:hAnsi="Arial"/>
                <w:sz w:val="16"/>
                <w:szCs w:val="16"/>
                <w:b w:val="1"/>
                <w:bCs w:val="1"/>
                <w:color w:val="auto"/>
              </w:rPr>
              <w:t>Available</w:t>
            </w:r>
          </w:p>
        </w:tc>
      </w:tr>
      <w:tr>
        <w:trPr>
          <w:trHeight w:val="216"/>
        </w:trPr>
        <w:tc>
          <w:tcPr>
            <w:tcW w:w="4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Capacity</w:t>
            </w:r>
          </w:p>
        </w:tc>
        <w:tc>
          <w:tcPr>
            <w:tcW w:w="180" w:type="dxa"/>
            <w:vAlign w:val="bottom"/>
          </w:tcPr>
          <w:p>
            <w:pPr>
              <w:spacing w:after="0"/>
              <w:rPr>
                <w:sz w:val="18"/>
                <w:szCs w:val="18"/>
                <w:color w:val="auto"/>
              </w:rPr>
            </w:pPr>
          </w:p>
        </w:tc>
        <w:tc>
          <w:tcPr>
            <w:tcW w:w="1500" w:type="dxa"/>
            <w:vAlign w:val="bottom"/>
            <w:gridSpan w:val="3"/>
          </w:tcPr>
          <w:p>
            <w:pPr>
              <w:jc w:val="center"/>
              <w:ind w:right="359"/>
              <w:spacing w:after="0"/>
              <w:rPr>
                <w:sz w:val="20"/>
                <w:szCs w:val="20"/>
                <w:color w:val="auto"/>
              </w:rPr>
            </w:pPr>
            <w:r>
              <w:rPr>
                <w:rFonts w:ascii="Arial" w:cs="Arial" w:eastAsia="Arial" w:hAnsi="Arial"/>
                <w:sz w:val="16"/>
                <w:szCs w:val="16"/>
                <w:b w:val="1"/>
                <w:bCs w:val="1"/>
                <w:color w:val="auto"/>
              </w:rPr>
              <w:t>Borrowings</w:t>
            </w: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Credit Issued</w:t>
            </w:r>
          </w:p>
        </w:tc>
        <w:tc>
          <w:tcPr>
            <w:tcW w:w="220" w:type="dxa"/>
            <w:vAlign w:val="bottom"/>
          </w:tcPr>
          <w:p>
            <w:pPr>
              <w:spacing w:after="0"/>
              <w:rPr>
                <w:sz w:val="18"/>
                <w:szCs w:val="18"/>
                <w:color w:val="auto"/>
              </w:rPr>
            </w:pPr>
          </w:p>
        </w:tc>
        <w:tc>
          <w:tcPr>
            <w:tcW w:w="1180" w:type="dxa"/>
            <w:vAlign w:val="bottom"/>
          </w:tcPr>
          <w:p>
            <w:pPr>
              <w:ind w:left="140"/>
              <w:spacing w:after="0"/>
              <w:rPr>
                <w:sz w:val="20"/>
                <w:szCs w:val="20"/>
                <w:color w:val="auto"/>
              </w:rPr>
            </w:pPr>
            <w:r>
              <w:rPr>
                <w:rFonts w:ascii="Arial" w:cs="Arial" w:eastAsia="Arial" w:hAnsi="Arial"/>
                <w:sz w:val="16"/>
                <w:szCs w:val="16"/>
                <w:b w:val="1"/>
                <w:bCs w:val="1"/>
                <w:color w:val="auto"/>
              </w:rPr>
              <w:t>Capacity</w:t>
            </w:r>
          </w:p>
        </w:tc>
      </w:tr>
      <w:tr>
        <w:trPr>
          <w:trHeight w:val="278"/>
        </w:trPr>
        <w:tc>
          <w:tcPr>
            <w:tcW w:w="4200" w:type="dxa"/>
            <w:vAlign w:val="bottom"/>
          </w:tcPr>
          <w:p>
            <w:pPr>
              <w:ind w:left="20"/>
              <w:spacing w:after="0"/>
              <w:rPr>
                <w:sz w:val="20"/>
                <w:szCs w:val="20"/>
                <w:color w:val="auto"/>
              </w:rPr>
            </w:pPr>
            <w:r>
              <w:rPr>
                <w:rFonts w:ascii="Arial" w:cs="Arial" w:eastAsia="Arial" w:hAnsi="Arial"/>
                <w:sz w:val="16"/>
                <w:szCs w:val="16"/>
                <w:color w:val="auto"/>
              </w:rPr>
              <w:t xml:space="preserve">Senior revolving credit facility maturing 2026 </w:t>
            </w:r>
            <w:r>
              <w:rPr>
                <w:rFonts w:ascii="Arial" w:cs="Arial" w:eastAsia="Arial" w:hAnsi="Arial"/>
                <w:sz w:val="21"/>
                <w:szCs w:val="21"/>
                <w:color w:val="auto"/>
                <w:vertAlign w:val="superscript"/>
              </w:rPr>
              <w:t>(a)</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1,950</w:t>
            </w:r>
          </w:p>
        </w:tc>
        <w:tc>
          <w:tcPr>
            <w:tcW w:w="10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ind w:left="10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1,596</w:t>
            </w:r>
          </w:p>
        </w:tc>
        <w:tc>
          <w:tcPr>
            <w:tcW w:w="120" w:type="dxa"/>
            <w:vAlign w:val="bottom"/>
          </w:tcPr>
          <w:p>
            <w:pPr>
              <w:spacing w:after="0"/>
              <w:rPr>
                <w:sz w:val="24"/>
                <w:szCs w:val="24"/>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354</w:t>
            </w:r>
          </w:p>
        </w:tc>
      </w:tr>
      <w:tr>
        <w:trPr>
          <w:trHeight w:val="238"/>
        </w:trPr>
        <w:tc>
          <w:tcPr>
            <w:tcW w:w="4200" w:type="dxa"/>
            <w:vAlign w:val="bottom"/>
          </w:tcPr>
          <w:p>
            <w:pPr>
              <w:spacing w:after="0"/>
              <w:rPr>
                <w:sz w:val="20"/>
                <w:szCs w:val="20"/>
                <w:color w:val="auto"/>
              </w:rPr>
            </w:pPr>
            <w:r>
              <w:rPr>
                <w:rFonts w:ascii="Arial" w:cs="Arial" w:eastAsia="Arial" w:hAnsi="Arial"/>
                <w:sz w:val="16"/>
                <w:szCs w:val="16"/>
                <w:color w:val="auto"/>
              </w:rPr>
              <w:t>__________</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jc w:val="both"/>
        <w:ind w:left="820" w:hanging="326"/>
        <w:spacing w:after="0" w:line="213" w:lineRule="auto"/>
        <w:tabs>
          <w:tab w:leader="none" w:pos="813"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The senior revolving credit facility bears interest at one-month LIBOR plus 175 basis points and is part of our senior credit facilities, which include the floating rate term loan and the senior revolving credit facility, and which are secured by pledges of capital stock of certain of our subsidiaries, liens on substantially all of our intellectual property and certain other real and personal property.</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Covenants</w:t>
      </w:r>
    </w:p>
    <w:p>
      <w:pPr>
        <w:spacing w:after="0" w:line="250"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The agreements governing our indebtedness contain restrictive covenants, including restrictions on dividends paid to us by certain of our subsidiaries, the incurrence of additional indebtedness by us and certain of our subsidiaries, acquisitions, mergers, liquidations, and sale and leaseback transactions. Our senior credit facility also contains a maximum leverage ratio requirement. As of March 31, 2022, we were in compliance with the financial covenants governing our indebtedness.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40" w:hanging="432"/>
        <w:spacing w:after="0"/>
        <w:tabs>
          <w:tab w:leader="none" w:pos="4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Debt Under Vehicle Programs and Borrowing Arrangements</w:t>
      </w:r>
    </w:p>
    <w:p>
      <w:pPr>
        <w:spacing w:after="0" w:line="252" w:lineRule="exact"/>
        <w:rPr>
          <w:sz w:val="20"/>
          <w:szCs w:val="20"/>
          <w:color w:val="auto"/>
        </w:rPr>
      </w:pPr>
    </w:p>
    <w:p>
      <w:pPr>
        <w:ind w:left="500"/>
        <w:spacing w:after="0" w:line="273" w:lineRule="auto"/>
        <w:rPr>
          <w:sz w:val="20"/>
          <w:szCs w:val="20"/>
          <w:color w:val="auto"/>
        </w:rPr>
      </w:pPr>
      <w:r>
        <w:rPr>
          <w:rFonts w:ascii="Arial" w:cs="Arial" w:eastAsia="Arial" w:hAnsi="Arial"/>
          <w:sz w:val="18"/>
          <w:szCs w:val="18"/>
          <w:color w:val="auto"/>
        </w:rPr>
        <w:t>Debt under vehicle programs, including related party debt due to Avis Budget Rental Car Funding (AESOP) LLC (“Avis Budget Rental Car Funding”), consisted of:</w:t>
      </w:r>
    </w:p>
    <w:p>
      <w:pPr>
        <w:spacing w:after="0" w:line="2"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6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19"/>
                <w:szCs w:val="19"/>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As of</w:t>
            </w:r>
          </w:p>
        </w:tc>
        <w:tc>
          <w:tcPr>
            <w:tcW w:w="0" w:type="dxa"/>
            <w:vAlign w:val="bottom"/>
          </w:tcPr>
          <w:p>
            <w:pPr>
              <w:spacing w:after="0"/>
              <w:rPr>
                <w:sz w:val="1"/>
                <w:szCs w:val="1"/>
                <w:color w:val="auto"/>
              </w:rPr>
            </w:pPr>
          </w:p>
        </w:tc>
      </w:tr>
      <w:tr>
        <w:trPr>
          <w:trHeight w:val="229"/>
        </w:trPr>
        <w:tc>
          <w:tcPr>
            <w:tcW w:w="6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8"/>
              </w:rPr>
              <w:t>March 31,</w:t>
            </w:r>
          </w:p>
        </w:tc>
        <w:tc>
          <w:tcPr>
            <w:tcW w:w="180" w:type="dxa"/>
            <w:vAlign w:val="bottom"/>
          </w:tcPr>
          <w:p>
            <w:pPr>
              <w:spacing w:after="0"/>
              <w:rPr>
                <w:sz w:val="19"/>
                <w:szCs w:val="19"/>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35"/>
        </w:trPr>
        <w:tc>
          <w:tcPr>
            <w:tcW w:w="6780" w:type="dxa"/>
            <w:vAlign w:val="bottom"/>
            <w:vMerge w:val="restart"/>
          </w:tcPr>
          <w:p>
            <w:pPr>
              <w:spacing w:after="0"/>
              <w:rPr>
                <w:sz w:val="20"/>
                <w:szCs w:val="20"/>
                <w:color w:val="auto"/>
              </w:rPr>
            </w:pPr>
            <w:r>
              <w:rPr>
                <w:rFonts w:ascii="Arial" w:cs="Arial" w:eastAsia="Arial" w:hAnsi="Arial"/>
                <w:sz w:val="18"/>
                <w:szCs w:val="18"/>
                <w:color w:val="auto"/>
              </w:rPr>
              <w:t>Americas - Debt due to Avis Budget Rental Car Funding</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2021</w:t>
            </w:r>
          </w:p>
        </w:tc>
        <w:tc>
          <w:tcPr>
            <w:tcW w:w="0" w:type="dxa"/>
            <w:vAlign w:val="bottom"/>
          </w:tcPr>
          <w:p>
            <w:pPr>
              <w:spacing w:after="0"/>
              <w:rPr>
                <w:sz w:val="1"/>
                <w:szCs w:val="1"/>
                <w:color w:val="auto"/>
              </w:rPr>
            </w:pPr>
          </w:p>
        </w:tc>
      </w:tr>
      <w:tr>
        <w:trPr>
          <w:trHeight w:val="218"/>
        </w:trPr>
        <w:tc>
          <w:tcPr>
            <w:tcW w:w="6780" w:type="dxa"/>
            <w:vAlign w:val="bottom"/>
            <w:vMerge w:val="continue"/>
          </w:tcPr>
          <w:p>
            <w:pPr>
              <w:spacing w:after="0"/>
              <w:rPr>
                <w:sz w:val="18"/>
                <w:szCs w:val="18"/>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9,779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8,889</w:t>
            </w:r>
          </w:p>
        </w:tc>
        <w:tc>
          <w:tcPr>
            <w:tcW w:w="0" w:type="dxa"/>
            <w:vAlign w:val="bottom"/>
          </w:tcPr>
          <w:p>
            <w:pPr>
              <w:spacing w:after="0"/>
              <w:rPr>
                <w:sz w:val="1"/>
                <w:szCs w:val="1"/>
                <w:color w:val="auto"/>
              </w:rPr>
            </w:pPr>
          </w:p>
        </w:tc>
      </w:tr>
      <w:tr>
        <w:trPr>
          <w:trHeight w:val="229"/>
        </w:trPr>
        <w:tc>
          <w:tcPr>
            <w:tcW w:w="6780" w:type="dxa"/>
            <w:vAlign w:val="bottom"/>
          </w:tcPr>
          <w:p>
            <w:pPr>
              <w:spacing w:after="0"/>
              <w:rPr>
                <w:sz w:val="20"/>
                <w:szCs w:val="20"/>
                <w:color w:val="auto"/>
              </w:rPr>
            </w:pPr>
            <w:r>
              <w:rPr>
                <w:rFonts w:ascii="Arial" w:cs="Arial" w:eastAsia="Arial" w:hAnsi="Arial"/>
                <w:sz w:val="18"/>
                <w:szCs w:val="18"/>
                <w:color w:val="auto"/>
              </w:rPr>
              <w:t>Americas - Debt borrowings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International - Debt borrowings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29"/>
        </w:trPr>
        <w:tc>
          <w:tcPr>
            <w:tcW w:w="6780" w:type="dxa"/>
            <w:vAlign w:val="bottom"/>
          </w:tcPr>
          <w:p>
            <w:pPr>
              <w:spacing w:after="0"/>
              <w:rPr>
                <w:sz w:val="20"/>
                <w:szCs w:val="20"/>
                <w:color w:val="auto"/>
              </w:rPr>
            </w:pPr>
            <w:r>
              <w:rPr>
                <w:rFonts w:ascii="Arial" w:cs="Arial" w:eastAsia="Arial" w:hAnsi="Arial"/>
                <w:sz w:val="18"/>
                <w:szCs w:val="18"/>
                <w:color w:val="auto"/>
              </w:rPr>
              <w:t>International - Finance leases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7"/>
        </w:trPr>
        <w:tc>
          <w:tcPr>
            <w:tcW w:w="678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6780" w:type="dxa"/>
            <w:vAlign w:val="bottom"/>
          </w:tcPr>
          <w:p>
            <w:pPr>
              <w:spacing w:after="0" w:line="237" w:lineRule="exact"/>
              <w:rPr>
                <w:sz w:val="20"/>
                <w:szCs w:val="20"/>
                <w:color w:val="auto"/>
              </w:rPr>
            </w:pPr>
            <w:r>
              <w:rPr>
                <w:rFonts w:ascii="Arial" w:cs="Arial" w:eastAsia="Arial" w:hAnsi="Arial"/>
                <w:sz w:val="18"/>
                <w:szCs w:val="18"/>
                <w:color w:val="auto"/>
              </w:rPr>
              <w:t xml:space="preserve">Deferred financing fees </w:t>
            </w:r>
            <w:r>
              <w:rPr>
                <w:rFonts w:ascii="Arial" w:cs="Arial" w:eastAsia="Arial" w:hAnsi="Arial"/>
                <w:sz w:val="23"/>
                <w:szCs w:val="23"/>
                <w:color w:val="auto"/>
                <w:vertAlign w:val="superscript"/>
              </w:rPr>
              <w:t>(a)</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11,390</w:t>
            </w:r>
          </w:p>
        </w:tc>
        <w:tc>
          <w:tcPr>
            <w:tcW w:w="0" w:type="dxa"/>
            <w:vAlign w:val="bottom"/>
          </w:tcPr>
          <w:p>
            <w:pPr>
              <w:spacing w:after="0"/>
              <w:rPr>
                <w:sz w:val="1"/>
                <w:szCs w:val="1"/>
                <w:color w:val="auto"/>
              </w:rPr>
            </w:pPr>
          </w:p>
        </w:tc>
      </w:tr>
      <w:tr>
        <w:trPr>
          <w:trHeight w:val="21"/>
        </w:trPr>
        <w:tc>
          <w:tcPr>
            <w:tcW w:w="6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24" w:lineRule="exact"/>
        <w:rPr>
          <w:sz w:val="20"/>
          <w:szCs w:val="20"/>
          <w:color w:val="auto"/>
        </w:rPr>
      </w:pPr>
    </w:p>
    <w:p>
      <w:pPr>
        <w:ind w:left="820" w:hanging="326"/>
        <w:spacing w:after="0" w:line="284" w:lineRule="auto"/>
        <w:tabs>
          <w:tab w:leader="none" w:pos="813" w:val="left"/>
        </w:tabs>
        <w:numPr>
          <w:ilvl w:val="0"/>
          <w:numId w:val="19"/>
        </w:numPr>
        <w:rPr>
          <w:rFonts w:ascii="Arial" w:cs="Arial" w:eastAsia="Arial" w:hAnsi="Arial"/>
          <w:sz w:val="9"/>
          <w:szCs w:val="9"/>
          <w:color w:val="auto"/>
        </w:rPr>
      </w:pPr>
      <w:r>
        <w:rPr>
          <w:rFonts w:ascii="Arial" w:cs="Arial" w:eastAsia="Arial" w:hAnsi="Arial"/>
          <w:sz w:val="14"/>
          <w:szCs w:val="14"/>
          <w:color w:val="auto"/>
        </w:rPr>
        <w:t>Deferred financing fees related to Debt due to Avis Budget Rental Car Funding as of March 31, 2022 and December 31, 2021 were $36 million and $41 million, respectively.</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Maturities</w:t>
      </w:r>
    </w:p>
    <w:p>
      <w:pPr>
        <w:spacing w:after="0" w:line="250" w:lineRule="exact"/>
        <w:rPr>
          <w:sz w:val="20"/>
          <w:szCs w:val="20"/>
          <w:color w:val="auto"/>
        </w:rPr>
      </w:pPr>
    </w:p>
    <w:p>
      <w:pPr>
        <w:ind w:left="500" w:right="20"/>
        <w:spacing w:after="0" w:line="273" w:lineRule="auto"/>
        <w:rPr>
          <w:sz w:val="20"/>
          <w:szCs w:val="20"/>
          <w:color w:val="auto"/>
        </w:rPr>
      </w:pPr>
      <w:r>
        <w:rPr>
          <w:rFonts w:ascii="Arial" w:cs="Arial" w:eastAsia="Arial" w:hAnsi="Arial"/>
          <w:sz w:val="18"/>
          <w:szCs w:val="18"/>
          <w:color w:val="auto"/>
        </w:rPr>
        <w:t>The following table provides the contractual maturities of our debt under vehicle programs, including related party debt due to Avis Budget Rental Car Funding, at March 31, 2022:</w:t>
      </w:r>
    </w:p>
    <w:p>
      <w:pPr>
        <w:jc w:val="center"/>
        <w:ind w:left="8420"/>
        <w:spacing w:after="0" w:line="226" w:lineRule="auto"/>
        <w:rPr>
          <w:sz w:val="20"/>
          <w:szCs w:val="20"/>
          <w:color w:val="auto"/>
        </w:rPr>
      </w:pPr>
      <w:r>
        <w:rPr>
          <w:rFonts w:ascii="Arial" w:cs="Arial" w:eastAsia="Arial" w:hAnsi="Arial"/>
          <w:sz w:val="18"/>
          <w:szCs w:val="18"/>
          <w:b w:val="1"/>
          <w:bCs w:val="1"/>
          <w:color w:val="auto"/>
        </w:rPr>
        <w:t>Debt under</w:t>
      </w:r>
    </w:p>
    <w:p>
      <w:pPr>
        <w:jc w:val="center"/>
        <w:ind w:left="8420"/>
        <w:spacing w:after="0" w:line="200" w:lineRule="auto"/>
        <w:rPr>
          <w:sz w:val="20"/>
          <w:szCs w:val="20"/>
          <w:color w:val="auto"/>
        </w:rPr>
      </w:pPr>
      <w:r>
        <w:rPr>
          <w:rFonts w:ascii="Arial" w:cs="Arial" w:eastAsia="Arial" w:hAnsi="Arial"/>
          <w:sz w:val="13"/>
          <w:szCs w:val="13"/>
          <w:b w:val="1"/>
          <w:bCs w:val="1"/>
          <w:color w:val="auto"/>
        </w:rPr>
        <w:t>Vehicle Programs</w:t>
      </w:r>
    </w:p>
    <w:p>
      <w:pPr>
        <w:ind w:left="9780"/>
        <w:spacing w:after="0"/>
        <w:rPr>
          <w:sz w:val="20"/>
          <w:szCs w:val="20"/>
          <w:color w:val="auto"/>
        </w:rPr>
      </w:pPr>
      <w:r>
        <w:rPr>
          <w:rFonts w:ascii="Arial" w:cs="Arial" w:eastAsia="Arial" w:hAnsi="Arial"/>
          <w:sz w:val="12"/>
          <w:szCs w:val="12"/>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48260</wp:posOffset>
            </wp:positionV>
            <wp:extent cx="10369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Within 1 year </w:t>
      </w:r>
      <w:r>
        <w:rPr>
          <w:rFonts w:ascii="Arial" w:cs="Arial" w:eastAsia="Arial" w:hAnsi="Arial"/>
          <w:sz w:val="23"/>
          <w:szCs w:val="23"/>
          <w:color w:val="auto"/>
          <w:vertAlign w:val="superscript"/>
        </w:rPr>
        <w:t>(b)</w:t>
      </w:r>
    </w:p>
    <w:p>
      <w:pPr>
        <w:ind w:left="520"/>
        <w:spacing w:after="0" w:line="208" w:lineRule="auto"/>
        <w:rPr>
          <w:sz w:val="20"/>
          <w:szCs w:val="20"/>
          <w:color w:val="auto"/>
        </w:rPr>
      </w:pPr>
      <w:r>
        <w:rPr>
          <w:rFonts w:ascii="Arial" w:cs="Arial" w:eastAsia="Arial" w:hAnsi="Arial"/>
          <w:sz w:val="18"/>
          <w:szCs w:val="18"/>
          <w:color w:val="auto"/>
        </w:rPr>
        <w:t xml:space="preserve">Between 1 and 2 years </w:t>
      </w:r>
      <w:r>
        <w:rPr>
          <w:rFonts w:ascii="Arial" w:cs="Arial" w:eastAsia="Arial" w:hAnsi="Arial"/>
          <w:sz w:val="23"/>
          <w:szCs w:val="23"/>
          <w:color w:val="auto"/>
          <w:vertAlign w:val="superscript"/>
        </w:rPr>
        <w:t>(c)</w:t>
      </w:r>
    </w:p>
    <w:p>
      <w:pPr>
        <w:ind w:left="520"/>
        <w:spacing w:after="0" w:line="217" w:lineRule="auto"/>
        <w:rPr>
          <w:sz w:val="20"/>
          <w:szCs w:val="20"/>
          <w:color w:val="auto"/>
        </w:rPr>
      </w:pPr>
      <w:r>
        <w:rPr>
          <w:rFonts w:ascii="Arial" w:cs="Arial" w:eastAsia="Arial" w:hAnsi="Arial"/>
          <w:sz w:val="18"/>
          <w:szCs w:val="18"/>
          <w:color w:val="auto"/>
        </w:rPr>
        <w:t xml:space="preserve">Between 2 and 3 years </w:t>
      </w:r>
      <w:r>
        <w:rPr>
          <w:rFonts w:ascii="Arial" w:cs="Arial" w:eastAsia="Arial" w:hAnsi="Arial"/>
          <w:sz w:val="23"/>
          <w:szCs w:val="23"/>
          <w:color w:val="auto"/>
          <w:vertAlign w:val="superscript"/>
        </w:rPr>
        <w:t>(d)</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Between 3 and 4 years</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Between 4 and 5 years</w:t>
      </w:r>
    </w:p>
    <w:p>
      <w:pPr>
        <w:spacing w:after="0" w:line="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24" w:lineRule="exact"/>
        <w:rPr>
          <w:sz w:val="20"/>
          <w:szCs w:val="20"/>
          <w:color w:val="auto"/>
        </w:rPr>
      </w:pPr>
    </w:p>
    <w:p>
      <w:pPr>
        <w:ind w:left="760" w:hanging="266"/>
        <w:spacing w:after="0"/>
        <w:tabs>
          <w:tab w:leader="none" w:pos="760" w:val="left"/>
        </w:tabs>
        <w:numPr>
          <w:ilvl w:val="0"/>
          <w:numId w:val="20"/>
        </w:numPr>
        <w:rPr>
          <w:rFonts w:ascii="Arial" w:cs="Arial" w:eastAsia="Arial" w:hAnsi="Arial"/>
          <w:sz w:val="9"/>
          <w:szCs w:val="9"/>
          <w:color w:val="auto"/>
        </w:rPr>
      </w:pPr>
      <w:r>
        <w:rPr>
          <w:rFonts w:ascii="Arial" w:cs="Arial" w:eastAsia="Arial" w:hAnsi="Arial"/>
          <w:sz w:val="14"/>
          <w:szCs w:val="14"/>
          <w:color w:val="auto"/>
        </w:rPr>
        <w:t>Vehicle-backed debt primarily represents asset-backed securities.</w:t>
      </w:r>
    </w:p>
    <w:p>
      <w:pPr>
        <w:spacing w:after="0" w:line="14" w:lineRule="exact"/>
        <w:rPr>
          <w:rFonts w:ascii="Arial" w:cs="Arial" w:eastAsia="Arial" w:hAnsi="Arial"/>
          <w:sz w:val="9"/>
          <w:szCs w:val="9"/>
          <w:color w:val="auto"/>
        </w:rPr>
      </w:pPr>
    </w:p>
    <w:p>
      <w:pPr>
        <w:ind w:left="760" w:hanging="266"/>
        <w:spacing w:after="0" w:line="192" w:lineRule="auto"/>
        <w:tabs>
          <w:tab w:leader="none" w:pos="760"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Includes $0.8 billion of bank and bank-sponsored facilities.</w:t>
      </w:r>
    </w:p>
    <w:p>
      <w:pPr>
        <w:ind w:left="760" w:hanging="266"/>
        <w:spacing w:after="0" w:line="192" w:lineRule="auto"/>
        <w:tabs>
          <w:tab w:leader="none" w:pos="760"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Includes $0.2 billion of bank and bank-sponsored facilities.</w:t>
      </w:r>
    </w:p>
    <w:p>
      <w:pPr>
        <w:ind w:left="760" w:hanging="266"/>
        <w:spacing w:after="0" w:line="193" w:lineRule="auto"/>
        <w:tabs>
          <w:tab w:leader="none" w:pos="760"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Includes $3.8 billion of bank and bank-sponsored facilities.</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Committed Credit Facilities and Available Funding Arrangements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left="1096" w:hanging="1096"/>
        <w:spacing w:after="0"/>
        <w:tabs>
          <w:tab w:leader="none" w:pos="1096" w:val="left"/>
        </w:tabs>
        <w:numPr>
          <w:ilvl w:val="0"/>
          <w:numId w:val="21"/>
        </w:numPr>
        <w:rPr>
          <w:rFonts w:ascii="Arial" w:cs="Arial" w:eastAsia="Arial" w:hAnsi="Arial"/>
          <w:sz w:val="17"/>
          <w:szCs w:val="17"/>
          <w:color w:val="auto"/>
        </w:rPr>
      </w:pPr>
      <w:r>
        <w:rPr>
          <w:rFonts w:ascii="Arial" w:cs="Arial" w:eastAsia="Arial" w:hAnsi="Arial"/>
          <w:sz w:val="17"/>
          <w:szCs w:val="17"/>
          <w:color w:val="auto"/>
        </w:rPr>
        <w:t>2,145</w:t>
      </w:r>
    </w:p>
    <w:p>
      <w:pPr>
        <w:spacing w:after="0" w:line="43" w:lineRule="exact"/>
        <w:rPr>
          <w:rFonts w:ascii="Arial" w:cs="Arial" w:eastAsia="Arial" w:hAnsi="Arial"/>
          <w:sz w:val="17"/>
          <w:szCs w:val="17"/>
          <w:color w:val="auto"/>
        </w:rPr>
      </w:pPr>
    </w:p>
    <w:p>
      <w:pPr>
        <w:ind w:left="1096"/>
        <w:spacing w:after="0"/>
        <w:rPr>
          <w:rFonts w:ascii="Arial" w:cs="Arial" w:eastAsia="Arial" w:hAnsi="Arial"/>
          <w:sz w:val="17"/>
          <w:szCs w:val="17"/>
          <w:color w:val="auto"/>
        </w:rPr>
      </w:pPr>
      <w:r>
        <w:rPr>
          <w:rFonts w:ascii="Arial" w:cs="Arial" w:eastAsia="Arial" w:hAnsi="Arial"/>
          <w:sz w:val="17"/>
          <w:szCs w:val="17"/>
          <w:color w:val="auto"/>
        </w:rPr>
        <w:t>1,413</w:t>
      </w:r>
    </w:p>
    <w:p>
      <w:pPr>
        <w:spacing w:after="0" w:line="34" w:lineRule="exact"/>
        <w:rPr>
          <w:rFonts w:ascii="Arial" w:cs="Arial" w:eastAsia="Arial" w:hAnsi="Arial"/>
          <w:sz w:val="17"/>
          <w:szCs w:val="17"/>
          <w:color w:val="auto"/>
        </w:rPr>
      </w:pPr>
    </w:p>
    <w:p>
      <w:pPr>
        <w:ind w:left="1096"/>
        <w:spacing w:after="0"/>
        <w:rPr>
          <w:rFonts w:ascii="Arial" w:cs="Arial" w:eastAsia="Arial" w:hAnsi="Arial"/>
          <w:sz w:val="17"/>
          <w:szCs w:val="17"/>
          <w:color w:val="auto"/>
        </w:rPr>
      </w:pPr>
      <w:r>
        <w:rPr>
          <w:rFonts w:ascii="Arial" w:cs="Arial" w:eastAsia="Arial" w:hAnsi="Arial"/>
          <w:sz w:val="17"/>
          <w:szCs w:val="17"/>
          <w:color w:val="auto"/>
        </w:rPr>
        <w:t>5,545</w:t>
      </w:r>
    </w:p>
    <w:p>
      <w:pPr>
        <w:spacing w:after="0" w:line="34" w:lineRule="exact"/>
        <w:rPr>
          <w:rFonts w:ascii="Arial" w:cs="Arial" w:eastAsia="Arial" w:hAnsi="Arial"/>
          <w:sz w:val="17"/>
          <w:szCs w:val="17"/>
          <w:color w:val="auto"/>
        </w:rPr>
      </w:pPr>
    </w:p>
    <w:p>
      <w:pPr>
        <w:ind w:left="1096"/>
        <w:spacing w:after="0"/>
        <w:rPr>
          <w:rFonts w:ascii="Arial" w:cs="Arial" w:eastAsia="Arial" w:hAnsi="Arial"/>
          <w:sz w:val="17"/>
          <w:szCs w:val="17"/>
          <w:color w:val="auto"/>
        </w:rPr>
      </w:pPr>
      <w:r>
        <w:rPr>
          <w:rFonts w:ascii="Arial" w:cs="Arial" w:eastAsia="Arial" w:hAnsi="Arial"/>
          <w:sz w:val="17"/>
          <w:szCs w:val="17"/>
          <w:color w:val="auto"/>
        </w:rPr>
        <w:t>1,532</w:t>
      </w:r>
    </w:p>
    <w:p>
      <w:pPr>
        <w:spacing w:after="0" w:line="34" w:lineRule="exact"/>
        <w:rPr>
          <w:rFonts w:ascii="Arial" w:cs="Arial" w:eastAsia="Arial" w:hAnsi="Arial"/>
          <w:sz w:val="17"/>
          <w:szCs w:val="17"/>
          <w:color w:val="auto"/>
        </w:rPr>
      </w:pPr>
    </w:p>
    <w:p>
      <w:pPr>
        <w:ind w:left="1096"/>
        <w:spacing w:after="0"/>
        <w:rPr>
          <w:rFonts w:ascii="Arial" w:cs="Arial" w:eastAsia="Arial" w:hAnsi="Arial"/>
          <w:sz w:val="17"/>
          <w:szCs w:val="17"/>
          <w:color w:val="auto"/>
        </w:rPr>
      </w:pPr>
      <w:r>
        <w:rPr>
          <w:rFonts w:ascii="Arial" w:cs="Arial" w:eastAsia="Arial" w:hAnsi="Arial"/>
          <w:sz w:val="17"/>
          <w:szCs w:val="17"/>
          <w:color w:val="auto"/>
        </w:rPr>
        <w:t>1,507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19050</wp:posOffset>
            </wp:positionV>
            <wp:extent cx="10369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18" w:lineRule="exact"/>
        <w:rPr>
          <w:sz w:val="20"/>
          <w:szCs w:val="20"/>
          <w:color w:val="auto"/>
        </w:rPr>
      </w:pPr>
    </w:p>
    <w:p>
      <w:pPr>
        <w:ind w:left="996" w:hanging="996"/>
        <w:spacing w:after="0"/>
        <w:tabs>
          <w:tab w:leader="none" w:pos="996" w:val="left"/>
        </w:tabs>
        <w:numPr>
          <w:ilvl w:val="0"/>
          <w:numId w:val="22"/>
        </w:numPr>
        <w:rPr>
          <w:rFonts w:ascii="Arial" w:cs="Arial" w:eastAsia="Arial" w:hAnsi="Arial"/>
          <w:sz w:val="17"/>
          <w:szCs w:val="17"/>
          <w:color w:val="auto"/>
        </w:rPr>
      </w:pPr>
      <w:r>
        <w:rPr>
          <w:rFonts w:ascii="Arial" w:cs="Arial" w:eastAsia="Arial" w:hAnsi="Arial"/>
          <w:sz w:val="17"/>
          <w:szCs w:val="17"/>
          <w:color w:val="auto"/>
        </w:rPr>
        <w:t>12,142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0369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3695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50800</wp:posOffset>
            </wp:positionV>
            <wp:extent cx="10369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1714" w:lineRule="exact"/>
        <w:rPr>
          <w:sz w:val="20"/>
          <w:szCs w:val="20"/>
          <w:color w:val="auto"/>
        </w:rPr>
      </w:pPr>
    </w:p>
    <w:p>
      <w:pPr>
        <w:sectPr>
          <w:pgSz w:w="11900" w:h="16838" w:orient="portrait"/>
          <w:cols w:equalWidth="0" w:num="2">
            <w:col w:w="8324" w:space="720"/>
            <w:col w:w="2196"/>
          </w:cols>
          <w:pgMar w:left="320" w:top="122" w:right="339" w:bottom="1440" w:gutter="0" w:footer="0" w:header="0"/>
          <w:type w:val="continuous"/>
        </w:sectPr>
      </w:pPr>
    </w:p>
    <w:p>
      <w:pPr>
        <w:spacing w:after="0" w:line="62" w:lineRule="exact"/>
        <w:rPr>
          <w:sz w:val="20"/>
          <w:szCs w:val="20"/>
          <w:color w:val="auto"/>
        </w:rPr>
      </w:pPr>
    </w:p>
    <w:p>
      <w:pPr>
        <w:ind w:left="500"/>
        <w:spacing w:after="0" w:line="276" w:lineRule="auto"/>
        <w:rPr>
          <w:sz w:val="20"/>
          <w:szCs w:val="20"/>
          <w:color w:val="auto"/>
        </w:rPr>
      </w:pPr>
      <w:r>
        <w:rPr>
          <w:rFonts w:ascii="Arial" w:cs="Arial" w:eastAsia="Arial" w:hAnsi="Arial"/>
          <w:sz w:val="18"/>
          <w:szCs w:val="18"/>
          <w:color w:val="auto"/>
        </w:rPr>
        <w:t>As of March 31, 2022, available funding under our vehicle programs, including related party debt due to Avis Budget Rental Car Funding, consisted of:</w:t>
      </w:r>
    </w:p>
    <w:tbl>
      <w:tblPr>
        <w:tblLayout w:type="fixed"/>
        <w:tblInd w:w="520" w:type="dxa"/>
        <w:tblCellMar>
          <w:top w:w="0" w:type="dxa"/>
          <w:left w:w="0" w:type="dxa"/>
          <w:bottom w:w="0" w:type="dxa"/>
          <w:right w:w="0" w:type="dxa"/>
        </w:tblCellMar>
      </w:tblPr>
      <w:tr>
        <w:trPr>
          <w:trHeight w:val="164"/>
        </w:trPr>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40"/>
              <w:spacing w:after="0" w:line="164" w:lineRule="exact"/>
              <w:rPr>
                <w:sz w:val="20"/>
                <w:szCs w:val="20"/>
                <w:color w:val="auto"/>
              </w:rPr>
            </w:pPr>
            <w:r>
              <w:rPr>
                <w:rFonts w:ascii="Arial" w:cs="Arial" w:eastAsia="Arial" w:hAnsi="Arial"/>
                <w:sz w:val="16"/>
                <w:szCs w:val="16"/>
                <w:b w:val="1"/>
                <w:bCs w:val="1"/>
                <w:color w:val="auto"/>
                <w:w w:val="99"/>
              </w:rPr>
              <w:t>Total</w:t>
            </w:r>
          </w:p>
        </w:tc>
        <w:tc>
          <w:tcPr>
            <w:tcW w:w="180" w:type="dxa"/>
            <w:vAlign w:val="bottom"/>
          </w:tcPr>
          <w:p>
            <w:pPr>
              <w:spacing w:after="0"/>
              <w:rPr>
                <w:sz w:val="14"/>
                <w:szCs w:val="14"/>
                <w:color w:val="auto"/>
              </w:rPr>
            </w:pPr>
          </w:p>
        </w:tc>
        <w:tc>
          <w:tcPr>
            <w:tcW w:w="1520" w:type="dxa"/>
            <w:vAlign w:val="bottom"/>
            <w:gridSpan w:val="2"/>
          </w:tcPr>
          <w:p>
            <w:pPr>
              <w:jc w:val="center"/>
              <w:ind w:right="280"/>
              <w:spacing w:after="0" w:line="164" w:lineRule="exact"/>
              <w:rPr>
                <w:sz w:val="20"/>
                <w:szCs w:val="20"/>
                <w:color w:val="auto"/>
              </w:rPr>
            </w:pPr>
            <w:r>
              <w:rPr>
                <w:rFonts w:ascii="Arial" w:cs="Arial" w:eastAsia="Arial" w:hAnsi="Arial"/>
                <w:sz w:val="16"/>
                <w:szCs w:val="16"/>
                <w:b w:val="1"/>
                <w:bCs w:val="1"/>
                <w:color w:val="auto"/>
              </w:rPr>
              <w:t>Outstanding</w:t>
            </w:r>
          </w:p>
        </w:tc>
        <w:tc>
          <w:tcPr>
            <w:tcW w:w="260" w:type="dxa"/>
            <w:vAlign w:val="bottom"/>
          </w:tcPr>
          <w:p>
            <w:pPr>
              <w:spacing w:after="0"/>
              <w:rPr>
                <w:sz w:val="14"/>
                <w:szCs w:val="14"/>
                <w:color w:val="auto"/>
              </w:rPr>
            </w:pPr>
          </w:p>
        </w:tc>
        <w:tc>
          <w:tcPr>
            <w:tcW w:w="1300" w:type="dxa"/>
            <w:vAlign w:val="bottom"/>
          </w:tcPr>
          <w:p>
            <w:pPr>
              <w:jc w:val="right"/>
              <w:ind w:right="359"/>
              <w:spacing w:after="0" w:line="164" w:lineRule="exact"/>
              <w:rPr>
                <w:sz w:val="20"/>
                <w:szCs w:val="20"/>
                <w:color w:val="auto"/>
              </w:rPr>
            </w:pPr>
            <w:r>
              <w:rPr>
                <w:rFonts w:ascii="Arial" w:cs="Arial" w:eastAsia="Arial" w:hAnsi="Arial"/>
                <w:sz w:val="16"/>
                <w:szCs w:val="16"/>
                <w:b w:val="1"/>
                <w:bCs w:val="1"/>
                <w:color w:val="auto"/>
              </w:rPr>
              <w:t>Available</w:t>
            </w:r>
          </w:p>
        </w:tc>
      </w:t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20"/>
              <w:spacing w:after="0" w:line="216" w:lineRule="exact"/>
              <w:rPr>
                <w:sz w:val="20"/>
                <w:szCs w:val="20"/>
                <w:color w:val="auto"/>
              </w:rPr>
            </w:pPr>
            <w:r>
              <w:rPr>
                <w:rFonts w:ascii="Arial" w:cs="Arial" w:eastAsia="Arial" w:hAnsi="Arial"/>
                <w:sz w:val="16"/>
                <w:szCs w:val="16"/>
                <w:b w:val="1"/>
                <w:bCs w:val="1"/>
                <w:color w:val="auto"/>
                <w:w w:val="95"/>
              </w:rPr>
              <w:t xml:space="preserve">Capacity </w:t>
            </w:r>
            <w:r>
              <w:rPr>
                <w:rFonts w:ascii="Arial" w:cs="Arial" w:eastAsia="Arial" w:hAnsi="Arial"/>
                <w:sz w:val="21"/>
                <w:szCs w:val="21"/>
                <w:color w:val="auto"/>
                <w:w w:val="95"/>
                <w:vertAlign w:val="superscript"/>
              </w:rPr>
              <w:t>(a)</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line="216" w:lineRule="exact"/>
              <w:rPr>
                <w:sz w:val="20"/>
                <w:szCs w:val="20"/>
                <w:color w:val="auto"/>
              </w:rPr>
            </w:pPr>
            <w:r>
              <w:rPr>
                <w:rFonts w:ascii="Arial" w:cs="Arial" w:eastAsia="Arial" w:hAnsi="Arial"/>
                <w:sz w:val="16"/>
                <w:szCs w:val="16"/>
                <w:b w:val="1"/>
                <w:bCs w:val="1"/>
                <w:color w:val="auto"/>
                <w:w w:val="97"/>
              </w:rPr>
              <w:t xml:space="preserve">Borrowings </w:t>
            </w:r>
            <w:r>
              <w:rPr>
                <w:rFonts w:ascii="Arial" w:cs="Arial" w:eastAsia="Arial" w:hAnsi="Arial"/>
                <w:sz w:val="21"/>
                <w:szCs w:val="21"/>
                <w:color w:val="auto"/>
                <w:w w:val="97"/>
                <w:vertAlign w:val="superscript"/>
              </w:rPr>
              <w:t>(b)</w:t>
            </w:r>
          </w:p>
        </w:tc>
        <w:tc>
          <w:tcPr>
            <w:tcW w:w="260" w:type="dxa"/>
            <w:vAlign w:val="bottom"/>
          </w:tcPr>
          <w:p>
            <w:pPr>
              <w:spacing w:after="0"/>
              <w:rPr>
                <w:sz w:val="18"/>
                <w:szCs w:val="18"/>
                <w:color w:val="auto"/>
              </w:rPr>
            </w:pPr>
          </w:p>
        </w:tc>
        <w:tc>
          <w:tcPr>
            <w:tcW w:w="1300" w:type="dxa"/>
            <w:vAlign w:val="bottom"/>
          </w:tcPr>
          <w:p>
            <w:pPr>
              <w:jc w:val="right"/>
              <w:ind w:right="359"/>
              <w:spacing w:after="0"/>
              <w:rPr>
                <w:sz w:val="20"/>
                <w:szCs w:val="20"/>
                <w:color w:val="auto"/>
              </w:rPr>
            </w:pPr>
            <w:r>
              <w:rPr>
                <w:rFonts w:ascii="Arial" w:cs="Arial" w:eastAsia="Arial" w:hAnsi="Arial"/>
                <w:sz w:val="16"/>
                <w:szCs w:val="16"/>
                <w:b w:val="1"/>
                <w:bCs w:val="1"/>
                <w:color w:val="auto"/>
              </w:rPr>
              <w:t>Capacity</w:t>
            </w:r>
          </w:p>
        </w:tc>
      </w:tr>
      <w:tr>
        <w:trPr>
          <w:trHeight w:val="208"/>
        </w:trPr>
        <w:tc>
          <w:tcPr>
            <w:tcW w:w="5180" w:type="dxa"/>
            <w:vAlign w:val="bottom"/>
          </w:tcPr>
          <w:p>
            <w:pPr>
              <w:spacing w:after="0"/>
              <w:rPr>
                <w:sz w:val="20"/>
                <w:szCs w:val="20"/>
                <w:color w:val="auto"/>
              </w:rPr>
            </w:pPr>
            <w:r>
              <w:rPr>
                <w:rFonts w:ascii="Arial" w:cs="Arial" w:eastAsia="Arial" w:hAnsi="Arial"/>
                <w:sz w:val="16"/>
                <w:szCs w:val="16"/>
                <w:color w:val="auto"/>
              </w:rPr>
              <w:t>Americas - Debt due to Avis Budget Rental Car Funding</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10,103</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9,779</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324</w:t>
            </w:r>
          </w:p>
        </w:tc>
      </w:tr>
      <w:tr>
        <w:trPr>
          <w:trHeight w:val="215"/>
        </w:trPr>
        <w:tc>
          <w:tcPr>
            <w:tcW w:w="5180" w:type="dxa"/>
            <w:vAlign w:val="bottom"/>
          </w:tcPr>
          <w:p>
            <w:pPr>
              <w:spacing w:after="0"/>
              <w:rPr>
                <w:sz w:val="20"/>
                <w:szCs w:val="20"/>
                <w:color w:val="auto"/>
              </w:rPr>
            </w:pPr>
            <w:r>
              <w:rPr>
                <w:rFonts w:ascii="Arial" w:cs="Arial" w:eastAsia="Arial" w:hAnsi="Arial"/>
                <w:sz w:val="16"/>
                <w:szCs w:val="16"/>
                <w:color w:val="auto"/>
              </w:rPr>
              <w:t>Americas - Debt borrowings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370</w:t>
            </w:r>
          </w:p>
        </w:tc>
      </w:tr>
      <w:tr>
        <w:trPr>
          <w:trHeight w:val="216"/>
        </w:trPr>
        <w:tc>
          <w:tcPr>
            <w:tcW w:w="5180" w:type="dxa"/>
            <w:vAlign w:val="bottom"/>
          </w:tcPr>
          <w:p>
            <w:pPr>
              <w:spacing w:after="0"/>
              <w:rPr>
                <w:sz w:val="20"/>
                <w:szCs w:val="20"/>
                <w:color w:val="auto"/>
              </w:rPr>
            </w:pPr>
            <w:r>
              <w:rPr>
                <w:rFonts w:ascii="Arial" w:cs="Arial" w:eastAsia="Arial" w:hAnsi="Arial"/>
                <w:sz w:val="16"/>
                <w:szCs w:val="16"/>
                <w:color w:val="auto"/>
              </w:rPr>
              <w:t>International - Debt borrowings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1,573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1,017</w:t>
            </w:r>
          </w:p>
        </w:tc>
      </w:tr>
      <w:tr>
        <w:trPr>
          <w:trHeight w:val="216"/>
        </w:trPr>
        <w:tc>
          <w:tcPr>
            <w:tcW w:w="5180" w:type="dxa"/>
            <w:vAlign w:val="bottom"/>
          </w:tcPr>
          <w:p>
            <w:pPr>
              <w:spacing w:after="0"/>
              <w:rPr>
                <w:sz w:val="20"/>
                <w:szCs w:val="20"/>
                <w:color w:val="auto"/>
              </w:rPr>
            </w:pPr>
            <w:r>
              <w:rPr>
                <w:rFonts w:ascii="Arial" w:cs="Arial" w:eastAsia="Arial" w:hAnsi="Arial"/>
                <w:sz w:val="16"/>
                <w:szCs w:val="16"/>
                <w:color w:val="auto"/>
              </w:rPr>
              <w:t>International - Finance leases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7"/>
        </w:trPr>
        <w:tc>
          <w:tcPr>
            <w:tcW w:w="5180" w:type="dxa"/>
            <w:vAlign w:val="bottom"/>
          </w:tcPr>
          <w:p>
            <w:pPr>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5180" w:type="dxa"/>
            <w:vAlign w:val="bottom"/>
          </w:tcPr>
          <w:p>
            <w:pPr>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13,889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12,142</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1,747</w:t>
            </w:r>
          </w:p>
        </w:tc>
      </w:tr>
      <w:tr>
        <w:trPr>
          <w:trHeight w:val="20"/>
        </w:trPr>
        <w:tc>
          <w:tcPr>
            <w:tcW w:w="5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31" w:lineRule="exact"/>
        <w:rPr>
          <w:sz w:val="20"/>
          <w:szCs w:val="20"/>
          <w:color w:val="auto"/>
        </w:rPr>
      </w:pPr>
    </w:p>
    <w:p>
      <w:pPr>
        <w:ind w:left="760" w:hanging="266"/>
        <w:spacing w:after="0"/>
        <w:tabs>
          <w:tab w:leader="none" w:pos="760" w:val="left"/>
        </w:tabs>
        <w:numPr>
          <w:ilvl w:val="0"/>
          <w:numId w:val="23"/>
        </w:numPr>
        <w:rPr>
          <w:rFonts w:ascii="Arial" w:cs="Arial" w:eastAsia="Arial" w:hAnsi="Arial"/>
          <w:sz w:val="9"/>
          <w:szCs w:val="9"/>
          <w:color w:val="auto"/>
        </w:rPr>
      </w:pPr>
      <w:r>
        <w:rPr>
          <w:rFonts w:ascii="Arial" w:cs="Arial" w:eastAsia="Arial" w:hAnsi="Arial"/>
          <w:sz w:val="14"/>
          <w:szCs w:val="14"/>
          <w:color w:val="auto"/>
        </w:rPr>
        <w:t>Capacity is subject to maintaining sufficient assets to collateralize debt.</w:t>
      </w:r>
    </w:p>
    <w:p>
      <w:pPr>
        <w:spacing w:after="0" w:line="21" w:lineRule="exact"/>
        <w:rPr>
          <w:rFonts w:ascii="Arial" w:cs="Arial" w:eastAsia="Arial" w:hAnsi="Arial"/>
          <w:sz w:val="9"/>
          <w:szCs w:val="9"/>
          <w:color w:val="auto"/>
        </w:rPr>
      </w:pPr>
    </w:p>
    <w:p>
      <w:pPr>
        <w:ind w:left="820" w:hanging="326"/>
        <w:spacing w:after="0" w:line="222" w:lineRule="auto"/>
        <w:tabs>
          <w:tab w:leader="none" w:pos="810"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The outstanding debt is collateralized by vehicles and related assets of $11.5 billion for Americas - Debt due to Avis Budget Rental Car Funding; $0.9 billion for Americas - Debt borrowings; $2.0 billion for International - Debt borrowings; and $0.2 billion for International - Finance leases.</w:t>
      </w:r>
    </w:p>
    <w:p>
      <w:pPr>
        <w:sectPr>
          <w:pgSz w:w="11900" w:h="16838" w:orient="portrait"/>
          <w:cols w:equalWidth="0" w:num="1">
            <w:col w:w="1124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Covenants</w:t>
      </w:r>
    </w:p>
    <w:p>
      <w:pPr>
        <w:spacing w:after="0" w:line="250"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The agreements under our vehicle-backed funding programs contain restrictive covenants, including restrictions on dividends paid to us by certain of our subsidiaries and restrictions on indebtedness, mergers, liens, liquidations, and sale and leaseback transactions and in some cases also require compliance with certain financial requirements. As of March 31, 2022, we are not aware of any instances of non-compliance with any of the financial covenants contained in the debt agreements under our vehicle-backed funding programs.</w:t>
      </w:r>
    </w:p>
    <w:p>
      <w:pPr>
        <w:spacing w:after="0" w:line="206" w:lineRule="exact"/>
        <w:rPr>
          <w:sz w:val="20"/>
          <w:szCs w:val="20"/>
          <w:color w:val="auto"/>
        </w:rPr>
      </w:pPr>
    </w:p>
    <w:p>
      <w:pPr>
        <w:ind w:left="500" w:right="7920" w:hanging="492"/>
        <w:spacing w:after="0" w:line="563" w:lineRule="auto"/>
        <w:tabs>
          <w:tab w:leader="none" w:pos="464"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Contingencies</w:t>
      </w:r>
    </w:p>
    <w:p>
      <w:pPr>
        <w:spacing w:after="0" w:line="1"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In 2006, we completed the spin-offs of our Realogy and Wyndham subsidiaries. We do not believe that the impact of any resolution of pre-existing contingent liabilities in connection with the spin-offs should result in a material liability to us in relation to our consolidated financial position or liquidity, as Realogy and Wyndham each have agreed to assume responsibility for these liabilities. We are also named in litigation that is primarily related to the businesses of our former subsidiaries, including Realogy and Wyndham. We are entitled to indemnification from such entities for any liability resulting from such litigation.</w:t>
      </w:r>
    </w:p>
    <w:p>
      <w:pPr>
        <w:spacing w:after="0" w:line="206"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In November 2011, Jose Mendez v. Avis Budget Group Inc., et al. was filed in U.S. District Court for the District of New Jersey. The plaintiff seeks to represent a purported nationwide class and two sub-classes of certain renters of vehicles from our Avis and Budget subsidiaries from April 2007 through December 2015. The plaintiff seeks damages in connection with claims relating to our electronic toll service, including that administrative fees and toll charges were not properly disclosed to customers and/or were excessive. Plaintiff’s motion for class certification was approved by the Court in November 2017. The parties are currently engaged in settlement discussions. We have been named as a defendant in other purported consumer class action law suits, including a class action filed against us in Florida seeking damages in connection with a breach of contract claim and two purported class action suits filed against us in New Jersey, one related to fines and fees charged to car renters by us for violations incurred during the course of their rental and another related to ancillary charges at our Payless subsidiary. In the Florida lawsuit, a motion for preliminary approval of a proposed settlement has been filed with the Court.</w:t>
      </w:r>
    </w:p>
    <w:p>
      <w:pPr>
        <w:spacing w:after="0" w:line="212"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We are currently involved, and in the future may be involved, in claims and/or legal proceedings, including class actions, and governmental inquiries that are incidental to our vehicle rental and car sharing operations, including, among others, contract and licensee disputes, competition matters, employment and wage-and-hour claims, insurance and liability claims, intellectual property claims, business practice disputes and other regulatory, environmental, commercial and tax matters. Litigation is inherently unpredictable and, although we believe that our accruals are adequate and/or that we have valid defenses in these matters, unfavorable resolutions could occur. We estimate that the potential exposure resulting from adverse outcomes of current legal proceedings in which it is reasonably possible that a loss may be incurred could, in the aggregate, be up to approximately $35 million in excess of amounts accrued as of March 31, 2022. We do not believe that the impact should result in a material liability to us in relation to our consolidated financial condition or results of operations.</w:t>
      </w:r>
    </w:p>
    <w:p>
      <w:pPr>
        <w:spacing w:after="0" w:line="21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Commitments to Purchase Vehicles</w:t>
      </w:r>
    </w:p>
    <w:p>
      <w:pPr>
        <w:spacing w:after="0" w:line="250"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We maintain agreements with vehicle manufacturers under which we have agreed to purchase approximately $ 5.1 billion of vehicles from manufacturers over the next 12 months, a $0.8 billion decrease compared to December 31, 2021, financed primarily through the issuance of vehicle-backed debt and cash received upon the disposition of vehicles. Certain of these commitments are subject to the vehicle manufacturers satisfying their obligations under their respective repurchase and guaranteed depreciation agreements.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Concentrations</w:t>
      </w:r>
    </w:p>
    <w:p>
      <w:pPr>
        <w:spacing w:after="0" w:line="250"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Concentrations of credit risk as of March 31, 2022 include (i) risks related to our repurchase and guaranteed depreciation agreements with domestic and foreign car manufacturers, primarily with respect to receivables for program cars that have been disposed but for which we have not yet received payment from the manufacturers and (ii) risks related to Realogy and Wyndham, including receivables of $26 million and $16 million, respectively, related to certain contingent, income tax and other corporate liabilities assumed by Realogy and Wyndham in connection with their disposition.</w:t>
      </w:r>
    </w:p>
    <w:p>
      <w:pPr>
        <w:spacing w:after="0" w:line="206" w:lineRule="exact"/>
        <w:rPr>
          <w:sz w:val="20"/>
          <w:szCs w:val="20"/>
          <w:color w:val="auto"/>
        </w:rPr>
      </w:pPr>
    </w:p>
    <w:p>
      <w:pPr>
        <w:ind w:left="500" w:right="9000" w:hanging="492"/>
        <w:spacing w:after="0" w:line="563" w:lineRule="auto"/>
        <w:tabs>
          <w:tab w:leader="none" w:pos="464"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Share Repurchases</w:t>
      </w:r>
    </w:p>
    <w:p>
      <w:pPr>
        <w:spacing w:after="0" w:line="1"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Our Board of Directors has authorized the repurchase of up to $5.1 billion of our common stock under a plan originally approved in 2013 and subsequently expanded most recently in March 2022 (the “Stock Repurchase Program”). During the three months ended March 31, 2022, we repurchased approximately 6.4 million shares of common stock at a cost of approximately $1.3 billion under the program. As of March 31, 2022, approximately $652 million of authorization remains available to repurchase common stock under the program.</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Total Comprehensive Income (Loss)</w:t>
      </w:r>
    </w:p>
    <w:p>
      <w:pPr>
        <w:spacing w:after="0" w:line="250"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Comprehensive income (loss) consists of net income (loss) and other gains and losses affecting stockholders’ equity that, under GAAP, are excluded from net income (loss).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other comprehensive income (loss) were as follows:</w:t>
      </w:r>
    </w:p>
    <w:p>
      <w:pPr>
        <w:spacing w:after="0" w:line="48" w:lineRule="exact"/>
        <w:rPr>
          <w:sz w:val="20"/>
          <w:szCs w:val="20"/>
          <w:color w:val="auto"/>
        </w:rPr>
      </w:pPr>
    </w:p>
    <w:p>
      <w:pPr>
        <w:jc w:val="center"/>
        <w:ind w:left="7100"/>
        <w:spacing w:after="0"/>
        <w:rPr>
          <w:sz w:val="20"/>
          <w:szCs w:val="20"/>
          <w:color w:val="auto"/>
        </w:rPr>
      </w:pPr>
      <w:r>
        <w:rPr>
          <w:rFonts w:ascii="Arial" w:cs="Arial" w:eastAsia="Arial" w:hAnsi="Arial"/>
          <w:sz w:val="16"/>
          <w:szCs w:val="16"/>
          <w:b w:val="1"/>
          <w:bCs w:val="1"/>
          <w:color w:val="auto"/>
        </w:rPr>
        <w:t>Three Months Ended</w:t>
      </w:r>
    </w:p>
    <w:p>
      <w:pPr>
        <w:jc w:val="center"/>
        <w:ind w:left="714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520" w:type="dxa"/>
        <w:tblCellMar>
          <w:top w:w="0" w:type="dxa"/>
          <w:left w:w="0" w:type="dxa"/>
          <w:bottom w:w="0" w:type="dxa"/>
          <w:right w:w="0" w:type="dxa"/>
        </w:tblCellMar>
      </w:tblPr>
      <w:tr>
        <w:trPr>
          <w:trHeight w:val="210"/>
        </w:trPr>
        <w:tc>
          <w:tcPr>
            <w:tcW w:w="7220" w:type="dxa"/>
            <w:vAlign w:val="bottom"/>
            <w:vMerge w:val="restart"/>
          </w:tcPr>
          <w:p>
            <w:pPr>
              <w:spacing w:after="0"/>
              <w:rPr>
                <w:sz w:val="20"/>
                <w:szCs w:val="20"/>
                <w:color w:val="auto"/>
              </w:rPr>
            </w:pPr>
            <w:r>
              <w:rPr>
                <w:rFonts w:ascii="Arial" w:cs="Arial" w:eastAsia="Arial" w:hAnsi="Arial"/>
                <w:sz w:val="16"/>
                <w:szCs w:val="16"/>
                <w:color w:val="auto"/>
              </w:rPr>
              <w:t>Net income (loss)</w:t>
            </w: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8"/>
        </w:trPr>
        <w:tc>
          <w:tcPr>
            <w:tcW w:w="7220" w:type="dxa"/>
            <w:vAlign w:val="bottom"/>
            <w:vMerge w:val="continue"/>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527</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15"/>
        </w:trPr>
        <w:tc>
          <w:tcPr>
            <w:tcW w:w="7220" w:type="dxa"/>
            <w:vAlign w:val="bottom"/>
          </w:tcPr>
          <w:p>
            <w:pPr>
              <w:ind w:left="160"/>
              <w:spacing w:after="0"/>
              <w:rPr>
                <w:sz w:val="20"/>
                <w:szCs w:val="20"/>
                <w:color w:val="auto"/>
              </w:rPr>
            </w:pPr>
            <w:r>
              <w:rPr>
                <w:rFonts w:ascii="Arial" w:cs="Arial" w:eastAsia="Arial" w:hAnsi="Arial"/>
                <w:sz w:val="16"/>
                <w:szCs w:val="16"/>
                <w:color w:val="auto"/>
              </w:rPr>
              <w:t>Less: net loss attributable to non-controlling interests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220" w:type="dxa"/>
            <w:vAlign w:val="bottom"/>
          </w:tcPr>
          <w:p>
            <w:pPr>
              <w:spacing w:after="0"/>
              <w:rPr>
                <w:sz w:val="20"/>
                <w:szCs w:val="20"/>
                <w:color w:val="auto"/>
              </w:rPr>
            </w:pPr>
            <w:r>
              <w:rPr>
                <w:rFonts w:ascii="Arial" w:cs="Arial" w:eastAsia="Arial" w:hAnsi="Arial"/>
                <w:sz w:val="16"/>
                <w:szCs w:val="16"/>
                <w:color w:val="auto"/>
              </w:rPr>
              <w:t>Net income (loss) attributable to Avis Budget Group, Inc.</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15"/>
        </w:trPr>
        <w:tc>
          <w:tcPr>
            <w:tcW w:w="722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160"/>
              <w:spacing w:after="0"/>
              <w:rPr>
                <w:sz w:val="20"/>
                <w:szCs w:val="20"/>
                <w:color w:val="auto"/>
              </w:rPr>
            </w:pPr>
            <w:r>
              <w:rPr>
                <w:rFonts w:ascii="Arial" w:cs="Arial" w:eastAsia="Arial" w:hAnsi="Arial"/>
                <w:sz w:val="16"/>
                <w:szCs w:val="16"/>
                <w:color w:val="auto"/>
              </w:rPr>
              <w:t>Currency translation adjustments (net of tax of $(3) and $(12), respectively)</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6"/>
        </w:trPr>
        <w:tc>
          <w:tcPr>
            <w:tcW w:w="7220" w:type="dxa"/>
            <w:vAlign w:val="bottom"/>
          </w:tcPr>
          <w:p>
            <w:pPr>
              <w:ind w:left="160"/>
              <w:spacing w:after="0"/>
              <w:rPr>
                <w:sz w:val="20"/>
                <w:szCs w:val="20"/>
                <w:color w:val="auto"/>
              </w:rPr>
            </w:pPr>
            <w:r>
              <w:rPr>
                <w:rFonts w:ascii="Arial" w:cs="Arial" w:eastAsia="Arial" w:hAnsi="Arial"/>
                <w:sz w:val="16"/>
                <w:szCs w:val="16"/>
                <w:color w:val="auto"/>
              </w:rPr>
              <w:t>Net unrealized gain (loss) on cash flow hedges (net of tax of $(11) and $3, respectively)</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7"/>
        </w:trPr>
        <w:tc>
          <w:tcPr>
            <w:tcW w:w="7220" w:type="dxa"/>
            <w:vAlign w:val="bottom"/>
          </w:tcPr>
          <w:p>
            <w:pPr>
              <w:ind w:left="160"/>
              <w:spacing w:after="0"/>
              <w:rPr>
                <w:sz w:val="20"/>
                <w:szCs w:val="20"/>
                <w:color w:val="auto"/>
              </w:rPr>
            </w:pPr>
            <w:r>
              <w:rPr>
                <w:rFonts w:ascii="Arial" w:cs="Arial" w:eastAsia="Arial" w:hAnsi="Arial"/>
                <w:sz w:val="16"/>
                <w:szCs w:val="16"/>
                <w:color w:val="auto"/>
              </w:rPr>
              <w:t>Minimum pension liability adjustment (net of tax of $0 and $0, respectively)</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0"/>
        </w:trPr>
        <w:tc>
          <w:tcPr>
            <w:tcW w:w="7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0"/>
        </w:trPr>
        <w:tc>
          <w:tcPr>
            <w:tcW w:w="7220" w:type="dxa"/>
            <w:vAlign w:val="bottom"/>
          </w:tcPr>
          <w:p>
            <w:pPr>
              <w:spacing w:after="0"/>
              <w:rPr>
                <w:sz w:val="20"/>
                <w:szCs w:val="20"/>
                <w:color w:val="auto"/>
              </w:rPr>
            </w:pPr>
            <w:r>
              <w:rPr>
                <w:rFonts w:ascii="Arial" w:cs="Arial" w:eastAsia="Arial" w:hAnsi="Arial"/>
                <w:sz w:val="16"/>
                <w:szCs w:val="16"/>
                <w:color w:val="auto"/>
              </w:rPr>
              <w:t>Comprehensive income (loss) attributable to Avis Budget Group, Inc.</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Currency translation adjustments exclude income taxes related to indefinite investments in foreign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accumulated other comprehensive income (loss) were as follows:</w:t>
      </w:r>
    </w:p>
    <w:p>
      <w:pPr>
        <w:spacing w:after="0" w:line="47"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36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rPr>
              <w:t>Currency</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Net Unrealized</w:t>
            </w:r>
          </w:p>
        </w:tc>
        <w:tc>
          <w:tcPr>
            <w:tcW w:w="260" w:type="dxa"/>
            <w:vAlign w:val="bottom"/>
          </w:tcPr>
          <w:p>
            <w:pPr>
              <w:spacing w:after="0"/>
              <w:rPr>
                <w:sz w:val="14"/>
                <w:szCs w:val="1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Minimum</w:t>
            </w:r>
          </w:p>
        </w:tc>
        <w:tc>
          <w:tcPr>
            <w:tcW w:w="200" w:type="dxa"/>
            <w:vAlign w:val="bottom"/>
          </w:tcPr>
          <w:p>
            <w:pPr>
              <w:spacing w:after="0"/>
              <w:rPr>
                <w:sz w:val="14"/>
                <w:szCs w:val="14"/>
                <w:color w:val="auto"/>
              </w:rPr>
            </w:pPr>
          </w:p>
        </w:tc>
        <w:tc>
          <w:tcPr>
            <w:tcW w:w="1520" w:type="dxa"/>
            <w:vAlign w:val="bottom"/>
          </w:tcPr>
          <w:p>
            <w:pPr>
              <w:jc w:val="center"/>
              <w:ind w:right="148"/>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4"/>
        </w:trPr>
        <w:tc>
          <w:tcPr>
            <w:tcW w:w="29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rPr>
              <w:t>Gains (Losses)</w:t>
            </w:r>
          </w:p>
        </w:tc>
        <w:tc>
          <w:tcPr>
            <w:tcW w:w="260" w:type="dxa"/>
            <w:vAlign w:val="bottom"/>
          </w:tcPr>
          <w:p>
            <w:pPr>
              <w:spacing w:after="0"/>
              <w:rPr>
                <w:sz w:val="12"/>
                <w:szCs w:val="12"/>
                <w:color w:val="auto"/>
              </w:rPr>
            </w:pPr>
          </w:p>
        </w:tc>
        <w:tc>
          <w:tcPr>
            <w:tcW w:w="158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rPr>
              <w:t>Pension</w:t>
            </w:r>
          </w:p>
        </w:tc>
        <w:tc>
          <w:tcPr>
            <w:tcW w:w="200" w:type="dxa"/>
            <w:vAlign w:val="bottom"/>
          </w:tcPr>
          <w:p>
            <w:pPr>
              <w:spacing w:after="0"/>
              <w:rPr>
                <w:sz w:val="12"/>
                <w:szCs w:val="12"/>
                <w:color w:val="auto"/>
              </w:rPr>
            </w:pPr>
          </w:p>
        </w:tc>
        <w:tc>
          <w:tcPr>
            <w:tcW w:w="1520" w:type="dxa"/>
            <w:vAlign w:val="bottom"/>
          </w:tcPr>
          <w:p>
            <w:pPr>
              <w:jc w:val="center"/>
              <w:ind w:right="148"/>
              <w:spacing w:after="0" w:line="145"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360" w:type="dxa"/>
            <w:vAlign w:val="bottom"/>
          </w:tcPr>
          <w:p>
            <w:pPr>
              <w:jc w:val="center"/>
              <w:ind w:left="288"/>
              <w:spacing w:after="0" w:line="149" w:lineRule="exact"/>
              <w:rPr>
                <w:sz w:val="20"/>
                <w:szCs w:val="20"/>
                <w:color w:val="auto"/>
              </w:rPr>
            </w:pPr>
            <w:r>
              <w:rPr>
                <w:rFonts w:ascii="Arial" w:cs="Arial" w:eastAsia="Arial" w:hAnsi="Arial"/>
                <w:sz w:val="14"/>
                <w:szCs w:val="14"/>
                <w:b w:val="1"/>
                <w:bCs w:val="1"/>
                <w:color w:val="auto"/>
              </w:rPr>
              <w:t>Translation</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on Cash Flow</w:t>
            </w:r>
          </w:p>
        </w:tc>
        <w:tc>
          <w:tcPr>
            <w:tcW w:w="260" w:type="dxa"/>
            <w:vAlign w:val="bottom"/>
          </w:tcPr>
          <w:p>
            <w:pPr>
              <w:spacing w:after="0"/>
              <w:rPr>
                <w:sz w:val="12"/>
                <w:szCs w:val="12"/>
                <w:color w:val="auto"/>
              </w:rPr>
            </w:pPr>
          </w:p>
        </w:tc>
        <w:tc>
          <w:tcPr>
            <w:tcW w:w="15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Liability</w:t>
            </w:r>
          </w:p>
        </w:tc>
        <w:tc>
          <w:tcPr>
            <w:tcW w:w="200" w:type="dxa"/>
            <w:vAlign w:val="bottom"/>
          </w:tcPr>
          <w:p>
            <w:pPr>
              <w:spacing w:after="0"/>
              <w:rPr>
                <w:sz w:val="12"/>
                <w:szCs w:val="12"/>
                <w:color w:val="auto"/>
              </w:rPr>
            </w:pPr>
          </w:p>
        </w:tc>
        <w:tc>
          <w:tcPr>
            <w:tcW w:w="152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189"/>
        </w:trPr>
        <w:tc>
          <w:tcPr>
            <w:tcW w:w="2900" w:type="dxa"/>
            <w:vAlign w:val="bottom"/>
          </w:tcPr>
          <w:p>
            <w:pPr>
              <w:spacing w:after="0"/>
              <w:rPr>
                <w:sz w:val="16"/>
                <w:szCs w:val="16"/>
                <w:color w:val="auto"/>
              </w:rPr>
            </w:pPr>
          </w:p>
        </w:tc>
        <w:tc>
          <w:tcPr>
            <w:tcW w:w="1360" w:type="dxa"/>
            <w:vAlign w:val="bottom"/>
          </w:tcPr>
          <w:p>
            <w:pPr>
              <w:jc w:val="center"/>
              <w:ind w:left="288"/>
              <w:spacing w:after="0"/>
              <w:rPr>
                <w:sz w:val="20"/>
                <w:szCs w:val="20"/>
                <w:color w:val="auto"/>
              </w:rPr>
            </w:pPr>
            <w:r>
              <w:rPr>
                <w:rFonts w:ascii="Arial" w:cs="Arial" w:eastAsia="Arial" w:hAnsi="Arial"/>
                <w:sz w:val="14"/>
                <w:szCs w:val="14"/>
                <w:b w:val="1"/>
                <w:bCs w:val="1"/>
                <w:color w:val="auto"/>
              </w:rPr>
              <w:t>Adjustments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jc w:val="center"/>
              <w:ind w:right="320"/>
              <w:spacing w:after="0" w:line="189" w:lineRule="exact"/>
              <w:rPr>
                <w:sz w:val="20"/>
                <w:szCs w:val="20"/>
                <w:color w:val="auto"/>
              </w:rPr>
            </w:pPr>
            <w:r>
              <w:rPr>
                <w:rFonts w:ascii="Arial" w:cs="Arial" w:eastAsia="Arial" w:hAnsi="Arial"/>
                <w:sz w:val="14"/>
                <w:szCs w:val="14"/>
                <w:b w:val="1"/>
                <w:bCs w:val="1"/>
                <w:color w:val="auto"/>
                <w:w w:val="98"/>
              </w:rPr>
              <w:t>Hedges</w:t>
            </w:r>
            <w:r>
              <w:rPr>
                <w:rFonts w:ascii="Arial" w:cs="Arial" w:eastAsia="Arial" w:hAnsi="Arial"/>
                <w:sz w:val="18"/>
                <w:szCs w:val="18"/>
                <w:b w:val="1"/>
                <w:bCs w:val="1"/>
                <w:color w:val="auto"/>
                <w:w w:val="98"/>
                <w:vertAlign w:val="superscript"/>
              </w:rPr>
              <w:t>(a)</w:t>
            </w:r>
          </w:p>
        </w:tc>
        <w:tc>
          <w:tcPr>
            <w:tcW w:w="260" w:type="dxa"/>
            <w:vAlign w:val="bottom"/>
          </w:tcPr>
          <w:p>
            <w:pPr>
              <w:spacing w:after="0"/>
              <w:rPr>
                <w:sz w:val="16"/>
                <w:szCs w:val="16"/>
                <w:color w:val="auto"/>
              </w:rPr>
            </w:pPr>
          </w:p>
        </w:tc>
        <w:tc>
          <w:tcPr>
            <w:tcW w:w="1580" w:type="dxa"/>
            <w:vAlign w:val="bottom"/>
            <w:gridSpan w:val="2"/>
          </w:tcPr>
          <w:p>
            <w:pPr>
              <w:jc w:val="center"/>
              <w:ind w:right="360"/>
              <w:spacing w:after="0" w:line="189" w:lineRule="exact"/>
              <w:rPr>
                <w:sz w:val="20"/>
                <w:szCs w:val="20"/>
                <w:color w:val="auto"/>
              </w:rPr>
            </w:pPr>
            <w:r>
              <w:rPr>
                <w:rFonts w:ascii="Arial" w:cs="Arial" w:eastAsia="Arial" w:hAnsi="Arial"/>
                <w:sz w:val="14"/>
                <w:szCs w:val="14"/>
                <w:b w:val="1"/>
                <w:bCs w:val="1"/>
                <w:color w:val="auto"/>
                <w:w w:val="97"/>
              </w:rPr>
              <w:t>Adjustment</w:t>
            </w:r>
            <w:r>
              <w:rPr>
                <w:rFonts w:ascii="Arial" w:cs="Arial" w:eastAsia="Arial" w:hAnsi="Arial"/>
                <w:sz w:val="18"/>
                <w:szCs w:val="18"/>
                <w:b w:val="1"/>
                <w:bCs w:val="1"/>
                <w:color w:val="auto"/>
                <w:w w:val="97"/>
                <w:vertAlign w:val="superscript"/>
              </w:rPr>
              <w:t>(b)</w:t>
            </w:r>
          </w:p>
        </w:tc>
        <w:tc>
          <w:tcPr>
            <w:tcW w:w="200" w:type="dxa"/>
            <w:vAlign w:val="bottom"/>
          </w:tcPr>
          <w:p>
            <w:pPr>
              <w:spacing w:after="0"/>
              <w:rPr>
                <w:sz w:val="16"/>
                <w:szCs w:val="16"/>
                <w:color w:val="auto"/>
              </w:rPr>
            </w:pPr>
          </w:p>
        </w:tc>
        <w:tc>
          <w:tcPr>
            <w:tcW w:w="1520" w:type="dxa"/>
            <w:vAlign w:val="bottom"/>
          </w:tcPr>
          <w:p>
            <w:pPr>
              <w:jc w:val="center"/>
              <w:ind w:right="148"/>
              <w:spacing w:after="0"/>
              <w:rPr>
                <w:sz w:val="20"/>
                <w:szCs w:val="20"/>
                <w:color w:val="auto"/>
              </w:rPr>
            </w:pPr>
            <w:r>
              <w:rPr>
                <w:rFonts w:ascii="Arial" w:cs="Arial" w:eastAsia="Arial" w:hAnsi="Arial"/>
                <w:sz w:val="14"/>
                <w:szCs w:val="14"/>
                <w:b w:val="1"/>
                <w:bCs w:val="1"/>
                <w:color w:val="auto"/>
              </w:rPr>
              <w:t>Income (Loss)</w:t>
            </w:r>
          </w:p>
        </w:tc>
        <w:tc>
          <w:tcPr>
            <w:tcW w:w="0" w:type="dxa"/>
            <w:vAlign w:val="bottom"/>
          </w:tcPr>
          <w:p>
            <w:pPr>
              <w:spacing w:after="0"/>
              <w:rPr>
                <w:sz w:val="1"/>
                <w:szCs w:val="1"/>
                <w:color w:val="auto"/>
              </w:rPr>
            </w:pPr>
          </w:p>
        </w:tc>
      </w:tr>
      <w:tr>
        <w:trPr>
          <w:trHeight w:val="188"/>
        </w:trPr>
        <w:tc>
          <w:tcPr>
            <w:tcW w:w="2900" w:type="dxa"/>
            <w:vAlign w:val="bottom"/>
          </w:tcPr>
          <w:p>
            <w:pPr>
              <w:spacing w:after="0"/>
              <w:rPr>
                <w:sz w:val="20"/>
                <w:szCs w:val="20"/>
                <w:color w:val="auto"/>
              </w:rPr>
            </w:pPr>
            <w:r>
              <w:rPr>
                <w:rFonts w:ascii="Arial" w:cs="Arial" w:eastAsia="Arial" w:hAnsi="Arial"/>
                <w:sz w:val="14"/>
                <w:szCs w:val="14"/>
                <w:color w:val="auto"/>
              </w:rPr>
              <w:t>Balance, January 1, 2022</w:t>
            </w:r>
          </w:p>
        </w:tc>
        <w:tc>
          <w:tcPr>
            <w:tcW w:w="1360" w:type="dxa"/>
            <w:vAlign w:val="bottom"/>
            <w:tcBorders>
              <w:top w:val="single" w:sz="8" w:color="auto"/>
            </w:tcBorders>
          </w:tcPr>
          <w:p>
            <w:pPr>
              <w:jc w:val="right"/>
              <w:ind w:right="118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61"/>
        </w:trPr>
        <w:tc>
          <w:tcPr>
            <w:tcW w:w="2900" w:type="dxa"/>
            <w:vAlign w:val="bottom"/>
          </w:tcPr>
          <w:p>
            <w:pPr>
              <w:ind w:left="360"/>
              <w:spacing w:after="0"/>
              <w:rPr>
                <w:sz w:val="20"/>
                <w:szCs w:val="20"/>
                <w:color w:val="auto"/>
              </w:rPr>
            </w:pPr>
            <w:r>
              <w:rPr>
                <w:rFonts w:ascii="Arial" w:cs="Arial" w:eastAsia="Arial" w:hAnsi="Arial"/>
                <w:sz w:val="14"/>
                <w:szCs w:val="14"/>
                <w:color w:val="auto"/>
              </w:rPr>
              <w:t>Other comprehensive income (loss)</w:t>
            </w:r>
          </w:p>
        </w:tc>
        <w:tc>
          <w:tcPr>
            <w:tcW w:w="1360" w:type="dxa"/>
            <w:vAlign w:val="bottom"/>
          </w:tcPr>
          <w:p>
            <w:pPr>
              <w:spacing w:after="0"/>
              <w:rPr>
                <w:sz w:val="13"/>
                <w:szCs w:val="13"/>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9"/>
        </w:trPr>
        <w:tc>
          <w:tcPr>
            <w:tcW w:w="2900" w:type="dxa"/>
            <w:vAlign w:val="bottom"/>
          </w:tcPr>
          <w:p>
            <w:pPr>
              <w:ind w:left="360"/>
              <w:spacing w:after="0"/>
              <w:rPr>
                <w:sz w:val="20"/>
                <w:szCs w:val="20"/>
                <w:color w:val="auto"/>
              </w:rPr>
            </w:pPr>
            <w:r>
              <w:rPr>
                <w:rFonts w:ascii="Arial" w:cs="Arial" w:eastAsia="Arial" w:hAnsi="Arial"/>
                <w:sz w:val="14"/>
                <w:szCs w:val="14"/>
                <w:color w:val="auto"/>
              </w:rPr>
              <w:t>before reclassifications</w:t>
            </w:r>
          </w:p>
        </w:tc>
        <w:tc>
          <w:tcPr>
            <w:tcW w:w="136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360"/>
              <w:spacing w:after="0" w:line="149" w:lineRule="exact"/>
              <w:rPr>
                <w:sz w:val="20"/>
                <w:szCs w:val="20"/>
                <w:color w:val="auto"/>
              </w:rPr>
            </w:pPr>
            <w:r>
              <w:rPr>
                <w:rFonts w:ascii="Arial" w:cs="Arial" w:eastAsia="Arial" w:hAnsi="Arial"/>
                <w:sz w:val="14"/>
                <w:szCs w:val="14"/>
                <w:color w:val="auto"/>
              </w:rPr>
              <w:t>Amounts reclassified from accumulated</w:t>
            </w:r>
          </w:p>
        </w:tc>
        <w:tc>
          <w:tcPr>
            <w:tcW w:w="1360" w:type="dxa"/>
            <w:vAlign w:val="bottom"/>
          </w:tcPr>
          <w:p>
            <w:pPr>
              <w:spacing w:after="0"/>
              <w:rPr>
                <w:sz w:val="12"/>
                <w:szCs w:val="12"/>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5"/>
        </w:trPr>
        <w:tc>
          <w:tcPr>
            <w:tcW w:w="2900" w:type="dxa"/>
            <w:vAlign w:val="bottom"/>
          </w:tcPr>
          <w:p>
            <w:pPr>
              <w:ind w:left="360"/>
              <w:spacing w:after="0"/>
              <w:rPr>
                <w:sz w:val="20"/>
                <w:szCs w:val="20"/>
                <w:color w:val="auto"/>
              </w:rPr>
            </w:pPr>
            <w:r>
              <w:rPr>
                <w:rFonts w:ascii="Arial" w:cs="Arial" w:eastAsia="Arial" w:hAnsi="Arial"/>
                <w:sz w:val="14"/>
                <w:szCs w:val="14"/>
                <w:color w:val="auto"/>
              </w:rPr>
              <w:t>other comprehensive income (loss)</w:t>
            </w:r>
          </w:p>
        </w:tc>
        <w:tc>
          <w:tcPr>
            <w:tcW w:w="136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900" w:type="dxa"/>
            <w:vAlign w:val="bottom"/>
          </w:tcPr>
          <w:p>
            <w:pPr>
              <w:ind w:left="160"/>
              <w:spacing w:after="0" w:line="133" w:lineRule="exact"/>
              <w:rPr>
                <w:sz w:val="20"/>
                <w:szCs w:val="20"/>
                <w:color w:val="auto"/>
              </w:rPr>
            </w:pPr>
            <w:r>
              <w:rPr>
                <w:rFonts w:ascii="Arial" w:cs="Arial" w:eastAsia="Arial" w:hAnsi="Arial"/>
                <w:sz w:val="14"/>
                <w:szCs w:val="14"/>
                <w:color w:val="auto"/>
              </w:rPr>
              <w:t>Net current-period other comprehensive</w:t>
            </w:r>
          </w:p>
        </w:tc>
        <w:tc>
          <w:tcPr>
            <w:tcW w:w="13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5"/>
        </w:trPr>
        <w:tc>
          <w:tcPr>
            <w:tcW w:w="2900" w:type="dxa"/>
            <w:vAlign w:val="bottom"/>
          </w:tcPr>
          <w:p>
            <w:pPr>
              <w:ind w:left="160"/>
              <w:spacing w:after="0"/>
              <w:rPr>
                <w:sz w:val="20"/>
                <w:szCs w:val="20"/>
                <w:color w:val="auto"/>
              </w:rPr>
            </w:pPr>
            <w:r>
              <w:rPr>
                <w:rFonts w:ascii="Arial" w:cs="Arial" w:eastAsia="Arial" w:hAnsi="Arial"/>
                <w:sz w:val="14"/>
                <w:szCs w:val="14"/>
                <w:color w:val="auto"/>
              </w:rPr>
              <w:t>income (loss)</w:t>
            </w:r>
          </w:p>
        </w:tc>
        <w:tc>
          <w:tcPr>
            <w:tcW w:w="13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00" w:type="dxa"/>
            <w:vAlign w:val="bottom"/>
          </w:tcPr>
          <w:p>
            <w:pPr>
              <w:spacing w:after="0"/>
              <w:rPr>
                <w:sz w:val="20"/>
                <w:szCs w:val="20"/>
                <w:color w:val="auto"/>
              </w:rPr>
            </w:pPr>
            <w:r>
              <w:rPr>
                <w:rFonts w:ascii="Arial" w:cs="Arial" w:eastAsia="Arial" w:hAnsi="Arial"/>
                <w:sz w:val="14"/>
                <w:szCs w:val="14"/>
                <w:color w:val="auto"/>
              </w:rPr>
              <w:t>Balance, March 31, 2022</w:t>
            </w:r>
          </w:p>
        </w:tc>
        <w:tc>
          <w:tcPr>
            <w:tcW w:w="1360" w:type="dxa"/>
            <w:vAlign w:val="bottom"/>
            <w:tcBorders>
              <w:bottom w:val="single" w:sz="8" w:color="auto"/>
            </w:tcBorders>
          </w:tcPr>
          <w:p>
            <w:pPr>
              <w:jc w:val="right"/>
              <w:ind w:right="11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2900" w:type="dxa"/>
            <w:vAlign w:val="bottom"/>
          </w:tcPr>
          <w:p>
            <w:pPr>
              <w:spacing w:after="0"/>
              <w:rPr>
                <w:sz w:val="20"/>
                <w:szCs w:val="20"/>
                <w:color w:val="auto"/>
              </w:rPr>
            </w:pPr>
            <w:r>
              <w:rPr>
                <w:rFonts w:ascii="Arial" w:cs="Arial" w:eastAsia="Arial" w:hAnsi="Arial"/>
                <w:sz w:val="14"/>
                <w:szCs w:val="14"/>
                <w:color w:val="auto"/>
              </w:rPr>
              <w:t>Balance, January 1, 2021</w:t>
            </w:r>
          </w:p>
        </w:tc>
        <w:tc>
          <w:tcPr>
            <w:tcW w:w="1360" w:type="dxa"/>
            <w:vAlign w:val="bottom"/>
          </w:tcPr>
          <w:p>
            <w:pPr>
              <w:jc w:val="right"/>
              <w:ind w:right="1188"/>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24"/>
                <w:szCs w:val="2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61"/>
        </w:trPr>
        <w:tc>
          <w:tcPr>
            <w:tcW w:w="2900" w:type="dxa"/>
            <w:vAlign w:val="bottom"/>
          </w:tcPr>
          <w:p>
            <w:pPr>
              <w:ind w:left="360"/>
              <w:spacing w:after="0"/>
              <w:rPr>
                <w:sz w:val="20"/>
                <w:szCs w:val="20"/>
                <w:color w:val="auto"/>
              </w:rPr>
            </w:pPr>
            <w:r>
              <w:rPr>
                <w:rFonts w:ascii="Arial" w:cs="Arial" w:eastAsia="Arial" w:hAnsi="Arial"/>
                <w:sz w:val="14"/>
                <w:szCs w:val="14"/>
                <w:color w:val="auto"/>
              </w:rPr>
              <w:t>Other comprehensive income (loss)</w:t>
            </w:r>
          </w:p>
        </w:tc>
        <w:tc>
          <w:tcPr>
            <w:tcW w:w="1360" w:type="dxa"/>
            <w:vAlign w:val="bottom"/>
          </w:tcPr>
          <w:p>
            <w:pPr>
              <w:spacing w:after="0"/>
              <w:rPr>
                <w:sz w:val="13"/>
                <w:szCs w:val="13"/>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9"/>
        </w:trPr>
        <w:tc>
          <w:tcPr>
            <w:tcW w:w="2900" w:type="dxa"/>
            <w:vAlign w:val="bottom"/>
          </w:tcPr>
          <w:p>
            <w:pPr>
              <w:ind w:left="360"/>
              <w:spacing w:after="0"/>
              <w:rPr>
                <w:sz w:val="20"/>
                <w:szCs w:val="20"/>
                <w:color w:val="auto"/>
              </w:rPr>
            </w:pPr>
            <w:r>
              <w:rPr>
                <w:rFonts w:ascii="Arial" w:cs="Arial" w:eastAsia="Arial" w:hAnsi="Arial"/>
                <w:sz w:val="14"/>
                <w:szCs w:val="14"/>
                <w:color w:val="auto"/>
              </w:rPr>
              <w:t>before reclassifications</w:t>
            </w:r>
          </w:p>
        </w:tc>
        <w:tc>
          <w:tcPr>
            <w:tcW w:w="136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900" w:type="dxa"/>
            <w:vAlign w:val="bottom"/>
          </w:tcPr>
          <w:p>
            <w:pPr>
              <w:ind w:left="360"/>
              <w:spacing w:after="0" w:line="149" w:lineRule="exact"/>
              <w:rPr>
                <w:sz w:val="20"/>
                <w:szCs w:val="20"/>
                <w:color w:val="auto"/>
              </w:rPr>
            </w:pPr>
            <w:r>
              <w:rPr>
                <w:rFonts w:ascii="Arial" w:cs="Arial" w:eastAsia="Arial" w:hAnsi="Arial"/>
                <w:sz w:val="14"/>
                <w:szCs w:val="14"/>
                <w:color w:val="auto"/>
              </w:rPr>
              <w:t>Amounts reclassified from accumulated</w:t>
            </w:r>
          </w:p>
        </w:tc>
        <w:tc>
          <w:tcPr>
            <w:tcW w:w="1360" w:type="dxa"/>
            <w:vAlign w:val="bottom"/>
          </w:tcPr>
          <w:p>
            <w:pPr>
              <w:spacing w:after="0"/>
              <w:rPr>
                <w:sz w:val="12"/>
                <w:szCs w:val="12"/>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5"/>
        </w:trPr>
        <w:tc>
          <w:tcPr>
            <w:tcW w:w="2900" w:type="dxa"/>
            <w:vAlign w:val="bottom"/>
          </w:tcPr>
          <w:p>
            <w:pPr>
              <w:ind w:left="360"/>
              <w:spacing w:after="0"/>
              <w:rPr>
                <w:sz w:val="20"/>
                <w:szCs w:val="20"/>
                <w:color w:val="auto"/>
              </w:rPr>
            </w:pPr>
            <w:r>
              <w:rPr>
                <w:rFonts w:ascii="Arial" w:cs="Arial" w:eastAsia="Arial" w:hAnsi="Arial"/>
                <w:sz w:val="14"/>
                <w:szCs w:val="14"/>
                <w:color w:val="auto"/>
              </w:rPr>
              <w:t>other comprehensive income (loss)</w:t>
            </w:r>
          </w:p>
        </w:tc>
        <w:tc>
          <w:tcPr>
            <w:tcW w:w="1360" w:type="dxa"/>
            <w:vAlign w:val="bottom"/>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900" w:type="dxa"/>
            <w:vAlign w:val="bottom"/>
          </w:tcPr>
          <w:p>
            <w:pPr>
              <w:ind w:left="160"/>
              <w:spacing w:after="0" w:line="133" w:lineRule="exact"/>
              <w:rPr>
                <w:sz w:val="20"/>
                <w:szCs w:val="20"/>
                <w:color w:val="auto"/>
              </w:rPr>
            </w:pPr>
            <w:r>
              <w:rPr>
                <w:rFonts w:ascii="Arial" w:cs="Arial" w:eastAsia="Arial" w:hAnsi="Arial"/>
                <w:sz w:val="14"/>
                <w:szCs w:val="14"/>
                <w:color w:val="auto"/>
              </w:rPr>
              <w:t>Net current-period other comprehensive</w:t>
            </w:r>
          </w:p>
        </w:tc>
        <w:tc>
          <w:tcPr>
            <w:tcW w:w="13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5"/>
        </w:trPr>
        <w:tc>
          <w:tcPr>
            <w:tcW w:w="2900" w:type="dxa"/>
            <w:vAlign w:val="bottom"/>
          </w:tcPr>
          <w:p>
            <w:pPr>
              <w:ind w:left="160"/>
              <w:spacing w:after="0"/>
              <w:rPr>
                <w:sz w:val="20"/>
                <w:szCs w:val="20"/>
                <w:color w:val="auto"/>
              </w:rPr>
            </w:pPr>
            <w:r>
              <w:rPr>
                <w:rFonts w:ascii="Arial" w:cs="Arial" w:eastAsia="Arial" w:hAnsi="Arial"/>
                <w:sz w:val="14"/>
                <w:szCs w:val="14"/>
                <w:color w:val="auto"/>
              </w:rPr>
              <w:t>income (loss)</w:t>
            </w:r>
          </w:p>
        </w:tc>
        <w:tc>
          <w:tcPr>
            <w:tcW w:w="13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00" w:type="dxa"/>
            <w:vAlign w:val="bottom"/>
          </w:tcPr>
          <w:p>
            <w:pPr>
              <w:spacing w:after="0"/>
              <w:rPr>
                <w:sz w:val="20"/>
                <w:szCs w:val="20"/>
                <w:color w:val="auto"/>
              </w:rPr>
            </w:pPr>
            <w:r>
              <w:rPr>
                <w:rFonts w:ascii="Arial" w:cs="Arial" w:eastAsia="Arial" w:hAnsi="Arial"/>
                <w:sz w:val="14"/>
                <w:szCs w:val="14"/>
                <w:color w:val="auto"/>
              </w:rPr>
              <w:t>Balance, March 31, 2021</w:t>
            </w:r>
          </w:p>
        </w:tc>
        <w:tc>
          <w:tcPr>
            <w:tcW w:w="1360" w:type="dxa"/>
            <w:vAlign w:val="bottom"/>
            <w:tcBorders>
              <w:bottom w:val="single" w:sz="8" w:color="auto"/>
            </w:tcBorders>
          </w:tcPr>
          <w:p>
            <w:pPr>
              <w:jc w:val="right"/>
              <w:ind w:right="11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1"/>
        </w:trPr>
        <w:tc>
          <w:tcPr>
            <w:tcW w:w="29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118" w:lineRule="exact"/>
        <w:rPr>
          <w:sz w:val="20"/>
          <w:szCs w:val="20"/>
          <w:color w:val="auto"/>
        </w:rPr>
      </w:pPr>
    </w:p>
    <w:p>
      <w:pPr>
        <w:jc w:val="both"/>
        <w:ind w:left="500"/>
        <w:spacing w:after="0" w:line="264" w:lineRule="auto"/>
        <w:rPr>
          <w:sz w:val="20"/>
          <w:szCs w:val="20"/>
          <w:color w:val="auto"/>
        </w:rPr>
      </w:pPr>
      <w:r>
        <w:rPr>
          <w:rFonts w:ascii="Arial" w:cs="Arial" w:eastAsia="Arial" w:hAnsi="Arial"/>
          <w:sz w:val="14"/>
          <w:szCs w:val="14"/>
          <w:color w:val="auto"/>
        </w:rPr>
        <w:t>All components of accumulated other comprehensive income (loss) are net of tax, except currency translation adjustments, which exclude income taxes related to indefinite investments in foreign subsidiaries and include $90 million gain, net of tax, as of March 31, 2022 related to our hedge of our investment in euro-denominated foreign operations (see Note 16–Financial Instruments).</w:t>
      </w:r>
    </w:p>
    <w:p>
      <w:pPr>
        <w:spacing w:after="0" w:line="1" w:lineRule="exact"/>
        <w:rPr>
          <w:sz w:val="20"/>
          <w:szCs w:val="20"/>
          <w:color w:val="auto"/>
        </w:rPr>
      </w:pPr>
    </w:p>
    <w:p>
      <w:pPr>
        <w:jc w:val="both"/>
        <w:ind w:left="820" w:hanging="326"/>
        <w:spacing w:after="0" w:line="231" w:lineRule="auto"/>
        <w:tabs>
          <w:tab w:leader="none" w:pos="813" w:val="left"/>
        </w:tabs>
        <w:numPr>
          <w:ilvl w:val="1"/>
          <w:numId w:val="26"/>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March 31, 2022 and 2021, the amounts reclassified from accumulated other comprehensive income (loss) into corporate interest expense were $5 million ($4 million, net of tax) and $1 million ($0 million, net of tax), respectively. For the three months ended March 31, 2021, the amount reclassified from accumulated other comprehensive income (loss) into vehicle interest expense was $4 million ($3 million, net of tax).</w:t>
      </w:r>
    </w:p>
    <w:p>
      <w:pPr>
        <w:spacing w:after="0" w:line="1" w:lineRule="exact"/>
        <w:rPr>
          <w:rFonts w:ascii="Arial" w:cs="Arial" w:eastAsia="Arial" w:hAnsi="Arial"/>
          <w:sz w:val="19"/>
          <w:szCs w:val="19"/>
          <w:color w:val="auto"/>
          <w:vertAlign w:val="superscript"/>
        </w:rPr>
      </w:pPr>
    </w:p>
    <w:p>
      <w:pPr>
        <w:ind w:left="820" w:hanging="326"/>
        <w:spacing w:after="0" w:line="222" w:lineRule="auto"/>
        <w:tabs>
          <w:tab w:leader="none" w:pos="813" w:val="left"/>
        </w:tabs>
        <w:numPr>
          <w:ilvl w:val="1"/>
          <w:numId w:val="26"/>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March 31, 2022 and 2021, amounts reclassified from accumulated other comprehensive income (loss) into selling, general and administrative expenses were $3 million ($2 million, net of tax) and $3 million ($2 million, net of tax), respectively.</w:t>
      </w:r>
    </w:p>
    <w:p>
      <w:pPr>
        <w:spacing w:after="0" w:line="219" w:lineRule="exact"/>
        <w:rPr>
          <w:rFonts w:ascii="Arial" w:cs="Arial" w:eastAsia="Arial" w:hAnsi="Arial"/>
          <w:sz w:val="19"/>
          <w:szCs w:val="19"/>
          <w:color w:val="auto"/>
          <w:vertAlign w:val="superscript"/>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52" w:lineRule="exact"/>
        <w:rPr>
          <w:sz w:val="20"/>
          <w:szCs w:val="20"/>
          <w:color w:val="auto"/>
        </w:rPr>
      </w:pPr>
    </w:p>
    <w:p>
      <w:pPr>
        <w:ind w:left="500"/>
        <w:spacing w:after="0" w:line="287" w:lineRule="auto"/>
        <w:rPr>
          <w:sz w:val="20"/>
          <w:szCs w:val="20"/>
          <w:color w:val="auto"/>
        </w:rPr>
      </w:pPr>
      <w:r>
        <w:rPr>
          <w:rFonts w:ascii="Arial" w:cs="Arial" w:eastAsia="Arial" w:hAnsi="Arial"/>
          <w:sz w:val="18"/>
          <w:szCs w:val="18"/>
          <w:color w:val="auto"/>
        </w:rPr>
        <w:t>In 2021, SRS Mobility Ventures, LLC acquired a 33 1/3% Class A Membership Interest in one of our subsidiaries at fair value of $37.5 million. SRS Mobility Ventures, LLC is an affiliate of our largest shareholder, SRS Investment Management, LLC.</w:t>
      </w:r>
    </w:p>
    <w:p>
      <w:pPr>
        <w:spacing w:after="0" w:line="180"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52" w:lineRule="exact"/>
        <w:rPr>
          <w:sz w:val="20"/>
          <w:szCs w:val="20"/>
          <w:color w:val="auto"/>
        </w:rPr>
      </w:pPr>
    </w:p>
    <w:p>
      <w:pPr>
        <w:ind w:left="500"/>
        <w:spacing w:after="0" w:line="287" w:lineRule="auto"/>
        <w:rPr>
          <w:sz w:val="20"/>
          <w:szCs w:val="20"/>
          <w:color w:val="auto"/>
        </w:rPr>
      </w:pPr>
      <w:r>
        <w:rPr>
          <w:rFonts w:ascii="Arial" w:cs="Arial" w:eastAsia="Arial" w:hAnsi="Arial"/>
          <w:sz w:val="18"/>
          <w:szCs w:val="18"/>
          <w:color w:val="auto"/>
        </w:rPr>
        <w:t>We recorded stock-based compensation expense of $6 million and $4 million ($4 million and $3 million, net of tax) during the three months ended March 31, 2022 and 2021, respectively.</w:t>
      </w:r>
    </w:p>
    <w:p>
      <w:pPr>
        <w:spacing w:after="0" w:line="180" w:lineRule="exact"/>
        <w:rPr>
          <w:sz w:val="20"/>
          <w:szCs w:val="20"/>
          <w:color w:val="auto"/>
        </w:rPr>
      </w:pPr>
    </w:p>
    <w:p>
      <w:pPr>
        <w:ind w:left="500"/>
        <w:spacing w:after="0" w:line="287" w:lineRule="auto"/>
        <w:rPr>
          <w:sz w:val="20"/>
          <w:szCs w:val="20"/>
          <w:color w:val="auto"/>
        </w:rPr>
      </w:pPr>
      <w:r>
        <w:rPr>
          <w:rFonts w:ascii="Arial" w:cs="Arial" w:eastAsia="Arial" w:hAnsi="Arial"/>
          <w:sz w:val="18"/>
          <w:szCs w:val="18"/>
          <w:color w:val="auto"/>
        </w:rPr>
        <w:t>In 2020, we granted market-based restricted stock units (“RSUs”) that vest based on absolute stock price attainment. The grant date fair value of this award is estimated using a Monte Carlo simulation model.</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weighted average assumptions used in the model are as follows:</w:t>
      </w:r>
    </w:p>
    <w:p>
      <w:pPr>
        <w:spacing w:after="0" w:line="297" w:lineRule="exact"/>
        <w:rPr>
          <w:sz w:val="20"/>
          <w:szCs w:val="20"/>
          <w:color w:val="auto"/>
        </w:rPr>
      </w:pPr>
    </w:p>
    <w:tbl>
      <w:tblPr>
        <w:tblLayout w:type="fixed"/>
        <w:tblInd w:w="520" w:type="dxa"/>
        <w:tblCellMar>
          <w:top w:w="0" w:type="dxa"/>
          <w:left w:w="0" w:type="dxa"/>
          <w:bottom w:w="0" w:type="dxa"/>
          <w:right w:w="0" w:type="dxa"/>
        </w:tblCellMar>
      </w:tblPr>
      <w:tr>
        <w:trPr>
          <w:trHeight w:val="215"/>
        </w:trPr>
        <w:tc>
          <w:tcPr>
            <w:tcW w:w="4920" w:type="dxa"/>
            <w:vAlign w:val="bottom"/>
          </w:tcPr>
          <w:p>
            <w:pPr>
              <w:spacing w:after="0"/>
              <w:rPr>
                <w:sz w:val="20"/>
                <w:szCs w:val="20"/>
                <w:color w:val="auto"/>
              </w:rPr>
            </w:pPr>
            <w:r>
              <w:rPr>
                <w:rFonts w:ascii="Arial" w:cs="Arial" w:eastAsia="Arial" w:hAnsi="Arial"/>
                <w:sz w:val="16"/>
                <w:szCs w:val="16"/>
                <w:color w:val="auto"/>
              </w:rPr>
              <w:t>Expected volatility of stock price</w:t>
            </w:r>
          </w:p>
        </w:tc>
        <w:tc>
          <w:tcPr>
            <w:tcW w:w="3140" w:type="dxa"/>
            <w:vAlign w:val="bottom"/>
          </w:tcPr>
          <w:p>
            <w:pPr>
              <w:jc w:val="center"/>
              <w:ind w:left="2539"/>
              <w:spacing w:after="0"/>
              <w:rPr>
                <w:sz w:val="20"/>
                <w:szCs w:val="20"/>
                <w:color w:val="auto"/>
              </w:rPr>
            </w:pPr>
            <w:r>
              <w:rPr>
                <w:rFonts w:ascii="Arial" w:cs="Arial" w:eastAsia="Arial" w:hAnsi="Arial"/>
                <w:sz w:val="16"/>
                <w:szCs w:val="16"/>
                <w:color w:val="auto"/>
                <w:w w:val="99"/>
              </w:rPr>
              <w:t>91%</w:t>
            </w:r>
          </w:p>
        </w:tc>
      </w:tr>
      <w:tr>
        <w:trPr>
          <w:trHeight w:val="216"/>
        </w:trPr>
        <w:tc>
          <w:tcPr>
            <w:tcW w:w="4920" w:type="dxa"/>
            <w:vAlign w:val="bottom"/>
          </w:tcPr>
          <w:p>
            <w:pPr>
              <w:spacing w:after="0"/>
              <w:rPr>
                <w:sz w:val="20"/>
                <w:szCs w:val="20"/>
                <w:color w:val="auto"/>
              </w:rPr>
            </w:pPr>
            <w:r>
              <w:rPr>
                <w:rFonts w:ascii="Arial" w:cs="Arial" w:eastAsia="Arial" w:hAnsi="Arial"/>
                <w:sz w:val="16"/>
                <w:szCs w:val="16"/>
                <w:color w:val="auto"/>
              </w:rPr>
              <w:t>Risk-free interest rate</w:t>
            </w:r>
          </w:p>
        </w:tc>
        <w:tc>
          <w:tcPr>
            <w:tcW w:w="3140" w:type="dxa"/>
            <w:vAlign w:val="bottom"/>
          </w:tcPr>
          <w:p>
            <w:pPr>
              <w:jc w:val="center"/>
              <w:ind w:left="2559"/>
              <w:spacing w:after="0"/>
              <w:rPr>
                <w:sz w:val="20"/>
                <w:szCs w:val="20"/>
                <w:color w:val="auto"/>
              </w:rPr>
            </w:pPr>
            <w:r>
              <w:rPr>
                <w:rFonts w:ascii="Arial" w:cs="Arial" w:eastAsia="Arial" w:hAnsi="Arial"/>
                <w:sz w:val="16"/>
                <w:szCs w:val="16"/>
                <w:color w:val="auto"/>
              </w:rPr>
              <w:t>0.18%</w:t>
            </w:r>
          </w:p>
        </w:tc>
      </w:tr>
      <w:tr>
        <w:trPr>
          <w:trHeight w:val="216"/>
        </w:trPr>
        <w:tc>
          <w:tcPr>
            <w:tcW w:w="4920" w:type="dxa"/>
            <w:vAlign w:val="bottom"/>
          </w:tcPr>
          <w:p>
            <w:pPr>
              <w:spacing w:after="0"/>
              <w:rPr>
                <w:sz w:val="20"/>
                <w:szCs w:val="20"/>
                <w:color w:val="auto"/>
              </w:rPr>
            </w:pPr>
            <w:r>
              <w:rPr>
                <w:rFonts w:ascii="Arial" w:cs="Arial" w:eastAsia="Arial" w:hAnsi="Arial"/>
                <w:sz w:val="16"/>
                <w:szCs w:val="16"/>
                <w:color w:val="auto"/>
              </w:rPr>
              <w:t>Valuation period</w:t>
            </w:r>
          </w:p>
        </w:tc>
        <w:tc>
          <w:tcPr>
            <w:tcW w:w="3140" w:type="dxa"/>
            <w:vAlign w:val="bottom"/>
          </w:tcPr>
          <w:p>
            <w:pPr>
              <w:ind w:left="2620"/>
              <w:spacing w:after="0"/>
              <w:rPr>
                <w:sz w:val="20"/>
                <w:szCs w:val="20"/>
                <w:color w:val="auto"/>
              </w:rPr>
            </w:pPr>
            <w:r>
              <w:rPr>
                <w:rFonts w:ascii="Arial" w:cs="Arial" w:eastAsia="Arial" w:hAnsi="Arial"/>
                <w:sz w:val="16"/>
                <w:szCs w:val="16"/>
                <w:color w:val="auto"/>
                <w:w w:val="95"/>
              </w:rPr>
              <w:t>3 years</w:t>
            </w:r>
          </w:p>
        </w:tc>
      </w:tr>
      <w:tr>
        <w:trPr>
          <w:trHeight w:val="216"/>
        </w:trPr>
        <w:tc>
          <w:tcPr>
            <w:tcW w:w="4920" w:type="dxa"/>
            <w:vAlign w:val="bottom"/>
          </w:tcPr>
          <w:p>
            <w:pPr>
              <w:spacing w:after="0"/>
              <w:rPr>
                <w:sz w:val="20"/>
                <w:szCs w:val="20"/>
                <w:color w:val="auto"/>
              </w:rPr>
            </w:pPr>
            <w:r>
              <w:rPr>
                <w:rFonts w:ascii="Arial" w:cs="Arial" w:eastAsia="Arial" w:hAnsi="Arial"/>
                <w:sz w:val="16"/>
                <w:szCs w:val="16"/>
                <w:color w:val="auto"/>
              </w:rPr>
              <w:t>Dividend yield</w:t>
            </w:r>
          </w:p>
        </w:tc>
        <w:tc>
          <w:tcPr>
            <w:tcW w:w="3140" w:type="dxa"/>
            <w:vAlign w:val="bottom"/>
          </w:tcPr>
          <w:p>
            <w:pPr>
              <w:jc w:val="center"/>
              <w:ind w:left="2559"/>
              <w:spacing w:after="0"/>
              <w:rPr>
                <w:sz w:val="20"/>
                <w:szCs w:val="20"/>
                <w:color w:val="auto"/>
              </w:rPr>
            </w:pPr>
            <w:r>
              <w:rPr>
                <w:rFonts w:ascii="Arial" w:cs="Arial" w:eastAsia="Arial" w:hAnsi="Arial"/>
                <w:sz w:val="16"/>
                <w:szCs w:val="16"/>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activity related to RSUs consisted of (in thousands of shares):</w:t>
      </w:r>
    </w:p>
    <w:p>
      <w:pPr>
        <w:spacing w:after="0" w:line="47"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w:t>
            </w: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80" w:type="dxa"/>
            <w:vAlign w:val="bottom"/>
          </w:tcPr>
          <w:p>
            <w:pPr>
              <w:spacing w:after="0"/>
              <w:rPr>
                <w:sz w:val="14"/>
                <w:szCs w:val="14"/>
                <w:color w:val="auto"/>
              </w:rPr>
            </w:pPr>
          </w:p>
        </w:tc>
        <w:tc>
          <w:tcPr>
            <w:tcW w:w="112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4"/>
        </w:trPr>
        <w:tc>
          <w:tcPr>
            <w:tcW w:w="4680" w:type="dxa"/>
            <w:vAlign w:val="bottom"/>
          </w:tcPr>
          <w:p>
            <w:pPr>
              <w:spacing w:after="0"/>
              <w:rPr>
                <w:sz w:val="12"/>
                <w:szCs w:val="12"/>
                <w:color w:val="auto"/>
              </w:rPr>
            </w:pPr>
          </w:p>
        </w:tc>
        <w:tc>
          <w:tcPr>
            <w:tcW w:w="11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Average</w:t>
            </w:r>
          </w:p>
        </w:tc>
        <w:tc>
          <w:tcPr>
            <w:tcW w:w="17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Remaining</w:t>
            </w:r>
          </w:p>
        </w:tc>
        <w:tc>
          <w:tcPr>
            <w:tcW w:w="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Grant Date</w:t>
            </w: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Contractual Term</w:t>
            </w:r>
          </w:p>
        </w:tc>
        <w:tc>
          <w:tcPr>
            <w:tcW w:w="80" w:type="dxa"/>
            <w:vAlign w:val="bottom"/>
          </w:tcPr>
          <w:p>
            <w:pPr>
              <w:spacing w:after="0"/>
              <w:rPr>
                <w:sz w:val="12"/>
                <w:szCs w:val="12"/>
                <w:color w:val="auto"/>
              </w:rPr>
            </w:pPr>
          </w:p>
        </w:tc>
        <w:tc>
          <w:tcPr>
            <w:tcW w:w="11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89"/>
        </w:trPr>
        <w:tc>
          <w:tcPr>
            <w:tcW w:w="4680" w:type="dxa"/>
            <w:vAlign w:val="bottom"/>
            <w:vMerge w:val="restart"/>
          </w:tcPr>
          <w:p>
            <w:pPr>
              <w:spacing w:after="0"/>
              <w:rPr>
                <w:sz w:val="20"/>
                <w:szCs w:val="20"/>
                <w:color w:val="auto"/>
              </w:rPr>
            </w:pPr>
            <w:r>
              <w:rPr>
                <w:rFonts w:ascii="Arial" w:cs="Arial" w:eastAsia="Arial" w:hAnsi="Arial"/>
                <w:sz w:val="14"/>
                <w:szCs w:val="14"/>
                <w:b w:val="1"/>
                <w:bCs w:val="1"/>
                <w:color w:val="auto"/>
              </w:rPr>
              <w:t>Time-based RSUs</w:t>
            </w:r>
          </w:p>
        </w:tc>
        <w:tc>
          <w:tcPr>
            <w:tcW w:w="1140" w:type="dxa"/>
            <w:vAlign w:val="bottom"/>
          </w:tcPr>
          <w:p>
            <w:pPr>
              <w:jc w:val="right"/>
              <w:ind w:right="24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Fair Value</w:t>
            </w: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(years)</w:t>
            </w:r>
          </w:p>
        </w:tc>
        <w:tc>
          <w:tcPr>
            <w:tcW w:w="80" w:type="dxa"/>
            <w:vAlign w:val="bottom"/>
          </w:tcPr>
          <w:p>
            <w:pPr>
              <w:spacing w:after="0"/>
              <w:rPr>
                <w:sz w:val="16"/>
                <w:szCs w:val="16"/>
                <w:color w:val="auto"/>
              </w:rPr>
            </w:pPr>
          </w:p>
        </w:tc>
        <w:tc>
          <w:tcPr>
            <w:tcW w:w="1120" w:type="dxa"/>
            <w:vAlign w:val="bottom"/>
          </w:tcPr>
          <w:p>
            <w:pPr>
              <w:jc w:val="center"/>
              <w:ind w:right="8"/>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80"/>
        </w:trPr>
        <w:tc>
          <w:tcPr>
            <w:tcW w:w="4680" w:type="dxa"/>
            <w:vAlign w:val="bottom"/>
            <w:vMerge w:val="continue"/>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680" w:type="dxa"/>
            <w:vAlign w:val="bottom"/>
          </w:tcPr>
          <w:p>
            <w:pPr>
              <w:ind w:left="160"/>
              <w:spacing w:after="0"/>
              <w:rPr>
                <w:sz w:val="20"/>
                <w:szCs w:val="20"/>
                <w:color w:val="auto"/>
              </w:rPr>
            </w:pPr>
            <w:r>
              <w:rPr>
                <w:rFonts w:ascii="Arial" w:cs="Arial" w:eastAsia="Arial" w:hAnsi="Arial"/>
                <w:sz w:val="14"/>
                <w:szCs w:val="14"/>
                <w:color w:val="auto"/>
              </w:rPr>
              <w:t>Outstanding at January 1, 2022</w:t>
            </w:r>
          </w:p>
        </w:tc>
        <w:tc>
          <w:tcPr>
            <w:tcW w:w="1140" w:type="dxa"/>
            <w:vAlign w:val="bottom"/>
          </w:tcPr>
          <w:p>
            <w:pPr>
              <w:jc w:val="right"/>
              <w:spacing w:after="0"/>
              <w:rPr>
                <w:sz w:val="20"/>
                <w:szCs w:val="20"/>
                <w:color w:val="auto"/>
              </w:rPr>
            </w:pPr>
            <w:r>
              <w:rPr>
                <w:rFonts w:ascii="Arial" w:cs="Arial" w:eastAsia="Arial" w:hAnsi="Arial"/>
                <w:sz w:val="14"/>
                <w:szCs w:val="14"/>
                <w:color w:val="auto"/>
              </w:rPr>
              <w:t>671</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39.39</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680" w:type="dxa"/>
            <w:vAlign w:val="bottom"/>
          </w:tcPr>
          <w:p>
            <w:pPr>
              <w:ind w:left="360"/>
              <w:spacing w:after="0"/>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(a)</w:t>
            </w:r>
          </w:p>
        </w:tc>
        <w:tc>
          <w:tcPr>
            <w:tcW w:w="114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194.74</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680" w:type="dxa"/>
            <w:vAlign w:val="bottom"/>
          </w:tcPr>
          <w:p>
            <w:pPr>
              <w:ind w:left="360"/>
              <w:spacing w:after="0" w:line="205" w:lineRule="exact"/>
              <w:rPr>
                <w:sz w:val="20"/>
                <w:szCs w:val="20"/>
                <w:color w:val="auto"/>
              </w:rPr>
            </w:pPr>
            <w:r>
              <w:rPr>
                <w:rFonts w:ascii="Arial" w:cs="Arial" w:eastAsia="Arial" w:hAnsi="Arial"/>
                <w:sz w:val="14"/>
                <w:szCs w:val="14"/>
                <w:color w:val="auto"/>
              </w:rPr>
              <w:t xml:space="preserve">Vested </w:t>
            </w:r>
            <w:r>
              <w:rPr>
                <w:rFonts w:ascii="Arial" w:cs="Arial" w:eastAsia="Arial" w:hAnsi="Arial"/>
                <w:sz w:val="18"/>
                <w:szCs w:val="18"/>
                <w:color w:val="auto"/>
                <w:vertAlign w:val="superscript"/>
              </w:rPr>
              <w:t>(b)</w:t>
            </w:r>
          </w:p>
        </w:tc>
        <w:tc>
          <w:tcPr>
            <w:tcW w:w="1140" w:type="dxa"/>
            <w:vAlign w:val="bottom"/>
          </w:tcPr>
          <w:p>
            <w:pPr>
              <w:jc w:val="right"/>
              <w:spacing w:after="0"/>
              <w:rPr>
                <w:sz w:val="20"/>
                <w:szCs w:val="20"/>
                <w:color w:val="auto"/>
              </w:rPr>
            </w:pPr>
            <w:r>
              <w:rPr>
                <w:rFonts w:ascii="Arial" w:cs="Arial" w:eastAsia="Arial" w:hAnsi="Arial"/>
                <w:sz w:val="14"/>
                <w:szCs w:val="14"/>
                <w:color w:val="auto"/>
              </w:rPr>
              <w:t>(260)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34.00</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680" w:type="dxa"/>
            <w:vAlign w:val="bottom"/>
          </w:tcPr>
          <w:p>
            <w:pPr>
              <w:ind w:left="360"/>
              <w:spacing w:after="0"/>
              <w:rPr>
                <w:sz w:val="20"/>
                <w:szCs w:val="20"/>
                <w:color w:val="auto"/>
              </w:rPr>
            </w:pPr>
            <w:r>
              <w:rPr>
                <w:rFonts w:ascii="Arial" w:cs="Arial" w:eastAsia="Arial" w:hAnsi="Arial"/>
                <w:sz w:val="14"/>
                <w:szCs w:val="14"/>
                <w:color w:val="auto"/>
              </w:rPr>
              <w:t>Forfeited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36.03</w:t>
            </w: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680" w:type="dxa"/>
            <w:vAlign w:val="bottom"/>
          </w:tcPr>
          <w:p>
            <w:pPr>
              <w:ind w:left="160"/>
              <w:spacing w:after="0" w:line="200" w:lineRule="exact"/>
              <w:rPr>
                <w:sz w:val="20"/>
                <w:szCs w:val="20"/>
                <w:color w:val="auto"/>
              </w:rPr>
            </w:pPr>
            <w:r>
              <w:rPr>
                <w:rFonts w:ascii="Arial" w:cs="Arial" w:eastAsia="Arial" w:hAnsi="Arial"/>
                <w:sz w:val="14"/>
                <w:szCs w:val="14"/>
                <w:color w:val="auto"/>
              </w:rPr>
              <w:t xml:space="preserve">Outstanding and expected to vest at March 31, 2022 </w:t>
            </w:r>
            <w:r>
              <w:rPr>
                <w:rFonts w:ascii="Arial" w:cs="Arial" w:eastAsia="Arial" w:hAnsi="Arial"/>
                <w:sz w:val="18"/>
                <w:szCs w:val="18"/>
                <w:color w:val="auto"/>
                <w:vertAlign w:val="superscript"/>
              </w:rPr>
              <w:t>(c)</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64.49</w:t>
            </w: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4"/>
                <w:szCs w:val="14"/>
                <w:b w:val="1"/>
                <w:bCs w:val="1"/>
                <w:color w:val="auto"/>
              </w:rPr>
              <w:t>Performance-based and market-based RSUs</w:t>
            </w: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468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680" w:type="dxa"/>
            <w:vAlign w:val="bottom"/>
          </w:tcPr>
          <w:p>
            <w:pPr>
              <w:ind w:left="160"/>
              <w:spacing w:after="0"/>
              <w:rPr>
                <w:sz w:val="20"/>
                <w:szCs w:val="20"/>
                <w:color w:val="auto"/>
              </w:rPr>
            </w:pPr>
            <w:r>
              <w:rPr>
                <w:rFonts w:ascii="Arial" w:cs="Arial" w:eastAsia="Arial" w:hAnsi="Arial"/>
                <w:sz w:val="14"/>
                <w:szCs w:val="14"/>
                <w:color w:val="auto"/>
              </w:rPr>
              <w:t>Outstanding at January 1, 2022</w:t>
            </w:r>
          </w:p>
        </w:tc>
        <w:tc>
          <w:tcPr>
            <w:tcW w:w="1140" w:type="dxa"/>
            <w:vAlign w:val="bottom"/>
          </w:tcPr>
          <w:p>
            <w:pPr>
              <w:jc w:val="right"/>
              <w:spacing w:after="0"/>
              <w:rPr>
                <w:sz w:val="20"/>
                <w:szCs w:val="20"/>
                <w:color w:val="auto"/>
              </w:rPr>
            </w:pPr>
            <w:r>
              <w:rPr>
                <w:rFonts w:ascii="Arial" w:cs="Arial" w:eastAsia="Arial" w:hAnsi="Arial"/>
                <w:sz w:val="14"/>
                <w:szCs w:val="14"/>
                <w:color w:val="auto"/>
              </w:rPr>
              <w:t>886</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35.40</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680" w:type="dxa"/>
            <w:vAlign w:val="bottom"/>
          </w:tcPr>
          <w:p>
            <w:pPr>
              <w:ind w:left="360"/>
              <w:spacing w:after="0"/>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(a)</w:t>
            </w:r>
          </w:p>
        </w:tc>
        <w:tc>
          <w:tcPr>
            <w:tcW w:w="114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194.74</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680" w:type="dxa"/>
            <w:vAlign w:val="bottom"/>
          </w:tcPr>
          <w:p>
            <w:pPr>
              <w:ind w:left="360"/>
              <w:spacing w:after="0" w:line="205" w:lineRule="exact"/>
              <w:rPr>
                <w:sz w:val="20"/>
                <w:szCs w:val="20"/>
                <w:color w:val="auto"/>
              </w:rPr>
            </w:pPr>
            <w:r>
              <w:rPr>
                <w:rFonts w:ascii="Arial" w:cs="Arial" w:eastAsia="Arial" w:hAnsi="Arial"/>
                <w:sz w:val="14"/>
                <w:szCs w:val="14"/>
                <w:color w:val="auto"/>
              </w:rPr>
              <w:t xml:space="preserve">Vested </w:t>
            </w:r>
            <w:r>
              <w:rPr>
                <w:rFonts w:ascii="Arial" w:cs="Arial" w:eastAsia="Arial" w:hAnsi="Arial"/>
                <w:sz w:val="18"/>
                <w:szCs w:val="18"/>
                <w:color w:val="auto"/>
                <w:vertAlign w:val="superscript"/>
              </w:rPr>
              <w:t>(b)</w:t>
            </w:r>
          </w:p>
        </w:tc>
        <w:tc>
          <w:tcPr>
            <w:tcW w:w="114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34.82</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680" w:type="dxa"/>
            <w:vAlign w:val="bottom"/>
          </w:tcPr>
          <w:p>
            <w:pPr>
              <w:ind w:left="360"/>
              <w:spacing w:after="0"/>
              <w:rPr>
                <w:sz w:val="20"/>
                <w:szCs w:val="20"/>
                <w:color w:val="auto"/>
              </w:rPr>
            </w:pPr>
            <w:r>
              <w:rPr>
                <w:rFonts w:ascii="Arial" w:cs="Arial" w:eastAsia="Arial" w:hAnsi="Arial"/>
                <w:sz w:val="14"/>
                <w:szCs w:val="14"/>
                <w:color w:val="auto"/>
              </w:rPr>
              <w:t>Forfeited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32.42</w:t>
            </w: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680" w:type="dxa"/>
            <w:vAlign w:val="bottom"/>
          </w:tcPr>
          <w:p>
            <w:pPr>
              <w:ind w:left="160"/>
              <w:spacing w:after="0"/>
              <w:rPr>
                <w:sz w:val="20"/>
                <w:szCs w:val="20"/>
                <w:color w:val="auto"/>
              </w:rPr>
            </w:pPr>
            <w:r>
              <w:rPr>
                <w:rFonts w:ascii="Arial" w:cs="Arial" w:eastAsia="Arial" w:hAnsi="Arial"/>
                <w:sz w:val="14"/>
                <w:szCs w:val="14"/>
                <w:color w:val="auto"/>
              </w:rPr>
              <w:t>Outstanding at March 31, 2022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804</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54.58</w:t>
            </w: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21"/>
        </w:trPr>
        <w:tc>
          <w:tcPr>
            <w:tcW w:w="4680" w:type="dxa"/>
            <w:vAlign w:val="bottom"/>
            <w:vMerge w:val="restart"/>
          </w:tcPr>
          <w:p>
            <w:pPr>
              <w:ind w:left="160"/>
              <w:spacing w:after="0"/>
              <w:rPr>
                <w:sz w:val="20"/>
                <w:szCs w:val="20"/>
                <w:color w:val="auto"/>
              </w:rPr>
            </w:pPr>
            <w:r>
              <w:rPr>
                <w:rFonts w:ascii="Arial" w:cs="Arial" w:eastAsia="Arial" w:hAnsi="Arial"/>
                <w:sz w:val="14"/>
                <w:szCs w:val="14"/>
                <w:color w:val="auto"/>
              </w:rPr>
              <w:t xml:space="preserve">Outstanding and expected to vest at March 31, 2022 </w:t>
            </w:r>
            <w:r>
              <w:rPr>
                <w:rFonts w:ascii="Arial" w:cs="Arial" w:eastAsia="Arial" w:hAnsi="Arial"/>
                <w:sz w:val="18"/>
                <w:szCs w:val="18"/>
                <w:color w:val="auto"/>
                <w:vertAlign w:val="superscript"/>
              </w:rPr>
              <w:t>(c)</w:t>
            </w: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53.17</w:t>
            </w:r>
          </w:p>
        </w:tc>
        <w:tc>
          <w:tcPr>
            <w:tcW w:w="100" w:type="dxa"/>
            <w:vAlign w:val="bottom"/>
          </w:tcPr>
          <w:p>
            <w:pPr>
              <w:spacing w:after="0" w:line="20" w:lineRule="exact"/>
              <w:rPr>
                <w:sz w:val="1"/>
                <w:szCs w:val="1"/>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245"/>
        </w:trPr>
        <w:tc>
          <w:tcPr>
            <w:tcW w:w="4680" w:type="dxa"/>
            <w:vAlign w:val="bottom"/>
            <w:vMerge w:val="continue"/>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796</w:t>
            </w:r>
          </w:p>
        </w:tc>
        <w:tc>
          <w:tcPr>
            <w:tcW w:w="260" w:type="dxa"/>
            <w:vAlign w:val="bottom"/>
            <w:gridSpan w:val="2"/>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118" w:lineRule="exact"/>
        <w:rPr>
          <w:sz w:val="20"/>
          <w:szCs w:val="20"/>
          <w:color w:val="auto"/>
        </w:rPr>
      </w:pPr>
    </w:p>
    <w:p>
      <w:pPr>
        <w:jc w:val="both"/>
        <w:ind w:left="820" w:hanging="326"/>
        <w:spacing w:after="0" w:line="268" w:lineRule="auto"/>
        <w:tabs>
          <w:tab w:leader="none" w:pos="813" w:val="left"/>
        </w:tabs>
        <w:numPr>
          <w:ilvl w:val="1"/>
          <w:numId w:val="29"/>
        </w:numPr>
        <w:rPr>
          <w:rFonts w:ascii="Arial" w:cs="Arial" w:eastAsia="Arial" w:hAnsi="Arial"/>
          <w:sz w:val="9"/>
          <w:szCs w:val="9"/>
          <w:color w:val="auto"/>
        </w:rPr>
      </w:pPr>
      <w:r>
        <w:rPr>
          <w:rFonts w:ascii="Arial" w:cs="Arial" w:eastAsia="Arial" w:hAnsi="Arial"/>
          <w:sz w:val="14"/>
          <w:szCs w:val="14"/>
          <w:color w:val="auto"/>
        </w:rPr>
        <w:t>Reflects the maximum number of stock units assuming achievement of all performance-, market- and time-vesting criteria and does not include those for non-employee directors. The weighted-average fair value of time-based RSUs and performance-based RSUs granted during the three months ended March 31, 2021 was $63.12 and $62.27, respectively.</w:t>
      </w:r>
    </w:p>
    <w:p>
      <w:pPr>
        <w:spacing w:after="0" w:line="1" w:lineRule="exact"/>
        <w:rPr>
          <w:rFonts w:ascii="Arial" w:cs="Arial" w:eastAsia="Arial" w:hAnsi="Arial"/>
          <w:sz w:val="9"/>
          <w:szCs w:val="9"/>
          <w:color w:val="auto"/>
        </w:rPr>
      </w:pPr>
    </w:p>
    <w:p>
      <w:pPr>
        <w:ind w:left="820" w:hanging="326"/>
        <w:spacing w:after="0" w:line="192" w:lineRule="auto"/>
        <w:tabs>
          <w:tab w:leader="none" w:pos="820" w:val="left"/>
        </w:tabs>
        <w:numPr>
          <w:ilvl w:val="1"/>
          <w:numId w:val="29"/>
        </w:numPr>
        <w:rPr>
          <w:rFonts w:ascii="Arial" w:cs="Arial" w:eastAsia="Arial" w:hAnsi="Arial"/>
          <w:sz w:val="19"/>
          <w:szCs w:val="19"/>
          <w:color w:val="auto"/>
          <w:vertAlign w:val="superscript"/>
        </w:rPr>
      </w:pPr>
      <w:r>
        <w:rPr>
          <w:rFonts w:ascii="Arial" w:cs="Arial" w:eastAsia="Arial" w:hAnsi="Arial"/>
          <w:sz w:val="14"/>
          <w:szCs w:val="14"/>
          <w:color w:val="auto"/>
        </w:rPr>
        <w:t>The total fair value of RSUs vested during the three months ended March 31, 2022 and 2021 was $15 million and $11 million, respectively.</w:t>
      </w:r>
    </w:p>
    <w:p>
      <w:pPr>
        <w:ind w:left="820" w:hanging="326"/>
        <w:spacing w:after="0" w:line="213" w:lineRule="auto"/>
        <w:tabs>
          <w:tab w:leader="none" w:pos="807" w:val="left"/>
        </w:tabs>
        <w:numPr>
          <w:ilvl w:val="1"/>
          <w:numId w:val="29"/>
        </w:numPr>
        <w:rPr>
          <w:rFonts w:ascii="Arial" w:cs="Arial" w:eastAsia="Arial" w:hAnsi="Arial"/>
          <w:sz w:val="19"/>
          <w:szCs w:val="19"/>
          <w:color w:val="auto"/>
          <w:vertAlign w:val="superscript"/>
        </w:rPr>
      </w:pPr>
      <w:r>
        <w:rPr>
          <w:rFonts w:ascii="Arial" w:cs="Arial" w:eastAsia="Arial" w:hAnsi="Arial"/>
          <w:sz w:val="14"/>
          <w:szCs w:val="14"/>
          <w:color w:val="auto"/>
        </w:rPr>
        <w:t>Aggregate unrecognized compensation expense related to time-based RSUs and performance-based and market-based RSUs amounted to $55 million and will be recognized over a weighted average vesting period of 1.4 years.</w:t>
      </w:r>
    </w:p>
    <w:p>
      <w:pPr>
        <w:spacing w:after="0" w:line="220" w:lineRule="exact"/>
        <w:rPr>
          <w:rFonts w:ascii="Arial" w:cs="Arial" w:eastAsia="Arial" w:hAnsi="Arial"/>
          <w:sz w:val="19"/>
          <w:szCs w:val="19"/>
          <w:color w:val="auto"/>
          <w:vertAlign w:val="superscript"/>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250"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i w:val="1"/>
          <w:iCs w:val="1"/>
          <w:color w:val="auto"/>
        </w:rPr>
        <w:t xml:space="preserve">Currency Risk. </w:t>
      </w:r>
      <w:r>
        <w:rPr>
          <w:rFonts w:ascii="Arial" w:cs="Arial" w:eastAsia="Arial" w:hAnsi="Arial"/>
          <w:sz w:val="18"/>
          <w:szCs w:val="18"/>
          <w:color w:val="auto"/>
        </w:rPr>
        <w:t>We use currency exchange contracts to manage our exposure to changes in currency exchange rates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of our non-U.S.-dollar denominated receivables and forecasted royalties, forecasted earnings of non-U.S. subsidiaries and forecasted non-U.S.-dollar denominated acquisitions. We primarily hedge a portion of our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Forward contracts used to hedge forecasted third-party receipts and disbursements up to 12 months are designated and do qualify as cash flow hedges. We have designated our euro-denominated notes as a hedge of our investment in euro-denominated foreign operations.</w:t>
      </w:r>
    </w:p>
    <w:p>
      <w:pPr>
        <w:spacing w:after="0" w:line="212" w:lineRule="exact"/>
        <w:rPr>
          <w:sz w:val="20"/>
          <w:szCs w:val="20"/>
          <w:color w:val="auto"/>
        </w:rPr>
      </w:pPr>
    </w:p>
    <w:p>
      <w:pPr>
        <w:jc w:val="both"/>
        <w:ind w:left="500"/>
        <w:spacing w:after="0" w:line="287" w:lineRule="auto"/>
        <w:rPr>
          <w:sz w:val="20"/>
          <w:szCs w:val="20"/>
          <w:color w:val="auto"/>
        </w:rPr>
      </w:pPr>
      <w:r>
        <w:rPr>
          <w:rFonts w:ascii="Arial" w:cs="Arial" w:eastAsia="Arial" w:hAnsi="Arial"/>
          <w:sz w:val="18"/>
          <w:szCs w:val="18"/>
          <w:color w:val="auto"/>
        </w:rPr>
        <w:t>The estimated net amount of existing gains or losses we expect to reclassify from accumulated other comprehensive income (loss) to earnings for cash flow and net investment hedges over the next 12 months is not material.</w:t>
      </w:r>
    </w:p>
    <w:p>
      <w:pPr>
        <w:spacing w:after="0" w:line="45"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We use various hedging strategies including interest rate swaps and interest rate caps to create what we deem an</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mix of fixed and floating rate assets and liabilities. We use interest rate swaps and interest rate caps to manage the risk related to our floating rate corporate debt and our floating rate vehicle-backed debt. We record the changes in the fair value of our cash flow hedges to other comprehensive income (loss), net of tax, and subsequently reclassify these amounts into earnings in the period during which the hedged transaction affects earnings and is presented in the same income statement line item as the earnings effect of the hedged item. We record the gains or losses related to freestanding derivatives, which are not designated as a hedge for accounting purposes, currently in earnings and are presented in the same line of the income statement expected for the hedged item. We estimate that approximately $9 million of losses currently recorded in accumulated other comprehensive income (loss) will be recognized in earnings over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500"/>
        <w:spacing w:after="0" w:line="268" w:lineRule="auto"/>
        <w:rPr>
          <w:sz w:val="20"/>
          <w:szCs w:val="20"/>
          <w:color w:val="auto"/>
        </w:rPr>
      </w:pPr>
      <w:r>
        <w:rPr>
          <w:rFonts w:ascii="Arial" w:cs="Arial" w:eastAsia="Arial" w:hAnsi="Arial"/>
          <w:sz w:val="18"/>
          <w:szCs w:val="18"/>
          <w:i w:val="1"/>
          <w:iCs w:val="1"/>
          <w:color w:val="auto"/>
        </w:rPr>
        <w:t xml:space="preserve">Commodity Risk. </w:t>
      </w:r>
      <w:r>
        <w:rPr>
          <w:rFonts w:ascii="Arial" w:cs="Arial" w:eastAsia="Arial" w:hAnsi="Arial"/>
          <w:sz w:val="18"/>
          <w:szCs w:val="18"/>
          <w:color w:val="auto"/>
        </w:rPr>
        <w:t>We periodically enter into derivative commodity contracts to manage our exposure to changes in the price of</w:t>
      </w:r>
      <w:r>
        <w:rPr>
          <w:rFonts w:ascii="Arial" w:cs="Arial" w:eastAsia="Arial" w:hAnsi="Arial"/>
          <w:sz w:val="18"/>
          <w:szCs w:val="18"/>
          <w:i w:val="1"/>
          <w:iCs w:val="1"/>
          <w:color w:val="auto"/>
        </w:rPr>
        <w:t xml:space="preserve"> </w:t>
      </w:r>
      <w:r>
        <w:rPr>
          <w:rFonts w:ascii="Arial" w:cs="Arial" w:eastAsia="Arial" w:hAnsi="Arial"/>
          <w:sz w:val="18"/>
          <w:szCs w:val="18"/>
          <w:color w:val="auto"/>
        </w:rPr>
        <w:t>gasoline. These instruments were designated as freestanding derivatives and the changes in fair value are recorded in earnings and are presented in the same line of the income statement expected for the hedged item.</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held derivative instruments with absolute notional values as follows:</w:t>
      </w:r>
    </w:p>
    <w:p>
      <w:pPr>
        <w:spacing w:after="0" w:line="33"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7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20" w:type="dxa"/>
            <w:vAlign w:val="bottom"/>
          </w:tcPr>
          <w:p>
            <w:pPr>
              <w:jc w:val="right"/>
              <w:ind w:right="939"/>
              <w:spacing w:after="0"/>
              <w:rPr>
                <w:sz w:val="20"/>
                <w:szCs w:val="20"/>
                <w:color w:val="auto"/>
              </w:rPr>
            </w:pPr>
            <w:r>
              <w:rPr>
                <w:rFonts w:ascii="Arial" w:cs="Arial" w:eastAsia="Arial" w:hAnsi="Arial"/>
                <w:sz w:val="16"/>
                <w:szCs w:val="16"/>
                <w:b w:val="1"/>
                <w:bCs w:val="1"/>
                <w:color w:val="auto"/>
              </w:rPr>
              <w:t>As of</w:t>
            </w:r>
          </w:p>
        </w:tc>
      </w:tr>
      <w:tr>
        <w:trPr>
          <w:trHeight w:val="216"/>
        </w:trPr>
        <w:tc>
          <w:tcPr>
            <w:tcW w:w="76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March 31, 2022</w:t>
            </w:r>
          </w:p>
        </w:tc>
      </w:tr>
      <w:tr>
        <w:trPr>
          <w:trHeight w:val="208"/>
        </w:trPr>
        <w:tc>
          <w:tcPr>
            <w:tcW w:w="7620" w:type="dxa"/>
            <w:vAlign w:val="bottom"/>
          </w:tcPr>
          <w:p>
            <w:pPr>
              <w:spacing w:after="0"/>
              <w:rPr>
                <w:sz w:val="20"/>
                <w:szCs w:val="20"/>
                <w:color w:val="auto"/>
              </w:rPr>
            </w:pPr>
            <w:r>
              <w:rPr>
                <w:rFonts w:ascii="Arial" w:cs="Arial" w:eastAsia="Arial" w:hAnsi="Arial"/>
                <w:sz w:val="16"/>
                <w:szCs w:val="16"/>
                <w:color w:val="auto"/>
              </w:rPr>
              <w:t>Foreign exchange contracts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2020" w:type="dxa"/>
            <w:vAlign w:val="bottom"/>
          </w:tcPr>
          <w:p>
            <w:pPr>
              <w:jc w:val="right"/>
              <w:spacing w:after="0"/>
              <w:rPr>
                <w:sz w:val="20"/>
                <w:szCs w:val="20"/>
                <w:color w:val="auto"/>
              </w:rPr>
            </w:pPr>
            <w:r>
              <w:rPr>
                <w:rFonts w:ascii="Arial" w:cs="Arial" w:eastAsia="Arial" w:hAnsi="Arial"/>
                <w:sz w:val="16"/>
                <w:szCs w:val="16"/>
                <w:color w:val="auto"/>
              </w:rPr>
              <w:t>1,914</w:t>
            </w:r>
          </w:p>
        </w:tc>
      </w:tr>
      <w:tr>
        <w:trPr>
          <w:trHeight w:val="217"/>
        </w:trPr>
        <w:tc>
          <w:tcPr>
            <w:tcW w:w="7620" w:type="dxa"/>
            <w:vAlign w:val="bottom"/>
          </w:tcPr>
          <w:p>
            <w:pPr>
              <w:spacing w:after="0" w:line="217"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(a)</w:t>
            </w:r>
          </w:p>
        </w:tc>
        <w:tc>
          <w:tcPr>
            <w:tcW w:w="3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11,724</w:t>
            </w:r>
          </w:p>
        </w:tc>
      </w:tr>
      <w:tr>
        <w:trPr>
          <w:trHeight w:val="215"/>
        </w:trPr>
        <w:tc>
          <w:tcPr>
            <w:tcW w:w="7620" w:type="dxa"/>
            <w:vAlign w:val="bottom"/>
          </w:tcPr>
          <w:p>
            <w:pPr>
              <w:spacing w:after="0"/>
              <w:rPr>
                <w:sz w:val="20"/>
                <w:szCs w:val="20"/>
                <w:color w:val="auto"/>
              </w:rPr>
            </w:pPr>
            <w:r>
              <w:rPr>
                <w:rFonts w:ascii="Arial" w:cs="Arial" w:eastAsia="Arial" w:hAnsi="Arial"/>
                <w:sz w:val="16"/>
                <w:szCs w:val="16"/>
                <w:color w:val="auto"/>
              </w:rPr>
              <w:t>Interest rate swaps</w:t>
            </w:r>
          </w:p>
        </w:tc>
        <w:tc>
          <w:tcPr>
            <w:tcW w:w="3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1,450</w:t>
            </w:r>
          </w:p>
        </w:tc>
      </w:tr>
    </w:tbl>
    <w:p>
      <w:pPr>
        <w:spacing w:after="0" w:line="9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37" w:lineRule="exact"/>
        <w:rPr>
          <w:sz w:val="20"/>
          <w:szCs w:val="20"/>
          <w:color w:val="auto"/>
        </w:rPr>
      </w:pPr>
    </w:p>
    <w:p>
      <w:pPr>
        <w:ind w:left="820" w:hanging="326"/>
        <w:spacing w:after="0" w:line="231" w:lineRule="auto"/>
        <w:tabs>
          <w:tab w:leader="none" w:pos="813" w:val="left"/>
        </w:tabs>
        <w:numPr>
          <w:ilvl w:val="0"/>
          <w:numId w:val="31"/>
        </w:numPr>
        <w:rPr>
          <w:rFonts w:ascii="Arial" w:cs="Arial" w:eastAsia="Arial" w:hAnsi="Arial"/>
          <w:sz w:val="19"/>
          <w:szCs w:val="19"/>
          <w:color w:val="auto"/>
          <w:vertAlign w:val="superscript"/>
        </w:rPr>
      </w:pPr>
      <w:r>
        <w:rPr>
          <w:rFonts w:ascii="Arial" w:cs="Arial" w:eastAsia="Arial" w:hAnsi="Arial"/>
          <w:sz w:val="14"/>
          <w:szCs w:val="14"/>
          <w:color w:val="auto"/>
        </w:rPr>
        <w:t>Represents $7.1 billion of interest rate caps sold, partially offset by approximately $4.6 billion of interest rate caps purchased. These amounts exclude $3.0 billion of interest rate caps purchased by our Avis Budget Rental Car Funding subsidiary as it is not consolidated by us.</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Estimated fair values (Level 2) of derivative instruments were as follows:</w:t>
      </w:r>
    </w:p>
    <w:p>
      <w:pPr>
        <w:spacing w:after="0" w:line="54" w:lineRule="exact"/>
        <w:rPr>
          <w:sz w:val="20"/>
          <w:szCs w:val="20"/>
          <w:color w:val="auto"/>
        </w:rPr>
      </w:pPr>
    </w:p>
    <w:tbl>
      <w:tblPr>
        <w:tblLayout w:type="fixed"/>
        <w:tblInd w:w="520" w:type="dxa"/>
        <w:tblCellMar>
          <w:top w:w="0" w:type="dxa"/>
          <w:left w:w="0" w:type="dxa"/>
          <w:bottom w:w="0" w:type="dxa"/>
          <w:right w:w="0" w:type="dxa"/>
        </w:tblCellMar>
      </w:tblPr>
      <w:tr>
        <w:trPr>
          <w:trHeight w:val="217"/>
        </w:trPr>
        <w:tc>
          <w:tcPr>
            <w:tcW w:w="4200" w:type="dxa"/>
            <w:vAlign w:val="bottom"/>
          </w:tcPr>
          <w:p>
            <w:pPr>
              <w:spacing w:after="0"/>
              <w:rPr>
                <w:sz w:val="18"/>
                <w:szCs w:val="18"/>
                <w:color w:val="auto"/>
              </w:rPr>
            </w:pPr>
          </w:p>
        </w:tc>
        <w:tc>
          <w:tcPr>
            <w:tcW w:w="264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rPr>
              <w:t>As of March 31, 2022</w:t>
            </w: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As of December 31, 2021</w:t>
            </w:r>
          </w:p>
        </w:tc>
        <w:tc>
          <w:tcPr>
            <w:tcW w:w="0" w:type="dxa"/>
            <w:vAlign w:val="bottom"/>
          </w:tcPr>
          <w:p>
            <w:pPr>
              <w:spacing w:after="0"/>
              <w:rPr>
                <w:sz w:val="1"/>
                <w:szCs w:val="1"/>
                <w:color w:val="auto"/>
              </w:rPr>
            </w:pPr>
          </w:p>
        </w:tc>
      </w:tr>
      <w:tr>
        <w:trPr>
          <w:trHeight w:val="155"/>
        </w:trPr>
        <w:tc>
          <w:tcPr>
            <w:tcW w:w="4200" w:type="dxa"/>
            <w:vAlign w:val="bottom"/>
          </w:tcPr>
          <w:p>
            <w:pPr>
              <w:spacing w:after="0"/>
              <w:rPr>
                <w:sz w:val="13"/>
                <w:szCs w:val="13"/>
                <w:color w:val="auto"/>
              </w:rPr>
            </w:pPr>
          </w:p>
        </w:tc>
        <w:tc>
          <w:tcPr>
            <w:tcW w:w="1120" w:type="dxa"/>
            <w:vAlign w:val="bottom"/>
          </w:tcPr>
          <w:p>
            <w:pPr>
              <w:jc w:val="center"/>
              <w:ind w:left="199"/>
              <w:spacing w:after="0" w:line="155" w:lineRule="exact"/>
              <w:rPr>
                <w:sz w:val="20"/>
                <w:szCs w:val="20"/>
                <w:color w:val="auto"/>
              </w:rPr>
            </w:pPr>
            <w:r>
              <w:rPr>
                <w:rFonts w:ascii="Arial" w:cs="Arial" w:eastAsia="Arial" w:hAnsi="Arial"/>
                <w:sz w:val="16"/>
                <w:szCs w:val="16"/>
                <w:b w:val="1"/>
                <w:bCs w:val="1"/>
                <w:color w:val="auto"/>
                <w:w w:val="98"/>
              </w:rPr>
              <w:t>Fair Value,</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left="179"/>
              <w:spacing w:after="0" w:line="155" w:lineRule="exact"/>
              <w:rPr>
                <w:sz w:val="20"/>
                <w:szCs w:val="20"/>
                <w:color w:val="auto"/>
              </w:rPr>
            </w:pPr>
            <w:r>
              <w:rPr>
                <w:rFonts w:ascii="Arial" w:cs="Arial" w:eastAsia="Arial" w:hAnsi="Arial"/>
                <w:sz w:val="16"/>
                <w:szCs w:val="16"/>
                <w:b w:val="1"/>
                <w:bCs w:val="1"/>
                <w:color w:val="auto"/>
              </w:rPr>
              <w:t>Fair Value,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13"/>
                <w:szCs w:val="13"/>
                <w:color w:val="auto"/>
              </w:rPr>
            </w:pPr>
          </w:p>
        </w:tc>
        <w:tc>
          <w:tcPr>
            <w:tcW w:w="1200" w:type="dxa"/>
            <w:vAlign w:val="bottom"/>
          </w:tcPr>
          <w:p>
            <w:pPr>
              <w:jc w:val="center"/>
              <w:ind w:right="119"/>
              <w:spacing w:after="0" w:line="155" w:lineRule="exact"/>
              <w:rPr>
                <w:sz w:val="20"/>
                <w:szCs w:val="20"/>
                <w:color w:val="auto"/>
              </w:rPr>
            </w:pPr>
            <w:r>
              <w:rPr>
                <w:rFonts w:ascii="Arial" w:cs="Arial" w:eastAsia="Arial" w:hAnsi="Arial"/>
                <w:sz w:val="16"/>
                <w:szCs w:val="16"/>
                <w:b w:val="1"/>
                <w:bCs w:val="1"/>
                <w:color w:val="auto"/>
                <w:w w:val="98"/>
              </w:rPr>
              <w:t>Fair Value,</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120" w:type="dxa"/>
            <w:vAlign w:val="bottom"/>
          </w:tcPr>
          <w:p>
            <w:pPr>
              <w:jc w:val="center"/>
              <w:ind w:left="199"/>
              <w:spacing w:after="0" w:line="162" w:lineRule="exact"/>
              <w:rPr>
                <w:sz w:val="20"/>
                <w:szCs w:val="20"/>
                <w:color w:val="auto"/>
              </w:rPr>
            </w:pPr>
            <w:r>
              <w:rPr>
                <w:rFonts w:ascii="Arial" w:cs="Arial" w:eastAsia="Arial" w:hAnsi="Arial"/>
                <w:sz w:val="16"/>
                <w:szCs w:val="16"/>
                <w:b w:val="1"/>
                <w:bCs w:val="1"/>
                <w:color w:val="auto"/>
                <w:w w:val="99"/>
              </w:rPr>
              <w:t>Derivative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left="179"/>
              <w:spacing w:after="0" w:line="162" w:lineRule="exact"/>
              <w:rPr>
                <w:sz w:val="20"/>
                <w:szCs w:val="20"/>
                <w:color w:val="auto"/>
              </w:rPr>
            </w:pPr>
            <w:r>
              <w:rPr>
                <w:rFonts w:ascii="Arial" w:cs="Arial" w:eastAsia="Arial" w:hAnsi="Arial"/>
                <w:sz w:val="16"/>
                <w:szCs w:val="16"/>
                <w:b w:val="1"/>
                <w:bCs w:val="1"/>
                <w:color w:val="auto"/>
              </w:rPr>
              <w:t>Derivative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rPr>
              <w:t>Derivative</w:t>
            </w:r>
          </w:p>
        </w:tc>
        <w:tc>
          <w:tcPr>
            <w:tcW w:w="200" w:type="dxa"/>
            <w:vAlign w:val="bottom"/>
          </w:tcPr>
          <w:p>
            <w:pPr>
              <w:spacing w:after="0"/>
              <w:rPr>
                <w:sz w:val="14"/>
                <w:szCs w:val="14"/>
                <w:color w:val="auto"/>
              </w:rPr>
            </w:pPr>
          </w:p>
        </w:tc>
        <w:tc>
          <w:tcPr>
            <w:tcW w:w="120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99"/>
              </w:rPr>
              <w:t>Derivative</w:t>
            </w:r>
          </w:p>
        </w:tc>
        <w:tc>
          <w:tcPr>
            <w:tcW w:w="0" w:type="dxa"/>
            <w:vAlign w:val="bottom"/>
          </w:tcPr>
          <w:p>
            <w:pPr>
              <w:spacing w:after="0"/>
              <w:rPr>
                <w:sz w:val="1"/>
                <w:szCs w:val="1"/>
                <w:color w:val="auto"/>
              </w:rPr>
            </w:pPr>
          </w:p>
        </w:tc>
      </w:tr>
      <w:tr>
        <w:trPr>
          <w:trHeight w:val="216"/>
        </w:trPr>
        <w:tc>
          <w:tcPr>
            <w:tcW w:w="4200" w:type="dxa"/>
            <w:vAlign w:val="bottom"/>
            <w:vMerge w:val="restart"/>
          </w:tcPr>
          <w:p>
            <w:pPr>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120" w:type="dxa"/>
            <w:vAlign w:val="bottom"/>
          </w:tcPr>
          <w:p>
            <w:pPr>
              <w:jc w:val="center"/>
              <w:ind w:left="199"/>
              <w:spacing w:after="0"/>
              <w:rPr>
                <w:sz w:val="20"/>
                <w:szCs w:val="20"/>
                <w:color w:val="auto"/>
              </w:rPr>
            </w:pPr>
            <w:r>
              <w:rPr>
                <w:rFonts w:ascii="Arial" w:cs="Arial" w:eastAsia="Arial" w:hAnsi="Arial"/>
                <w:sz w:val="16"/>
                <w:szCs w:val="16"/>
                <w:b w:val="1"/>
                <w:bCs w:val="1"/>
                <w:color w:val="auto"/>
                <w:w w:val="99"/>
              </w:rPr>
              <w:t>Assets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left="179"/>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8"/>
                <w:szCs w:val="18"/>
                <w:color w:val="auto"/>
              </w:rPr>
            </w:pPr>
          </w:p>
        </w:tc>
        <w:tc>
          <w:tcPr>
            <w:tcW w:w="1200" w:type="dxa"/>
            <w:vAlign w:val="bottom"/>
          </w:tcPr>
          <w:p>
            <w:pPr>
              <w:jc w:val="center"/>
              <w:ind w:right="119"/>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195"/>
        </w:trPr>
        <w:tc>
          <w:tcPr>
            <w:tcW w:w="4200" w:type="dxa"/>
            <w:vAlign w:val="bottom"/>
            <w:vMerge w:val="continue"/>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200" w:type="dxa"/>
            <w:vAlign w:val="bottom"/>
          </w:tcPr>
          <w:p>
            <w:pPr>
              <w:ind w:left="20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3"/>
                <w:szCs w:val="23"/>
                <w:color w:val="auto"/>
              </w:rPr>
            </w:pP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0"/>
              <w:spacing w:after="0" w:line="216" w:lineRule="exact"/>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(b)</w:t>
            </w:r>
          </w:p>
        </w:tc>
        <w:tc>
          <w:tcPr>
            <w:tcW w:w="1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7"/>
        </w:trPr>
        <w:tc>
          <w:tcPr>
            <w:tcW w:w="4200" w:type="dxa"/>
            <w:vAlign w:val="bottom"/>
          </w:tcPr>
          <w:p>
            <w:pPr>
              <w:ind w:left="200"/>
              <w:spacing w:after="0" w:line="217"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(c)</w:t>
            </w:r>
          </w:p>
        </w:tc>
        <w:tc>
          <w:tcPr>
            <w:tcW w:w="1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9"/>
        </w:trPr>
        <w:tc>
          <w:tcPr>
            <w:tcW w:w="4200" w:type="dxa"/>
            <w:vAlign w:val="bottom"/>
          </w:tcPr>
          <w:p>
            <w:pPr>
              <w:ind w:left="200"/>
              <w:spacing w:after="0"/>
              <w:rPr>
                <w:sz w:val="20"/>
                <w:szCs w:val="20"/>
                <w:color w:val="auto"/>
              </w:rPr>
            </w:pPr>
            <w:r>
              <w:rPr>
                <w:rFonts w:ascii="Arial" w:cs="Arial" w:eastAsia="Arial" w:hAnsi="Arial"/>
                <w:sz w:val="16"/>
                <w:szCs w:val="16"/>
                <w:color w:val="auto"/>
              </w:rPr>
              <w:t>Total</w:t>
            </w:r>
          </w:p>
        </w:tc>
        <w:tc>
          <w:tcPr>
            <w:tcW w:w="112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31" w:lineRule="exact"/>
        <w:rPr>
          <w:sz w:val="20"/>
          <w:szCs w:val="20"/>
          <w:color w:val="auto"/>
        </w:rPr>
      </w:pPr>
    </w:p>
    <w:p>
      <w:pPr>
        <w:ind w:left="500"/>
        <w:spacing w:after="0" w:line="256" w:lineRule="auto"/>
        <w:rPr>
          <w:sz w:val="20"/>
          <w:szCs w:val="20"/>
          <w:color w:val="auto"/>
        </w:rPr>
      </w:pPr>
      <w:r>
        <w:rPr>
          <w:rFonts w:ascii="Arial" w:cs="Arial" w:eastAsia="Arial" w:hAnsi="Arial"/>
          <w:sz w:val="14"/>
          <w:szCs w:val="14"/>
          <w:color w:val="auto"/>
        </w:rPr>
        <w:t>Amounts in this table exclude derivatives issued by Avis Budget Rental Car Funding, as it is not consolidated by us; however, certain amounts related to the derivatives held by Avis Budget Rental Car Funding are included within accumulated other comprehensive income (loss), as discussed in Note 13–Stockholders’ Equity.</w:t>
      </w:r>
    </w:p>
    <w:p>
      <w:pPr>
        <w:spacing w:after="0" w:line="1" w:lineRule="exact"/>
        <w:rPr>
          <w:sz w:val="20"/>
          <w:szCs w:val="20"/>
          <w:color w:val="auto"/>
        </w:rPr>
      </w:pPr>
    </w:p>
    <w:p>
      <w:pPr>
        <w:ind w:left="820" w:hanging="326"/>
        <w:spacing w:after="0"/>
        <w:tabs>
          <w:tab w:leader="none" w:pos="820" w:val="left"/>
        </w:tabs>
        <w:numPr>
          <w:ilvl w:val="0"/>
          <w:numId w:val="32"/>
        </w:numPr>
        <w:rPr>
          <w:rFonts w:ascii="Arial" w:cs="Arial" w:eastAsia="Arial" w:hAnsi="Arial"/>
          <w:sz w:val="9"/>
          <w:szCs w:val="9"/>
          <w:color w:val="auto"/>
        </w:rPr>
      </w:pPr>
      <w:r>
        <w:rPr>
          <w:rFonts w:ascii="Arial" w:cs="Arial" w:eastAsia="Arial" w:hAnsi="Arial"/>
          <w:sz w:val="14"/>
          <w:szCs w:val="14"/>
          <w:color w:val="auto"/>
        </w:rPr>
        <w:t>Included in other non-current assets or other non-current liabilities.</w:t>
      </w:r>
    </w:p>
    <w:p>
      <w:pPr>
        <w:spacing w:after="0" w:line="14" w:lineRule="exact"/>
        <w:rPr>
          <w:rFonts w:ascii="Arial" w:cs="Arial" w:eastAsia="Arial" w:hAnsi="Arial"/>
          <w:sz w:val="9"/>
          <w:szCs w:val="9"/>
          <w:color w:val="auto"/>
        </w:rPr>
      </w:pPr>
    </w:p>
    <w:p>
      <w:pPr>
        <w:ind w:left="820" w:hanging="326"/>
        <w:spacing w:after="0" w:line="192" w:lineRule="auto"/>
        <w:tabs>
          <w:tab w:leader="none" w:pos="820" w:val="left"/>
        </w:tabs>
        <w:numPr>
          <w:ilvl w:val="0"/>
          <w:numId w:val="32"/>
        </w:numPr>
        <w:rPr>
          <w:rFonts w:ascii="Arial" w:cs="Arial" w:eastAsia="Arial" w:hAnsi="Arial"/>
          <w:sz w:val="19"/>
          <w:szCs w:val="19"/>
          <w:color w:val="auto"/>
          <w:vertAlign w:val="superscript"/>
        </w:rPr>
      </w:pPr>
      <w:r>
        <w:rPr>
          <w:rFonts w:ascii="Arial" w:cs="Arial" w:eastAsia="Arial" w:hAnsi="Arial"/>
          <w:sz w:val="14"/>
          <w:szCs w:val="14"/>
          <w:color w:val="auto"/>
        </w:rPr>
        <w:t>Included in other current assets or other current liabilities.</w:t>
      </w:r>
    </w:p>
    <w:p>
      <w:pPr>
        <w:ind w:left="800" w:hanging="306"/>
        <w:spacing w:after="0" w:line="193" w:lineRule="auto"/>
        <w:tabs>
          <w:tab w:leader="none" w:pos="800" w:val="left"/>
        </w:tabs>
        <w:numPr>
          <w:ilvl w:val="0"/>
          <w:numId w:val="32"/>
        </w:numPr>
        <w:rPr>
          <w:rFonts w:ascii="Arial" w:cs="Arial" w:eastAsia="Arial" w:hAnsi="Arial"/>
          <w:sz w:val="19"/>
          <w:szCs w:val="19"/>
          <w:color w:val="auto"/>
          <w:vertAlign w:val="superscript"/>
        </w:rPr>
      </w:pPr>
      <w:r>
        <w:rPr>
          <w:rFonts w:ascii="Arial" w:cs="Arial" w:eastAsia="Arial" w:hAnsi="Arial"/>
          <w:sz w:val="14"/>
          <w:szCs w:val="14"/>
          <w:color w:val="auto"/>
        </w:rPr>
        <w:t>Included in assets under vehicle programs or liabilities under vehicle programs.</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effects of derivatives recognized in our Consolidated Condensed Financial Statements were as follows:</w:t>
      </w:r>
    </w:p>
    <w:p>
      <w:pPr>
        <w:spacing w:after="0" w:line="48" w:lineRule="exact"/>
        <w:rPr>
          <w:sz w:val="20"/>
          <w:szCs w:val="20"/>
          <w:color w:val="auto"/>
        </w:rPr>
      </w:pPr>
    </w:p>
    <w:p>
      <w:pPr>
        <w:jc w:val="center"/>
        <w:ind w:left="7000"/>
        <w:spacing w:after="0"/>
        <w:rPr>
          <w:sz w:val="20"/>
          <w:szCs w:val="20"/>
          <w:color w:val="auto"/>
        </w:rPr>
      </w:pPr>
      <w:r>
        <w:rPr>
          <w:rFonts w:ascii="Arial" w:cs="Arial" w:eastAsia="Arial" w:hAnsi="Arial"/>
          <w:sz w:val="16"/>
          <w:szCs w:val="16"/>
          <w:b w:val="1"/>
          <w:bCs w:val="1"/>
          <w:color w:val="auto"/>
        </w:rPr>
        <w:t>Three Months Ended</w:t>
      </w:r>
    </w:p>
    <w:p>
      <w:pPr>
        <w:jc w:val="center"/>
        <w:ind w:left="704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520" w:type="dxa"/>
        <w:tblCellMar>
          <w:top w:w="0" w:type="dxa"/>
          <w:left w:w="0" w:type="dxa"/>
          <w:bottom w:w="0" w:type="dxa"/>
          <w:right w:w="0" w:type="dxa"/>
        </w:tblCellMar>
      </w:tblPr>
      <w:tr>
        <w:trPr>
          <w:trHeight w:val="209"/>
        </w:trPr>
        <w:tc>
          <w:tcPr>
            <w:tcW w:w="7160" w:type="dxa"/>
            <w:vAlign w:val="bottom"/>
            <w:vMerge w:val="restart"/>
          </w:tcPr>
          <w:p>
            <w:pPr>
              <w:spacing w:after="0"/>
              <w:rPr>
                <w:sz w:val="20"/>
                <w:szCs w:val="20"/>
                <w:color w:val="auto"/>
              </w:rPr>
            </w:pPr>
            <w:r>
              <w:rPr>
                <w:rFonts w:ascii="Arial" w:cs="Arial" w:eastAsia="Arial" w:hAnsi="Arial"/>
                <w:sz w:val="16"/>
                <w:szCs w:val="16"/>
                <w:b w:val="1"/>
                <w:bCs w:val="1"/>
                <w:color w:val="auto"/>
              </w:rPr>
              <w:t xml:space="preserve">Derivatives designated as hedging instruments </w:t>
            </w:r>
            <w:r>
              <w:rPr>
                <w:rFonts w:ascii="Arial" w:cs="Arial" w:eastAsia="Arial" w:hAnsi="Arial"/>
                <w:sz w:val="21"/>
                <w:szCs w:val="21"/>
                <w:b w:val="1"/>
                <w:bCs w:val="1"/>
                <w:color w:val="auto"/>
                <w:vertAlign w:val="superscript"/>
              </w:rPr>
              <w:t>(a)</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85"/>
        </w:trPr>
        <w:tc>
          <w:tcPr>
            <w:tcW w:w="716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160"/>
              <w:spacing w:after="0" w:line="216"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(b)</w:t>
            </w: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6"/>
        </w:trPr>
        <w:tc>
          <w:tcPr>
            <w:tcW w:w="7160" w:type="dxa"/>
            <w:vAlign w:val="bottom"/>
          </w:tcPr>
          <w:p>
            <w:pPr>
              <w:ind w:left="160"/>
              <w:spacing w:after="0" w:line="216" w:lineRule="exact"/>
              <w:rPr>
                <w:sz w:val="20"/>
                <w:szCs w:val="20"/>
                <w:color w:val="auto"/>
              </w:rPr>
            </w:pPr>
            <w:r>
              <w:rPr>
                <w:rFonts w:ascii="Arial" w:cs="Arial" w:eastAsia="Arial" w:hAnsi="Arial"/>
                <w:sz w:val="16"/>
                <w:szCs w:val="16"/>
                <w:color w:val="auto"/>
              </w:rPr>
              <w:t xml:space="preserve">Euro-denominated notes </w:t>
            </w:r>
            <w:r>
              <w:rPr>
                <w:rFonts w:ascii="Arial" w:cs="Arial" w:eastAsia="Arial" w:hAnsi="Arial"/>
                <w:sz w:val="21"/>
                <w:szCs w:val="21"/>
                <w:color w:val="auto"/>
                <w:vertAlign w:val="superscript"/>
              </w:rPr>
              <w:t>(c)</w:t>
            </w:r>
          </w:p>
        </w:tc>
        <w:tc>
          <w:tcPr>
            <w:tcW w:w="10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6"/>
        </w:trPr>
        <w:tc>
          <w:tcPr>
            <w:tcW w:w="7160" w:type="dxa"/>
            <w:vAlign w:val="bottom"/>
          </w:tcPr>
          <w:p>
            <w:pPr>
              <w:spacing w:after="0" w:line="216" w:lineRule="exact"/>
              <w:rPr>
                <w:sz w:val="20"/>
                <w:szCs w:val="20"/>
                <w:color w:val="auto"/>
              </w:rPr>
            </w:pPr>
            <w:r>
              <w:rPr>
                <w:rFonts w:ascii="Arial" w:cs="Arial" w:eastAsia="Arial" w:hAnsi="Arial"/>
                <w:sz w:val="16"/>
                <w:szCs w:val="16"/>
                <w:b w:val="1"/>
                <w:bCs w:val="1"/>
                <w:color w:val="auto"/>
              </w:rPr>
              <w:t xml:space="preserve">Derivatives not designated as hedging instruments </w:t>
            </w:r>
            <w:r>
              <w:rPr>
                <w:rFonts w:ascii="Arial" w:cs="Arial" w:eastAsia="Arial" w:hAnsi="Arial"/>
                <w:sz w:val="21"/>
                <w:szCs w:val="21"/>
                <w:b w:val="1"/>
                <w:bCs w:val="1"/>
                <w:color w:val="auto"/>
                <w:vertAlign w:val="superscript"/>
              </w:rPr>
              <w:t>(d)</w:t>
            </w: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160"/>
              <w:spacing w:after="0" w:line="216" w:lineRule="exact"/>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(e)</w:t>
            </w:r>
          </w:p>
        </w:tc>
        <w:tc>
          <w:tcPr>
            <w:tcW w:w="10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27"/>
        </w:trPr>
        <w:tc>
          <w:tcPr>
            <w:tcW w:w="7160" w:type="dxa"/>
            <w:vAlign w:val="bottom"/>
          </w:tcPr>
          <w:p>
            <w:pPr>
              <w:ind w:left="160"/>
              <w:spacing w:after="0" w:line="227"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(f)</w:t>
            </w:r>
          </w:p>
        </w:tc>
        <w:tc>
          <w:tcPr>
            <w:tcW w:w="10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7160" w:type="dxa"/>
            <w:vAlign w:val="bottom"/>
          </w:tcPr>
          <w:p>
            <w:pPr>
              <w:ind w:left="160"/>
              <w:spacing w:after="0"/>
              <w:rPr>
                <w:sz w:val="20"/>
                <w:szCs w:val="20"/>
                <w:color w:val="auto"/>
              </w:rPr>
            </w:pPr>
            <w:r>
              <w:rPr>
                <w:rFonts w:ascii="Arial" w:cs="Arial" w:eastAsia="Arial" w:hAnsi="Arial"/>
                <w:sz w:val="16"/>
                <w:szCs w:val="16"/>
                <w:color w:val="auto"/>
              </w:rPr>
              <w:t>Total</w:t>
            </w:r>
          </w:p>
        </w:tc>
        <w:tc>
          <w:tcPr>
            <w:tcW w:w="10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
        </w:trPr>
        <w:tc>
          <w:tcPr>
            <w:tcW w:w="7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103" w:lineRule="exact"/>
        <w:rPr>
          <w:sz w:val="20"/>
          <w:szCs w:val="20"/>
          <w:color w:val="auto"/>
        </w:rPr>
      </w:pPr>
    </w:p>
    <w:p>
      <w:pPr>
        <w:ind w:left="820" w:hanging="326"/>
        <w:spacing w:after="0"/>
        <w:tabs>
          <w:tab w:leader="none" w:pos="820" w:val="left"/>
        </w:tabs>
        <w:numPr>
          <w:ilvl w:val="0"/>
          <w:numId w:val="33"/>
        </w:numPr>
        <w:rPr>
          <w:rFonts w:ascii="Arial" w:cs="Arial" w:eastAsia="Arial" w:hAnsi="Arial"/>
          <w:sz w:val="19"/>
          <w:szCs w:val="19"/>
          <w:color w:val="auto"/>
          <w:vertAlign w:val="superscript"/>
        </w:rPr>
      </w:pPr>
      <w:r>
        <w:rPr>
          <w:rFonts w:ascii="Arial" w:cs="Arial" w:eastAsia="Arial" w:hAnsi="Arial"/>
          <w:sz w:val="14"/>
          <w:szCs w:val="14"/>
          <w:color w:val="auto"/>
        </w:rPr>
        <w:t>Recognized, net of tax, as a component of other comprehensive income (loss) within stockholders’ equity.</w:t>
      </w:r>
    </w:p>
    <w:p>
      <w:pPr>
        <w:spacing w:after="0" w:line="12" w:lineRule="exact"/>
        <w:rPr>
          <w:rFonts w:ascii="Arial" w:cs="Arial" w:eastAsia="Arial" w:hAnsi="Arial"/>
          <w:sz w:val="19"/>
          <w:szCs w:val="19"/>
          <w:color w:val="auto"/>
          <w:vertAlign w:val="superscript"/>
        </w:rPr>
      </w:pPr>
    </w:p>
    <w:p>
      <w:pPr>
        <w:ind w:left="820" w:hanging="326"/>
        <w:spacing w:after="0" w:line="213" w:lineRule="auto"/>
        <w:tabs>
          <w:tab w:leader="none" w:pos="813" w:val="left"/>
        </w:tabs>
        <w:numPr>
          <w:ilvl w:val="0"/>
          <w:numId w:val="33"/>
        </w:numPr>
        <w:rPr>
          <w:rFonts w:ascii="Arial" w:cs="Arial" w:eastAsia="Arial" w:hAnsi="Arial"/>
          <w:sz w:val="19"/>
          <w:szCs w:val="19"/>
          <w:color w:val="auto"/>
          <w:vertAlign w:val="superscript"/>
        </w:rPr>
      </w:pPr>
      <w:r>
        <w:rPr>
          <w:rFonts w:ascii="Arial" w:cs="Arial" w:eastAsia="Arial" w:hAnsi="Arial"/>
          <w:sz w:val="14"/>
          <w:szCs w:val="14"/>
          <w:color w:val="auto"/>
        </w:rPr>
        <w:t>Classified as a net unrealized gain (loss) on cash flow hedges in accumulated other comprehensive income (loss). Refer to Note 13–Stockholders’ Equity for amounts reclassified from accumulated other comprehensive income into earnings.</w:t>
      </w:r>
    </w:p>
    <w:p>
      <w:pPr>
        <w:ind w:left="800" w:hanging="306"/>
        <w:spacing w:after="0"/>
        <w:tabs>
          <w:tab w:leader="none" w:pos="800" w:val="left"/>
        </w:tabs>
        <w:numPr>
          <w:ilvl w:val="0"/>
          <w:numId w:val="33"/>
        </w:numPr>
        <w:rPr>
          <w:rFonts w:ascii="Arial" w:cs="Arial" w:eastAsia="Arial" w:hAnsi="Arial"/>
          <w:sz w:val="9"/>
          <w:szCs w:val="9"/>
          <w:color w:val="auto"/>
        </w:rPr>
      </w:pPr>
      <w:r>
        <w:rPr>
          <w:rFonts w:ascii="Arial" w:cs="Arial" w:eastAsia="Arial" w:hAnsi="Arial"/>
          <w:sz w:val="14"/>
          <w:szCs w:val="14"/>
          <w:color w:val="auto"/>
        </w:rPr>
        <w:t>Classified as a net investment hedge within currency translation adjustment in accumulated other comprehensive income (loss).</w:t>
      </w:r>
    </w:p>
    <w:p>
      <w:pPr>
        <w:spacing w:after="0" w:line="14" w:lineRule="exact"/>
        <w:rPr>
          <w:rFonts w:ascii="Arial" w:cs="Arial" w:eastAsia="Arial" w:hAnsi="Arial"/>
          <w:sz w:val="9"/>
          <w:szCs w:val="9"/>
          <w:color w:val="auto"/>
        </w:rPr>
      </w:pPr>
    </w:p>
    <w:p>
      <w:pPr>
        <w:ind w:left="820" w:hanging="326"/>
        <w:spacing w:after="0"/>
        <w:tabs>
          <w:tab w:leader="none" w:pos="820" w:val="left"/>
        </w:tabs>
        <w:numPr>
          <w:ilvl w:val="0"/>
          <w:numId w:val="33"/>
        </w:numPr>
        <w:rPr>
          <w:rFonts w:ascii="Arial" w:cs="Arial" w:eastAsia="Arial" w:hAnsi="Arial"/>
          <w:sz w:val="9"/>
          <w:szCs w:val="9"/>
          <w:color w:val="auto"/>
        </w:rPr>
      </w:pPr>
      <w:r>
        <w:rPr>
          <w:rFonts w:ascii="Arial" w:cs="Arial" w:eastAsia="Arial" w:hAnsi="Arial"/>
          <w:sz w:val="14"/>
          <w:szCs w:val="14"/>
          <w:color w:val="auto"/>
        </w:rPr>
        <w:t>Gains (losses) related to derivative instruments are expected to be largely offset by (losses) gains on the underlying exposures being hedged.</w:t>
      </w:r>
    </w:p>
    <w:p>
      <w:pPr>
        <w:spacing w:after="0" w:line="14" w:lineRule="exact"/>
        <w:rPr>
          <w:rFonts w:ascii="Arial" w:cs="Arial" w:eastAsia="Arial" w:hAnsi="Arial"/>
          <w:sz w:val="9"/>
          <w:szCs w:val="9"/>
          <w:color w:val="auto"/>
        </w:rPr>
      </w:pPr>
    </w:p>
    <w:p>
      <w:pPr>
        <w:ind w:left="820" w:hanging="326"/>
        <w:spacing w:after="0" w:line="193" w:lineRule="auto"/>
        <w:tabs>
          <w:tab w:leader="none" w:pos="820" w:val="left"/>
        </w:tabs>
        <w:numPr>
          <w:ilvl w:val="0"/>
          <w:numId w:val="33"/>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March 31, 2022, included a $12 million gain in interest expense. For the three months ended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20"/>
        <w:spacing w:after="0"/>
        <w:rPr>
          <w:sz w:val="20"/>
          <w:szCs w:val="20"/>
          <w:color w:val="auto"/>
        </w:rPr>
      </w:pPr>
      <w:r>
        <w:rPr>
          <w:rFonts w:ascii="Arial" w:cs="Arial" w:eastAsia="Arial" w:hAnsi="Arial"/>
          <w:sz w:val="14"/>
          <w:szCs w:val="14"/>
          <w:color w:val="auto"/>
        </w:rPr>
        <w:t>March 31, 2021, included a $7 million loss in interest expense and a $1 million loss in operating expense.</w:t>
      </w:r>
    </w:p>
    <w:p>
      <w:pPr>
        <w:ind w:left="820" w:hanging="326"/>
        <w:spacing w:after="0" w:line="224" w:lineRule="auto"/>
        <w:tabs>
          <w:tab w:leader="none" w:pos="820" w:val="left"/>
        </w:tabs>
        <w:numPr>
          <w:ilvl w:val="0"/>
          <w:numId w:val="34"/>
        </w:numPr>
        <w:rPr>
          <w:rFonts w:ascii="Arial" w:cs="Arial" w:eastAsia="Arial" w:hAnsi="Arial"/>
          <w:sz w:val="19"/>
          <w:szCs w:val="19"/>
          <w:color w:val="auto"/>
          <w:vertAlign w:val="superscript"/>
        </w:rPr>
      </w:pPr>
      <w:r>
        <w:rPr>
          <w:rFonts w:ascii="Arial" w:cs="Arial" w:eastAsia="Arial" w:hAnsi="Arial"/>
          <w:sz w:val="14"/>
          <w:szCs w:val="14"/>
          <w:color w:val="auto"/>
        </w:rPr>
        <w:t>Included primarily in vehicle interest, net.</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Instruments</w:t>
      </w:r>
    </w:p>
    <w:p>
      <w:pPr>
        <w:spacing w:after="0" w:line="25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amounts and estimated fair values (Level 2) of debt instruments were as follows:</w:t>
      </w:r>
    </w:p>
    <w:p>
      <w:pPr>
        <w:spacing w:after="0" w:line="297" w:lineRule="exact"/>
        <w:rPr>
          <w:sz w:val="20"/>
          <w:szCs w:val="20"/>
          <w:color w:val="auto"/>
        </w:rPr>
      </w:pPr>
    </w:p>
    <w:tbl>
      <w:tblPr>
        <w:tblLayout w:type="fixed"/>
        <w:tblInd w:w="520" w:type="dxa"/>
        <w:tblCellMar>
          <w:top w:w="0" w:type="dxa"/>
          <w:left w:w="0" w:type="dxa"/>
          <w:bottom w:w="0" w:type="dxa"/>
          <w:right w:w="0" w:type="dxa"/>
        </w:tblCellMar>
      </w:tblPr>
      <w:tr>
        <w:trPr>
          <w:trHeight w:val="217"/>
        </w:trPr>
        <w:tc>
          <w:tcPr>
            <w:tcW w:w="4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5"/>
          </w:tcPr>
          <w:p>
            <w:pPr>
              <w:ind w:left="420"/>
              <w:spacing w:after="0"/>
              <w:rPr>
                <w:sz w:val="20"/>
                <w:szCs w:val="20"/>
                <w:color w:val="auto"/>
              </w:rPr>
            </w:pPr>
            <w:r>
              <w:rPr>
                <w:rFonts w:ascii="Arial" w:cs="Arial" w:eastAsia="Arial" w:hAnsi="Arial"/>
                <w:sz w:val="16"/>
                <w:szCs w:val="16"/>
                <w:b w:val="1"/>
                <w:bCs w:val="1"/>
                <w:color w:val="auto"/>
              </w:rPr>
              <w:t>As of March 31, 2022</w:t>
            </w:r>
          </w:p>
        </w:tc>
        <w:tc>
          <w:tcPr>
            <w:tcW w:w="240" w:type="dxa"/>
            <w:vAlign w:val="bottom"/>
          </w:tcPr>
          <w:p>
            <w:pPr>
              <w:spacing w:after="0"/>
              <w:rPr>
                <w:sz w:val="18"/>
                <w:szCs w:val="18"/>
                <w:color w:val="auto"/>
              </w:rPr>
            </w:pPr>
          </w:p>
        </w:tc>
        <w:tc>
          <w:tcPr>
            <w:tcW w:w="268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As of December 31, 2021</w:t>
            </w:r>
          </w:p>
        </w:tc>
        <w:tc>
          <w:tcPr>
            <w:tcW w:w="0" w:type="dxa"/>
            <w:vAlign w:val="bottom"/>
          </w:tcPr>
          <w:p>
            <w:pPr>
              <w:spacing w:after="0"/>
              <w:rPr>
                <w:sz w:val="1"/>
                <w:szCs w:val="1"/>
                <w:color w:val="auto"/>
              </w:rPr>
            </w:pPr>
          </w:p>
        </w:tc>
      </w:tr>
      <w:tr>
        <w:trPr>
          <w:trHeight w:val="155"/>
        </w:trPr>
        <w:tc>
          <w:tcPr>
            <w:tcW w:w="41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6"/>
                <w:szCs w:val="16"/>
                <w:b w:val="1"/>
                <w:bCs w:val="1"/>
                <w:color w:val="auto"/>
              </w:rPr>
              <w:t>Carrying</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39"/>
              <w:spacing w:after="0" w:line="155" w:lineRule="exact"/>
              <w:rPr>
                <w:sz w:val="20"/>
                <w:szCs w:val="20"/>
                <w:color w:val="auto"/>
              </w:rPr>
            </w:pPr>
            <w:r>
              <w:rPr>
                <w:rFonts w:ascii="Arial" w:cs="Arial" w:eastAsia="Arial" w:hAnsi="Arial"/>
                <w:sz w:val="16"/>
                <w:szCs w:val="16"/>
                <w:b w:val="1"/>
                <w:bCs w:val="1"/>
                <w:color w:val="auto"/>
              </w:rPr>
              <w:t>Estimated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6"/>
                <w:szCs w:val="16"/>
                <w:b w:val="1"/>
                <w:bCs w:val="1"/>
                <w:color w:val="auto"/>
              </w:rPr>
              <w:t>Carrying</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39"/>
              <w:spacing w:after="0" w:line="155" w:lineRule="exact"/>
              <w:rPr>
                <w:sz w:val="20"/>
                <w:szCs w:val="20"/>
                <w:color w:val="auto"/>
              </w:rPr>
            </w:pPr>
            <w:r>
              <w:rPr>
                <w:rFonts w:ascii="Arial" w:cs="Arial" w:eastAsia="Arial" w:hAnsi="Arial"/>
                <w:sz w:val="16"/>
                <w:szCs w:val="16"/>
                <w:b w:val="1"/>
                <w:bCs w:val="1"/>
                <w:color w:val="auto"/>
              </w:rPr>
              <w:t>Estimated</w:t>
            </w: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rPr>
              <w:t>Fair</w:t>
            </w:r>
          </w:p>
        </w:tc>
        <w:tc>
          <w:tcPr>
            <w:tcW w:w="2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6"/>
        </w:trPr>
        <w:tc>
          <w:tcPr>
            <w:tcW w:w="4140" w:type="dxa"/>
            <w:vAlign w:val="bottom"/>
            <w:vMerge w:val="restart"/>
          </w:tcPr>
          <w:p>
            <w:pPr>
              <w:spacing w:after="0"/>
              <w:rPr>
                <w:sz w:val="20"/>
                <w:szCs w:val="20"/>
                <w:color w:val="auto"/>
              </w:rPr>
            </w:pPr>
            <w:r>
              <w:rPr>
                <w:rFonts w:ascii="Arial" w:cs="Arial" w:eastAsia="Arial" w:hAnsi="Arial"/>
                <w:sz w:val="16"/>
                <w:szCs w:val="16"/>
                <w:b w:val="1"/>
                <w:bCs w:val="1"/>
                <w:color w:val="auto"/>
              </w:rPr>
              <w:t>Corporate debt</w:t>
            </w:r>
          </w:p>
        </w:tc>
        <w:tc>
          <w:tcPr>
            <w:tcW w:w="2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Value</w:t>
            </w:r>
          </w:p>
        </w:tc>
        <w:tc>
          <w:tcPr>
            <w:tcW w:w="24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8"/>
                <w:szCs w:val="18"/>
                <w:color w:val="auto"/>
              </w:rPr>
            </w:pPr>
          </w:p>
        </w:tc>
        <w:tc>
          <w:tcPr>
            <w:tcW w:w="1200" w:type="dxa"/>
            <w:vAlign w:val="bottom"/>
          </w:tcPr>
          <w:p>
            <w:pPr>
              <w:jc w:val="center"/>
              <w:ind w:right="139"/>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195"/>
        </w:trPr>
        <w:tc>
          <w:tcPr>
            <w:tcW w:w="4140" w:type="dxa"/>
            <w:vAlign w:val="bottom"/>
            <w:vMerge w:val="continue"/>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140" w:type="dxa"/>
            <w:vAlign w:val="bottom"/>
          </w:tcPr>
          <w:p>
            <w:pPr>
              <w:ind w:left="200"/>
              <w:spacing w:after="0"/>
              <w:rPr>
                <w:sz w:val="20"/>
                <w:szCs w:val="20"/>
                <w:color w:val="auto"/>
              </w:rPr>
            </w:pPr>
            <w:r>
              <w:rPr>
                <w:rFonts w:ascii="Arial" w:cs="Arial" w:eastAsia="Arial" w:hAnsi="Arial"/>
                <w:sz w:val="16"/>
                <w:szCs w:val="16"/>
                <w:color w:val="auto"/>
              </w:rPr>
              <w:t>Short-term debt and current portion of long-term debt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6"/>
        </w:trPr>
        <w:tc>
          <w:tcPr>
            <w:tcW w:w="4140" w:type="dxa"/>
            <w:vAlign w:val="bottom"/>
          </w:tcPr>
          <w:p>
            <w:pPr>
              <w:ind w:left="200"/>
              <w:spacing w:after="0"/>
              <w:rPr>
                <w:sz w:val="20"/>
                <w:szCs w:val="20"/>
                <w:color w:val="auto"/>
              </w:rPr>
            </w:pPr>
            <w:r>
              <w:rPr>
                <w:rFonts w:ascii="Arial" w:cs="Arial" w:eastAsia="Arial" w:hAnsi="Arial"/>
                <w:sz w:val="16"/>
                <w:szCs w:val="16"/>
                <w:color w:val="auto"/>
              </w:rPr>
              <w:t>Long-term debt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4,153</w:t>
            </w:r>
          </w:p>
        </w:tc>
        <w:tc>
          <w:tcPr>
            <w:tcW w:w="0" w:type="dxa"/>
            <w:vAlign w:val="bottom"/>
          </w:tcPr>
          <w:p>
            <w:pPr>
              <w:spacing w:after="0"/>
              <w:rPr>
                <w:sz w:val="1"/>
                <w:szCs w:val="1"/>
                <w:color w:val="auto"/>
              </w:rPr>
            </w:pPr>
          </w:p>
        </w:tc>
      </w:tr>
      <w:tr>
        <w:trPr>
          <w:trHeight w:val="433"/>
        </w:trPr>
        <w:tc>
          <w:tcPr>
            <w:tcW w:w="4140" w:type="dxa"/>
            <w:vAlign w:val="bottom"/>
          </w:tcPr>
          <w:p>
            <w:pPr>
              <w:spacing w:after="0"/>
              <w:rPr>
                <w:sz w:val="20"/>
                <w:szCs w:val="20"/>
                <w:color w:val="auto"/>
              </w:rPr>
            </w:pPr>
            <w:r>
              <w:rPr>
                <w:rFonts w:ascii="Arial" w:cs="Arial" w:eastAsia="Arial" w:hAnsi="Arial"/>
                <w:sz w:val="16"/>
                <w:szCs w:val="16"/>
                <w:b w:val="1"/>
                <w:bCs w:val="1"/>
                <w:color w:val="auto"/>
              </w:rPr>
              <w:t>Debt under vehicle programs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140" w:type="dxa"/>
            <w:vAlign w:val="bottom"/>
          </w:tcPr>
          <w:p>
            <w:pPr>
              <w:ind w:left="200"/>
              <w:spacing w:after="0" w:line="163" w:lineRule="exact"/>
              <w:rPr>
                <w:sz w:val="20"/>
                <w:szCs w:val="20"/>
                <w:color w:val="auto"/>
              </w:rPr>
            </w:pPr>
            <w:r>
              <w:rPr>
                <w:rFonts w:ascii="Arial" w:cs="Arial" w:eastAsia="Arial" w:hAnsi="Arial"/>
                <w:sz w:val="16"/>
                <w:szCs w:val="16"/>
                <w:color w:val="auto"/>
              </w:rPr>
              <w:t>Vehicle-backed debt due to Avis Budget Rental Car</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9,743</w:t>
            </w:r>
          </w:p>
        </w:tc>
        <w:tc>
          <w:tcPr>
            <w:tcW w:w="12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9,610</w:t>
            </w:r>
          </w:p>
        </w:tc>
        <w:tc>
          <w:tcPr>
            <w:tcW w:w="100" w:type="dxa"/>
            <w:vAlign w:val="bottom"/>
          </w:tcPr>
          <w:p>
            <w:pPr>
              <w:spacing w:after="0"/>
              <w:rPr>
                <w:sz w:val="14"/>
                <w:szCs w:val="14"/>
                <w:color w:val="auto"/>
              </w:rPr>
            </w:pP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8,848</w:t>
            </w:r>
          </w:p>
        </w:tc>
        <w:tc>
          <w:tcPr>
            <w:tcW w:w="12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9,009</w:t>
            </w:r>
          </w:p>
        </w:tc>
        <w:tc>
          <w:tcPr>
            <w:tcW w:w="0" w:type="dxa"/>
            <w:vAlign w:val="bottom"/>
          </w:tcPr>
          <w:p>
            <w:pPr>
              <w:spacing w:after="0"/>
              <w:rPr>
                <w:sz w:val="1"/>
                <w:szCs w:val="1"/>
                <w:color w:val="auto"/>
              </w:rPr>
            </w:pPr>
          </w:p>
        </w:tc>
      </w:tr>
      <w:tr>
        <w:trPr>
          <w:trHeight w:val="215"/>
        </w:trPr>
        <w:tc>
          <w:tcPr>
            <w:tcW w:w="4140" w:type="dxa"/>
            <w:vAlign w:val="bottom"/>
          </w:tcPr>
          <w:p>
            <w:pPr>
              <w:ind w:left="380"/>
              <w:spacing w:after="0"/>
              <w:rPr>
                <w:sz w:val="20"/>
                <w:szCs w:val="20"/>
                <w:color w:val="auto"/>
              </w:rPr>
            </w:pPr>
            <w:r>
              <w:rPr>
                <w:rFonts w:ascii="Arial" w:cs="Arial" w:eastAsia="Arial" w:hAnsi="Arial"/>
                <w:sz w:val="16"/>
                <w:szCs w:val="16"/>
                <w:color w:val="auto"/>
              </w:rPr>
              <w:t>Funding</w:t>
            </w:r>
          </w:p>
        </w:tc>
        <w:tc>
          <w:tcPr>
            <w:tcW w:w="2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40" w:type="dxa"/>
            <w:vAlign w:val="bottom"/>
          </w:tcPr>
          <w:p>
            <w:pPr>
              <w:ind w:left="200"/>
              <w:spacing w:after="0"/>
              <w:rPr>
                <w:sz w:val="20"/>
                <w:szCs w:val="20"/>
                <w:color w:val="auto"/>
              </w:rPr>
            </w:pPr>
            <w:r>
              <w:rPr>
                <w:rFonts w:ascii="Arial" w:cs="Arial" w:eastAsia="Arial" w:hAnsi="Arial"/>
                <w:sz w:val="16"/>
                <w:szCs w:val="16"/>
                <w:color w:val="auto"/>
              </w:rPr>
              <w:t>Vehicle-backed debt</w:t>
            </w: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2,308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2,313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2,528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2,559</w:t>
            </w:r>
          </w:p>
        </w:tc>
        <w:tc>
          <w:tcPr>
            <w:tcW w:w="0" w:type="dxa"/>
            <w:vAlign w:val="bottom"/>
          </w:tcPr>
          <w:p>
            <w:pPr>
              <w:spacing w:after="0"/>
              <w:rPr>
                <w:sz w:val="1"/>
                <w:szCs w:val="1"/>
                <w:color w:val="auto"/>
              </w:rPr>
            </w:pPr>
          </w:p>
        </w:tc>
      </w:tr>
      <w:tr>
        <w:trPr>
          <w:trHeight w:val="282"/>
        </w:trPr>
        <w:tc>
          <w:tcPr>
            <w:tcW w:w="4140" w:type="dxa"/>
            <w:vAlign w:val="bottom"/>
          </w:tcPr>
          <w:p>
            <w:pPr>
              <w:ind w:left="200"/>
              <w:spacing w:after="0"/>
              <w:rPr>
                <w:sz w:val="20"/>
                <w:szCs w:val="20"/>
                <w:color w:val="auto"/>
              </w:rPr>
            </w:pPr>
            <w:r>
              <w:rPr>
                <w:rFonts w:ascii="Arial" w:cs="Arial" w:eastAsia="Arial" w:hAnsi="Arial"/>
                <w:sz w:val="16"/>
                <w:szCs w:val="16"/>
                <w:color w:val="auto"/>
              </w:rPr>
              <w:t xml:space="preserve">Interest rate swaps and interest rate caps </w:t>
            </w:r>
            <w:r>
              <w:rPr>
                <w:rFonts w:ascii="Arial" w:cs="Arial" w:eastAsia="Arial" w:hAnsi="Arial"/>
                <w:sz w:val="21"/>
                <w:szCs w:val="21"/>
                <w:color w:val="auto"/>
                <w:vertAlign w:val="superscript"/>
              </w:rPr>
              <w:t>(a)</w:t>
            </w:r>
          </w:p>
        </w:tc>
        <w:tc>
          <w:tcPr>
            <w:tcW w:w="2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__________</w:t>
      </w:r>
    </w:p>
    <w:p>
      <w:pPr>
        <w:spacing w:after="0" w:line="90" w:lineRule="exact"/>
        <w:rPr>
          <w:sz w:val="20"/>
          <w:szCs w:val="20"/>
          <w:color w:val="auto"/>
        </w:rPr>
      </w:pPr>
    </w:p>
    <w:p>
      <w:pPr>
        <w:ind w:left="720" w:hanging="226"/>
        <w:spacing w:after="0"/>
        <w:tabs>
          <w:tab w:leader="none" w:pos="720" w:val="left"/>
        </w:tabs>
        <w:numPr>
          <w:ilvl w:val="1"/>
          <w:numId w:val="35"/>
        </w:numPr>
        <w:rPr>
          <w:rFonts w:ascii="Arial" w:cs="Arial" w:eastAsia="Arial" w:hAnsi="Arial"/>
          <w:sz w:val="19"/>
          <w:szCs w:val="19"/>
          <w:color w:val="auto"/>
          <w:vertAlign w:val="superscript"/>
        </w:rPr>
      </w:pPr>
      <w:r>
        <w:rPr>
          <w:rFonts w:ascii="Arial" w:cs="Arial" w:eastAsia="Arial" w:hAnsi="Arial"/>
          <w:sz w:val="14"/>
          <w:szCs w:val="14"/>
          <w:color w:val="auto"/>
        </w:rPr>
        <w:t>Derivatives in a liability position.</w:t>
      </w:r>
    </w:p>
    <w:p>
      <w:pPr>
        <w:spacing w:after="0" w:line="218" w:lineRule="exact"/>
        <w:rPr>
          <w:rFonts w:ascii="Arial" w:cs="Arial" w:eastAsia="Arial" w:hAnsi="Arial"/>
          <w:sz w:val="19"/>
          <w:szCs w:val="19"/>
          <w:color w:val="auto"/>
          <w:vertAlign w:val="superscript"/>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52"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Our chief operating decision-maker assesses performance and allocates resources based upon the separate financial information from each of our operating segments. In identifying our reportable segments, we considered the nature of services provided, the geographical areas in which the segments operated and other relevant factors. We aggregate certain of our operating segments into our reportable segments.</w:t>
      </w:r>
    </w:p>
    <w:p>
      <w:pPr>
        <w:spacing w:after="0" w:line="203"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Management evaluates the operating results of each of its reportable segments based upon revenues and “Adjusted EBITDA,” which we define as income (loss)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and other legal matters, net, which includes amounts recorded in excess of $5 million related to class action lawsuits, non-operational charges related to shareholder activist activity, which include third party advisory, legal and other professional service fees, COVID-19 charges and income taxes. COVID-19 charges include unusual, direct and incremental costs due to the COVID-19 pandemic such as minimum annual guaranteed rent in excess of concession fees for the period, overflow parking for idle vehicles and related shuttling costs, incremental cleaning supplies to sanitize vehicles and facilities, and losses associated with vehicles damaged in overflow parking lots, net of insurance proceeds. Our presentation of Adjusted EBITDA may not be comparable to similarly-titled measures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48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1"/>
        </w:trPr>
        <w:tc>
          <w:tcPr>
            <w:tcW w:w="1400" w:type="dxa"/>
            <w:vAlign w:val="bottom"/>
            <w:tcBorders>
              <w:top w:val="single" w:sz="8" w:color="0000FF"/>
            </w:tcBorders>
          </w:tcPr>
          <w:p>
            <w:pPr>
              <w:spacing w:after="0"/>
              <w:rPr>
                <w:sz w:val="24"/>
                <w:szCs w:val="24"/>
                <w:color w:val="auto"/>
              </w:rPr>
            </w:pPr>
          </w:p>
        </w:tc>
        <w:tc>
          <w:tcPr>
            <w:tcW w:w="34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Three Months Ended March 31,</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4"/>
          </w:tcPr>
          <w:p>
            <w:pPr>
              <w:jc w:val="right"/>
              <w:ind w:right="11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4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Revenues</w:t>
            </w:r>
          </w:p>
        </w:tc>
        <w:tc>
          <w:tcPr>
            <w:tcW w:w="120" w:type="dxa"/>
            <w:vAlign w:val="bottom"/>
          </w:tcPr>
          <w:p>
            <w:pPr>
              <w:spacing w:after="0"/>
              <w:rPr>
                <w:sz w:val="14"/>
                <w:szCs w:val="14"/>
                <w:color w:val="auto"/>
              </w:rPr>
            </w:pPr>
          </w:p>
        </w:tc>
        <w:tc>
          <w:tcPr>
            <w:tcW w:w="1260" w:type="dxa"/>
            <w:vAlign w:val="bottom"/>
          </w:tcPr>
          <w:p>
            <w:pPr>
              <w:jc w:val="center"/>
              <w:ind w:right="10"/>
              <w:spacing w:after="0" w:line="169" w:lineRule="exact"/>
              <w:rPr>
                <w:sz w:val="20"/>
                <w:szCs w:val="20"/>
                <w:color w:val="auto"/>
              </w:rPr>
            </w:pPr>
            <w:r>
              <w:rPr>
                <w:rFonts w:ascii="Arial" w:cs="Arial" w:eastAsia="Arial" w:hAnsi="Arial"/>
                <w:sz w:val="18"/>
                <w:szCs w:val="18"/>
                <w:b w:val="1"/>
                <w:bCs w:val="1"/>
                <w:color w:val="auto"/>
                <w:w w:val="98"/>
              </w:rPr>
              <w:t>Adjusted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14"/>
                <w:szCs w:val="14"/>
                <w:color w:val="auto"/>
              </w:rPr>
            </w:pPr>
          </w:p>
        </w:tc>
        <w:tc>
          <w:tcPr>
            <w:tcW w:w="1180" w:type="dxa"/>
            <w:vAlign w:val="bottom"/>
          </w:tcPr>
          <w:p>
            <w:pPr>
              <w:jc w:val="right"/>
              <w:ind w:right="230"/>
              <w:spacing w:after="0" w:line="169" w:lineRule="exact"/>
              <w:rPr>
                <w:sz w:val="20"/>
                <w:szCs w:val="20"/>
                <w:color w:val="auto"/>
              </w:rPr>
            </w:pPr>
            <w:r>
              <w:rPr>
                <w:rFonts w:ascii="Arial" w:cs="Arial" w:eastAsia="Arial" w:hAnsi="Arial"/>
                <w:sz w:val="18"/>
                <w:szCs w:val="18"/>
                <w:b w:val="1"/>
                <w:bCs w:val="1"/>
                <w:color w:val="auto"/>
              </w:rPr>
              <w:t>Adjusted</w:t>
            </w:r>
          </w:p>
        </w:tc>
        <w:tc>
          <w:tcPr>
            <w:tcW w:w="0" w:type="dxa"/>
            <w:vAlign w:val="bottom"/>
          </w:tcPr>
          <w:p>
            <w:pPr>
              <w:spacing w:after="0"/>
              <w:rPr>
                <w:sz w:val="1"/>
                <w:szCs w:val="1"/>
                <w:color w:val="auto"/>
              </w:rPr>
            </w:pPr>
          </w:p>
        </w:tc>
      </w:tr>
      <w:tr>
        <w:trPr>
          <w:trHeight w:val="243"/>
        </w:trPr>
        <w:tc>
          <w:tcPr>
            <w:tcW w:w="4820" w:type="dxa"/>
            <w:vAlign w:val="bottom"/>
            <w:gridSpan w:val="2"/>
            <w:vMerge w:val="restart"/>
          </w:tcPr>
          <w:p>
            <w:pPr>
              <w:ind w:left="520"/>
              <w:spacing w:after="0"/>
              <w:rPr>
                <w:sz w:val="20"/>
                <w:szCs w:val="20"/>
                <w:color w:val="auto"/>
              </w:rPr>
            </w:pPr>
            <w:r>
              <w:rPr>
                <w:rFonts w:ascii="Arial" w:cs="Arial" w:eastAsia="Arial" w:hAnsi="Arial"/>
                <w:sz w:val="18"/>
                <w:szCs w:val="18"/>
                <w:color w:val="auto"/>
              </w:rPr>
              <w:t>Americas</w:t>
            </w:r>
          </w:p>
        </w:tc>
        <w:tc>
          <w:tcPr>
            <w:tcW w:w="20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EBITDA</w:t>
            </w:r>
          </w:p>
        </w:tc>
        <w:tc>
          <w:tcPr>
            <w:tcW w:w="20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EBITDA</w:t>
            </w:r>
          </w:p>
        </w:tc>
        <w:tc>
          <w:tcPr>
            <w:tcW w:w="0" w:type="dxa"/>
            <w:vAlign w:val="bottom"/>
          </w:tcPr>
          <w:p>
            <w:pPr>
              <w:spacing w:after="0"/>
              <w:rPr>
                <w:sz w:val="1"/>
                <w:szCs w:val="1"/>
                <w:color w:val="auto"/>
              </w:rPr>
            </w:pPr>
          </w:p>
        </w:tc>
      </w:tr>
      <w:tr>
        <w:trPr>
          <w:trHeight w:val="218"/>
        </w:trPr>
        <w:tc>
          <w:tcPr>
            <w:tcW w:w="4820" w:type="dxa"/>
            <w:vAlign w:val="bottom"/>
            <w:gridSpan w:val="2"/>
            <w:vMerge w:val="continue"/>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7"/>
        </w:trPr>
        <w:tc>
          <w:tcPr>
            <w:tcW w:w="4820" w:type="dxa"/>
            <w:vAlign w:val="bottom"/>
            <w:gridSpan w:val="2"/>
          </w:tcPr>
          <w:p>
            <w:pPr>
              <w:ind w:left="52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4820" w:type="dxa"/>
            <w:vAlign w:val="bottom"/>
            <w:gridSpan w:val="2"/>
          </w:tcPr>
          <w:p>
            <w:pPr>
              <w:ind w:left="520"/>
              <w:spacing w:after="0" w:line="237" w:lineRule="exact"/>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3"/>
                <w:szCs w:val="23"/>
                <w:color w:val="auto"/>
                <w:vertAlign w:val="superscript"/>
              </w:rPr>
              <w:t>(a)</w:t>
            </w:r>
          </w:p>
        </w:tc>
        <w:tc>
          <w:tcPr>
            <w:tcW w:w="2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4820" w:type="dxa"/>
            <w:vAlign w:val="bottom"/>
            <w:gridSpan w:val="2"/>
          </w:tcPr>
          <w:p>
            <w:pPr>
              <w:ind w:left="760"/>
              <w:spacing w:after="0"/>
              <w:rPr>
                <w:sz w:val="20"/>
                <w:szCs w:val="20"/>
                <w:color w:val="auto"/>
              </w:rPr>
            </w:pPr>
            <w:r>
              <w:rPr>
                <w:rFonts w:ascii="Arial" w:cs="Arial" w:eastAsia="Arial" w:hAnsi="Arial"/>
                <w:sz w:val="18"/>
                <w:szCs w:val="18"/>
                <w:color w:val="auto"/>
              </w:rPr>
              <w:t>Total Company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
        </w:trPr>
        <w:tc>
          <w:tcPr>
            <w:tcW w:w="14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Reconciliation of Adjusted EBITDA to income (loss) before income taxes:</w:t>
      </w:r>
    </w:p>
    <w:p>
      <w:pPr>
        <w:sectPr>
          <w:pgSz w:w="11900" w:h="16838" w:orient="portrait"/>
          <w:cols w:equalWidth="0" w:num="1">
            <w:col w:w="11240"/>
          </w:cols>
          <w:pgMar w:left="320" w:top="108" w:right="339" w:bottom="1440" w:gutter="0" w:footer="0" w:header="0"/>
        </w:sectPr>
      </w:pP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Adjusted EBITDA</w:t>
      </w:r>
    </w:p>
    <w:p>
      <w:pPr>
        <w:spacing w:after="0" w:line="17" w:lineRule="exact"/>
        <w:rPr>
          <w:sz w:val="20"/>
          <w:szCs w:val="20"/>
          <w:color w:val="auto"/>
        </w:rPr>
      </w:pPr>
    </w:p>
    <w:p>
      <w:pPr>
        <w:ind w:left="520"/>
        <w:spacing w:after="0"/>
        <w:tabs>
          <w:tab w:leader="none" w:pos="1180" w:val="left"/>
        </w:tabs>
        <w:rPr>
          <w:sz w:val="20"/>
          <w:szCs w:val="20"/>
          <w:color w:val="auto"/>
        </w:rPr>
      </w:pPr>
      <w:r>
        <w:rPr>
          <w:rFonts w:ascii="Arial" w:cs="Arial" w:eastAsia="Arial" w:hAnsi="Arial"/>
          <w:sz w:val="17"/>
          <w:szCs w:val="17"/>
          <w:color w:val="auto"/>
        </w:rPr>
        <w:t>Less:</w:t>
        <w:tab/>
        <w:t xml:space="preserve">Non-vehicle related depreciation and amortization </w:t>
      </w:r>
      <w:r>
        <w:rPr>
          <w:rFonts w:ascii="Arial" w:cs="Arial" w:eastAsia="Arial" w:hAnsi="Arial"/>
          <w:sz w:val="22"/>
          <w:szCs w:val="22"/>
          <w:color w:val="auto"/>
          <w:vertAlign w:val="superscript"/>
        </w:rPr>
        <w:t>(b)</w:t>
      </w:r>
    </w:p>
    <w:p>
      <w:pPr>
        <w:ind w:left="1200"/>
        <w:spacing w:after="0"/>
        <w:rPr>
          <w:sz w:val="20"/>
          <w:szCs w:val="20"/>
          <w:color w:val="auto"/>
        </w:rPr>
      </w:pPr>
      <w:r>
        <w:rPr>
          <w:rFonts w:ascii="Arial" w:cs="Arial" w:eastAsia="Arial" w:hAnsi="Arial"/>
          <w:sz w:val="18"/>
          <w:szCs w:val="18"/>
          <w:color w:val="auto"/>
        </w:rPr>
        <w:t>Interest expense related to corporate debt, net:</w:t>
      </w:r>
    </w:p>
    <w:p>
      <w:pPr>
        <w:spacing w:after="0" w:line="1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1200" w:right="1240" w:firstLine="122"/>
        <w:spacing w:after="0" w:line="266" w:lineRule="auto"/>
        <w:rPr>
          <w:sz w:val="20"/>
          <w:szCs w:val="20"/>
          <w:color w:val="auto"/>
        </w:rPr>
      </w:pPr>
      <w:r>
        <w:rPr>
          <w:rFonts w:ascii="Arial" w:cs="Arial" w:eastAsia="Arial" w:hAnsi="Arial"/>
          <w:sz w:val="18"/>
          <w:szCs w:val="18"/>
          <w:color w:val="auto"/>
        </w:rPr>
        <w:t>Early extinguishment of debt Restructuring and other related charges</w:t>
      </w:r>
    </w:p>
    <w:p>
      <w:pPr>
        <w:ind w:left="1360" w:right="720" w:hanging="149"/>
        <w:spacing w:after="0" w:line="217" w:lineRule="auto"/>
        <w:rPr>
          <w:sz w:val="20"/>
          <w:szCs w:val="20"/>
          <w:color w:val="auto"/>
        </w:rPr>
      </w:pPr>
      <w:r>
        <w:rPr>
          <w:rFonts w:ascii="Arial" w:cs="Arial" w:eastAsia="Arial" w:hAnsi="Arial"/>
          <w:sz w:val="18"/>
          <w:szCs w:val="18"/>
          <w:color w:val="auto"/>
        </w:rPr>
        <w:t xml:space="preserve">Unprecedented personal-injury and other legal matters, net </w:t>
      </w:r>
      <w:r>
        <w:rPr>
          <w:rFonts w:ascii="Arial" w:cs="Arial" w:eastAsia="Arial" w:hAnsi="Arial"/>
          <w:sz w:val="23"/>
          <w:szCs w:val="23"/>
          <w:color w:val="auto"/>
          <w:vertAlign w:val="superscript"/>
        </w:rPr>
        <w:t>(c)</w:t>
      </w:r>
    </w:p>
    <w:p>
      <w:pPr>
        <w:spacing w:after="0" w:line="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Transaction-related costs, net</w:t>
      </w:r>
    </w:p>
    <w:p>
      <w:pPr>
        <w:spacing w:after="0" w:line="14"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 xml:space="preserve">COVID-19 charges </w:t>
      </w:r>
      <w:r>
        <w:rPr>
          <w:rFonts w:ascii="Arial" w:cs="Arial" w:eastAsia="Arial" w:hAnsi="Arial"/>
          <w:sz w:val="23"/>
          <w:szCs w:val="23"/>
          <w:color w:val="auto"/>
          <w:vertAlign w:val="superscript"/>
        </w:rPr>
        <w:t>(d)</w:t>
      </w:r>
    </w:p>
    <w:p>
      <w:pPr>
        <w:spacing w:after="0" w:line="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Income (loss) before income taxes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6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r>
      <w:tr>
        <w:trPr>
          <w:trHeight w:val="218"/>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810</w:t>
            </w:r>
          </w:p>
        </w:tc>
        <w:tc>
          <w:tcPr>
            <w:tcW w:w="162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9"/>
        </w:trPr>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w:t>
            </w: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450"/>
        </w:trPr>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w:t>
            </w: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300" w:type="dxa"/>
            <w:vAlign w:val="bottom"/>
          </w:tcPr>
          <w:p>
            <w:pPr>
              <w:spacing w:after="0"/>
              <w:rPr>
                <w:sz w:val="19"/>
                <w:szCs w:val="19"/>
                <w:color w:val="auto"/>
              </w:rPr>
            </w:pPr>
          </w:p>
        </w:tc>
        <w:tc>
          <w:tcPr>
            <w:tcW w:w="2700" w:type="dxa"/>
            <w:vAlign w:val="bottom"/>
            <w:gridSpan w:val="2"/>
          </w:tcPr>
          <w:p>
            <w:pPr>
              <w:jc w:val="right"/>
              <w:ind w:right="16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39"/>
        </w:trPr>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09"/>
        </w:trPr>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00" w:type="dxa"/>
            <w:vAlign w:val="bottom"/>
          </w:tcPr>
          <w:p>
            <w:pPr>
              <w:spacing w:after="0"/>
              <w:rPr>
                <w:sz w:val="19"/>
                <w:szCs w:val="19"/>
                <w:color w:val="auto"/>
              </w:rPr>
            </w:pPr>
          </w:p>
        </w:tc>
        <w:tc>
          <w:tcPr>
            <w:tcW w:w="2700" w:type="dxa"/>
            <w:vAlign w:val="bottom"/>
            <w:gridSpan w:val="2"/>
          </w:tcPr>
          <w:p>
            <w:pPr>
              <w:jc w:val="right"/>
              <w:ind w:right="16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5"/>
        </w:trPr>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16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ectPr>
          <w:pgSz w:w="11900" w:h="16838" w:orient="portrait"/>
          <w:cols w:equalWidth="0" w:num="2">
            <w:col w:w="5620" w:space="720"/>
            <w:col w:w="4900"/>
          </w:cols>
          <w:pgMar w:left="320" w:top="108" w:right="339" w:bottom="1440" w:gutter="0" w:footer="0" w:header="0"/>
          <w:type w:val="continuous"/>
        </w:sectPr>
      </w:pPr>
    </w:p>
    <w:p>
      <w:pPr>
        <w:ind w:left="500"/>
        <w:spacing w:after="0"/>
        <w:rPr>
          <w:sz w:val="20"/>
          <w:szCs w:val="20"/>
          <w:color w:val="auto"/>
        </w:rPr>
      </w:pPr>
      <w:r>
        <w:rPr>
          <w:rFonts w:ascii="Arial" w:cs="Arial" w:eastAsia="Arial" w:hAnsi="Arial"/>
          <w:sz w:val="14"/>
          <w:szCs w:val="14"/>
          <w:color w:val="auto"/>
        </w:rPr>
        <w:t>__________</w:t>
      </w:r>
    </w:p>
    <w:p>
      <w:pPr>
        <w:ind w:left="820" w:hanging="326"/>
        <w:spacing w:after="0" w:line="224" w:lineRule="auto"/>
        <w:tabs>
          <w:tab w:leader="none" w:pos="820" w:val="left"/>
        </w:tabs>
        <w:numPr>
          <w:ilvl w:val="0"/>
          <w:numId w:val="37"/>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820" w:hanging="326"/>
        <w:spacing w:after="0" w:line="213" w:lineRule="auto"/>
        <w:tabs>
          <w:tab w:leader="none" w:pos="813" w:val="left"/>
        </w:tabs>
        <w:numPr>
          <w:ilvl w:val="0"/>
          <w:numId w:val="37"/>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March 31, 2022, includes operating expenses in our Consolidated Condensed Statements of Operations related to cloud computing costs of $2 million.</w:t>
      </w:r>
    </w:p>
    <w:p>
      <w:pPr>
        <w:ind w:left="800" w:hanging="306"/>
        <w:spacing w:after="0" w:line="192" w:lineRule="auto"/>
        <w:tabs>
          <w:tab w:leader="none" w:pos="800" w:val="left"/>
        </w:tabs>
        <w:numPr>
          <w:ilvl w:val="0"/>
          <w:numId w:val="37"/>
        </w:numPr>
        <w:rPr>
          <w:rFonts w:ascii="Arial" w:cs="Arial" w:eastAsia="Arial" w:hAnsi="Arial"/>
          <w:sz w:val="19"/>
          <w:szCs w:val="19"/>
          <w:color w:val="auto"/>
          <w:vertAlign w:val="superscript"/>
        </w:rPr>
      </w:pPr>
      <w:r>
        <w:rPr>
          <w:rFonts w:ascii="Arial" w:cs="Arial" w:eastAsia="Arial" w:hAnsi="Arial"/>
          <w:sz w:val="14"/>
          <w:szCs w:val="14"/>
          <w:color w:val="auto"/>
        </w:rPr>
        <w:t>Reported within operating expenses.</w:t>
      </w:r>
    </w:p>
    <w:p>
      <w:pPr>
        <w:ind w:left="820" w:hanging="326"/>
        <w:spacing w:after="0" w:line="193" w:lineRule="auto"/>
        <w:tabs>
          <w:tab w:leader="none" w:pos="820" w:val="left"/>
        </w:tabs>
        <w:numPr>
          <w:ilvl w:val="0"/>
          <w:numId w:val="37"/>
        </w:numPr>
        <w:rPr>
          <w:rFonts w:ascii="Arial" w:cs="Arial" w:eastAsia="Arial" w:hAnsi="Arial"/>
          <w:sz w:val="19"/>
          <w:szCs w:val="19"/>
          <w:color w:val="auto"/>
          <w:vertAlign w:val="superscript"/>
        </w:rPr>
      </w:pPr>
      <w:r>
        <w:rPr>
          <w:rFonts w:ascii="Arial" w:cs="Arial" w:eastAsia="Arial" w:hAnsi="Arial"/>
          <w:sz w:val="14"/>
          <w:szCs w:val="14"/>
          <w:color w:val="auto"/>
        </w:rPr>
        <w:t>The following table presents the unusual, direct and incremental costs due to the COVID-19 pandemic:</w:t>
      </w:r>
    </w:p>
    <w:p>
      <w:pPr>
        <w:spacing w:after="0" w:line="40" w:lineRule="exact"/>
        <w:rPr>
          <w:sz w:val="20"/>
          <w:szCs w:val="20"/>
          <w:color w:val="auto"/>
        </w:rPr>
      </w:pPr>
    </w:p>
    <w:tbl>
      <w:tblPr>
        <w:tblLayout w:type="fixed"/>
        <w:tblInd w:w="840" w:type="dxa"/>
        <w:tblCellMar>
          <w:top w:w="0" w:type="dxa"/>
          <w:left w:w="0" w:type="dxa"/>
          <w:bottom w:w="0" w:type="dxa"/>
          <w:right w:w="0" w:type="dxa"/>
        </w:tblCellMar>
      </w:tblPr>
      <w:tr>
        <w:trPr>
          <w:trHeight w:val="184"/>
        </w:trPr>
        <w:tc>
          <w:tcPr>
            <w:tcW w:w="5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2022</w:t>
            </w:r>
          </w:p>
        </w:tc>
        <w:tc>
          <w:tcPr>
            <w:tcW w:w="1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r>
      <w:tr>
        <w:trPr>
          <w:trHeight w:val="188"/>
        </w:trPr>
        <w:tc>
          <w:tcPr>
            <w:tcW w:w="5300" w:type="dxa"/>
            <w:vAlign w:val="bottom"/>
          </w:tcPr>
          <w:p>
            <w:pPr>
              <w:ind w:left="220"/>
              <w:spacing w:after="0"/>
              <w:rPr>
                <w:sz w:val="20"/>
                <w:szCs w:val="20"/>
                <w:color w:val="auto"/>
              </w:rPr>
            </w:pPr>
            <w:r>
              <w:rPr>
                <w:rFonts w:ascii="Arial" w:cs="Arial" w:eastAsia="Arial" w:hAnsi="Arial"/>
                <w:sz w:val="14"/>
                <w:szCs w:val="14"/>
                <w:color w:val="auto"/>
              </w:rPr>
              <w:t>Minimum annual guaranteed rent in excess of concession fees, net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ind w:left="860"/>
              <w:spacing w:after="0"/>
              <w:rPr>
                <w:sz w:val="20"/>
                <w:szCs w:val="20"/>
                <w:color w:val="auto"/>
              </w:rPr>
            </w:pPr>
            <w:r>
              <w:rPr>
                <w:rFonts w:ascii="Arial" w:cs="Arial" w:eastAsia="Arial" w:hAnsi="Arial"/>
                <w:sz w:val="14"/>
                <w:szCs w:val="14"/>
                <w:color w:val="auto"/>
              </w:rPr>
              <w:t>(7)</w:t>
            </w:r>
          </w:p>
        </w:tc>
        <w:tc>
          <w:tcPr>
            <w:tcW w:w="144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19</w:t>
            </w:r>
          </w:p>
        </w:tc>
      </w:tr>
      <w:tr>
        <w:trPr>
          <w:trHeight w:val="203"/>
        </w:trPr>
        <w:tc>
          <w:tcPr>
            <w:tcW w:w="5300" w:type="dxa"/>
            <w:vAlign w:val="bottom"/>
          </w:tcPr>
          <w:p>
            <w:pPr>
              <w:ind w:left="220"/>
              <w:spacing w:after="0"/>
              <w:rPr>
                <w:sz w:val="20"/>
                <w:szCs w:val="20"/>
                <w:color w:val="auto"/>
              </w:rPr>
            </w:pPr>
            <w:r>
              <w:rPr>
                <w:rFonts w:ascii="Arial" w:cs="Arial" w:eastAsia="Arial" w:hAnsi="Arial"/>
                <w:sz w:val="14"/>
                <w:szCs w:val="14"/>
                <w:color w:val="auto"/>
              </w:rPr>
              <w:t>Vehicles damaged in overflow parking lots, net of insurance proceeds</w:t>
            </w:r>
          </w:p>
        </w:tc>
        <w:tc>
          <w:tcPr>
            <w:tcW w:w="320" w:type="dxa"/>
            <w:vAlign w:val="bottom"/>
          </w:tcPr>
          <w:p>
            <w:pPr>
              <w:spacing w:after="0"/>
              <w:rPr>
                <w:sz w:val="17"/>
                <w:szCs w:val="17"/>
                <w:color w:val="auto"/>
              </w:rPr>
            </w:pPr>
          </w:p>
        </w:tc>
        <w:tc>
          <w:tcPr>
            <w:tcW w:w="250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4"/>
        </w:trPr>
        <w:tc>
          <w:tcPr>
            <w:tcW w:w="5300" w:type="dxa"/>
            <w:vAlign w:val="bottom"/>
          </w:tcPr>
          <w:p>
            <w:pPr>
              <w:ind w:left="220"/>
              <w:spacing w:after="0"/>
              <w:rPr>
                <w:sz w:val="20"/>
                <w:szCs w:val="20"/>
                <w:color w:val="auto"/>
              </w:rPr>
            </w:pPr>
            <w:r>
              <w:rPr>
                <w:rFonts w:ascii="Arial" w:cs="Arial" w:eastAsia="Arial" w:hAnsi="Arial"/>
                <w:sz w:val="14"/>
                <w:szCs w:val="14"/>
                <w:color w:val="auto"/>
              </w:rPr>
              <w:t>Other charges</w:t>
            </w:r>
          </w:p>
        </w:tc>
        <w:tc>
          <w:tcPr>
            <w:tcW w:w="320" w:type="dxa"/>
            <w:vAlign w:val="bottom"/>
          </w:tcPr>
          <w:p>
            <w:pPr>
              <w:spacing w:after="0"/>
              <w:rPr>
                <w:sz w:val="17"/>
                <w:szCs w:val="17"/>
                <w:color w:val="auto"/>
              </w:rPr>
            </w:pPr>
          </w:p>
        </w:tc>
        <w:tc>
          <w:tcPr>
            <w:tcW w:w="250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5</w:t>
            </w:r>
          </w:p>
        </w:tc>
      </w:tr>
      <w:tr>
        <w:trPr>
          <w:trHeight w:val="194"/>
        </w:trPr>
        <w:tc>
          <w:tcPr>
            <w:tcW w:w="5300" w:type="dxa"/>
            <w:vAlign w:val="bottom"/>
          </w:tcPr>
          <w:p>
            <w:pPr>
              <w:spacing w:after="0"/>
              <w:rPr>
                <w:sz w:val="20"/>
                <w:szCs w:val="20"/>
                <w:color w:val="auto"/>
              </w:rPr>
            </w:pPr>
            <w:r>
              <w:rPr>
                <w:rFonts w:ascii="Arial" w:cs="Arial" w:eastAsia="Arial" w:hAnsi="Arial"/>
                <w:sz w:val="14"/>
                <w:szCs w:val="14"/>
                <w:color w:val="auto"/>
              </w:rPr>
              <w:t>Operating expenses</w:t>
            </w: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ind w:left="860"/>
              <w:spacing w:after="0"/>
              <w:rPr>
                <w:sz w:val="20"/>
                <w:szCs w:val="20"/>
                <w:color w:val="auto"/>
              </w:rPr>
            </w:pPr>
            <w:r>
              <w:rPr>
                <w:rFonts w:ascii="Arial" w:cs="Arial" w:eastAsia="Arial" w:hAnsi="Arial"/>
                <w:sz w:val="14"/>
                <w:szCs w:val="14"/>
                <w:color w:val="auto"/>
              </w:rPr>
              <w:t>(7)</w:t>
            </w:r>
          </w:p>
        </w:tc>
        <w:tc>
          <w:tcPr>
            <w:tcW w:w="1440" w:type="dxa"/>
            <w:vAlign w:val="bottom"/>
          </w:tcPr>
          <w:p>
            <w:pPr>
              <w:spacing w:after="0"/>
              <w:rPr>
                <w:sz w:val="16"/>
                <w:szCs w:val="16"/>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17</w:t>
            </w:r>
          </w:p>
        </w:tc>
      </w:tr>
      <w:tr>
        <w:trPr>
          <w:trHeight w:val="207"/>
        </w:trPr>
        <w:tc>
          <w:tcPr>
            <w:tcW w:w="5300" w:type="dxa"/>
            <w:vAlign w:val="bottom"/>
          </w:tcPr>
          <w:p>
            <w:pPr>
              <w:spacing w:after="0"/>
              <w:rPr>
                <w:sz w:val="20"/>
                <w:szCs w:val="20"/>
                <w:color w:val="auto"/>
              </w:rPr>
            </w:pPr>
            <w:r>
              <w:rPr>
                <w:rFonts w:ascii="Arial" w:cs="Arial" w:eastAsia="Arial" w:hAnsi="Arial"/>
                <w:sz w:val="14"/>
                <w:szCs w:val="14"/>
                <w:color w:val="auto"/>
              </w:rPr>
              <w:t>Selling, general and administrative expenses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250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w:t>
            </w:r>
          </w:p>
        </w:tc>
      </w:tr>
      <w:tr>
        <w:trPr>
          <w:trHeight w:val="200"/>
        </w:trPr>
        <w:tc>
          <w:tcPr>
            <w:tcW w:w="5300" w:type="dxa"/>
            <w:vAlign w:val="bottom"/>
          </w:tcPr>
          <w:p>
            <w:pPr>
              <w:spacing w:after="0"/>
              <w:rPr>
                <w:sz w:val="20"/>
                <w:szCs w:val="20"/>
                <w:color w:val="auto"/>
              </w:rPr>
            </w:pPr>
            <w:r>
              <w:rPr>
                <w:rFonts w:ascii="Arial" w:cs="Arial" w:eastAsia="Arial" w:hAnsi="Arial"/>
                <w:sz w:val="14"/>
                <w:szCs w:val="14"/>
                <w:color w:val="auto"/>
              </w:rPr>
              <w:t>COVID-19 charges, net</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4"/>
                <w:szCs w:val="14"/>
                <w:color w:val="auto"/>
              </w:rPr>
              <w:t>(7)</w:t>
            </w:r>
          </w:p>
        </w:tc>
        <w:tc>
          <w:tcPr>
            <w:tcW w:w="144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18</w:t>
            </w:r>
          </w:p>
        </w:tc>
      </w:tr>
      <w:tr>
        <w:trPr>
          <w:trHeight w:val="21"/>
        </w:trPr>
        <w:tc>
          <w:tcPr>
            <w:tcW w:w="5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Since December 31, 2021, there have been no significant changes in segment assets exclusive of assets under vehicle programs. As of March 31, 2022 and December 31, 2021, Americas’ segment assets under vehicle programs were approximately $12.7 billion and $11.4 billion, respectively. The changes in assets under vehicle programs is primarily due to the increase in the size of our vehicle rental fleet to meet increases in rental demand.</w:t>
      </w:r>
    </w:p>
    <w:p>
      <w:pPr>
        <w:spacing w:after="0" w:line="203"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52" w:lineRule="exact"/>
        <w:rPr>
          <w:sz w:val="20"/>
          <w:szCs w:val="20"/>
          <w:color w:val="auto"/>
        </w:rPr>
      </w:pPr>
    </w:p>
    <w:p>
      <w:pPr>
        <w:ind w:left="500"/>
        <w:spacing w:after="0" w:line="287" w:lineRule="auto"/>
        <w:rPr>
          <w:sz w:val="20"/>
          <w:szCs w:val="20"/>
          <w:color w:val="auto"/>
        </w:rPr>
      </w:pPr>
      <w:r>
        <w:rPr>
          <w:rFonts w:ascii="Arial" w:cs="Arial" w:eastAsia="Arial" w:hAnsi="Arial"/>
          <w:sz w:val="18"/>
          <w:szCs w:val="18"/>
          <w:color w:val="auto"/>
        </w:rPr>
        <w:t>In April 2022, our Avis Budget Rental Car Funding (AESOP) LLC subsidiary issued $660 million of asset-backed notes to investors with an expected final payment date of August 2027, with a weighted average interest rate of 3.96%.</w:t>
      </w:r>
    </w:p>
    <w:p>
      <w:pPr>
        <w:spacing w:after="0" w:line="180" w:lineRule="exact"/>
        <w:rPr>
          <w:sz w:val="20"/>
          <w:szCs w:val="20"/>
          <w:color w:val="auto"/>
        </w:rPr>
      </w:pPr>
    </w:p>
    <w:p>
      <w:pPr>
        <w:ind w:left="500" w:right="20"/>
        <w:spacing w:after="0" w:line="287" w:lineRule="auto"/>
        <w:rPr>
          <w:sz w:val="20"/>
          <w:szCs w:val="20"/>
          <w:color w:val="auto"/>
        </w:rPr>
      </w:pPr>
      <w:r>
        <w:rPr>
          <w:rFonts w:ascii="Arial" w:cs="Arial" w:eastAsia="Arial" w:hAnsi="Arial"/>
          <w:sz w:val="18"/>
          <w:szCs w:val="18"/>
          <w:color w:val="auto"/>
        </w:rPr>
        <w:t>In April 2022, we repurchased approximately 1.5 million shares of common stock at a cost of approximately $393 million under the Stock Repurchase Program.</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 May 2022, our Board of Directors approved a $2 billion increase in repurchase authorization to our Stock Repurchase Program.</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The following discussion should be read in conjunction with our Consolidated Condensed Financial Statements and accompanying Notes included in this Quarterly Report on Form 10-Q, and with our 2021 Form 10-K. Our actual results of operations may differ materially from those discussed in forward-looking statements as a result of various factors, including those discussed in “Forward-Looking Statements”. See “Forward-Looking Statements” for additional information. Unless otherwise noted, all dollar amounts in tables are in millions.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Company</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three of the most globally recognized brands in mobility solutions, Avis, Budget and Zipcar, together with several other brands well recognized in their respective markets. We are a leading vehicle rental operator in North America, Europe, Australasia and certain other regions we serve, with an average rental fleet of over 590,000 vehicles in first quarter 2022. We also license the use of our trademarks to licensees in the areas in which we do not operate directly. We and our licensees operate our brands in approximately 180 countries throughout the world.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Segments</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categorize our operations into two reportable business segments: </w:t>
      </w:r>
      <w:r>
        <w:rPr>
          <w:rFonts w:ascii="Arial" w:cs="Arial" w:eastAsia="Arial" w:hAnsi="Arial"/>
          <w:sz w:val="18"/>
          <w:szCs w:val="18"/>
          <w:i w:val="1"/>
          <w:iCs w:val="1"/>
          <w:color w:val="auto"/>
        </w:rPr>
        <w:t>Americas</w:t>
      </w:r>
      <w:r>
        <w:rPr>
          <w:rFonts w:ascii="Arial" w:cs="Arial" w:eastAsia="Arial" w:hAnsi="Arial"/>
          <w:sz w:val="18"/>
          <w:szCs w:val="18"/>
          <w:color w:val="auto"/>
        </w:rPr>
        <w:t xml:space="preserve">, consisting primarily of our vehicle rental operations in North America, South America, Central America and the Caribbean, car sharing operations in certain of these markets, and licensees in certain areas in which we do not operate directly; and </w:t>
      </w:r>
      <w:r>
        <w:rPr>
          <w:rFonts w:ascii="Arial" w:cs="Arial" w:eastAsia="Arial" w:hAnsi="Arial"/>
          <w:sz w:val="18"/>
          <w:szCs w:val="18"/>
          <w:i w:val="1"/>
          <w:iCs w:val="1"/>
          <w:color w:val="auto"/>
        </w:rPr>
        <w:t>International</w:t>
      </w:r>
      <w:r>
        <w:rPr>
          <w:rFonts w:ascii="Arial" w:cs="Arial" w:eastAsia="Arial" w:hAnsi="Arial"/>
          <w:sz w:val="18"/>
          <w:szCs w:val="18"/>
          <w:color w:val="auto"/>
        </w:rPr>
        <w:t>, consisting primarily of our vehicle rental operations in Europe, the Middle East, Africa, Asia and Australasia, car sharing operations in certain of these markets, and licensees in certain areas in which we do not operate directly.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Trends</w:t>
      </w:r>
    </w:p>
    <w:p>
      <w:pPr>
        <w:spacing w:after="0" w:line="2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Over the past year, we have seen a number of encouraging developments, such as a significant increase in global travel demand, which generated an increase in demand for rental vehicles and improved pricing across the industry, suggesting a steady return to historic travel trends. Our strategy continues to focus on cost optimization, core revenue growth and capital investments aimed to allow us to maximize our infrastructure to capitalize on what we believe will be a continued surge in travel demand. During the quarter ended March 31, 2022, we generated revenues of $2.4 billion, net income of $527 million and Adjusted EBITDA of $810 million. These results were driven by increased demand for rental vehicles, improved pricing across the industry, disciplined cost management and continued fleet management.</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full extent of the ongoing impact of the COVID-19 pandemic on our long-term operational and financial performance will depend on future developments, including those outside of our control, such as the spread of new variants of the virus and the implementation of new or continued travel restrictions and the overall economic environment. These variants could cause prolonged impacts on the economy, our industry and on us, with reductions in available staffing and increasing inflation, among other impacts. We will continue to monitor these and other impacts and take action in connection with it, by leveraging our technology and reviewing cost mitigating actions, among other actions. Significant events affecting travel have historically had an impact on vehicle rental volumes, with the full extent of the impact generally determined by the length of time the event influences travel decisions. As a consequence, we cannot estimate the impact on our business, financial condition or forecast financial or operational results with reasonable certainty.</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global semiconductor shortage is impacting fleet supply, resulting in tighter fleets throughout the industry and causing us to hold cars longer compared to periods prior to the COVID-19 pandemic. We have historically navigated through significant vehicle recalls and worked with our vehicle manufacturers, and believe we have the logistics in place to effectively manage our fleet during this disruption in supply. We continue to purchase new vehicles and believe we can increase our fleet utilization efficiency to capture increased demand.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measure performance principally using the following key metrics: (i) rental days, which represent the total number of days (or portion thereof) a vehicle was rented, (ii) revenue per day, which represents revenues divided by rental days, (iii) vehicle utilization, which represents rental days divided by available rental days, with available rental days defined as average rental fleet times the number of days in the period, and (iv) per-unit fleet costs, which represent vehicle depreciation, lease charges and gain or loss on vehicle sales, divided by average rental fleet. Our rental days, revenue per day and vehicle utilization metrics are all calculated based on the actual rental of the vehicle during a 24-hour period. We believe that this methodology provides management with the most relevant metrics in order to effectively manage the performance of the business. Our calculation may not be comparable to the calculation of similarly-titled metrics by other companies. We present currency exchange rate effects to provide a method of assessing how our business performed excluding the effects of foreign currency rate fluctuations. Currency exchange rate effects are calculated by translating the current-year results at the prior-period average exchange rate plus any related gains and losses on currency hedges.</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assess performance and allocate resources based upon the separate financial information of our operating segments. In identifying our reportable segments, we also consider the nature of services provided by our operating segments, the geographical areas in which our segments operate and other relevant factors. Management evaluates the operating results of each of our reportable segments based upon revenues and “Adjusted EBITDA,” which we define as income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and other legal matters, net, which includes amounts recorded in excess of $5 million related to class action lawsuits, non-operational charges related to shareholder activist activity, which include third party advisory, legal and other professional fees, COVID-19 charges, net and income taxes. Net charges for unprecedented personal-injury and other legal matters are recorded within operating expenses in our consolidated results of operations. Non-operational charges related to shareholder activist activity include third party advisory, legal and other professional service fees and are recorded within selling, general and administrative expenses in our consolidated results of operations. COVID-19 charges include unusual, direct and incremental costs due to the COVID-19 pandemic, such as minimum annual guaranteed rent in excess of concession fees for the period, overflow parking for idle vehicles and related shuttling costs, incremental cleaning supplies to sanitize vehicles and facilities and other charges, and losses associated with vehicles damaged in overflow parking lots, net of insurance proceeds, and are primarily recorded within operating expenses in our consolidated results of operations. 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similarly-titled measures used by other companies.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2022:</w:t>
      </w:r>
    </w:p>
    <w:p>
      <w:pPr>
        <w:spacing w:after="0" w:line="252" w:lineRule="exact"/>
        <w:rPr>
          <w:sz w:val="20"/>
          <w:szCs w:val="20"/>
          <w:color w:val="auto"/>
        </w:rPr>
      </w:pPr>
    </w:p>
    <w:p>
      <w:pPr>
        <w:jc w:val="both"/>
        <w:ind w:left="660" w:hanging="328"/>
        <w:spacing w:after="0" w:line="262"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revenues totaled $2.4 billion, an increase of 77% compared to the similar period in 2021, primarily due to a significant increase in pricing and increased demand for rental vehicles. The significant increase in revenues was a direct result of the global effort to combat the incidence and spread of the COVID-19 virus, which led to a significant increase in global travel demand, suggesting a steady return to historic travel levels.</w:t>
      </w:r>
    </w:p>
    <w:p>
      <w:pPr>
        <w:spacing w:after="0" w:line="68"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net income was $527 million, representing an increase of $697 million year-over-year, primarily due to significantly higher revenues, as described above, in addition to disciplined cost management.</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Adjusted EBITDA was $810 million, representing a significant increase of $763 million year-over-year, primarily due to significantly higher revenues and disciplined cost management.</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repurchased approximately $1.3 billion of our common stock, reducing our shares outstanding by approximately 6.4 million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2022 vs. Three Months Ended March 31, 2021</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condensed results of operations comprised the following:</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Three Months Ended March 31,</w:t>
            </w:r>
          </w:p>
        </w:tc>
        <w:tc>
          <w:tcPr>
            <w:tcW w:w="1400" w:type="dxa"/>
            <w:vAlign w:val="bottom"/>
            <w:tcBorders>
              <w:bottom w:val="single" w:sz="8" w:color="auto"/>
            </w:tcBorders>
          </w:tcPr>
          <w:p>
            <w:pPr>
              <w:spacing w:after="0"/>
              <w:rPr>
                <w:sz w:val="18"/>
                <w:szCs w:val="18"/>
                <w:color w:val="auto"/>
              </w:rPr>
            </w:pPr>
          </w:p>
        </w:tc>
      </w:tr>
      <w:tr>
        <w:trPr>
          <w:trHeight w:val="210"/>
        </w:trPr>
        <w:tc>
          <w:tcPr>
            <w:tcW w:w="5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6"/>
                <w:szCs w:val="16"/>
                <w:b w:val="1"/>
                <w:bCs w:val="1"/>
                <w:color w:val="auto"/>
              </w:rPr>
              <w:t>$ Change</w:t>
            </w:r>
          </w:p>
        </w:tc>
        <w:tc>
          <w:tcPr>
            <w:tcW w:w="1400" w:type="dxa"/>
            <w:vAlign w:val="bottom"/>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582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2,432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1,060</w:t>
            </w:r>
          </w:p>
        </w:tc>
        <w:tc>
          <w:tcPr>
            <w:tcW w:w="10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77 %</w:t>
            </w:r>
          </w:p>
        </w:tc>
      </w:tr>
      <w:tr>
        <w:trPr>
          <w:trHeight w:val="303"/>
        </w:trPr>
        <w:tc>
          <w:tcPr>
            <w:tcW w:w="582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5"/>
        </w:trPr>
        <w:tc>
          <w:tcPr>
            <w:tcW w:w="5820" w:type="dxa"/>
            <w:vAlign w:val="bottom"/>
          </w:tcPr>
          <w:p>
            <w:pPr>
              <w:ind w:left="220"/>
              <w:spacing w:after="0"/>
              <w:rPr>
                <w:sz w:val="20"/>
                <w:szCs w:val="20"/>
                <w:color w:val="auto"/>
              </w:rPr>
            </w:pPr>
            <w:r>
              <w:rPr>
                <w:rFonts w:ascii="Arial" w:cs="Arial" w:eastAsia="Arial" w:hAnsi="Arial"/>
                <w:sz w:val="16"/>
                <w:szCs w:val="16"/>
                <w:color w:val="auto"/>
              </w:rPr>
              <w:t>Operating</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38 %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Vehicle depreciation and lease charges, net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(56 %)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55 %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Vehicle interest, net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Non-vehicle related depreciation and amortization</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Interest expense related to corporate debt, net:</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582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(13 %)</w:t>
            </w:r>
          </w:p>
        </w:tc>
      </w:tr>
      <w:tr>
        <w:trPr>
          <w:trHeight w:val="216"/>
        </w:trPr>
        <w:tc>
          <w:tcPr>
            <w:tcW w:w="5820" w:type="dxa"/>
            <w:vAlign w:val="bottom"/>
          </w:tcPr>
          <w:p>
            <w:pPr>
              <w:ind w:left="340"/>
              <w:spacing w:after="0"/>
              <w:rPr>
                <w:sz w:val="20"/>
                <w:szCs w:val="20"/>
                <w:color w:val="auto"/>
              </w:rPr>
            </w:pPr>
            <w:r>
              <w:rPr>
                <w:rFonts w:ascii="Arial" w:cs="Arial" w:eastAsia="Arial" w:hAnsi="Arial"/>
                <w:sz w:val="16"/>
                <w:szCs w:val="16"/>
                <w:color w:val="auto"/>
              </w:rPr>
              <w:t>Early extinguishment of debt</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Restructuring and other related charges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(60 %)</w:t>
            </w:r>
          </w:p>
        </w:tc>
      </w:tr>
      <w:tr>
        <w:trPr>
          <w:trHeight w:val="216"/>
        </w:trPr>
        <w:tc>
          <w:tcPr>
            <w:tcW w:w="5820" w:type="dxa"/>
            <w:vAlign w:val="bottom"/>
          </w:tcPr>
          <w:p>
            <w:pPr>
              <w:ind w:left="220"/>
              <w:spacing w:after="0"/>
              <w:rPr>
                <w:sz w:val="20"/>
                <w:szCs w:val="20"/>
                <w:color w:val="auto"/>
              </w:rPr>
            </w:pPr>
            <w:r>
              <w:rPr>
                <w:rFonts w:ascii="Arial" w:cs="Arial" w:eastAsia="Arial" w:hAnsi="Arial"/>
                <w:sz w:val="16"/>
                <w:szCs w:val="16"/>
                <w:color w:val="auto"/>
              </w:rPr>
              <w:t>Transaction-related costs, net</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1"/>
        </w:trPr>
        <w:tc>
          <w:tcPr>
            <w:tcW w:w="5820" w:type="dxa"/>
            <w:vAlign w:val="bottom"/>
          </w:tcPr>
          <w:p>
            <w:pPr>
              <w:spacing w:after="0"/>
              <w:rPr>
                <w:sz w:val="20"/>
                <w:szCs w:val="20"/>
                <w:color w:val="auto"/>
              </w:rPr>
            </w:pPr>
            <w:r>
              <w:rPr>
                <w:rFonts w:ascii="Arial" w:cs="Arial" w:eastAsia="Arial" w:hAnsi="Arial"/>
                <w:sz w:val="16"/>
                <w:szCs w:val="16"/>
                <w:color w:val="auto"/>
              </w:rPr>
              <w:t>Total expenses</w:t>
            </w: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1,737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1,622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7 %</w:t>
            </w:r>
          </w:p>
        </w:tc>
      </w:tr>
      <w:tr>
        <w:trPr>
          <w:trHeight w:val="304"/>
        </w:trPr>
        <w:tc>
          <w:tcPr>
            <w:tcW w:w="5820" w:type="dxa"/>
            <w:vAlign w:val="bottom"/>
          </w:tcPr>
          <w:p>
            <w:pPr>
              <w:spacing w:after="0"/>
              <w:rPr>
                <w:sz w:val="20"/>
                <w:szCs w:val="20"/>
                <w:color w:val="auto"/>
              </w:rPr>
            </w:pPr>
            <w:r>
              <w:rPr>
                <w:rFonts w:ascii="Arial" w:cs="Arial" w:eastAsia="Arial" w:hAnsi="Arial"/>
                <w:sz w:val="16"/>
                <w:szCs w:val="16"/>
                <w:b w:val="1"/>
                <w:bCs w:val="1"/>
                <w:color w:val="auto"/>
              </w:rPr>
              <w:t>Income (loss) before income taxes</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695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945</w:t>
            </w:r>
          </w:p>
        </w:tc>
        <w:tc>
          <w:tcPr>
            <w:tcW w:w="1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5"/>
        </w:trPr>
        <w:tc>
          <w:tcPr>
            <w:tcW w:w="5820" w:type="dxa"/>
            <w:vAlign w:val="bottom"/>
          </w:tcPr>
          <w:p>
            <w:pPr>
              <w:ind w:left="120"/>
              <w:spacing w:after="0"/>
              <w:rPr>
                <w:sz w:val="20"/>
                <w:szCs w:val="20"/>
                <w:color w:val="auto"/>
              </w:rPr>
            </w:pPr>
            <w:r>
              <w:rPr>
                <w:rFonts w:ascii="Arial" w:cs="Arial" w:eastAsia="Arial" w:hAnsi="Arial"/>
                <w:sz w:val="16"/>
                <w:szCs w:val="16"/>
                <w:color w:val="auto"/>
              </w:rPr>
              <w:t>Provision for (benefit from) income taxes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0"/>
        </w:trPr>
        <w:tc>
          <w:tcPr>
            <w:tcW w:w="5820" w:type="dxa"/>
            <w:vAlign w:val="bottom"/>
          </w:tcPr>
          <w:p>
            <w:pPr>
              <w:spacing w:after="0"/>
              <w:rPr>
                <w:sz w:val="20"/>
                <w:szCs w:val="20"/>
                <w:color w:val="auto"/>
              </w:rPr>
            </w:pPr>
            <w:r>
              <w:rPr>
                <w:rFonts w:ascii="Arial" w:cs="Arial" w:eastAsia="Arial" w:hAnsi="Arial"/>
                <w:sz w:val="16"/>
                <w:szCs w:val="16"/>
                <w:b w:val="1"/>
                <w:bCs w:val="1"/>
                <w:color w:val="auto"/>
              </w:rPr>
              <w:t>Net income (loss)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697</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20" w:type="dxa"/>
            <w:vAlign w:val="bottom"/>
          </w:tcPr>
          <w:p>
            <w:pPr>
              <w:ind w:left="120"/>
              <w:spacing w:after="0"/>
              <w:rPr>
                <w:sz w:val="20"/>
                <w:szCs w:val="20"/>
                <w:color w:val="auto"/>
              </w:rPr>
            </w:pPr>
            <w:r>
              <w:rPr>
                <w:rFonts w:ascii="Arial" w:cs="Arial" w:eastAsia="Arial" w:hAnsi="Arial"/>
                <w:sz w:val="16"/>
                <w:szCs w:val="16"/>
                <w:color w:val="auto"/>
              </w:rPr>
              <w:t>Less: net loss attributable to non-controlling interests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1"/>
        </w:trPr>
        <w:tc>
          <w:tcPr>
            <w:tcW w:w="5820" w:type="dxa"/>
            <w:vAlign w:val="bottom"/>
          </w:tcPr>
          <w:p>
            <w:pPr>
              <w:spacing w:after="0"/>
              <w:rPr>
                <w:sz w:val="20"/>
                <w:szCs w:val="20"/>
                <w:color w:val="auto"/>
              </w:rPr>
            </w:pPr>
            <w:r>
              <w:rPr>
                <w:rFonts w:ascii="Arial" w:cs="Arial" w:eastAsia="Arial" w:hAnsi="Arial"/>
                <w:sz w:val="16"/>
                <w:szCs w:val="16"/>
                <w:b w:val="1"/>
                <w:bCs w:val="1"/>
                <w:color w:val="auto"/>
              </w:rPr>
              <w:t>Net income (loss) attributable to Avis Budget Group, Inc.</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699</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
        </w:trPr>
        <w:tc>
          <w:tcPr>
            <w:tcW w:w="5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increased $1.1 billion, or 77%, during the three months ended March 31, 2022 compared to the similar period in 2021, primarily due to a 45% increase in volume as the mobility industry recovers from the pandemic and a 24% increase in revenue per day, excluding exchange rate effects, partially offset by a $29 million negative impact from currency exchange rate movements. Total expenses increased 7% during the three months ended March 31, 2022, compared to the similar period in 2021, primarily due to increased demand, partially offset by cost discipline as volume returned. Our effective tax rates were a provision (benefit) of 24.2% and (32.0)% for the three months ended March 31, 2022 and 2021, respectively. As a result of these items, our net income increased by $ 697 million compared to the similar period in 2021. For the three months ended March 31, 2022 and 2021, we reported earnings (losses) per diluted share of $9.71 and $(2.43), respectively.</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decreased to 47.2% of revenue during the three months ended March 31, 2022 compared to 60.6% during the similar period in 2021, primarily due to the increased revenues and cost discipline as volume returned. Vehicle depreciation and lease charges decreased to 4.5% of revenue during the three months ended March 31, 2022 compared to 18.5% during the similar period in 2021, primarily due to increased revenues and a 68% lower per unit fleet cost, excluding exchange rate effects, driven by the continued favorable trend in the used-vehicle market. Selling, general and administrative costs decreased to 11.6% of revenue during the three months ended March 31, 2022 compared to 13.3% during the similar period in 2021, primarily due to increased revenues and cost discipline as volume returned. Vehicle interest costs decreased to 3.2% of revenue during the three months ended March 31, 2022 compared to 5.5% during the similar period in 2021, primarily due to increased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color w:val="auto"/>
        </w:rPr>
        <w:t>Following is a more detailed discussion of the results of each of our reportable segments and reconciliation of net income (loss) to Adjusted EBITDA:</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5"/>
          </w:tcPr>
          <w:p>
            <w:pPr>
              <w:ind w:left="100"/>
              <w:spacing w:after="0"/>
              <w:rPr>
                <w:sz w:val="20"/>
                <w:szCs w:val="20"/>
                <w:color w:val="auto"/>
              </w:rPr>
            </w:pPr>
            <w:r>
              <w:rPr>
                <w:rFonts w:ascii="Arial" w:cs="Arial" w:eastAsia="Arial" w:hAnsi="Arial"/>
                <w:sz w:val="16"/>
                <w:szCs w:val="16"/>
                <w:b w:val="1"/>
                <w:bCs w:val="1"/>
                <w:color w:val="auto"/>
              </w:rPr>
              <w:t>Three Months Ended March 31,</w:t>
            </w:r>
          </w:p>
        </w:tc>
        <w:tc>
          <w:tcPr>
            <w:tcW w:w="6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09"/>
        </w:trPr>
        <w:tc>
          <w:tcPr>
            <w:tcW w:w="5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840" w:type="dxa"/>
            <w:vAlign w:val="bottom"/>
            <w:tcBorders>
              <w:bottom w:val="single" w:sz="8" w:color="auto"/>
            </w:tcBorders>
          </w:tcPr>
          <w:p>
            <w:pPr>
              <w:spacing w:after="0"/>
              <w:rPr>
                <w:sz w:val="18"/>
                <w:szCs w:val="18"/>
                <w:color w:val="auto"/>
              </w:rPr>
            </w:pPr>
          </w:p>
        </w:tc>
      </w:tr>
      <w:tr>
        <w:trPr>
          <w:trHeight w:val="210"/>
        </w:trPr>
        <w:tc>
          <w:tcPr>
            <w:tcW w:w="5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Adjusted EBITDA</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Adjusted EBITDA</w:t>
            </w:r>
          </w:p>
        </w:tc>
      </w:tr>
      <w:tr>
        <w:trPr>
          <w:trHeight w:val="208"/>
        </w:trPr>
        <w:tc>
          <w:tcPr>
            <w:tcW w:w="5040" w:type="dxa"/>
            <w:vAlign w:val="bottom"/>
          </w:tcPr>
          <w:p>
            <w:pPr>
              <w:spacing w:after="0"/>
              <w:rPr>
                <w:sz w:val="20"/>
                <w:szCs w:val="20"/>
                <w:color w:val="auto"/>
              </w:rPr>
            </w:pPr>
            <w:r>
              <w:rPr>
                <w:rFonts w:ascii="Arial" w:cs="Arial" w:eastAsia="Arial" w:hAnsi="Arial"/>
                <w:sz w:val="16"/>
                <w:szCs w:val="16"/>
                <w:color w:val="auto"/>
              </w:rPr>
              <w:t>Americas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810</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1,080</w:t>
            </w:r>
          </w:p>
        </w:tc>
        <w:tc>
          <w:tcPr>
            <w:tcW w:w="120" w:type="dxa"/>
            <w:vAlign w:val="bottom"/>
          </w:tcPr>
          <w:p>
            <w:pPr>
              <w:spacing w:after="0"/>
              <w:rPr>
                <w:sz w:val="18"/>
                <w:szCs w:val="18"/>
                <w:color w:val="auto"/>
              </w:rPr>
            </w:pPr>
          </w:p>
        </w:tc>
        <w:tc>
          <w:tcPr>
            <w:tcW w:w="62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w:t>
            </w:r>
          </w:p>
        </w:tc>
      </w:tr>
      <w:tr>
        <w:trPr>
          <w:trHeight w:val="215"/>
        </w:trPr>
        <w:tc>
          <w:tcPr>
            <w:tcW w:w="5040" w:type="dxa"/>
            <w:vAlign w:val="bottom"/>
          </w:tcPr>
          <w:p>
            <w:pPr>
              <w:spacing w:after="0"/>
              <w:rPr>
                <w:sz w:val="20"/>
                <w:szCs w:val="20"/>
                <w:color w:val="auto"/>
              </w:rPr>
            </w:pPr>
            <w:r>
              <w:rPr>
                <w:rFonts w:ascii="Arial" w:cs="Arial" w:eastAsia="Arial" w:hAnsi="Arial"/>
                <w:sz w:val="16"/>
                <w:szCs w:val="16"/>
                <w:color w:val="auto"/>
              </w:rPr>
              <w:t>International</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18"/>
        </w:trPr>
        <w:tc>
          <w:tcPr>
            <w:tcW w:w="5040" w:type="dxa"/>
            <w:vAlign w:val="bottom"/>
          </w:tcPr>
          <w:p>
            <w:pPr>
              <w:spacing w:after="0" w:line="218"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(a)</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0"/>
        </w:trPr>
        <w:tc>
          <w:tcPr>
            <w:tcW w:w="5040" w:type="dxa"/>
            <w:vAlign w:val="bottom"/>
          </w:tcPr>
          <w:p>
            <w:pPr>
              <w:ind w:left="280"/>
              <w:spacing w:after="0"/>
              <w:rPr>
                <w:sz w:val="20"/>
                <w:szCs w:val="20"/>
                <w:color w:val="auto"/>
              </w:rPr>
            </w:pPr>
            <w:r>
              <w:rPr>
                <w:rFonts w:ascii="Arial" w:cs="Arial" w:eastAsia="Arial" w:hAnsi="Arial"/>
                <w:sz w:val="16"/>
                <w:szCs w:val="16"/>
                <w:color w:val="auto"/>
              </w:rPr>
              <w:t>Total Company</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2,432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810</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1,372</w:t>
            </w:r>
          </w:p>
        </w:tc>
        <w:tc>
          <w:tcPr>
            <w:tcW w:w="12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w:t>
            </w:r>
          </w:p>
        </w:tc>
      </w:tr>
      <w:tr>
        <w:trPr>
          <w:trHeight w:val="20"/>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Reconciliation to Adjusted EBITDA</w:t>
            </w:r>
          </w:p>
        </w:tc>
      </w:tr>
      <w:tr>
        <w:trPr>
          <w:trHeight w:val="209"/>
        </w:trPr>
        <w:tc>
          <w:tcPr>
            <w:tcW w:w="54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08"/>
        </w:trPr>
        <w:tc>
          <w:tcPr>
            <w:tcW w:w="8160" w:type="dxa"/>
            <w:vAlign w:val="bottom"/>
            <w:gridSpan w:val="3"/>
          </w:tcPr>
          <w:p>
            <w:pPr>
              <w:spacing w:after="0"/>
              <w:rPr>
                <w:sz w:val="20"/>
                <w:szCs w:val="20"/>
                <w:color w:val="auto"/>
              </w:rPr>
            </w:pPr>
            <w:r>
              <w:rPr>
                <w:rFonts w:ascii="Arial" w:cs="Arial" w:eastAsia="Arial" w:hAnsi="Arial"/>
                <w:sz w:val="16"/>
                <w:szCs w:val="16"/>
                <w:color w:val="auto"/>
              </w:rPr>
              <w:t>Net income (loss)</w:t>
            </w: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527</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15"/>
        </w:trPr>
        <w:tc>
          <w:tcPr>
            <w:tcW w:w="8160" w:type="dxa"/>
            <w:vAlign w:val="bottom"/>
            <w:gridSpan w:val="3"/>
          </w:tcPr>
          <w:p>
            <w:pPr>
              <w:ind w:left="120"/>
              <w:spacing w:after="0"/>
              <w:rPr>
                <w:sz w:val="20"/>
                <w:szCs w:val="20"/>
                <w:color w:val="auto"/>
              </w:rPr>
            </w:pPr>
            <w:r>
              <w:rPr>
                <w:rFonts w:ascii="Arial" w:cs="Arial" w:eastAsia="Arial" w:hAnsi="Arial"/>
                <w:sz w:val="16"/>
                <w:szCs w:val="16"/>
                <w:color w:val="auto"/>
              </w:rPr>
              <w:t>Provision for (benefit from) income taxes</w:t>
            </w: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210"/>
        </w:trPr>
        <w:tc>
          <w:tcPr>
            <w:tcW w:w="8160" w:type="dxa"/>
            <w:vAlign w:val="bottom"/>
            <w:gridSpan w:val="3"/>
          </w:tcPr>
          <w:p>
            <w:pPr>
              <w:spacing w:after="0"/>
              <w:rPr>
                <w:sz w:val="20"/>
                <w:szCs w:val="20"/>
                <w:color w:val="auto"/>
              </w:rPr>
            </w:pPr>
            <w:r>
              <w:rPr>
                <w:rFonts w:ascii="Arial" w:cs="Arial" w:eastAsia="Arial" w:hAnsi="Arial"/>
                <w:sz w:val="16"/>
                <w:szCs w:val="16"/>
                <w:color w:val="auto"/>
              </w:rPr>
              <w:t>Income (loss) before income taxes</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695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311"/>
        </w:trPr>
        <w:tc>
          <w:tcPr>
            <w:tcW w:w="540" w:type="dxa"/>
            <w:vAlign w:val="bottom"/>
          </w:tcPr>
          <w:p>
            <w:pPr>
              <w:spacing w:after="0"/>
              <w:rPr>
                <w:sz w:val="20"/>
                <w:szCs w:val="20"/>
                <w:color w:val="auto"/>
              </w:rPr>
            </w:pPr>
            <w:r>
              <w:rPr>
                <w:rFonts w:ascii="Arial" w:cs="Arial" w:eastAsia="Arial" w:hAnsi="Arial"/>
                <w:sz w:val="16"/>
                <w:szCs w:val="16"/>
                <w:color w:val="auto"/>
              </w:rPr>
              <w:t>Add:</w:t>
            </w:r>
          </w:p>
        </w:tc>
        <w:tc>
          <w:tcPr>
            <w:tcW w:w="7620" w:type="dxa"/>
            <w:vAlign w:val="bottom"/>
            <w:gridSpan w:val="2"/>
          </w:tcPr>
          <w:p>
            <w:pPr>
              <w:ind w:left="200"/>
              <w:spacing w:after="0"/>
              <w:rPr>
                <w:sz w:val="20"/>
                <w:szCs w:val="20"/>
                <w:color w:val="auto"/>
              </w:rPr>
            </w:pPr>
            <w:r>
              <w:rPr>
                <w:rFonts w:ascii="Arial" w:cs="Arial" w:eastAsia="Arial" w:hAnsi="Arial"/>
                <w:sz w:val="16"/>
                <w:szCs w:val="16"/>
                <w:color w:val="auto"/>
              </w:rPr>
              <w:t xml:space="preserve">Non-vehicle related depreciation and amortization </w:t>
            </w:r>
            <w:r>
              <w:rPr>
                <w:rFonts w:ascii="Arial" w:cs="Arial" w:eastAsia="Arial" w:hAnsi="Arial"/>
                <w:sz w:val="21"/>
                <w:szCs w:val="21"/>
                <w:color w:val="auto"/>
                <w:vertAlign w:val="superscript"/>
              </w:rPr>
              <w:t>(b)</w:t>
            </w:r>
          </w:p>
        </w:tc>
        <w:tc>
          <w:tcPr>
            <w:tcW w:w="10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15"/>
        </w:trPr>
        <w:tc>
          <w:tcPr>
            <w:tcW w:w="540" w:type="dxa"/>
            <w:vAlign w:val="bottom"/>
          </w:tcPr>
          <w:p>
            <w:pPr>
              <w:spacing w:after="0"/>
              <w:rPr>
                <w:sz w:val="18"/>
                <w:szCs w:val="18"/>
                <w:color w:val="auto"/>
              </w:rPr>
            </w:pPr>
          </w:p>
        </w:tc>
        <w:tc>
          <w:tcPr>
            <w:tcW w:w="7620" w:type="dxa"/>
            <w:vAlign w:val="bottom"/>
            <w:gridSpan w:val="2"/>
          </w:tcPr>
          <w:p>
            <w:pPr>
              <w:ind w:left="200"/>
              <w:spacing w:after="0"/>
              <w:rPr>
                <w:sz w:val="20"/>
                <w:szCs w:val="20"/>
                <w:color w:val="auto"/>
              </w:rPr>
            </w:pPr>
            <w:r>
              <w:rPr>
                <w:rFonts w:ascii="Arial" w:cs="Arial" w:eastAsia="Arial" w:hAnsi="Arial"/>
                <w:sz w:val="16"/>
                <w:szCs w:val="16"/>
                <w:color w:val="auto"/>
              </w:rPr>
              <w:t>Interest expense related to corporate debt, net:</w:t>
            </w: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6"/>
                <w:szCs w:val="16"/>
                <w:color w:val="auto"/>
              </w:rPr>
              <w:t>Interest expense</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16"/>
        </w:trPr>
        <w:tc>
          <w:tcPr>
            <w:tcW w:w="540" w:type="dxa"/>
            <w:vAlign w:val="bottom"/>
          </w:tcPr>
          <w:p>
            <w:pPr>
              <w:spacing w:after="0"/>
              <w:rPr>
                <w:sz w:val="18"/>
                <w:szCs w:val="18"/>
                <w:color w:val="auto"/>
              </w:rPr>
            </w:pPr>
          </w:p>
        </w:tc>
        <w:tc>
          <w:tcPr>
            <w:tcW w:w="7620" w:type="dxa"/>
            <w:vAlign w:val="bottom"/>
            <w:gridSpan w:val="2"/>
          </w:tcPr>
          <w:p>
            <w:pPr>
              <w:ind w:left="420"/>
              <w:spacing w:after="0"/>
              <w:rPr>
                <w:sz w:val="20"/>
                <w:szCs w:val="20"/>
                <w:color w:val="auto"/>
              </w:rPr>
            </w:pPr>
            <w:r>
              <w:rPr>
                <w:rFonts w:ascii="Arial" w:cs="Arial" w:eastAsia="Arial" w:hAnsi="Arial"/>
                <w:sz w:val="16"/>
                <w:szCs w:val="16"/>
                <w:color w:val="auto"/>
              </w:rPr>
              <w:t>Early extinguishment of debt</w:t>
            </w:r>
          </w:p>
        </w:tc>
        <w:tc>
          <w:tcPr>
            <w:tcW w:w="102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129</w:t>
            </w:r>
          </w:p>
        </w:tc>
      </w:tr>
      <w:tr>
        <w:trPr>
          <w:trHeight w:val="216"/>
        </w:trPr>
        <w:tc>
          <w:tcPr>
            <w:tcW w:w="540" w:type="dxa"/>
            <w:vAlign w:val="bottom"/>
          </w:tcPr>
          <w:p>
            <w:pPr>
              <w:spacing w:after="0"/>
              <w:rPr>
                <w:sz w:val="18"/>
                <w:szCs w:val="18"/>
                <w:color w:val="auto"/>
              </w:rPr>
            </w:pPr>
          </w:p>
        </w:tc>
        <w:tc>
          <w:tcPr>
            <w:tcW w:w="7620" w:type="dxa"/>
            <w:vAlign w:val="bottom"/>
            <w:gridSpan w:val="2"/>
          </w:tcPr>
          <w:p>
            <w:pPr>
              <w:ind w:left="200"/>
              <w:spacing w:after="0"/>
              <w:rPr>
                <w:sz w:val="20"/>
                <w:szCs w:val="20"/>
                <w:color w:val="auto"/>
              </w:rPr>
            </w:pPr>
            <w:r>
              <w:rPr>
                <w:rFonts w:ascii="Arial" w:cs="Arial" w:eastAsia="Arial" w:hAnsi="Arial"/>
                <w:sz w:val="16"/>
                <w:szCs w:val="16"/>
                <w:color w:val="auto"/>
              </w:rPr>
              <w:t>Restructuring and other related charges</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7"/>
        </w:trPr>
        <w:tc>
          <w:tcPr>
            <w:tcW w:w="540" w:type="dxa"/>
            <w:vAlign w:val="bottom"/>
          </w:tcPr>
          <w:p>
            <w:pPr>
              <w:spacing w:after="0"/>
              <w:rPr>
                <w:sz w:val="18"/>
                <w:szCs w:val="18"/>
                <w:color w:val="auto"/>
              </w:rPr>
            </w:pPr>
          </w:p>
        </w:tc>
        <w:tc>
          <w:tcPr>
            <w:tcW w:w="7620" w:type="dxa"/>
            <w:vAlign w:val="bottom"/>
            <w:gridSpan w:val="2"/>
          </w:tcPr>
          <w:p>
            <w:pPr>
              <w:ind w:left="200"/>
              <w:spacing w:after="0" w:line="218" w:lineRule="exact"/>
              <w:rPr>
                <w:sz w:val="20"/>
                <w:szCs w:val="20"/>
                <w:color w:val="auto"/>
              </w:rPr>
            </w:pPr>
            <w:r>
              <w:rPr>
                <w:rFonts w:ascii="Arial" w:cs="Arial" w:eastAsia="Arial" w:hAnsi="Arial"/>
                <w:sz w:val="16"/>
                <w:szCs w:val="16"/>
                <w:color w:val="auto"/>
              </w:rPr>
              <w:t xml:space="preserve">Unprecedented personal-injury and other legal matters, net </w:t>
            </w:r>
            <w:r>
              <w:rPr>
                <w:rFonts w:ascii="Arial" w:cs="Arial" w:eastAsia="Arial" w:hAnsi="Arial"/>
                <w:sz w:val="21"/>
                <w:szCs w:val="21"/>
                <w:color w:val="auto"/>
                <w:vertAlign w:val="superscript"/>
              </w:rPr>
              <w:t>(c)</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40" w:type="dxa"/>
            <w:vAlign w:val="bottom"/>
          </w:tcPr>
          <w:p>
            <w:pPr>
              <w:spacing w:after="0"/>
              <w:rPr>
                <w:sz w:val="18"/>
                <w:szCs w:val="18"/>
                <w:color w:val="auto"/>
              </w:rPr>
            </w:pPr>
          </w:p>
        </w:tc>
        <w:tc>
          <w:tcPr>
            <w:tcW w:w="7620" w:type="dxa"/>
            <w:vAlign w:val="bottom"/>
            <w:gridSpan w:val="2"/>
          </w:tcPr>
          <w:p>
            <w:pPr>
              <w:ind w:left="200"/>
              <w:spacing w:after="0"/>
              <w:rPr>
                <w:sz w:val="20"/>
                <w:szCs w:val="20"/>
                <w:color w:val="auto"/>
              </w:rPr>
            </w:pPr>
            <w:r>
              <w:rPr>
                <w:rFonts w:ascii="Arial" w:cs="Arial" w:eastAsia="Arial" w:hAnsi="Arial"/>
                <w:sz w:val="16"/>
                <w:szCs w:val="16"/>
                <w:color w:val="auto"/>
              </w:rPr>
              <w:t>Transaction-related costs, net</w:t>
            </w:r>
          </w:p>
        </w:tc>
        <w:tc>
          <w:tcPr>
            <w:tcW w:w="102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8"/>
        </w:trPr>
        <w:tc>
          <w:tcPr>
            <w:tcW w:w="540" w:type="dxa"/>
            <w:vAlign w:val="bottom"/>
          </w:tcPr>
          <w:p>
            <w:pPr>
              <w:spacing w:after="0"/>
              <w:rPr>
                <w:sz w:val="18"/>
                <w:szCs w:val="18"/>
                <w:color w:val="auto"/>
              </w:rPr>
            </w:pPr>
          </w:p>
        </w:tc>
        <w:tc>
          <w:tcPr>
            <w:tcW w:w="7620" w:type="dxa"/>
            <w:vAlign w:val="bottom"/>
            <w:gridSpan w:val="2"/>
          </w:tcPr>
          <w:p>
            <w:pPr>
              <w:ind w:left="200"/>
              <w:spacing w:after="0" w:line="218" w:lineRule="exact"/>
              <w:rPr>
                <w:sz w:val="20"/>
                <w:szCs w:val="20"/>
                <w:color w:val="auto"/>
              </w:rPr>
            </w:pPr>
            <w:r>
              <w:rPr>
                <w:rFonts w:ascii="Arial" w:cs="Arial" w:eastAsia="Arial" w:hAnsi="Arial"/>
                <w:sz w:val="16"/>
                <w:szCs w:val="16"/>
                <w:color w:val="auto"/>
              </w:rPr>
              <w:t xml:space="preserve">COVID-19 charges </w:t>
            </w:r>
            <w:r>
              <w:rPr>
                <w:rFonts w:ascii="Arial" w:cs="Arial" w:eastAsia="Arial" w:hAnsi="Arial"/>
                <w:sz w:val="21"/>
                <w:szCs w:val="21"/>
                <w:color w:val="auto"/>
                <w:vertAlign w:val="superscript"/>
              </w:rPr>
              <w:t>(d)</w:t>
            </w: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r>
      <w:tr>
        <w:trPr>
          <w:trHeight w:val="209"/>
        </w:trPr>
        <w:tc>
          <w:tcPr>
            <w:tcW w:w="8160" w:type="dxa"/>
            <w:vAlign w:val="bottom"/>
            <w:gridSpan w:val="3"/>
          </w:tcPr>
          <w:p>
            <w:pPr>
              <w:spacing w:after="0"/>
              <w:rPr>
                <w:sz w:val="20"/>
                <w:szCs w:val="20"/>
                <w:color w:val="auto"/>
              </w:rPr>
            </w:pPr>
            <w:r>
              <w:rPr>
                <w:rFonts w:ascii="Arial" w:cs="Arial" w:eastAsia="Arial" w:hAnsi="Arial"/>
                <w:sz w:val="16"/>
                <w:szCs w:val="16"/>
                <w:color w:val="auto"/>
              </w:rPr>
              <w:t>Adjusted EBITDA</w:t>
            </w:r>
          </w:p>
        </w:tc>
        <w:tc>
          <w:tcPr>
            <w:tcW w:w="10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r>
      <w:tr>
        <w:trPr>
          <w:trHeight w:val="21"/>
        </w:trPr>
        <w:tc>
          <w:tcPr>
            <w:tcW w:w="5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320" w:hanging="312"/>
        <w:spacing w:after="0"/>
        <w:tabs>
          <w:tab w:leader="none" w:pos="320" w:val="left"/>
        </w:tabs>
        <w:numPr>
          <w:ilvl w:val="0"/>
          <w:numId w:val="40"/>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overhead which is not attributable to a particular segment.</w:t>
      </w:r>
    </w:p>
    <w:p>
      <w:pPr>
        <w:spacing w:after="0" w:line="12" w:lineRule="exact"/>
        <w:rPr>
          <w:rFonts w:ascii="Arial" w:cs="Arial" w:eastAsia="Arial" w:hAnsi="Arial"/>
          <w:sz w:val="19"/>
          <w:szCs w:val="19"/>
          <w:color w:val="auto"/>
          <w:vertAlign w:val="superscript"/>
        </w:rPr>
      </w:pPr>
    </w:p>
    <w:p>
      <w:pPr>
        <w:ind w:left="320" w:hanging="312"/>
        <w:spacing w:after="0" w:line="193" w:lineRule="auto"/>
        <w:tabs>
          <w:tab w:leader="none" w:pos="320" w:val="left"/>
        </w:tabs>
        <w:numPr>
          <w:ilvl w:val="0"/>
          <w:numId w:val="40"/>
        </w:numPr>
        <w:rPr>
          <w:rFonts w:ascii="Arial" w:cs="Arial" w:eastAsia="Arial" w:hAnsi="Arial"/>
          <w:sz w:val="19"/>
          <w:szCs w:val="19"/>
          <w:color w:val="auto"/>
          <w:vertAlign w:val="superscript"/>
        </w:rPr>
      </w:pPr>
      <w:r>
        <w:rPr>
          <w:rFonts w:ascii="Arial" w:cs="Arial" w:eastAsia="Arial" w:hAnsi="Arial"/>
          <w:sz w:val="14"/>
          <w:szCs w:val="14"/>
          <w:color w:val="auto"/>
        </w:rPr>
        <w:t>Includes cloud computing costs of $2 million within expenses.</w:t>
      </w:r>
    </w:p>
    <w:p>
      <w:pPr>
        <w:spacing w:after="0" w:line="13" w:lineRule="exact"/>
        <w:rPr>
          <w:rFonts w:ascii="Arial" w:cs="Arial" w:eastAsia="Arial" w:hAnsi="Arial"/>
          <w:sz w:val="19"/>
          <w:szCs w:val="19"/>
          <w:color w:val="auto"/>
          <w:vertAlign w:val="superscript"/>
        </w:rPr>
      </w:pPr>
    </w:p>
    <w:p>
      <w:pPr>
        <w:ind w:left="320" w:hanging="312"/>
        <w:spacing w:after="0" w:line="193" w:lineRule="auto"/>
        <w:tabs>
          <w:tab w:leader="none" w:pos="320" w:val="left"/>
        </w:tabs>
        <w:numPr>
          <w:ilvl w:val="0"/>
          <w:numId w:val="40"/>
        </w:numPr>
        <w:rPr>
          <w:rFonts w:ascii="Arial" w:cs="Arial" w:eastAsia="Arial" w:hAnsi="Arial"/>
          <w:sz w:val="19"/>
          <w:szCs w:val="19"/>
          <w:color w:val="auto"/>
          <w:vertAlign w:val="superscript"/>
        </w:rPr>
      </w:pPr>
      <w:r>
        <w:rPr>
          <w:rFonts w:ascii="Arial" w:cs="Arial" w:eastAsia="Arial" w:hAnsi="Arial"/>
          <w:sz w:val="14"/>
          <w:szCs w:val="14"/>
          <w:color w:val="auto"/>
        </w:rPr>
        <w:t>Reported within operating expenses in our consolidated condensed results of operations.</w:t>
      </w:r>
    </w:p>
    <w:p>
      <w:pPr>
        <w:spacing w:after="0" w:line="13" w:lineRule="exact"/>
        <w:rPr>
          <w:rFonts w:ascii="Arial" w:cs="Arial" w:eastAsia="Arial" w:hAnsi="Arial"/>
          <w:sz w:val="19"/>
          <w:szCs w:val="19"/>
          <w:color w:val="auto"/>
          <w:vertAlign w:val="superscript"/>
        </w:rPr>
      </w:pPr>
    </w:p>
    <w:p>
      <w:pPr>
        <w:ind w:left="320" w:hanging="312"/>
        <w:spacing w:after="0" w:line="193" w:lineRule="auto"/>
        <w:tabs>
          <w:tab w:leader="none" w:pos="320" w:val="left"/>
        </w:tabs>
        <w:numPr>
          <w:ilvl w:val="0"/>
          <w:numId w:val="40"/>
        </w:numPr>
        <w:rPr>
          <w:rFonts w:ascii="Arial" w:cs="Arial" w:eastAsia="Arial" w:hAnsi="Arial"/>
          <w:sz w:val="19"/>
          <w:szCs w:val="19"/>
          <w:color w:val="auto"/>
          <w:vertAlign w:val="superscript"/>
        </w:rPr>
      </w:pPr>
      <w:r>
        <w:rPr>
          <w:rFonts w:ascii="Arial" w:cs="Arial" w:eastAsia="Arial" w:hAnsi="Arial"/>
          <w:sz w:val="14"/>
          <w:szCs w:val="14"/>
          <w:color w:val="auto"/>
        </w:rPr>
        <w:t>The following table presents the unusual, direct and incremental costs due to the COVID-19 pandemic:</w:t>
      </w:r>
    </w:p>
    <w:p>
      <w:pPr>
        <w:spacing w:after="0" w:line="54"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7500" w:type="dxa"/>
            <w:vAlign w:val="bottom"/>
          </w:tcPr>
          <w:p>
            <w:pPr>
              <w:spacing w:after="0"/>
              <w:rPr>
                <w:sz w:val="16"/>
                <w:szCs w:val="16"/>
                <w:color w:val="auto"/>
              </w:rPr>
            </w:pPr>
          </w:p>
        </w:tc>
        <w:tc>
          <w:tcPr>
            <w:tcW w:w="1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r>
      <w:tr>
        <w:trPr>
          <w:trHeight w:val="188"/>
        </w:trPr>
        <w:tc>
          <w:tcPr>
            <w:tcW w:w="7500" w:type="dxa"/>
            <w:vAlign w:val="bottom"/>
          </w:tcPr>
          <w:p>
            <w:pPr>
              <w:ind w:left="200"/>
              <w:spacing w:after="0"/>
              <w:rPr>
                <w:sz w:val="20"/>
                <w:szCs w:val="20"/>
                <w:color w:val="auto"/>
              </w:rPr>
            </w:pPr>
            <w:r>
              <w:rPr>
                <w:rFonts w:ascii="Arial" w:cs="Arial" w:eastAsia="Arial" w:hAnsi="Arial"/>
                <w:sz w:val="14"/>
                <w:szCs w:val="14"/>
                <w:color w:val="auto"/>
              </w:rPr>
              <w:t>Minimum annual guaranteed rent in excess of concession fees, net</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380" w:type="dxa"/>
            <w:vAlign w:val="bottom"/>
          </w:tcPr>
          <w:p>
            <w:pPr>
              <w:ind w:left="180"/>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03"/>
        </w:trPr>
        <w:tc>
          <w:tcPr>
            <w:tcW w:w="7500" w:type="dxa"/>
            <w:vAlign w:val="bottom"/>
          </w:tcPr>
          <w:p>
            <w:pPr>
              <w:ind w:left="200"/>
              <w:spacing w:after="0"/>
              <w:rPr>
                <w:sz w:val="20"/>
                <w:szCs w:val="20"/>
                <w:color w:val="auto"/>
              </w:rPr>
            </w:pPr>
            <w:r>
              <w:rPr>
                <w:rFonts w:ascii="Arial" w:cs="Arial" w:eastAsia="Arial" w:hAnsi="Arial"/>
                <w:sz w:val="14"/>
                <w:szCs w:val="14"/>
                <w:color w:val="auto"/>
              </w:rPr>
              <w:t>Vehicles damaged in overflow parking lots, net of insurance proceeds</w:t>
            </w:r>
          </w:p>
        </w:tc>
        <w:tc>
          <w:tcPr>
            <w:tcW w:w="1040" w:type="dxa"/>
            <w:vAlign w:val="bottom"/>
          </w:tcPr>
          <w:p>
            <w:pPr>
              <w:spacing w:after="0"/>
              <w:rPr>
                <w:sz w:val="17"/>
                <w:szCs w:val="17"/>
                <w:color w:val="auto"/>
              </w:rPr>
            </w:pP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4"/>
        </w:trPr>
        <w:tc>
          <w:tcPr>
            <w:tcW w:w="7500" w:type="dxa"/>
            <w:vAlign w:val="bottom"/>
          </w:tcPr>
          <w:p>
            <w:pPr>
              <w:ind w:left="200"/>
              <w:spacing w:after="0"/>
              <w:rPr>
                <w:sz w:val="20"/>
                <w:szCs w:val="20"/>
                <w:color w:val="auto"/>
              </w:rPr>
            </w:pPr>
            <w:r>
              <w:rPr>
                <w:rFonts w:ascii="Arial" w:cs="Arial" w:eastAsia="Arial" w:hAnsi="Arial"/>
                <w:sz w:val="14"/>
                <w:szCs w:val="14"/>
                <w:color w:val="auto"/>
              </w:rPr>
              <w:t>Other charges</w:t>
            </w:r>
          </w:p>
        </w:tc>
        <w:tc>
          <w:tcPr>
            <w:tcW w:w="1040" w:type="dxa"/>
            <w:vAlign w:val="bottom"/>
          </w:tcPr>
          <w:p>
            <w:pPr>
              <w:spacing w:after="0"/>
              <w:rPr>
                <w:sz w:val="17"/>
                <w:szCs w:val="17"/>
                <w:color w:val="auto"/>
              </w:rPr>
            </w:pPr>
          </w:p>
        </w:tc>
        <w:tc>
          <w:tcPr>
            <w:tcW w:w="50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94"/>
        </w:trPr>
        <w:tc>
          <w:tcPr>
            <w:tcW w:w="7500" w:type="dxa"/>
            <w:vAlign w:val="bottom"/>
          </w:tcPr>
          <w:p>
            <w:pPr>
              <w:spacing w:after="0"/>
              <w:rPr>
                <w:sz w:val="20"/>
                <w:szCs w:val="20"/>
                <w:color w:val="auto"/>
              </w:rPr>
            </w:pPr>
            <w:r>
              <w:rPr>
                <w:rFonts w:ascii="Arial" w:cs="Arial" w:eastAsia="Arial" w:hAnsi="Arial"/>
                <w:sz w:val="14"/>
                <w:szCs w:val="14"/>
                <w:color w:val="auto"/>
              </w:rPr>
              <w:t>Operating expenses</w:t>
            </w:r>
          </w:p>
        </w:tc>
        <w:tc>
          <w:tcPr>
            <w:tcW w:w="10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ind w:left="180"/>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w:t>
            </w:r>
          </w:p>
        </w:tc>
      </w:tr>
      <w:tr>
        <w:trPr>
          <w:trHeight w:val="204"/>
        </w:trPr>
        <w:tc>
          <w:tcPr>
            <w:tcW w:w="7500" w:type="dxa"/>
            <w:vAlign w:val="bottom"/>
          </w:tcPr>
          <w:p>
            <w:pPr>
              <w:spacing w:after="0"/>
              <w:rPr>
                <w:sz w:val="20"/>
                <w:szCs w:val="20"/>
                <w:color w:val="auto"/>
              </w:rPr>
            </w:pPr>
            <w:r>
              <w:rPr>
                <w:rFonts w:ascii="Arial" w:cs="Arial" w:eastAsia="Arial" w:hAnsi="Arial"/>
                <w:sz w:val="14"/>
                <w:szCs w:val="14"/>
                <w:color w:val="auto"/>
              </w:rPr>
              <w:t>Selling, general and administrative expenses</w:t>
            </w:r>
          </w:p>
        </w:tc>
        <w:tc>
          <w:tcPr>
            <w:tcW w:w="10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194"/>
        </w:trPr>
        <w:tc>
          <w:tcPr>
            <w:tcW w:w="7500" w:type="dxa"/>
            <w:vAlign w:val="bottom"/>
          </w:tcPr>
          <w:p>
            <w:pPr>
              <w:spacing w:after="0"/>
              <w:rPr>
                <w:sz w:val="20"/>
                <w:szCs w:val="20"/>
                <w:color w:val="auto"/>
              </w:rPr>
            </w:pPr>
            <w:r>
              <w:rPr>
                <w:rFonts w:ascii="Arial" w:cs="Arial" w:eastAsia="Arial" w:hAnsi="Arial"/>
                <w:sz w:val="14"/>
                <w:szCs w:val="14"/>
                <w:color w:val="auto"/>
              </w:rPr>
              <w:t>COVID-19 charges, net</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380" w:type="dxa"/>
            <w:vAlign w:val="bottom"/>
          </w:tcPr>
          <w:p>
            <w:pPr>
              <w:ind w:left="180"/>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18</w:t>
            </w:r>
          </w:p>
        </w:tc>
      </w:tr>
    </w:tbl>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6"/>
          </w:tcPr>
          <w:p>
            <w:pPr>
              <w:jc w:val="right"/>
              <w:ind w:right="719"/>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7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7100" w:type="dxa"/>
            <w:vAlign w:val="bottom"/>
          </w:tcPr>
          <w:p>
            <w:pPr>
              <w:spacing w:after="0"/>
              <w:rPr>
                <w:sz w:val="20"/>
                <w:szCs w:val="20"/>
                <w:color w:val="auto"/>
              </w:rPr>
            </w:pPr>
            <w:r>
              <w:rPr>
                <w:rFonts w:ascii="Arial" w:cs="Arial" w:eastAsia="Arial" w:hAnsi="Arial"/>
                <w:sz w:val="16"/>
                <w:szCs w:val="16"/>
                <w:color w:val="auto"/>
              </w:rPr>
              <w:t>Revenues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1,080</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85 %</w:t>
            </w:r>
          </w:p>
        </w:tc>
      </w:tr>
      <w:tr>
        <w:trPr>
          <w:trHeight w:val="215"/>
        </w:trPr>
        <w:tc>
          <w:tcPr>
            <w:tcW w:w="7100" w:type="dxa"/>
            <w:vAlign w:val="bottom"/>
          </w:tcPr>
          <w:p>
            <w:pPr>
              <w:spacing w:after="0"/>
              <w:rPr>
                <w:sz w:val="20"/>
                <w:szCs w:val="20"/>
                <w:color w:val="auto"/>
              </w:rPr>
            </w:pPr>
            <w:r>
              <w:rPr>
                <w:rFonts w:ascii="Arial" w:cs="Arial" w:eastAsia="Arial" w:hAnsi="Arial"/>
                <w:sz w:val="16"/>
                <w:szCs w:val="16"/>
                <w:color w:val="auto"/>
              </w:rPr>
              <w:t>Adjusted EBITDA</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650 %</w:t>
            </w:r>
          </w:p>
        </w:tc>
      </w:tr>
    </w:tbl>
    <w:p>
      <w:pPr>
        <w:spacing w:after="0" w:line="33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Revenues increased 85% during the three months ended March 31, 2022 compared to the similar period in 2021, primarily due to a 52% increase in volume and a 21% increase in revenue per day.</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decreased to 44.8% of revenue during the three months ended March 31, 2022 compared to 57.9% during the similar period in 2021, primarily due to increased revenues and cost discipline as volume returned. Vehicle depreciation and lease charges decreased to 1.3% of revenue during the three months ended March 31, 2022 compared to 17.0% during the similar period in 2021, primarily due to increased revenues and a 90% decrease in per-unit fleet costs, driven by the continued favorable trend in the used-vehicle market. Selling, general and administrative costs decreased to 9.8% of revenue during the three months ended March 31, 2022 compared to 10.6% during the similar period in 2021, primarily due to increased revenues and cost discipline as volume returned. Vehicle interest costs decreased to 3.3% of revenue during the three months ended March 31, 2022 compared to 5.8% during the similar period in 2021, primarily due to increased revenues.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Adjusted EBITDA was $702 million higher during the three months ended March 31, 2022 compared to the similar period in 2021, primarily due to increased revenues, lower per-unit fleet costs and cost discipline as volume returned.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1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6"/>
          </w:tcPr>
          <w:p>
            <w:pPr>
              <w:jc w:val="right"/>
              <w:ind w:right="719"/>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71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7100" w:type="dxa"/>
            <w:vAlign w:val="bottom"/>
          </w:tcPr>
          <w:p>
            <w:pPr>
              <w:spacing w:after="0"/>
              <w:rPr>
                <w:sz w:val="20"/>
                <w:szCs w:val="20"/>
                <w:color w:val="auto"/>
              </w:rPr>
            </w:pPr>
            <w:r>
              <w:rPr>
                <w:rFonts w:ascii="Arial" w:cs="Arial" w:eastAsia="Arial" w:hAnsi="Arial"/>
                <w:sz w:val="16"/>
                <w:szCs w:val="16"/>
                <w:color w:val="auto"/>
              </w:rPr>
              <w:t>Revenues</w:t>
            </w:r>
          </w:p>
        </w:tc>
        <w:tc>
          <w:tcPr>
            <w:tcW w:w="80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48 %</w:t>
            </w:r>
          </w:p>
        </w:tc>
      </w:tr>
      <w:tr>
        <w:trPr>
          <w:trHeight w:val="215"/>
        </w:trPr>
        <w:tc>
          <w:tcPr>
            <w:tcW w:w="7100" w:type="dxa"/>
            <w:vAlign w:val="bottom"/>
          </w:tcPr>
          <w:p>
            <w:pPr>
              <w:spacing w:after="0"/>
              <w:rPr>
                <w:sz w:val="20"/>
                <w:szCs w:val="20"/>
                <w:color w:val="auto"/>
              </w:rPr>
            </w:pPr>
            <w:r>
              <w:rPr>
                <w:rFonts w:ascii="Arial" w:cs="Arial" w:eastAsia="Arial" w:hAnsi="Arial"/>
                <w:sz w:val="16"/>
                <w:szCs w:val="16"/>
                <w:color w:val="auto"/>
              </w:rPr>
              <w:t>Adjusted EBITDA</w:t>
            </w: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146 %</w:t>
            </w:r>
          </w:p>
        </w:tc>
      </w:tr>
    </w:tbl>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Revenues increased 48% during the three months ended March 31, 2022, compared to the similar period in 2021, primarily due to a 26% increase in volume and a 25% increase in revenue per day, excluding exchange rate effects, partially offset by a $29 million negative impact from currency exchange rate movements.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decreased to 56.0% of revenue during the three months ended March 31, 2022 compared to 71.2% during the similar period in 2021, primarily due to increased revenues and cost discipline as volume returned. Vehicle depreciation and lease charges decreased to 19.5% of revenue during the three months ended March 31, 2022 compared to 24.0% during the similar period in 2021, primarily due to increased revenues and a 1% decrease in per-unit fleet costs, excluding exchange rate effects, driven by the continued favorable trend in the used-vehicle market. Selling, general and administrative costs decreased to 16.8% of revenue during the three months ended March 31, 2022 compared to 19.0% during the similar period in 2021, primarily due to increased revenues and cost discipline as volume returned. Vehicle interest costs decreased to 2.6% of revenue during the three months ended March 31, 2022 compared to 4.4% during the similar period in 2021, primarily due to increased revenues.</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Adjusted EBITDA was $73 million higher in first quarter 2022 compared to the similar period in 2021, primarily due to increased revenues, cost discipline as volume returned and decreased per-unit fleet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w:t>
            </w:r>
          </w:p>
        </w:tc>
        <w:tc>
          <w:tcPr>
            <w:tcW w:w="100" w:type="dxa"/>
            <w:vAlign w:val="bottom"/>
          </w:tcPr>
          <w:p>
            <w:pPr>
              <w:spacing w:after="0"/>
              <w:rPr>
                <w:sz w:val="16"/>
                <w:szCs w:val="16"/>
                <w:color w:val="auto"/>
              </w:rPr>
            </w:pPr>
          </w:p>
        </w:tc>
        <w:tc>
          <w:tcPr>
            <w:tcW w:w="16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December 31, 2021</w:t>
            </w:r>
          </w:p>
        </w:tc>
        <w:tc>
          <w:tcPr>
            <w:tcW w:w="300" w:type="dxa"/>
            <w:vAlign w:val="bottom"/>
          </w:tcPr>
          <w:p>
            <w:pPr>
              <w:spacing w:after="0"/>
              <w:rPr>
                <w:sz w:val="16"/>
                <w:szCs w:val="16"/>
                <w:color w:val="auto"/>
              </w:rPr>
            </w:pPr>
          </w:p>
        </w:tc>
        <w:tc>
          <w:tcPr>
            <w:tcW w:w="126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40" w:type="dxa"/>
            <w:vAlign w:val="bottom"/>
          </w:tcPr>
          <w:p>
            <w:pPr>
              <w:spacing w:after="0"/>
              <w:rPr>
                <w:sz w:val="20"/>
                <w:szCs w:val="20"/>
                <w:color w:val="auto"/>
              </w:rPr>
            </w:pPr>
            <w:r>
              <w:rPr>
                <w:rFonts w:ascii="Arial" w:cs="Arial" w:eastAsia="Arial" w:hAnsi="Arial"/>
                <w:sz w:val="16"/>
                <w:szCs w:val="16"/>
                <w:color w:val="auto"/>
              </w:rPr>
              <w:t>Total assets exclusive of assets under vehicle programs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8,437</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8,581</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15"/>
        </w:trPr>
        <w:tc>
          <w:tcPr>
            <w:tcW w:w="6040" w:type="dxa"/>
            <w:vAlign w:val="bottom"/>
          </w:tcPr>
          <w:p>
            <w:pPr>
              <w:spacing w:after="0"/>
              <w:rPr>
                <w:sz w:val="20"/>
                <w:szCs w:val="20"/>
                <w:color w:val="auto"/>
              </w:rPr>
            </w:pPr>
            <w:r>
              <w:rPr>
                <w:rFonts w:ascii="Arial" w:cs="Arial" w:eastAsia="Arial" w:hAnsi="Arial"/>
                <w:sz w:val="16"/>
                <w:szCs w:val="16"/>
                <w:color w:val="auto"/>
              </w:rPr>
              <w:t>Total liabilities exclusive of liabilities under vehicle programs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9,883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8,933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950</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Assets under vehicle programs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15,136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14,019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1,117</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Liabilities under vehicle programs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14,673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13,876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797</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6"/>
                <w:szCs w:val="16"/>
                <w:color w:val="auto"/>
              </w:rPr>
              <w:t>Stockholders’ equity</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(774)</w:t>
            </w:r>
          </w:p>
        </w:tc>
        <w:tc>
          <w:tcPr>
            <w:tcW w:w="0" w:type="dxa"/>
            <w:vAlign w:val="bottom"/>
          </w:tcPr>
          <w:p>
            <w:pPr>
              <w:spacing w:after="0"/>
              <w:rPr>
                <w:sz w:val="1"/>
                <w:szCs w:val="1"/>
                <w:color w:val="auto"/>
              </w:rPr>
            </w:pPr>
          </w:p>
        </w:tc>
      </w:tr>
    </w:tbl>
    <w:p>
      <w:pPr>
        <w:spacing w:after="0" w:line="321" w:lineRule="exact"/>
        <w:rPr>
          <w:sz w:val="20"/>
          <w:szCs w:val="20"/>
          <w:color w:val="auto"/>
        </w:rPr>
      </w:pPr>
    </w:p>
    <w:p>
      <w:pPr>
        <w:ind w:right="660"/>
        <w:spacing w:after="0" w:line="253" w:lineRule="auto"/>
        <w:rPr>
          <w:sz w:val="20"/>
          <w:szCs w:val="20"/>
          <w:color w:val="auto"/>
        </w:rPr>
      </w:pPr>
      <w:r>
        <w:rPr>
          <w:rFonts w:ascii="Arial" w:cs="Arial" w:eastAsia="Arial" w:hAnsi="Arial"/>
          <w:sz w:val="18"/>
          <w:szCs w:val="18"/>
          <w:color w:val="auto"/>
        </w:rPr>
        <w:t>The increase in liabilities exclusive of liabilities under vehicle programs is principally related to the increase in long-term debt from the issuance of Floating Rate Term Loan due March 2029. See “—Liquidity and Capital Resources” and Notes 10 to our Consolidated Condensed Financial Statements.</w:t>
      </w:r>
    </w:p>
    <w:p>
      <w:pPr>
        <w:spacing w:after="0" w:line="20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increases in assets under vehicle programs and liabilities under vehicle programs are principally related to the increase in the size of our vehicle rental fleet to meet increased rental demand.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stockholders’ equity is primarily due to our share repurchases, partially offset by comprehensive income.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16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March 2022, we entered into a $ 750 million Floating Rate Term Loan due March 2029, at a price of 97% of the aggregate principal amount, with interest paid monthly, which is part of our senior credit facilities. The Floating Rate Term Loan due March 2029 bears interest at one-month SOFR plus 350 basis points for an aggregate rate of 4.00%.</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62626"/>
        </w:rPr>
        <w:t>Our Board of Directors has authorized the repurchase of up to $5.1 billion of our common stock under a plan originally approved in 2013 and subsequently expanded, most recently in March 2022</w:t>
      </w:r>
      <w:r>
        <w:rPr>
          <w:rFonts w:ascii="Arial" w:cs="Arial" w:eastAsia="Arial" w:hAnsi="Arial"/>
          <w:sz w:val="18"/>
          <w:szCs w:val="18"/>
          <w:color w:val="000000"/>
        </w:rPr>
        <w:t>.</w:t>
      </w:r>
      <w:r>
        <w:rPr>
          <w:rFonts w:ascii="Arial" w:cs="Arial" w:eastAsia="Arial" w:hAnsi="Arial"/>
          <w:sz w:val="18"/>
          <w:szCs w:val="18"/>
          <w:color w:val="262626"/>
        </w:rPr>
        <w:t xml:space="preserve"> Our stock repurchases may occur through open market purchases, privately negotiated transactions or trading plans pursuant to Rule 10b5-1 of the Securities Exchange Act of 1934, as amended. The amount and timing of specific repurchases are subject to market conditions, applicable legal requirements, restricted payment capacity under our debt instruments and other factors. The repurchase program may be suspended, modified or discontinued at any time without prior notice. The repurchase program has no set expiration or termination date. D</w:t>
      </w:r>
      <w:r>
        <w:rPr>
          <w:rFonts w:ascii="Arial" w:cs="Arial" w:eastAsia="Arial" w:hAnsi="Arial"/>
          <w:sz w:val="18"/>
          <w:szCs w:val="18"/>
          <w:color w:val="000000"/>
        </w:rPr>
        <w:t>uring the three months ended March 31, 2022, we repurchased</w:t>
      </w:r>
      <w:r>
        <w:rPr>
          <w:rFonts w:ascii="Arial" w:cs="Arial" w:eastAsia="Arial" w:hAnsi="Arial"/>
          <w:sz w:val="18"/>
          <w:szCs w:val="18"/>
          <w:color w:val="262626"/>
        </w:rPr>
        <w:t xml:space="preserve"> </w:t>
      </w:r>
      <w:r>
        <w:rPr>
          <w:rFonts w:ascii="Arial" w:cs="Arial" w:eastAsia="Arial" w:hAnsi="Arial"/>
          <w:sz w:val="18"/>
          <w:szCs w:val="18"/>
          <w:color w:val="000000"/>
        </w:rPr>
        <w:t>approximately 6.4 million shares of common stock at a cost of approximately $1.3 billion under the program. As of March 31, 2022, approximately $652 million of authorization remained available to repurchase common stock under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9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7"/>
          </w:tcPr>
          <w:p>
            <w:pPr>
              <w:jc w:val="right"/>
              <w:ind w:right="85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09"/>
        </w:trPr>
        <w:tc>
          <w:tcPr>
            <w:tcW w:w="6960" w:type="dxa"/>
            <w:vAlign w:val="bottom"/>
            <w:vMerge w:val="restart"/>
          </w:tcPr>
          <w:p>
            <w:pPr>
              <w:spacing w:after="0"/>
              <w:rPr>
                <w:sz w:val="20"/>
                <w:szCs w:val="20"/>
                <w:color w:val="auto"/>
              </w:rPr>
            </w:pPr>
            <w:r>
              <w:rPr>
                <w:rFonts w:ascii="Arial" w:cs="Arial" w:eastAsia="Arial" w:hAnsi="Arial"/>
                <w:sz w:val="16"/>
                <w:szCs w:val="16"/>
                <w:color w:val="auto"/>
              </w:rPr>
              <w:t>Cash provided by (used in):</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94"/>
        </w:trPr>
        <w:tc>
          <w:tcPr>
            <w:tcW w:w="69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60" w:type="dxa"/>
            <w:vAlign w:val="bottom"/>
          </w:tcPr>
          <w:p>
            <w:pPr>
              <w:ind w:left="420"/>
              <w:spacing w:after="0"/>
              <w:rPr>
                <w:sz w:val="20"/>
                <w:szCs w:val="20"/>
                <w:color w:val="auto"/>
              </w:rPr>
            </w:pPr>
            <w:r>
              <w:rPr>
                <w:rFonts w:ascii="Arial" w:cs="Arial" w:eastAsia="Arial" w:hAnsi="Arial"/>
                <w:sz w:val="16"/>
                <w:szCs w:val="16"/>
                <w:color w:val="auto"/>
              </w:rPr>
              <w:t>Operating activities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1,148</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812</w:t>
            </w:r>
          </w:p>
        </w:tc>
        <w:tc>
          <w:tcPr>
            <w:tcW w:w="0" w:type="dxa"/>
            <w:vAlign w:val="bottom"/>
          </w:tcPr>
          <w:p>
            <w:pPr>
              <w:spacing w:after="0"/>
              <w:rPr>
                <w:sz w:val="1"/>
                <w:szCs w:val="1"/>
                <w:color w:val="auto"/>
              </w:rPr>
            </w:pPr>
          </w:p>
        </w:tc>
      </w:tr>
      <w:tr>
        <w:trPr>
          <w:trHeight w:val="216"/>
        </w:trPr>
        <w:tc>
          <w:tcPr>
            <w:tcW w:w="6960" w:type="dxa"/>
            <w:vAlign w:val="bottom"/>
          </w:tcPr>
          <w:p>
            <w:pPr>
              <w:ind w:left="420"/>
              <w:spacing w:after="0"/>
              <w:rPr>
                <w:sz w:val="20"/>
                <w:szCs w:val="20"/>
                <w:color w:val="auto"/>
              </w:rPr>
            </w:pPr>
            <w:r>
              <w:rPr>
                <w:rFonts w:ascii="Arial" w:cs="Arial" w:eastAsia="Arial" w:hAnsi="Arial"/>
                <w:sz w:val="16"/>
                <w:szCs w:val="16"/>
                <w:color w:val="auto"/>
              </w:rPr>
              <w:t>Investing activities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(1,165)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16"/>
        </w:trPr>
        <w:tc>
          <w:tcPr>
            <w:tcW w:w="6960" w:type="dxa"/>
            <w:vAlign w:val="bottom"/>
          </w:tcPr>
          <w:p>
            <w:pPr>
              <w:ind w:left="420"/>
              <w:spacing w:after="0"/>
              <w:rPr>
                <w:sz w:val="20"/>
                <w:szCs w:val="20"/>
                <w:color w:val="auto"/>
              </w:rPr>
            </w:pPr>
            <w:r>
              <w:rPr>
                <w:rFonts w:ascii="Arial" w:cs="Arial" w:eastAsia="Arial" w:hAnsi="Arial"/>
                <w:sz w:val="16"/>
                <w:szCs w:val="16"/>
                <w:color w:val="auto"/>
              </w:rPr>
              <w:t>Financing activities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(884)</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6"/>
                <w:szCs w:val="16"/>
                <w:color w:val="auto"/>
              </w:rPr>
              <w:t>Effect of changes in exchange rates on cash and cash equivalents, program and restricted cash</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0"/>
        </w:trPr>
        <w:tc>
          <w:tcPr>
            <w:tcW w:w="6960" w:type="dxa"/>
            <w:vAlign w:val="bottom"/>
          </w:tcPr>
          <w:p>
            <w:pPr>
              <w:spacing w:after="0"/>
              <w:rPr>
                <w:sz w:val="20"/>
                <w:szCs w:val="20"/>
                <w:color w:val="auto"/>
              </w:rPr>
            </w:pPr>
            <w:r>
              <w:rPr>
                <w:rFonts w:ascii="Arial" w:cs="Arial" w:eastAsia="Arial" w:hAnsi="Arial"/>
                <w:sz w:val="16"/>
                <w:szCs w:val="16"/>
                <w:color w:val="auto"/>
              </w:rPr>
              <w:t>Net increase (decrease) in cash and cash equivalents, program and restricted cash</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15"/>
        </w:trPr>
        <w:tc>
          <w:tcPr>
            <w:tcW w:w="6960" w:type="dxa"/>
            <w:vAlign w:val="bottom"/>
          </w:tcPr>
          <w:p>
            <w:pPr>
              <w:spacing w:after="0"/>
              <w:rPr>
                <w:sz w:val="20"/>
                <w:szCs w:val="20"/>
                <w:color w:val="auto"/>
              </w:rPr>
            </w:pPr>
            <w:r>
              <w:rPr>
                <w:rFonts w:ascii="Arial" w:cs="Arial" w:eastAsia="Arial" w:hAnsi="Arial"/>
                <w:sz w:val="16"/>
                <w:szCs w:val="16"/>
                <w:color w:val="auto"/>
              </w:rPr>
              <w:t>Cash and cash equivalents, program and restricted cash, beginning of period</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1"/>
        </w:trPr>
        <w:tc>
          <w:tcPr>
            <w:tcW w:w="6960" w:type="dxa"/>
            <w:vAlign w:val="bottom"/>
          </w:tcPr>
          <w:p>
            <w:pPr>
              <w:spacing w:after="0"/>
              <w:rPr>
                <w:sz w:val="20"/>
                <w:szCs w:val="20"/>
                <w:color w:val="auto"/>
              </w:rPr>
            </w:pPr>
            <w:r>
              <w:rPr>
                <w:rFonts w:ascii="Arial" w:cs="Arial" w:eastAsia="Arial" w:hAnsi="Arial"/>
                <w:sz w:val="16"/>
                <w:szCs w:val="16"/>
                <w:color w:val="auto"/>
              </w:rPr>
              <w:t>Cash and cash equivalents, program and restricted cash, end of period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
        </w:trPr>
        <w:tc>
          <w:tcPr>
            <w:tcW w:w="6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increase in cash provided by operating activities during the three months ended March 31, 2022 compared with the same period in 2021 is primarily due to the increase in our net income.</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decrease in cash used in investing activities during the three months ended March 31, 2022 compared with the same period in 2021 is primarily due to a decrease in investment in vehicles.</w:t>
      </w:r>
    </w:p>
    <w:p>
      <w:pPr>
        <w:spacing w:after="0" w:line="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decrease in cash provided by financing activities during the three months ended March 31, 2022 compared with the same period in 2021 is primarily due to an increase in repurchases of common stock, offset by proceeds from borrowings.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FINANCING ARRANGEMENTS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March 31, 2022, we had approximately $16.8 billion of indebtedness, including corporate indebtedness of approximately $4.7 billion and debt under vehicle programs of approximately $12.1 billion. For information regarding our debt and borrowing arrangements, see Notes 1, 10 and 11 to our Consolidated Condensed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primary liquidity needs include the procurement of rental vehicles to be used in our operations, servicing of corporate and vehicle-related debt and the payment of operating expenses. The present intention of management is to reinvest the undistributed earnings of our foreign subsidiaries indefinitely into our foreign operations. Our primary sources of funding are operating revenue, cash received upon the sale of vehicles, borrowings under our vehicle-backed borrowing arrangements and our senior revolving credit facility, and other financing activities.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liquidity position was impacted by COVID-19 as a result of significant volume declines. However, since 2021, travel advisories and restrictions were eased, which led to a significant increase in global travel demand, resulting in increased demand for rental vehicles and improved pricing across the industry. However, the full extent of the ongoing impact of this virus on our long-term operational performance and liquidity will depend on future developments, including those outside of our control, such as the spread of new variants of the virus, which may be resistant to currently approved vaccines and the implementation of new or continued travel restrictions.</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liquidity could be negatively affected by any financial market disruptions or the absence of a recovery or worsening of the U.S. and worldwide economies, which may result in unfavorable conditions in the mobility industry, in the asset-backed financing market and in the credit markets generally. We believe these factors have affected and could further affect the debt ratings assigned to us by credit rating agencies and the cost of our borrowings. Additionally, a worsening or prolonged downturn in the worldwide economy or a disruption in the credit markets could further impact our liquidity due to (i) decreased demand and pricing for vehicles in the used-vehicle market,</w:t>
      </w:r>
    </w:p>
    <w:p>
      <w:pPr>
        <w:spacing w:after="0" w:line="3" w:lineRule="exact"/>
        <w:rPr>
          <w:sz w:val="20"/>
          <w:szCs w:val="20"/>
          <w:color w:val="auto"/>
        </w:rPr>
      </w:pPr>
    </w:p>
    <w:p>
      <w:pPr>
        <w:ind w:firstLine="8"/>
        <w:spacing w:after="0" w:line="266" w:lineRule="auto"/>
        <w:tabs>
          <w:tab w:leader="none" w:pos="263"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increased costs associated with, and/or reduced capacity or increased collateral needs under, our financings, (iii) the adverse impact of vehicle manufacturers being unable or unwilling to honor their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obligations to repurchase or guarantee the depreciation on the related program vehicles and (iv) disruption in our ability to obtain financing due to negative credit events specific to us or affecting the overall debt market.</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March 31, 2022, we had $550 million of available cash and cash equivalents and access to available borrowings under our revolving credit facility of approximately $354 million, providing us with approximately $904 million of total liquidity.</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liquidity position could also be negatively impacted if we are unable to remain in compliance with the consolidated first lien leverage ratio requirement and other covenants associated with our senior credit facilities and other borrowings. As of March 31, 2022, we were in compliance with the financial covenants governing our indebtedness. For additional information regarding our liquidity risks, see Part I, Item 1A, “Risk Factors” of our 2021 Form 10-K, as well as the “Risk Factors” section in this quarterly report.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future contractual obligations have not changed significantly from the amounts reported within our 2021 Form 10-K with the exception of our commitment to purchase vehicles, which decreased by approximately $0.8 billion from December 31, 2021, to approximately $5.1 billion as of March 31, 2022 due to seasonality. Changes to our obligations related to corporate indebtedness and debt under vehicle programs are presented above within the section titled “Liquidity and Capital Resources—Debt and Financing Arrangements” and also within Notes 10 and 11 to our Consolidated Condensed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results of the majority of our recurring operations are recorded in our financial statements using accounting policies that are not particularly subjective, nor complex. However, in presenting our financial statements in conformity with generally accepted accounting principles, we are required to make estimates and assumptions that affect the amounts reported therein. Several of the estimates and assumptions that we are required to make pertain to matters that are inherently uncertain as they relate to future events. Presented within the section titled “Critical Accounting Policies” of our 2021 Form 10-K are the accounting policies (related to goodwill and other indefinite-lived intangible assets, vehicles, income taxes and public liability, property damage and other insurance liabilities) that we believe require subjective and/or complex judgments that could potentially affect 2022 reported results. There have been no significant changes to those accounting policies or our assessment of which accounting policies we would consider to be critical accounting policies.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Goodwill and Other Indefinite-lived Intangible Assets</w:t>
      </w:r>
      <w:r>
        <w:rPr>
          <w:rFonts w:ascii="Arial" w:cs="Arial" w:eastAsia="Arial" w:hAnsi="Arial"/>
          <w:sz w:val="18"/>
          <w:szCs w:val="18"/>
          <w:color w:val="auto"/>
        </w:rPr>
        <w:t>. We perform our annual goodwill and other indefinite-lived intangible assets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 in the fourth quarter of each year at the reporting unit level, or more frequently if events or circumstances indicate that the carrying amount of goodwill and other indefinite-lived intangible assets may be impaired. For our Europe, Middle East and Africa (“EMEA”) reporting unit, the percentage by which the estimated fair value exceeded the carrying value as of October 1, 2021 was 10% and the amount of goodwill allocated to our reporting unit was $488 million.</w:t>
      </w:r>
    </w:p>
    <w:p>
      <w:pPr>
        <w:spacing w:after="0" w:line="20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evaluated qualitative factors and determined that an interim impairment test was not required this quarter as we believe it is more likely than not that the fair value of our goodwill and other indefinite-lived intangible assets exceeds the carrying value. We will continue to closely monitor actual results versus our expectations as well as any significant changes in events or conditions, including the impact of COVID-19 on our business and the travel industry, and the resulting impact to our assumptions about future estimated cash flows, the discount rate and market multiples. In the future, failure to achieve our business plans, a deterioration of the general economic conditions of the countries in which we operate, or significant changes in the assumptions and estimates that are used in our impairment testing for goodwill and indefinite-lived intangible assets (such as the discount rate) could result in significantly different estimates of fair value that could trigger an impairment of the goodwill of our reporting units or intangible assets.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5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detailed information regarding new accounting standards and their impact on our business, see Note 1 to our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a variety of market risks, including changes in currency exchange rates, interest rates and gasoline prices. We assess our market risks based on changes in interest and currency exchange rates utilizing a sensitivity analysis that measures the potential impact on earnings, fair values and cash flows based on a hypothetical 10% change (increase and decrease) in interest and foreign currency exchange rates. We used March 31, 2022 market rates to perform a sensitivity analysis separately for each of these market risk exposures. We have determined, through such analyses, that the impact of a 10% change in interest or currency exchange rates on our results of operations, balance sheet and cash flows would not be material. Additionally, we have commodity price exposure related to fluctuations in the price of unleaded gasoline. We anticipate that such commodity risk will remain a market risk exposure for the foreseeable future. We determined that a 10% change in the price of unleaded gasoline would not have a material impact on our earnings for the period ended March 31, 2022. For additional information regarding our long-term borrowings and financial instruments, see Notes 10, 11 and 16 to our Consolidated Condensed Financial Statements.</w:t>
      </w:r>
    </w:p>
    <w:p>
      <w:pPr>
        <w:spacing w:after="0" w:line="21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jc w:val="both"/>
        <w:ind w:left="340" w:hanging="332"/>
        <w:spacing w:after="0" w:line="259" w:lineRule="auto"/>
        <w:tabs>
          <w:tab w:leader="none" w:pos="33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Under the supervision and with the participation of our Chief Executive Officer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our management 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March 31, 2022.</w:t>
      </w:r>
    </w:p>
    <w:p>
      <w:pPr>
        <w:spacing w:after="0" w:line="206" w:lineRule="exact"/>
        <w:rPr>
          <w:rFonts w:ascii="Arial" w:cs="Arial" w:eastAsia="Arial" w:hAnsi="Arial"/>
          <w:sz w:val="18"/>
          <w:szCs w:val="18"/>
          <w:color w:val="auto"/>
        </w:rPr>
      </w:pPr>
    </w:p>
    <w:p>
      <w:pPr>
        <w:jc w:val="both"/>
        <w:ind w:left="340" w:hanging="332"/>
        <w:spacing w:after="0" w:line="268" w:lineRule="auto"/>
        <w:tabs>
          <w:tab w:leader="none" w:pos="33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During the fiscal quarter to which this report relates, there has been no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our internal control over financial reporting (as such term is defined in Rules 13a-15(f) and 15d-15(f) under 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information regarding our legal proceedings, see Note 12 to our Consolidated Condensed Financial Statements and refer to our 2021 Form 10-K.</w:t>
      </w:r>
    </w:p>
    <w:p>
      <w:pPr>
        <w:spacing w:after="0" w:line="1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SEC regulations require us to disclose certain information about proceedings arising under federal, state or local environmental provisions if we reasonably believe that such proceedings may result in monetary sanctions above a stated threshold. In accordance with these regulations, we use a threshold of $1 million for purposes of determining whether disclosure of any such proceedings is required pursuant to this item.</w:t>
      </w:r>
    </w:p>
    <w:p>
      <w:pPr>
        <w:spacing w:after="0" w:line="21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risk factors are provided to update the risk factors previously disclosed in our periodic reports filed with the SEC, including our 2021 Form 10-K.</w:t>
      </w:r>
    </w:p>
    <w:p>
      <w:pPr>
        <w:spacing w:after="0" w:line="18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The ongoing military conflict between Russia and Ukraine and the related sanctions are causing uncertainty that may have an adverse impact on our business, financial condition and results of operations.</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world economy and markets are experiencing volatility and disruption from the ongoing military conflict between Russia and Ukraine, the length and impact of which are highly unpredictable. This conflict could lead to significant increases in our costs, including gas and fleet costs, including as a result of sanctions or any embargos on oil sales imposed on or by the Russian government; further impact fleet availability; and impact demand for travel as a result of weakness in economic conditions, increased inflation or increases in the cost of gas. In addition, as a result of the conflict, governmental and non-governmental entities have issued alerts noting the potential for increased cyber-attacks. Such risks and disruptions could adversely impact our business, results of operations and financial condition.</w:t>
      </w:r>
    </w:p>
    <w:p>
      <w:pPr>
        <w:spacing w:after="0" w:line="21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76" w:lineRule="exact"/>
        <w:rPr>
          <w:sz w:val="20"/>
          <w:szCs w:val="20"/>
          <w:color w:val="auto"/>
        </w:rPr>
      </w:pPr>
    </w:p>
    <w:tbl>
      <w:tblPr>
        <w:tblLayout w:type="fixed"/>
        <w:tblInd w:w="600" w:type="dxa"/>
        <w:tblCellMar>
          <w:top w:w="0" w:type="dxa"/>
          <w:left w:w="0" w:type="dxa"/>
          <w:bottom w:w="0" w:type="dxa"/>
          <w:right w:w="0" w:type="dxa"/>
        </w:tblCellMar>
      </w:tblPr>
      <w:tr>
        <w:trPr>
          <w:trHeight w:val="184"/>
        </w:trPr>
        <w:tc>
          <w:tcPr>
            <w:tcW w:w="10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9"/>
              </w:rPr>
              <w:t>Total Number of</w:t>
            </w:r>
          </w:p>
        </w:tc>
        <w:tc>
          <w:tcPr>
            <w:tcW w:w="160" w:type="dxa"/>
            <w:vAlign w:val="bottom"/>
          </w:tcPr>
          <w:p>
            <w:pPr>
              <w:spacing w:after="0"/>
              <w:rPr>
                <w:sz w:val="16"/>
                <w:szCs w:val="16"/>
                <w:color w:val="auto"/>
              </w:rPr>
            </w:pPr>
          </w:p>
        </w:tc>
        <w:tc>
          <w:tcPr>
            <w:tcW w:w="146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rPr>
              <w:t>Average Price</w:t>
            </w:r>
          </w:p>
        </w:tc>
        <w:tc>
          <w:tcPr>
            <w:tcW w:w="3040" w:type="dxa"/>
            <w:vAlign w:val="bottom"/>
          </w:tcPr>
          <w:p>
            <w:pPr>
              <w:jc w:val="center"/>
              <w:spacing w:after="0"/>
              <w:rPr>
                <w:sz w:val="20"/>
                <w:szCs w:val="20"/>
                <w:color w:val="auto"/>
              </w:rPr>
            </w:pPr>
            <w:r>
              <w:rPr>
                <w:rFonts w:ascii="Arial" w:cs="Arial" w:eastAsia="Arial" w:hAnsi="Arial"/>
                <w:sz w:val="16"/>
                <w:szCs w:val="16"/>
                <w:b w:val="1"/>
                <w:bCs w:val="1"/>
                <w:color w:val="auto"/>
              </w:rPr>
              <w:t>Total Number of Shares Purchased as</w:t>
            </w:r>
          </w:p>
        </w:tc>
        <w:tc>
          <w:tcPr>
            <w:tcW w:w="140" w:type="dxa"/>
            <w:vAlign w:val="bottom"/>
          </w:tcPr>
          <w:p>
            <w:pPr>
              <w:spacing w:after="0"/>
              <w:rPr>
                <w:sz w:val="16"/>
                <w:szCs w:val="16"/>
                <w:color w:val="auto"/>
              </w:rPr>
            </w:pPr>
          </w:p>
        </w:tc>
        <w:tc>
          <w:tcPr>
            <w:tcW w:w="3120" w:type="dxa"/>
            <w:vAlign w:val="bottom"/>
          </w:tcPr>
          <w:p>
            <w:pPr>
              <w:jc w:val="center"/>
              <w:spacing w:after="0"/>
              <w:rPr>
                <w:sz w:val="20"/>
                <w:szCs w:val="20"/>
                <w:color w:val="auto"/>
              </w:rPr>
            </w:pPr>
            <w:r>
              <w:rPr>
                <w:rFonts w:ascii="Arial" w:cs="Arial" w:eastAsia="Arial" w:hAnsi="Arial"/>
                <w:sz w:val="16"/>
                <w:szCs w:val="16"/>
                <w:b w:val="1"/>
                <w:bCs w:val="1"/>
                <w:color w:val="auto"/>
              </w:rPr>
              <w:t>Approximate Dollar Value of Shares</w:t>
            </w: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16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Purchased</w:t>
            </w:r>
          </w:p>
        </w:tc>
        <w:tc>
          <w:tcPr>
            <w:tcW w:w="1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3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Part of Publicly Announced Plans or</w:t>
            </w:r>
          </w:p>
        </w:tc>
        <w:tc>
          <w:tcPr>
            <w:tcW w:w="140" w:type="dxa"/>
            <w:vAlign w:val="bottom"/>
          </w:tcPr>
          <w:p>
            <w:pPr>
              <w:spacing w:after="0"/>
              <w:rPr>
                <w:sz w:val="14"/>
                <w:szCs w:val="14"/>
                <w:color w:val="auto"/>
              </w:rPr>
            </w:pPr>
          </w:p>
        </w:tc>
        <w:tc>
          <w:tcPr>
            <w:tcW w:w="31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That May Yet Be Purchased Under the</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Paid per Share</w:t>
            </w:r>
          </w:p>
        </w:tc>
        <w:tc>
          <w:tcPr>
            <w:tcW w:w="3040" w:type="dxa"/>
            <w:vAlign w:val="bottom"/>
          </w:tcPr>
          <w:p>
            <w:pPr>
              <w:jc w:val="center"/>
              <w:spacing w:after="0"/>
              <w:rPr>
                <w:sz w:val="20"/>
                <w:szCs w:val="20"/>
                <w:color w:val="auto"/>
              </w:rPr>
            </w:pPr>
            <w:r>
              <w:rPr>
                <w:rFonts w:ascii="Arial" w:cs="Arial" w:eastAsia="Arial" w:hAnsi="Arial"/>
                <w:sz w:val="16"/>
                <w:szCs w:val="16"/>
                <w:b w:val="1"/>
                <w:bCs w:val="1"/>
                <w:color w:val="auto"/>
              </w:rPr>
              <w:t>Programs (in millions)</w:t>
            </w:r>
          </w:p>
        </w:tc>
        <w:tc>
          <w:tcPr>
            <w:tcW w:w="14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Arial" w:cs="Arial" w:eastAsia="Arial" w:hAnsi="Arial"/>
                <w:sz w:val="16"/>
                <w:szCs w:val="16"/>
                <w:b w:val="1"/>
                <w:bCs w:val="1"/>
                <w:color w:val="auto"/>
              </w:rPr>
              <w:t>Plans or Programs ($ in millions)</w:t>
            </w:r>
          </w:p>
        </w:tc>
        <w:tc>
          <w:tcPr>
            <w:tcW w:w="0" w:type="dxa"/>
            <w:vAlign w:val="bottom"/>
          </w:tcPr>
          <w:p>
            <w:pPr>
              <w:spacing w:after="0"/>
              <w:rPr>
                <w:sz w:val="1"/>
                <w:szCs w:val="1"/>
                <w:color w:val="auto"/>
              </w:rPr>
            </w:pPr>
          </w:p>
        </w:tc>
      </w:tr>
      <w:tr>
        <w:trPr>
          <w:trHeight w:val="208"/>
        </w:trPr>
        <w:tc>
          <w:tcPr>
            <w:tcW w:w="1060" w:type="dxa"/>
            <w:vAlign w:val="bottom"/>
          </w:tcPr>
          <w:p>
            <w:pPr>
              <w:jc w:val="right"/>
              <w:spacing w:after="0"/>
              <w:rPr>
                <w:sz w:val="20"/>
                <w:szCs w:val="20"/>
                <w:color w:val="auto"/>
              </w:rPr>
            </w:pPr>
            <w:r>
              <w:rPr>
                <w:rFonts w:ascii="Arial" w:cs="Arial" w:eastAsia="Arial" w:hAnsi="Arial"/>
                <w:sz w:val="16"/>
                <w:szCs w:val="16"/>
                <w:color w:val="auto"/>
              </w:rPr>
              <w:t>January 2022</w:t>
            </w: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8"/>
              </w:rPr>
              <w:t>1.6</w:t>
            </w:r>
          </w:p>
        </w:tc>
        <w:tc>
          <w:tcPr>
            <w:tcW w:w="160" w:type="dxa"/>
            <w:vAlign w:val="bottom"/>
          </w:tcPr>
          <w:p>
            <w:pPr>
              <w:spacing w:after="0"/>
              <w:rPr>
                <w:sz w:val="18"/>
                <w:szCs w:val="18"/>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$186.44</w:t>
            </w:r>
          </w:p>
        </w:tc>
        <w:tc>
          <w:tcPr>
            <w:tcW w:w="120" w:type="dxa"/>
            <w:vAlign w:val="bottom"/>
          </w:tcPr>
          <w:p>
            <w:pPr>
              <w:spacing w:after="0"/>
              <w:rPr>
                <w:sz w:val="18"/>
                <w:szCs w:val="18"/>
                <w:color w:val="auto"/>
              </w:rPr>
            </w:pPr>
          </w:p>
        </w:tc>
        <w:tc>
          <w:tcPr>
            <w:tcW w:w="30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8"/>
              </w:rPr>
              <w:t>1.6</w:t>
            </w:r>
          </w:p>
        </w:tc>
        <w:tc>
          <w:tcPr>
            <w:tcW w:w="140" w:type="dxa"/>
            <w:vAlign w:val="bottom"/>
          </w:tcPr>
          <w:p>
            <w:pPr>
              <w:spacing w:after="0"/>
              <w:rPr>
                <w:sz w:val="18"/>
                <w:szCs w:val="18"/>
                <w:color w:val="auto"/>
              </w:rPr>
            </w:pPr>
          </w:p>
        </w:tc>
        <w:tc>
          <w:tcPr>
            <w:tcW w:w="31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215"/>
        </w:trPr>
        <w:tc>
          <w:tcPr>
            <w:tcW w:w="1060" w:type="dxa"/>
            <w:vAlign w:val="bottom"/>
          </w:tcPr>
          <w:p>
            <w:pPr>
              <w:jc w:val="right"/>
              <w:spacing w:after="0"/>
              <w:rPr>
                <w:sz w:val="20"/>
                <w:szCs w:val="20"/>
                <w:color w:val="auto"/>
              </w:rPr>
            </w:pPr>
            <w:r>
              <w:rPr>
                <w:rFonts w:ascii="Arial" w:cs="Arial" w:eastAsia="Arial" w:hAnsi="Arial"/>
                <w:sz w:val="16"/>
                <w:szCs w:val="16"/>
                <w:color w:val="auto"/>
                <w:w w:val="99"/>
              </w:rPr>
              <w:t>February 2022</w:t>
            </w:r>
          </w:p>
        </w:tc>
        <w:tc>
          <w:tcPr>
            <w:tcW w:w="1660" w:type="dxa"/>
            <w:vAlign w:val="bottom"/>
          </w:tcPr>
          <w:p>
            <w:pPr>
              <w:jc w:val="center"/>
              <w:spacing w:after="0"/>
              <w:rPr>
                <w:sz w:val="20"/>
                <w:szCs w:val="20"/>
                <w:color w:val="auto"/>
              </w:rPr>
            </w:pPr>
            <w:r>
              <w:rPr>
                <w:rFonts w:ascii="Arial" w:cs="Arial" w:eastAsia="Arial" w:hAnsi="Arial"/>
                <w:sz w:val="16"/>
                <w:szCs w:val="16"/>
                <w:color w:val="auto"/>
                <w:w w:val="98"/>
              </w:rPr>
              <w:t>2.3</w:t>
            </w:r>
          </w:p>
        </w:tc>
        <w:tc>
          <w:tcPr>
            <w:tcW w:w="1500" w:type="dxa"/>
            <w:vAlign w:val="bottom"/>
            <w:gridSpan w:val="2"/>
          </w:tcPr>
          <w:p>
            <w:pPr>
              <w:jc w:val="center"/>
              <w:ind w:left="79"/>
              <w:spacing w:after="0"/>
              <w:rPr>
                <w:sz w:val="20"/>
                <w:szCs w:val="20"/>
                <w:color w:val="auto"/>
              </w:rPr>
            </w:pPr>
            <w:r>
              <w:rPr>
                <w:rFonts w:ascii="Arial" w:cs="Arial" w:eastAsia="Arial" w:hAnsi="Arial"/>
                <w:sz w:val="16"/>
                <w:szCs w:val="16"/>
                <w:color w:val="auto"/>
              </w:rPr>
              <w:t>$170.63</w:t>
            </w:r>
          </w:p>
        </w:tc>
        <w:tc>
          <w:tcPr>
            <w:tcW w:w="120" w:type="dxa"/>
            <w:vAlign w:val="bottom"/>
          </w:tcPr>
          <w:p>
            <w:pPr>
              <w:spacing w:after="0"/>
              <w:rPr>
                <w:sz w:val="18"/>
                <w:szCs w:val="18"/>
                <w:color w:val="auto"/>
              </w:rPr>
            </w:pPr>
          </w:p>
        </w:tc>
        <w:tc>
          <w:tcPr>
            <w:tcW w:w="3040" w:type="dxa"/>
            <w:vAlign w:val="bottom"/>
          </w:tcPr>
          <w:p>
            <w:pPr>
              <w:jc w:val="center"/>
              <w:spacing w:after="0"/>
              <w:rPr>
                <w:sz w:val="20"/>
                <w:szCs w:val="20"/>
                <w:color w:val="auto"/>
              </w:rPr>
            </w:pPr>
            <w:r>
              <w:rPr>
                <w:rFonts w:ascii="Arial" w:cs="Arial" w:eastAsia="Arial" w:hAnsi="Arial"/>
                <w:sz w:val="16"/>
                <w:szCs w:val="16"/>
                <w:color w:val="auto"/>
                <w:w w:val="98"/>
              </w:rPr>
              <w:t>2.3</w:t>
            </w:r>
          </w:p>
        </w:tc>
        <w:tc>
          <w:tcPr>
            <w:tcW w:w="3260" w:type="dxa"/>
            <w:vAlign w:val="bottom"/>
            <w:gridSpan w:val="2"/>
          </w:tcPr>
          <w:p>
            <w:pPr>
              <w:jc w:val="center"/>
              <w:ind w:left="59"/>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17"/>
        </w:trPr>
        <w:tc>
          <w:tcPr>
            <w:tcW w:w="1060" w:type="dxa"/>
            <w:vAlign w:val="bottom"/>
          </w:tcPr>
          <w:p>
            <w:pPr>
              <w:jc w:val="right"/>
              <w:spacing w:after="0"/>
              <w:rPr>
                <w:sz w:val="20"/>
                <w:szCs w:val="20"/>
                <w:color w:val="auto"/>
              </w:rPr>
            </w:pPr>
            <w:r>
              <w:rPr>
                <w:rFonts w:ascii="Arial" w:cs="Arial" w:eastAsia="Arial" w:hAnsi="Arial"/>
                <w:sz w:val="16"/>
                <w:szCs w:val="16"/>
                <w:color w:val="auto"/>
              </w:rPr>
              <w:t>March 2022</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2.5</w:t>
            </w:r>
          </w:p>
        </w:tc>
        <w:tc>
          <w:tcPr>
            <w:tcW w:w="1500" w:type="dxa"/>
            <w:vAlign w:val="bottom"/>
            <w:gridSpan w:val="2"/>
          </w:tcPr>
          <w:p>
            <w:pPr>
              <w:jc w:val="center"/>
              <w:ind w:left="79"/>
              <w:spacing w:after="0"/>
              <w:rPr>
                <w:sz w:val="20"/>
                <w:szCs w:val="20"/>
                <w:color w:val="auto"/>
              </w:rPr>
            </w:pPr>
            <w:r>
              <w:rPr>
                <w:rFonts w:ascii="Arial" w:cs="Arial" w:eastAsia="Arial" w:hAnsi="Arial"/>
                <w:sz w:val="16"/>
                <w:szCs w:val="16"/>
                <w:color w:val="auto"/>
              </w:rPr>
              <w:t>$250.17</w:t>
            </w:r>
          </w:p>
        </w:tc>
        <w:tc>
          <w:tcPr>
            <w:tcW w:w="120" w:type="dxa"/>
            <w:vAlign w:val="bottom"/>
          </w:tcPr>
          <w:p>
            <w:pPr>
              <w:spacing w:after="0"/>
              <w:rPr>
                <w:sz w:val="18"/>
                <w:szCs w:val="18"/>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2.5</w:t>
            </w:r>
          </w:p>
        </w:tc>
        <w:tc>
          <w:tcPr>
            <w:tcW w:w="3260" w:type="dxa"/>
            <w:vAlign w:val="bottom"/>
            <w:gridSpan w:val="2"/>
          </w:tcPr>
          <w:p>
            <w:pPr>
              <w:jc w:val="center"/>
              <w:ind w:left="59"/>
              <w:spacing w:after="0"/>
              <w:rPr>
                <w:sz w:val="20"/>
                <w:szCs w:val="20"/>
                <w:color w:val="auto"/>
              </w:rPr>
            </w:pPr>
            <w:r>
              <w:rPr>
                <w:rFonts w:ascii="Arial" w:cs="Arial" w:eastAsia="Arial" w:hAnsi="Arial"/>
                <w:sz w:val="16"/>
                <w:szCs w:val="16"/>
                <w:color w:val="auto"/>
              </w:rPr>
              <w:t>$652</w:t>
            </w:r>
          </w:p>
        </w:tc>
        <w:tc>
          <w:tcPr>
            <w:tcW w:w="0" w:type="dxa"/>
            <w:vAlign w:val="bottom"/>
          </w:tcPr>
          <w:p>
            <w:pPr>
              <w:spacing w:after="0"/>
              <w:rPr>
                <w:sz w:val="1"/>
                <w:szCs w:val="1"/>
                <w:color w:val="auto"/>
              </w:rPr>
            </w:pPr>
          </w:p>
        </w:tc>
      </w:tr>
      <w:tr>
        <w:trPr>
          <w:trHeight w:val="210"/>
        </w:trPr>
        <w:tc>
          <w:tcPr>
            <w:tcW w:w="1060" w:type="dxa"/>
            <w:vAlign w:val="bottom"/>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6.4</w:t>
            </w:r>
          </w:p>
        </w:tc>
        <w:tc>
          <w:tcPr>
            <w:tcW w:w="1500" w:type="dxa"/>
            <w:vAlign w:val="bottom"/>
            <w:gridSpan w:val="2"/>
          </w:tcPr>
          <w:p>
            <w:pPr>
              <w:jc w:val="center"/>
              <w:ind w:left="79"/>
              <w:spacing w:after="0"/>
              <w:rPr>
                <w:sz w:val="20"/>
                <w:szCs w:val="20"/>
                <w:color w:val="auto"/>
              </w:rPr>
            </w:pPr>
            <w:r>
              <w:rPr>
                <w:rFonts w:ascii="Arial" w:cs="Arial" w:eastAsia="Arial" w:hAnsi="Arial"/>
                <w:sz w:val="16"/>
                <w:szCs w:val="16"/>
                <w:color w:val="auto"/>
              </w:rPr>
              <w:t>$205.31</w:t>
            </w:r>
          </w:p>
        </w:tc>
        <w:tc>
          <w:tcPr>
            <w:tcW w:w="120" w:type="dxa"/>
            <w:vAlign w:val="bottom"/>
          </w:tcPr>
          <w:p>
            <w:pPr>
              <w:spacing w:after="0"/>
              <w:rPr>
                <w:sz w:val="18"/>
                <w:szCs w:val="18"/>
                <w:color w:val="auto"/>
              </w:rPr>
            </w:pPr>
          </w:p>
        </w:tc>
        <w:tc>
          <w:tcPr>
            <w:tcW w:w="3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6.4</w:t>
            </w:r>
          </w:p>
        </w:tc>
        <w:tc>
          <w:tcPr>
            <w:tcW w:w="3260" w:type="dxa"/>
            <w:vAlign w:val="bottom"/>
            <w:gridSpan w:val="2"/>
          </w:tcPr>
          <w:p>
            <w:pPr>
              <w:jc w:val="center"/>
              <w:ind w:left="59"/>
              <w:spacing w:after="0"/>
              <w:rPr>
                <w:sz w:val="20"/>
                <w:szCs w:val="20"/>
                <w:color w:val="auto"/>
              </w:rPr>
            </w:pPr>
            <w:r>
              <w:rPr>
                <w:rFonts w:ascii="Arial" w:cs="Arial" w:eastAsia="Arial" w:hAnsi="Arial"/>
                <w:sz w:val="16"/>
                <w:szCs w:val="16"/>
                <w:color w:val="auto"/>
              </w:rPr>
              <w:t>$652</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262626"/>
        </w:rPr>
        <w:t>Our Board of Directors has authorized the repurchase of up to $5.1 billion of our common stock under a plan originally approved in 2013 and subsequently expanded, most recently in March 2022. Under our stock repurchase program, we repurchase shares from time to time in open</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262626"/>
        </w:rPr>
        <w:t>market transactions, and may also repurchase shares in accelerated share repurchases, tender offers, privately negotiated transactions or by other means. Repurchases may also be made under a plan pursuant to Rule 10b5-1 under the Securities Exchange Act of 1934, as amended. The timing and amount of repurchase transactions will be determined by our management based on our evaluation of market conditions, our share price, legal requirements, restricted payment capacity under our debt instruments and other factors. The stock repurchase program may be suspended, modified or discontinued at any time without prior notice.</w:t>
      </w:r>
    </w:p>
    <w:p>
      <w:pPr>
        <w:spacing w:after="0" w:line="22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660" w:type="dxa"/>
            <w:vAlign w:val="bottom"/>
          </w:tcPr>
          <w:p>
            <w:pPr>
              <w:spacing w:after="0"/>
              <w:rPr>
                <w:sz w:val="21"/>
                <w:szCs w:val="21"/>
                <w:color w:val="auto"/>
              </w:rPr>
            </w:pPr>
          </w:p>
        </w:tc>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AVIS BUDGET GROUP, INC.</w:t>
            </w:r>
          </w:p>
        </w:tc>
      </w:tr>
      <w:tr>
        <w:trPr>
          <w:trHeight w:val="488"/>
        </w:trPr>
        <w:tc>
          <w:tcPr>
            <w:tcW w:w="3660" w:type="dxa"/>
            <w:vAlign w:val="bottom"/>
          </w:tcPr>
          <w:p>
            <w:pPr>
              <w:ind w:left="20"/>
              <w:spacing w:after="0"/>
              <w:rPr>
                <w:sz w:val="20"/>
                <w:szCs w:val="20"/>
                <w:color w:val="auto"/>
              </w:rPr>
            </w:pPr>
            <w:r>
              <w:rPr>
                <w:rFonts w:ascii="Arial" w:cs="Arial" w:eastAsia="Arial" w:hAnsi="Arial"/>
                <w:sz w:val="18"/>
                <w:szCs w:val="18"/>
                <w:color w:val="auto"/>
              </w:rPr>
              <w:t>Date:   May 3, 2022</w:t>
            </w:r>
          </w:p>
        </w:tc>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Cathleen DeGenova</w:t>
            </w:r>
          </w:p>
        </w:tc>
      </w:tr>
      <w:tr>
        <w:trPr>
          <w:trHeight w:val="218"/>
        </w:trPr>
        <w:tc>
          <w:tcPr>
            <w:tcW w:w="3660" w:type="dxa"/>
            <w:vAlign w:val="bottom"/>
          </w:tcPr>
          <w:p>
            <w:pPr>
              <w:spacing w:after="0"/>
              <w:rPr>
                <w:sz w:val="18"/>
                <w:szCs w:val="18"/>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Cathleen DeGenova</w:t>
            </w:r>
          </w:p>
        </w:tc>
      </w:tr>
      <w:tr>
        <w:trPr>
          <w:trHeight w:val="229"/>
        </w:trPr>
        <w:tc>
          <w:tcPr>
            <w:tcW w:w="3660" w:type="dxa"/>
            <w:vAlign w:val="bottom"/>
          </w:tcPr>
          <w:p>
            <w:pPr>
              <w:spacing w:after="0"/>
              <w:rPr>
                <w:sz w:val="19"/>
                <w:szCs w:val="19"/>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Vice President and</w:t>
            </w:r>
          </w:p>
        </w:tc>
      </w:tr>
      <w:tr>
        <w:trPr>
          <w:trHeight w:val="239"/>
        </w:trPr>
        <w:tc>
          <w:tcPr>
            <w:tcW w:w="3660" w:type="dxa"/>
            <w:vAlign w:val="bottom"/>
          </w:tcPr>
          <w:p>
            <w:pPr>
              <w:spacing w:after="0"/>
              <w:rPr>
                <w:sz w:val="20"/>
                <w:szCs w:val="20"/>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r>
        <w:trPr>
          <w:trHeight w:val="918"/>
        </w:trPr>
        <w:tc>
          <w:tcPr>
            <w:tcW w:w="3660" w:type="dxa"/>
            <w:vAlign w:val="bottom"/>
          </w:tcPr>
          <w:p>
            <w:pPr>
              <w:spacing w:after="0"/>
              <w:rPr>
                <w:sz w:val="24"/>
                <w:szCs w:val="24"/>
                <w:color w:val="auto"/>
              </w:rPr>
            </w:pPr>
          </w:p>
        </w:tc>
        <w:tc>
          <w:tcPr>
            <w:tcW w:w="7580" w:type="dxa"/>
            <w:vAlign w:val="bottom"/>
          </w:tcPr>
          <w:p>
            <w:pPr>
              <w:ind w:left="1860"/>
              <w:spacing w:after="0"/>
              <w:rPr>
                <w:sz w:val="20"/>
                <w:szCs w:val="20"/>
                <w:color w:val="auto"/>
              </w:rPr>
            </w:pPr>
            <w:r>
              <w:rPr>
                <w:rFonts w:ascii="Arial" w:cs="Arial" w:eastAsia="Arial" w:hAnsi="Arial"/>
                <w:sz w:val="18"/>
                <w:szCs w:val="18"/>
                <w:color w:val="auto"/>
              </w:rPr>
              <w:t>35</w:t>
            </w:r>
          </w:p>
        </w:tc>
      </w:tr>
      <w:tr>
        <w:trPr>
          <w:trHeight w:val="111"/>
        </w:trPr>
        <w:tc>
          <w:tcPr>
            <w:tcW w:w="3660" w:type="dxa"/>
            <w:vAlign w:val="bottom"/>
            <w:tcBorders>
              <w:bottom w:val="single" w:sz="8" w:color="9A9A9A"/>
            </w:tcBorders>
          </w:tcPr>
          <w:p>
            <w:pPr>
              <w:spacing w:after="0"/>
              <w:rPr>
                <w:sz w:val="9"/>
                <w:szCs w:val="9"/>
                <w:color w:val="auto"/>
              </w:rPr>
            </w:pPr>
          </w:p>
        </w:tc>
        <w:tc>
          <w:tcPr>
            <w:tcW w:w="75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6860" w:type="dxa"/>
            <w:vAlign w:val="bottom"/>
            <w:gridSpan w:val="12"/>
          </w:tcPr>
          <w:p>
            <w:pPr>
              <w:ind w:left="860"/>
              <w:spacing w:after="0"/>
              <w:rPr>
                <w:sz w:val="20"/>
                <w:szCs w:val="20"/>
                <w:color w:val="auto"/>
              </w:rPr>
            </w:pPr>
            <w:r>
              <w:rPr>
                <w:rFonts w:ascii="Arial" w:cs="Arial" w:eastAsia="Arial" w:hAnsi="Arial"/>
                <w:sz w:val="18"/>
                <w:szCs w:val="18"/>
                <w:b w:val="1"/>
                <w:bCs w:val="1"/>
                <w:color w:val="auto"/>
              </w:rPr>
              <w:t>Exhibit Index</w:t>
            </w:r>
          </w:p>
        </w:tc>
      </w:tr>
      <w:tr>
        <w:trPr>
          <w:trHeight w:val="190"/>
        </w:trPr>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4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9"/>
              </w:rPr>
              <w:t>Description</w:t>
            </w:r>
          </w:p>
        </w:tc>
        <w:tc>
          <w:tcPr>
            <w:tcW w:w="4340" w:type="dxa"/>
            <w:vAlign w:val="bottom"/>
            <w:gridSpan w:val="10"/>
          </w:tcPr>
          <w:p>
            <w:pPr>
              <w:spacing w:after="0"/>
              <w:rPr>
                <w:sz w:val="16"/>
                <w:szCs w:val="16"/>
                <w:color w:val="auto"/>
              </w:rPr>
            </w:pPr>
          </w:p>
        </w:tc>
      </w:tr>
      <w:tr>
        <w:trPr>
          <w:trHeight w:val="210"/>
        </w:trPr>
        <w:tc>
          <w:tcPr>
            <w:tcW w:w="860" w:type="dxa"/>
            <w:vAlign w:val="bottom"/>
          </w:tcPr>
          <w:p>
            <w:pPr>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18"/>
                <w:szCs w:val="18"/>
                <w:color w:val="auto"/>
              </w:rPr>
            </w:pPr>
          </w:p>
        </w:tc>
        <w:tc>
          <w:tcPr>
            <w:tcW w:w="9760" w:type="dxa"/>
            <w:vAlign w:val="bottom"/>
            <w:gridSpan w:val="13"/>
          </w:tcPr>
          <w:p>
            <w:pPr>
              <w:spacing w:after="0"/>
              <w:rPr>
                <w:rFonts w:ascii="Arial" w:cs="Arial" w:eastAsia="Arial" w:hAnsi="Arial"/>
                <w:sz w:val="18"/>
                <w:szCs w:val="18"/>
                <w:color w:val="0000FF"/>
              </w:rPr>
            </w:pPr>
            <w:hyperlink r:id="rId56">
              <w:r>
                <w:rPr>
                  <w:rFonts w:ascii="Arial" w:cs="Arial" w:eastAsia="Arial" w:hAnsi="Arial"/>
                  <w:sz w:val="18"/>
                  <w:szCs w:val="18"/>
                  <w:color w:val="0000FF"/>
                </w:rPr>
                <w:t>Amended and Restated Certificate of Incorporation of Avis Budget Group, Inc. (Incorporated by reference to Exhibit 3.1 to</w:t>
              </w:r>
            </w:hyperlink>
          </w:p>
        </w:tc>
      </w:tr>
      <w:tr>
        <w:trPr>
          <w:trHeight w:val="155"/>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9"/>
              </w:rPr>
            </w:pPr>
            <w:hyperlink r:id="rId56">
              <w:r>
                <w:rPr>
                  <w:rFonts w:ascii="Arial" w:cs="Arial" w:eastAsia="Arial" w:hAnsi="Arial"/>
                  <w:sz w:val="18"/>
                  <w:szCs w:val="18"/>
                  <w:color w:val="0000FF"/>
                  <w:w w:val="99"/>
                </w:rPr>
                <w:t>the Company’s Current Report on Form 8-K dated September 5, 2006).</w:t>
              </w:r>
            </w:hyperlink>
          </w:p>
        </w:tc>
        <w:tc>
          <w:tcPr>
            <w:tcW w:w="398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860" w:type="dxa"/>
            <w:vAlign w:val="bottom"/>
          </w:tcPr>
          <w:p>
            <w:pPr>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19"/>
                <w:szCs w:val="19"/>
                <w:color w:val="auto"/>
              </w:rPr>
            </w:pPr>
          </w:p>
        </w:tc>
        <w:tc>
          <w:tcPr>
            <w:tcW w:w="9760" w:type="dxa"/>
            <w:vAlign w:val="bottom"/>
            <w:gridSpan w:val="13"/>
          </w:tcPr>
          <w:p>
            <w:pPr>
              <w:spacing w:after="0"/>
              <w:rPr>
                <w:rFonts w:ascii="Arial" w:cs="Arial" w:eastAsia="Arial" w:hAnsi="Arial"/>
                <w:sz w:val="18"/>
                <w:szCs w:val="18"/>
                <w:color w:val="0000FF"/>
              </w:rPr>
            </w:pPr>
            <w:hyperlink r:id="rId57">
              <w:r>
                <w:rPr>
                  <w:rFonts w:ascii="Arial" w:cs="Arial" w:eastAsia="Arial" w:hAnsi="Arial"/>
                  <w:sz w:val="18"/>
                  <w:szCs w:val="18"/>
                  <w:color w:val="0000FF"/>
                </w:rPr>
                <w:t>Amended and Restated Bylaws of Avis Budget Group, Inc., dated as of August 10, 2020 (incorporated by reference to</w:t>
              </w:r>
            </w:hyperlink>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38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57">
              <w:r>
                <w:rPr>
                  <w:rFonts w:ascii="Arial" w:cs="Arial" w:eastAsia="Arial" w:hAnsi="Arial"/>
                  <w:sz w:val="18"/>
                  <w:szCs w:val="18"/>
                  <w:color w:val="0000FF"/>
                </w:rPr>
                <w:t>Exhibit 3.2 to the Company’s Current Report on Form 8-K dated August 13, 2020).</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3640" w:type="dxa"/>
            <w:vAlign w:val="bottom"/>
            <w:gridSpan w:val="4"/>
            <w:shd w:val="clear" w:color="auto" w:fill="0000FF"/>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860" w:type="dxa"/>
            <w:vAlign w:val="bottom"/>
          </w:tcPr>
          <w:p>
            <w:pPr>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19"/>
                <w:szCs w:val="19"/>
                <w:color w:val="auto"/>
              </w:rPr>
            </w:pPr>
          </w:p>
        </w:tc>
        <w:tc>
          <w:tcPr>
            <w:tcW w:w="9760" w:type="dxa"/>
            <w:vAlign w:val="bottom"/>
            <w:gridSpan w:val="13"/>
          </w:tcPr>
          <w:p>
            <w:pPr>
              <w:spacing w:after="0"/>
              <w:rPr>
                <w:rFonts w:ascii="Arial" w:cs="Arial" w:eastAsia="Arial" w:hAnsi="Arial"/>
                <w:sz w:val="18"/>
                <w:szCs w:val="18"/>
                <w:color w:val="0000FF"/>
                <w:w w:val="99"/>
              </w:rPr>
            </w:pPr>
            <w:hyperlink r:id="rId58">
              <w:r>
                <w:rPr>
                  <w:rFonts w:ascii="Arial" w:cs="Arial" w:eastAsia="Arial" w:hAnsi="Arial"/>
                  <w:sz w:val="18"/>
                  <w:szCs w:val="18"/>
                  <w:color w:val="0000FF"/>
                  <w:w w:val="99"/>
                </w:rPr>
                <w:t>Amendment No. 2 to the Sixth Amended and Restated Credit Agreement, dated as of March 24, 2022, among Avis Budget</w:t>
              </w:r>
            </w:hyperlink>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74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58">
              <w:r>
                <w:rPr>
                  <w:rFonts w:ascii="Arial" w:cs="Arial" w:eastAsia="Arial" w:hAnsi="Arial"/>
                  <w:sz w:val="18"/>
                  <w:szCs w:val="18"/>
                  <w:color w:val="0000FF"/>
                </w:rPr>
                <w:t>Holdings, LLC, Avis Budget Car Rental, LLC, Avis Budget Group, Inc., the subsidiary borrowers from time to time party</w:t>
              </w:r>
            </w:hyperlink>
          </w:p>
        </w:tc>
        <w:tc>
          <w:tcPr>
            <w:tcW w:w="20" w:type="dxa"/>
            <w:vAlign w:val="bottom"/>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6040" w:type="dxa"/>
            <w:vAlign w:val="bottom"/>
            <w:gridSpan w:val="5"/>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69"/>
        </w:trPr>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760" w:type="dxa"/>
            <w:vAlign w:val="bottom"/>
            <w:gridSpan w:val="13"/>
          </w:tcPr>
          <w:p>
            <w:pPr>
              <w:spacing w:after="0" w:line="169" w:lineRule="exact"/>
              <w:rPr>
                <w:rFonts w:ascii="Arial" w:cs="Arial" w:eastAsia="Arial" w:hAnsi="Arial"/>
                <w:sz w:val="18"/>
                <w:szCs w:val="18"/>
                <w:color w:val="0000FF"/>
              </w:rPr>
            </w:pPr>
            <w:hyperlink r:id="rId58">
              <w:r>
                <w:rPr>
                  <w:rFonts w:ascii="Arial" w:cs="Arial" w:eastAsia="Arial" w:hAnsi="Arial"/>
                  <w:sz w:val="18"/>
                  <w:szCs w:val="18"/>
                  <w:color w:val="0000FF"/>
                </w:rPr>
                <w:t>thereto, the financial institutions from time to time party thereto and JPMorgan Chase Bank, N.A., as Administrative Agent</w:t>
              </w:r>
            </w:hyperlink>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8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58">
              <w:r>
                <w:rPr>
                  <w:rFonts w:ascii="Arial" w:cs="Arial" w:eastAsia="Arial" w:hAnsi="Arial"/>
                  <w:sz w:val="18"/>
                  <w:szCs w:val="18"/>
                  <w:color w:val="0000FF"/>
                </w:rPr>
                <w:t>(incorporated by reference to Exhibit 10.1 to the Company’s Current Report on Form 8-K dated March 25, 2022).</w:t>
              </w:r>
            </w:hyperlink>
          </w:p>
        </w:tc>
        <w:tc>
          <w:tcPr>
            <w:tcW w:w="80" w:type="dxa"/>
            <w:vAlign w:val="bottom"/>
            <w:gridSpan w:val="2"/>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6040" w:type="dxa"/>
            <w:vAlign w:val="bottom"/>
            <w:gridSpan w:val="5"/>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18"/>
                <w:szCs w:val="18"/>
                <w:color w:val="auto"/>
              </w:rPr>
            </w:pPr>
          </w:p>
        </w:tc>
        <w:tc>
          <w:tcPr>
            <w:tcW w:w="9760" w:type="dxa"/>
            <w:vAlign w:val="bottom"/>
            <w:gridSpan w:val="13"/>
          </w:tcPr>
          <w:p>
            <w:pPr>
              <w:spacing w:after="0"/>
              <w:rPr>
                <w:rFonts w:ascii="Arial" w:cs="Arial" w:eastAsia="Arial" w:hAnsi="Arial"/>
                <w:sz w:val="18"/>
                <w:szCs w:val="18"/>
                <w:color w:val="0000FF"/>
                <w:w w:val="99"/>
              </w:rPr>
            </w:pPr>
            <w:hyperlink r:id="rId59">
              <w:r>
                <w:rPr>
                  <w:rFonts w:ascii="Arial" w:cs="Arial" w:eastAsia="Arial" w:hAnsi="Arial"/>
                  <w:sz w:val="18"/>
                  <w:szCs w:val="18"/>
                  <w:color w:val="0000FF"/>
                  <w:w w:val="99"/>
                </w:rPr>
                <w:t>Amendment No. 1 to the Sixth Amended and Restated Credit Agreement, dated as of March 16, 2022, among Avis Budget</w:t>
              </w:r>
            </w:hyperlink>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74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59">
              <w:r>
                <w:rPr>
                  <w:rFonts w:ascii="Arial" w:cs="Arial" w:eastAsia="Arial" w:hAnsi="Arial"/>
                  <w:sz w:val="18"/>
                  <w:szCs w:val="18"/>
                  <w:color w:val="0000FF"/>
                </w:rPr>
                <w:t>Holdings, LLC, Avis Budget Car Rental, LLC, Avis Budget Group, Inc., the subsidiary borrowers from time to time party</w:t>
              </w:r>
            </w:hyperlink>
          </w:p>
        </w:tc>
        <w:tc>
          <w:tcPr>
            <w:tcW w:w="20" w:type="dxa"/>
            <w:vAlign w:val="bottom"/>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6520" w:type="dxa"/>
            <w:vAlign w:val="bottom"/>
            <w:tcBorders>
              <w:right w:val="single" w:sz="8" w:color="0000FF"/>
            </w:tcBorders>
            <w:gridSpan w:val="7"/>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r>
      <w:tr>
        <w:trPr>
          <w:trHeight w:val="169"/>
        </w:trPr>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760" w:type="dxa"/>
            <w:vAlign w:val="bottom"/>
            <w:gridSpan w:val="13"/>
          </w:tcPr>
          <w:p>
            <w:pPr>
              <w:spacing w:after="0" w:line="169" w:lineRule="exact"/>
              <w:rPr>
                <w:rFonts w:ascii="Arial" w:cs="Arial" w:eastAsia="Arial" w:hAnsi="Arial"/>
                <w:sz w:val="18"/>
                <w:szCs w:val="18"/>
                <w:color w:val="0000FF"/>
              </w:rPr>
            </w:pPr>
            <w:hyperlink r:id="rId59">
              <w:r>
                <w:rPr>
                  <w:rFonts w:ascii="Arial" w:cs="Arial" w:eastAsia="Arial" w:hAnsi="Arial"/>
                  <w:sz w:val="18"/>
                  <w:szCs w:val="18"/>
                  <w:color w:val="0000FF"/>
                </w:rPr>
                <w:t>thereto, the financial institutions from time to time party thereto and JPMorgan Chase Bank, N.A., as Administrative Agent</w:t>
              </w:r>
            </w:hyperlink>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8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59">
              <w:r>
                <w:rPr>
                  <w:rFonts w:ascii="Arial" w:cs="Arial" w:eastAsia="Arial" w:hAnsi="Arial"/>
                  <w:sz w:val="18"/>
                  <w:szCs w:val="18"/>
                  <w:color w:val="0000FF"/>
                </w:rPr>
                <w:t>(incorporated by reference to Exhibit 10.2 to the Company’s Current Report on Form 8-K dated March 25, 2022).</w:t>
              </w:r>
            </w:hyperlink>
          </w:p>
        </w:tc>
        <w:tc>
          <w:tcPr>
            <w:tcW w:w="80" w:type="dxa"/>
            <w:vAlign w:val="bottom"/>
            <w:gridSpan w:val="2"/>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6040" w:type="dxa"/>
            <w:vAlign w:val="bottom"/>
            <w:gridSpan w:val="5"/>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r>
      <w:tr>
        <w:trPr>
          <w:trHeight w:val="209"/>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400" w:type="dxa"/>
            <w:vAlign w:val="bottom"/>
          </w:tcPr>
          <w:p>
            <w:pPr>
              <w:spacing w:after="0"/>
              <w:rPr>
                <w:sz w:val="18"/>
                <w:szCs w:val="18"/>
                <w:color w:val="auto"/>
              </w:rPr>
            </w:pPr>
          </w:p>
        </w:tc>
        <w:tc>
          <w:tcPr>
            <w:tcW w:w="9760" w:type="dxa"/>
            <w:vAlign w:val="bottom"/>
            <w:gridSpan w:val="13"/>
          </w:tcPr>
          <w:p>
            <w:pPr>
              <w:spacing w:after="0"/>
              <w:rPr>
                <w:sz w:val="20"/>
                <w:szCs w:val="20"/>
                <w:color w:val="auto"/>
              </w:rPr>
            </w:pPr>
            <w:r>
              <w:rPr>
                <w:rFonts w:ascii="Arial" w:cs="Arial" w:eastAsia="Arial" w:hAnsi="Arial"/>
                <w:sz w:val="18"/>
                <w:szCs w:val="18"/>
                <w:color w:val="0000FF"/>
              </w:rPr>
              <w:t>Certification of Chief Executive Officer pursuant to Rules 13(a)-14(a) and 15(d)-14(a) promulgated under the Securities</w:t>
            </w:r>
          </w:p>
        </w:tc>
      </w:tr>
      <w:tr>
        <w:trPr>
          <w:trHeight w:val="156"/>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40" w:type="dxa"/>
            <w:vAlign w:val="bottom"/>
            <w:tcBorders>
              <w:top w:val="single" w:sz="8" w:color="0000FF"/>
            </w:tcBorders>
            <w:gridSpan w:val="9"/>
          </w:tcPr>
          <w:p>
            <w:pPr>
              <w:spacing w:after="0" w:line="156" w:lineRule="exact"/>
              <w:rPr>
                <w:sz w:val="20"/>
                <w:szCs w:val="20"/>
                <w:color w:val="auto"/>
              </w:rPr>
            </w:pPr>
            <w:r>
              <w:rPr>
                <w:rFonts w:ascii="Arial" w:cs="Arial" w:eastAsia="Arial" w:hAnsi="Arial"/>
                <w:sz w:val="18"/>
                <w:szCs w:val="18"/>
                <w:color w:val="0000FF"/>
              </w:rPr>
              <w:t>Exchange Act of 1934, as amended.</w:t>
            </w:r>
          </w:p>
        </w:tc>
        <w:tc>
          <w:tcPr>
            <w:tcW w:w="320" w:type="dxa"/>
            <w:vAlign w:val="bottom"/>
            <w:gridSpan w:val="4"/>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6520" w:type="dxa"/>
            <w:vAlign w:val="bottom"/>
            <w:gridSpan w:val="7"/>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r>
      <w:tr>
        <w:trPr>
          <w:trHeight w:val="223"/>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19"/>
                <w:szCs w:val="19"/>
                <w:color w:val="auto"/>
              </w:rPr>
            </w:pPr>
          </w:p>
        </w:tc>
        <w:tc>
          <w:tcPr>
            <w:tcW w:w="9760" w:type="dxa"/>
            <w:vAlign w:val="bottom"/>
            <w:gridSpan w:val="13"/>
          </w:tcPr>
          <w:p>
            <w:pPr>
              <w:spacing w:after="0"/>
              <w:rPr>
                <w:sz w:val="20"/>
                <w:szCs w:val="20"/>
                <w:color w:val="auto"/>
              </w:rPr>
            </w:pPr>
            <w:r>
              <w:rPr>
                <w:rFonts w:ascii="Arial" w:cs="Arial" w:eastAsia="Arial" w:hAnsi="Arial"/>
                <w:sz w:val="18"/>
                <w:szCs w:val="18"/>
                <w:color w:val="0000FF"/>
              </w:rPr>
              <w:t>Certification of Chief Financial Officer pursuant to Rules 13(a)-14(a) and 15(d)-14(a) promulgated under the Securities</w:t>
            </w:r>
          </w:p>
        </w:tc>
      </w:tr>
      <w:tr>
        <w:trPr>
          <w:trHeight w:val="155"/>
        </w:trPr>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20" w:type="dxa"/>
            <w:vAlign w:val="bottom"/>
            <w:tcBorders>
              <w:top w:val="single" w:sz="8" w:color="0000FF"/>
            </w:tcBorders>
            <w:gridSpan w:val="8"/>
          </w:tcPr>
          <w:p>
            <w:pPr>
              <w:spacing w:after="0" w:line="156" w:lineRule="exact"/>
              <w:rPr>
                <w:sz w:val="20"/>
                <w:szCs w:val="20"/>
                <w:color w:val="auto"/>
              </w:rPr>
            </w:pPr>
            <w:r>
              <w:rPr>
                <w:rFonts w:ascii="Arial" w:cs="Arial" w:eastAsia="Arial" w:hAnsi="Arial"/>
                <w:sz w:val="18"/>
                <w:szCs w:val="18"/>
                <w:color w:val="0000FF"/>
              </w:rPr>
              <w:t>Exchange Act of 1934, as amended.</w:t>
            </w:r>
          </w:p>
        </w:tc>
        <w:tc>
          <w:tcPr>
            <w:tcW w:w="340" w:type="dxa"/>
            <w:vAlign w:val="bottom"/>
            <w:gridSpan w:val="5"/>
          </w:tcPr>
          <w:p>
            <w:pPr>
              <w:spacing w:after="0"/>
              <w:rPr>
                <w:sz w:val="13"/>
                <w:szCs w:val="13"/>
                <w:color w:val="auto"/>
              </w:rPr>
            </w:pPr>
          </w:p>
        </w:tc>
      </w:tr>
      <w:tr>
        <w:trPr>
          <w:trHeight w:val="20"/>
        </w:trPr>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5" w:lineRule="exact"/>
        <w:rPr>
          <w:sz w:val="20"/>
          <w:szCs w:val="20"/>
          <w:color w:val="auto"/>
        </w:rPr>
      </w:pPr>
    </w:p>
    <w:p>
      <w:pPr>
        <w:ind w:left="1280" w:hanging="1254"/>
        <w:spacing w:after="0"/>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0000FF"/>
        </w:rPr>
        <w:t>Certification pursuant to 18 U.S.C. Section 1350, as adopted pursuant to Section 906 of the Sarbanes-Oxley Act of 2002.</w:t>
      </w:r>
    </w:p>
    <w:tbl>
      <w:tblPr>
        <w:tblLayout w:type="fixed"/>
        <w:tblInd w:w="20" w:type="dxa"/>
        <w:tblCellMar>
          <w:top w:w="0" w:type="dxa"/>
          <w:left w:w="0" w:type="dxa"/>
          <w:bottom w:w="0" w:type="dxa"/>
          <w:right w:w="0" w:type="dxa"/>
        </w:tblCellMar>
      </w:tblPr>
      <w:tr>
        <w:trPr>
          <w:trHeight w:val="203"/>
        </w:trPr>
        <w:tc>
          <w:tcPr>
            <w:tcW w:w="1000" w:type="dxa"/>
            <w:vAlign w:val="bottom"/>
          </w:tcPr>
          <w:p>
            <w:pPr>
              <w:spacing w:after="0" w:line="203" w:lineRule="exact"/>
              <w:rPr>
                <w:sz w:val="20"/>
                <w:szCs w:val="20"/>
                <w:color w:val="auto"/>
              </w:rPr>
            </w:pPr>
            <w:r>
              <w:rPr>
                <w:rFonts w:ascii="Arial" w:cs="Arial" w:eastAsia="Arial" w:hAnsi="Arial"/>
                <w:sz w:val="18"/>
                <w:szCs w:val="18"/>
                <w:color w:val="auto"/>
              </w:rPr>
              <w:t>101.INS</w:t>
            </w:r>
          </w:p>
        </w:tc>
        <w:tc>
          <w:tcPr>
            <w:tcW w:w="9980" w:type="dxa"/>
            <w:vAlign w:val="bottom"/>
          </w:tcPr>
          <w:p>
            <w:pPr>
              <w:ind w:left="260"/>
              <w:spacing w:after="0" w:line="203" w:lineRule="exact"/>
              <w:rPr>
                <w:sz w:val="20"/>
                <w:szCs w:val="20"/>
                <w:color w:val="auto"/>
              </w:rPr>
            </w:pPr>
            <w:r>
              <w:rPr>
                <w:rFonts w:ascii="Arial" w:cs="Arial" w:eastAsia="Arial" w:hAnsi="Arial"/>
                <w:sz w:val="18"/>
                <w:szCs w:val="18"/>
                <w:color w:val="auto"/>
                <w:w w:val="99"/>
              </w:rPr>
              <w:t>XBRL Instance Document - the instance document does not appear in the Interactive Data File because its XBRL tags are</w:t>
            </w:r>
          </w:p>
        </w:tc>
      </w:tr>
      <w:tr>
        <w:trPr>
          <w:trHeight w:val="238"/>
        </w:trPr>
        <w:tc>
          <w:tcPr>
            <w:tcW w:w="1000" w:type="dxa"/>
            <w:vAlign w:val="bottom"/>
          </w:tcPr>
          <w:p>
            <w:pPr>
              <w:spacing w:after="0"/>
              <w:rPr>
                <w:sz w:val="20"/>
                <w:szCs w:val="20"/>
                <w:color w:val="auto"/>
              </w:rPr>
            </w:pPr>
          </w:p>
        </w:tc>
        <w:tc>
          <w:tcPr>
            <w:tcW w:w="9980" w:type="dxa"/>
            <w:vAlign w:val="bottom"/>
          </w:tcPr>
          <w:p>
            <w:pPr>
              <w:ind w:left="260"/>
              <w:spacing w:after="0"/>
              <w:rPr>
                <w:sz w:val="20"/>
                <w:szCs w:val="20"/>
                <w:color w:val="auto"/>
              </w:rPr>
            </w:pPr>
            <w:r>
              <w:rPr>
                <w:rFonts w:ascii="Arial" w:cs="Arial" w:eastAsia="Arial" w:hAnsi="Arial"/>
                <w:sz w:val="18"/>
                <w:szCs w:val="18"/>
                <w:color w:val="auto"/>
              </w:rPr>
              <w:t>embedded within the Inline XBRL document.</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9980" w:type="dxa"/>
            <w:vAlign w:val="bottom"/>
          </w:tcPr>
          <w:p>
            <w:pPr>
              <w:ind w:left="260"/>
              <w:spacing w:after="0"/>
              <w:rPr>
                <w:sz w:val="20"/>
                <w:szCs w:val="20"/>
                <w:color w:val="auto"/>
              </w:rPr>
            </w:pPr>
            <w:r>
              <w:rPr>
                <w:rFonts w:ascii="Arial" w:cs="Arial" w:eastAsia="Arial" w:hAnsi="Arial"/>
                <w:sz w:val="18"/>
                <w:szCs w:val="18"/>
                <w:color w:val="auto"/>
              </w:rPr>
              <w:t>XBRL Taxonomy Extension Schema.</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9980" w:type="dxa"/>
            <w:vAlign w:val="bottom"/>
          </w:tcPr>
          <w:p>
            <w:pPr>
              <w:ind w:left="260"/>
              <w:spacing w:after="0"/>
              <w:rPr>
                <w:sz w:val="20"/>
                <w:szCs w:val="20"/>
                <w:color w:val="auto"/>
              </w:rPr>
            </w:pPr>
            <w:r>
              <w:rPr>
                <w:rFonts w:ascii="Arial" w:cs="Arial" w:eastAsia="Arial" w:hAnsi="Arial"/>
                <w:sz w:val="18"/>
                <w:szCs w:val="18"/>
                <w:color w:val="auto"/>
              </w:rPr>
              <w:t>XBRL Taxonomy Extension Calculation Linkbase.</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9980" w:type="dxa"/>
            <w:vAlign w:val="bottom"/>
          </w:tcPr>
          <w:p>
            <w:pPr>
              <w:ind w:left="260"/>
              <w:spacing w:after="0"/>
              <w:rPr>
                <w:sz w:val="20"/>
                <w:szCs w:val="20"/>
                <w:color w:val="auto"/>
              </w:rPr>
            </w:pPr>
            <w:r>
              <w:rPr>
                <w:rFonts w:ascii="Arial" w:cs="Arial" w:eastAsia="Arial" w:hAnsi="Arial"/>
                <w:sz w:val="18"/>
                <w:szCs w:val="18"/>
                <w:color w:val="auto"/>
              </w:rPr>
              <w:t>XBRL Taxonomy Extension Definition Linkbase.</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9980" w:type="dxa"/>
            <w:vAlign w:val="bottom"/>
          </w:tcPr>
          <w:p>
            <w:pPr>
              <w:ind w:left="260"/>
              <w:spacing w:after="0"/>
              <w:rPr>
                <w:sz w:val="20"/>
                <w:szCs w:val="20"/>
                <w:color w:val="auto"/>
              </w:rPr>
            </w:pPr>
            <w:r>
              <w:rPr>
                <w:rFonts w:ascii="Arial" w:cs="Arial" w:eastAsia="Arial" w:hAnsi="Arial"/>
                <w:sz w:val="18"/>
                <w:szCs w:val="18"/>
                <w:color w:val="auto"/>
              </w:rPr>
              <w:t>XBRL Taxonomy Extension Label Linkbase.</w:t>
            </w:r>
          </w:p>
        </w:tc>
      </w:tr>
      <w:tr>
        <w:trPr>
          <w:trHeight w:val="239"/>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9980" w:type="dxa"/>
            <w:vAlign w:val="bottom"/>
          </w:tcPr>
          <w:p>
            <w:pPr>
              <w:ind w:left="260"/>
              <w:spacing w:after="0"/>
              <w:rPr>
                <w:sz w:val="20"/>
                <w:szCs w:val="20"/>
                <w:color w:val="auto"/>
              </w:rPr>
            </w:pPr>
            <w:r>
              <w:rPr>
                <w:rFonts w:ascii="Arial" w:cs="Arial" w:eastAsia="Arial" w:hAnsi="Arial"/>
                <w:sz w:val="18"/>
                <w:szCs w:val="18"/>
                <w:color w:val="auto"/>
              </w:rPr>
              <w:t>XBRL Taxonomy Extension Presentation Linkbase.</w:t>
            </w:r>
          </w:p>
        </w:tc>
      </w:tr>
    </w:tbl>
    <w:p>
      <w:pPr>
        <w:ind w:left="1280" w:hanging="1254"/>
        <w:spacing w:after="0"/>
        <w:tabs>
          <w:tab w:leader="none" w:pos="1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Cover Page Interactive Data File -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1"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36</w:t>
      </w:r>
    </w:p>
    <w:p>
      <w:pPr>
        <w:sectPr>
          <w:pgSz w:w="11900" w:h="16838" w:orient="portrait"/>
          <w:cols w:equalWidth="0" w:num="1">
            <w:col w:w="11040"/>
          </w:cols>
          <w:pgMar w:left="320" w:top="121" w:right="5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I, Joseph A. Ferraro, certify that:</w:t>
      </w:r>
    </w:p>
    <w:p>
      <w:pPr>
        <w:spacing w:after="0" w:line="90" w:lineRule="exact"/>
        <w:rPr>
          <w:sz w:val="20"/>
          <w:szCs w:val="20"/>
          <w:color w:val="auto"/>
        </w:rPr>
      </w:pPr>
    </w:p>
    <w:p>
      <w:pPr>
        <w:ind w:left="640" w:hanging="308"/>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03" w:lineRule="exact"/>
        <w:rPr>
          <w:rFonts w:ascii="Arial" w:cs="Arial" w:eastAsia="Arial" w:hAnsi="Arial"/>
          <w:sz w:val="18"/>
          <w:szCs w:val="18"/>
          <w:color w:val="auto"/>
        </w:rPr>
      </w:pPr>
    </w:p>
    <w:p>
      <w:pPr>
        <w:ind w:left="660" w:right="80" w:hanging="328"/>
        <w:spacing w:after="0" w:line="268" w:lineRule="auto"/>
        <w:tabs>
          <w:tab w:leader="none" w:pos="648"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8"/>
          <w:szCs w:val="18"/>
          <w:color w:val="auto"/>
        </w:rPr>
      </w:pPr>
    </w:p>
    <w:p>
      <w:pPr>
        <w:ind w:left="1300" w:hanging="320"/>
        <w:spacing w:after="0" w:line="268" w:lineRule="auto"/>
        <w:tabs>
          <w:tab w:leader="none" w:pos="129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8"/>
          <w:szCs w:val="18"/>
          <w:color w:val="auto"/>
        </w:rPr>
      </w:pPr>
    </w:p>
    <w:p>
      <w:pPr>
        <w:ind w:left="1300" w:right="540" w:hanging="320"/>
        <w:spacing w:after="0" w:line="291" w:lineRule="auto"/>
        <w:tabs>
          <w:tab w:leader="none" w:pos="1298"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 w:lineRule="exact"/>
        <w:rPr>
          <w:rFonts w:ascii="Arial" w:cs="Arial" w:eastAsia="Arial" w:hAnsi="Arial"/>
          <w:sz w:val="17"/>
          <w:szCs w:val="17"/>
          <w:color w:val="auto"/>
        </w:rPr>
      </w:pPr>
    </w:p>
    <w:p>
      <w:pPr>
        <w:ind w:left="1300" w:right="300" w:hanging="320"/>
        <w:spacing w:after="0" w:line="268" w:lineRule="auto"/>
        <w:tabs>
          <w:tab w:leader="none" w:pos="1288"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8"/>
          <w:szCs w:val="18"/>
          <w:color w:val="auto"/>
        </w:rPr>
      </w:pPr>
    </w:p>
    <w:p>
      <w:pPr>
        <w:ind w:left="1300" w:right="60" w:hanging="320"/>
        <w:spacing w:after="0" w:line="268" w:lineRule="auto"/>
        <w:tabs>
          <w:tab w:leader="none" w:pos="129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8"/>
          <w:szCs w:val="18"/>
          <w:color w:val="auto"/>
        </w:rPr>
      </w:pPr>
    </w:p>
    <w:p>
      <w:pPr>
        <w:ind w:left="660" w:right="360" w:hanging="328"/>
        <w:spacing w:after="0" w:line="268" w:lineRule="auto"/>
        <w:tabs>
          <w:tab w:leader="none" w:pos="64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8"/>
          <w:szCs w:val="18"/>
          <w:color w:val="auto"/>
        </w:rPr>
      </w:pPr>
    </w:p>
    <w:p>
      <w:pPr>
        <w:jc w:val="both"/>
        <w:ind w:left="1300" w:right="440" w:hanging="320"/>
        <w:spacing w:after="0" w:line="268" w:lineRule="auto"/>
        <w:tabs>
          <w:tab w:leader="none" w:pos="1298"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8"/>
          <w:szCs w:val="18"/>
          <w:color w:val="auto"/>
        </w:rPr>
      </w:pPr>
    </w:p>
    <w:p>
      <w:pPr>
        <w:ind w:left="1300" w:right="780" w:hanging="320"/>
        <w:spacing w:after="0" w:line="287" w:lineRule="auto"/>
        <w:tabs>
          <w:tab w:leader="none" w:pos="1298"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May 3, 2022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Joseph A.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17780</wp:posOffset>
            </wp:positionV>
            <wp:extent cx="28632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0"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Brian Choi, certify that:</w:t>
      </w:r>
    </w:p>
    <w:p>
      <w:pPr>
        <w:spacing w:after="0" w:line="171" w:lineRule="exact"/>
        <w:rPr>
          <w:sz w:val="20"/>
          <w:szCs w:val="20"/>
          <w:color w:val="auto"/>
        </w:rPr>
      </w:pPr>
    </w:p>
    <w:p>
      <w:pPr>
        <w:ind w:left="640" w:hanging="308"/>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80" w:hanging="328"/>
        <w:spacing w:after="0" w:line="268" w:lineRule="auto"/>
        <w:tabs>
          <w:tab w:leader="none" w:pos="648"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1300" w:hanging="320"/>
        <w:spacing w:after="0" w:line="268" w:lineRule="auto"/>
        <w:tabs>
          <w:tab w:leader="none" w:pos="1298"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320"/>
        <w:spacing w:after="0" w:line="291" w:lineRule="auto"/>
        <w:tabs>
          <w:tab w:leader="none" w:pos="1298" w:val="left"/>
        </w:tabs>
        <w:numPr>
          <w:ilvl w:val="1"/>
          <w:numId w:val="4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320"/>
        <w:spacing w:after="0" w:line="268" w:lineRule="auto"/>
        <w:tabs>
          <w:tab w:leader="none" w:pos="1288"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60" w:hanging="320"/>
        <w:spacing w:after="0" w:line="268" w:lineRule="auto"/>
        <w:tabs>
          <w:tab w:leader="none" w:pos="1298"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right="360" w:hanging="328"/>
        <w:spacing w:after="0" w:line="268" w:lineRule="auto"/>
        <w:tabs>
          <w:tab w:leader="none" w:pos="64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40" w:hanging="320"/>
        <w:spacing w:after="0" w:line="268" w:lineRule="auto"/>
        <w:tabs>
          <w:tab w:leader="none" w:pos="1298"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320"/>
        <w:spacing w:after="0" w:line="287" w:lineRule="auto"/>
        <w:tabs>
          <w:tab w:leader="none" w:pos="1298"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May 3, 2022</w:t>
      </w:r>
    </w:p>
    <w:p>
      <w:pPr>
        <w:spacing w:after="0" w:line="266" w:lineRule="exact"/>
        <w:rPr>
          <w:sz w:val="20"/>
          <w:szCs w:val="20"/>
          <w:color w:val="auto"/>
        </w:rPr>
      </w:pPr>
    </w:p>
    <w:p>
      <w:pPr>
        <w:jc w:val="center"/>
        <w:ind w:right="-19"/>
        <w:spacing w:after="0"/>
        <w:tabs>
          <w:tab w:leader="none" w:pos="1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Brian Choi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17780</wp:posOffset>
            </wp:positionV>
            <wp:extent cx="41662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90"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connection with the Quarterly Report of Avis Budget Group, Inc. (the “Company”) on Form 10-Q for the period ended March 31, 2022, as filed with the Securities and Exchange Commission on the date hereof (the “Report”), Joseph A. Ferraro, as Chief Executive Officer of the Company, and Brian Choi, as Chief Financial Officer of the Company, each hereby certifies, pursuant to 18 U.S.C. Section 1350, as adopted pursuant to Section 906 of the Sarbanes-Oxley Act of 2002, that, to the best of his knowledge:</w:t>
      </w:r>
    </w:p>
    <w:p>
      <w:pPr>
        <w:spacing w:after="0" w:line="122" w:lineRule="exact"/>
        <w:rPr>
          <w:sz w:val="20"/>
          <w:szCs w:val="20"/>
          <w:color w:val="auto"/>
        </w:rPr>
      </w:pPr>
    </w:p>
    <w:p>
      <w:pPr>
        <w:ind w:left="640" w:hanging="308"/>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328"/>
        <w:spacing w:after="0" w:line="287" w:lineRule="auto"/>
        <w:tabs>
          <w:tab w:leader="none" w:pos="65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JOSEPH A. FERRARO</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Joseph A. Ferraro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3, 2022</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BRIAN CHOI</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Brian Choi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3, 2022</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1)"/>
      <w:numFmt w:val="lowerLetter"/>
      <w:start w:val="1"/>
    </w:lvl>
  </w:abstractNum>
  <w:abstractNum w:abstractNumId="5">
    <w:nsid w:val="189A769B"/>
    <w:multiLevelType w:val="hybridMultilevel"/>
    <w:lvl w:ilvl="0">
      <w:lvlJc w:val="left"/>
      <w:lvlText w:val="%1."/>
      <w:numFmt w:val="decimal"/>
      <w:start w:val="2"/>
    </w:lvl>
  </w:abstractNum>
  <w:abstractNum w:abstractNumId="6">
    <w:nsid w:val="54E49EB4"/>
    <w:multiLevelType w:val="hybridMultilevel"/>
    <w:lvl w:ilvl="0">
      <w:lvlJc w:val="left"/>
      <w:lvlText w:val="(%1)"/>
      <w:numFmt w:val="lowerLetter"/>
      <w:start w:val="1"/>
    </w:lvl>
  </w:abstractNum>
  <w:abstractNum w:abstractNumId="7">
    <w:nsid w:val="71F32454"/>
    <w:multiLevelType w:val="hybridMultilevel"/>
    <w:lvl w:ilvl="0">
      <w:lvlJc w:val="left"/>
      <w:lvlText w:val="(%1)"/>
      <w:numFmt w:val="lowerLetter"/>
      <w:start w:val="1"/>
    </w:lvl>
  </w:abstractNum>
  <w:abstractNum w:abstractNumId="8">
    <w:nsid w:val="2CA88611"/>
    <w:multiLevelType w:val="hybridMultilevel"/>
    <w:lvl w:ilvl="0">
      <w:lvlJc w:val="left"/>
      <w:lvlText w:val="(%1)"/>
      <w:numFmt w:val="lowerLetter"/>
      <w:start w:val="1"/>
    </w:lvl>
  </w:abstractNum>
  <w:abstractNum w:abstractNumId="9">
    <w:nsid w:val="836C40E"/>
    <w:multiLevelType w:val="hybridMultilevel"/>
    <w:lvl w:ilvl="0">
      <w:lvlJc w:val="left"/>
      <w:lvlText w:val="%1."/>
      <w:numFmt w:val="decimal"/>
      <w:start w:val="4"/>
    </w:lvl>
  </w:abstractNum>
  <w:abstractNum w:abstractNumId="10">
    <w:nsid w:val="2901D82"/>
    <w:multiLevelType w:val="hybridMultilevel"/>
    <w:lvl w:ilvl="0">
      <w:lvlJc w:val="left"/>
      <w:lvlText w:val="%1"/>
      <w:numFmt w:val="decimal"/>
      <w:start w:val="1"/>
    </w:lvl>
    <w:lvl w:ilvl="1">
      <w:lvlJc w:val="left"/>
      <w:lvlText w:val="(%2)"/>
      <w:numFmt w:val="lowerLetter"/>
      <w:start w:val="1"/>
    </w:lvl>
  </w:abstractNum>
  <w:abstractNum w:abstractNumId="11">
    <w:nsid w:val="3A95F874"/>
    <w:multiLevelType w:val="hybridMultilevel"/>
    <w:lvl w:ilvl="0">
      <w:lvlJc w:val="left"/>
      <w:lvlText w:val="%1."/>
      <w:numFmt w:val="decimal"/>
      <w:start w:val="5"/>
    </w:lvl>
    <w:lvl w:ilvl="1">
      <w:lvlJc w:val="left"/>
      <w:lvlText w:val="%2"/>
      <w:numFmt w:val="lowerLetter"/>
      <w:start w:val="1"/>
    </w:lvl>
  </w:abstractNum>
  <w:abstractNum w:abstractNumId="12">
    <w:nsid w:val="8138641"/>
    <w:multiLevelType w:val="hybridMultilevel"/>
    <w:lvl w:ilvl="0">
      <w:lvlJc w:val="left"/>
      <w:lvlText w:val="%1."/>
      <w:numFmt w:val="decimal"/>
      <w:start w:val="7"/>
    </w:lvl>
  </w:abstractNum>
  <w:abstractNum w:abstractNumId="13">
    <w:nsid w:val="1E7FF521"/>
    <w:multiLevelType w:val="hybridMultilevel"/>
    <w:lvl w:ilvl="0">
      <w:lvlJc w:val="left"/>
      <w:lvlText w:val="%1."/>
      <w:numFmt w:val="decimal"/>
      <w:start w:val="8"/>
    </w:lvl>
  </w:abstractNum>
  <w:abstractNum w:abstractNumId="14">
    <w:nsid w:val="7C3DBD3D"/>
    <w:multiLevelType w:val="hybridMultilevel"/>
    <w:lvl w:ilvl="0">
      <w:lvlJc w:val="left"/>
      <w:lvlText w:val="%1."/>
      <w:numFmt w:val="decimal"/>
      <w:start w:val="10"/>
    </w:lvl>
  </w:abstractNum>
  <w:abstractNum w:abstractNumId="15">
    <w:nsid w:val="737B8DDC"/>
    <w:multiLevelType w:val="hybridMultilevel"/>
    <w:lvl w:ilvl="0">
      <w:lvlJc w:val="left"/>
      <w:lvlText w:val="(%1)"/>
      <w:numFmt w:val="lowerLetter"/>
      <w:start w:val="1"/>
    </w:lvl>
  </w:abstractNum>
  <w:abstractNum w:abstractNumId="16">
    <w:nsid w:val="6CEAF087"/>
    <w:multiLevelType w:val="hybridMultilevel"/>
    <w:lvl w:ilvl="0">
      <w:lvlJc w:val="left"/>
      <w:lvlText w:val="(%1)"/>
      <w:numFmt w:val="lowerLetter"/>
      <w:start w:val="1"/>
    </w:lvl>
  </w:abstractNum>
  <w:abstractNum w:abstractNumId="17">
    <w:nsid w:val="22221A70"/>
    <w:multiLevelType w:val="hybridMultilevel"/>
    <w:lvl w:ilvl="0">
      <w:lvlJc w:val="left"/>
      <w:lvlText w:val="%1."/>
      <w:numFmt w:val="decimal"/>
      <w:start w:val="11"/>
    </w:lvl>
  </w:abstractNum>
  <w:abstractNum w:abstractNumId="18">
    <w:nsid w:val="4516DDE9"/>
    <w:multiLevelType w:val="hybridMultilevel"/>
    <w:lvl w:ilvl="0">
      <w:lvlJc w:val="left"/>
      <w:lvlText w:val="(%1)"/>
      <w:numFmt w:val="lowerLetter"/>
      <w:start w:val="1"/>
    </w:lvl>
  </w:abstractNum>
  <w:abstractNum w:abstractNumId="19">
    <w:nsid w:val="3006C83E"/>
    <w:multiLevelType w:val="hybridMultilevel"/>
    <w:lvl w:ilvl="0">
      <w:lvlJc w:val="left"/>
      <w:lvlText w:val="(%1)"/>
      <w:numFmt w:val="lowerLetter"/>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1)"/>
      <w:numFmt w:val="lowerLetter"/>
      <w:start w:val="1"/>
    </w:lvl>
  </w:abstractNum>
  <w:abstractNum w:abstractNumId="23">
    <w:nsid w:val="440BADFC"/>
    <w:multiLevelType w:val="hybridMultilevel"/>
    <w:lvl w:ilvl="0">
      <w:lvlJc w:val="left"/>
      <w:lvlText w:val="%1."/>
      <w:numFmt w:val="decimal"/>
      <w:start w:val="12"/>
    </w:lvl>
  </w:abstractNum>
  <w:abstractNum w:abstractNumId="24">
    <w:nsid w:val="5072367"/>
    <w:multiLevelType w:val="hybridMultilevel"/>
    <w:lvl w:ilvl="0">
      <w:lvlJc w:val="left"/>
      <w:lvlText w:val="%1."/>
      <w:numFmt w:val="decimal"/>
      <w:start w:val="13"/>
    </w:lvl>
  </w:abstractNum>
  <w:abstractNum w:abstractNumId="25">
    <w:nsid w:val="3804823E"/>
    <w:multiLevelType w:val="hybridMultilevel"/>
    <w:lvl w:ilvl="0">
      <w:lvlJc w:val="left"/>
      <w:lvlText w:val="%1"/>
      <w:numFmt w:val="decimal"/>
      <w:start w:val="1"/>
    </w:lvl>
    <w:lvl w:ilvl="1">
      <w:lvlJc w:val="left"/>
      <w:lvlText w:val="(%2)"/>
      <w:numFmt w:val="lowerLetter"/>
      <w:start w:val="1"/>
    </w:lvl>
  </w:abstractNum>
  <w:abstractNum w:abstractNumId="26">
    <w:nsid w:val="77465F01"/>
    <w:multiLevelType w:val="hybridMultilevel"/>
    <w:lvl w:ilvl="0">
      <w:lvlJc w:val="left"/>
      <w:lvlText w:val="%1."/>
      <w:numFmt w:val="decimal"/>
      <w:start w:val="14"/>
    </w:lvl>
    <w:lvl w:ilvl="1">
      <w:lvlJc w:val="left"/>
      <w:lvlText w:val="%2"/>
      <w:numFmt w:val="lowerLetter"/>
      <w:start w:val="1"/>
    </w:lvl>
  </w:abstractNum>
  <w:abstractNum w:abstractNumId="27">
    <w:nsid w:val="7724C67E"/>
    <w:multiLevelType w:val="hybridMultilevel"/>
    <w:lvl w:ilvl="0">
      <w:lvlJc w:val="left"/>
      <w:lvlText w:val="%1."/>
      <w:numFmt w:val="decimal"/>
      <w:start w:val="15"/>
    </w:lvl>
  </w:abstractNum>
  <w:abstractNum w:abstractNumId="28">
    <w:nsid w:val="5C482A97"/>
    <w:multiLevelType w:val="hybridMultilevel"/>
    <w:lvl w:ilvl="0">
      <w:lvlJc w:val="left"/>
      <w:lvlText w:val="%1"/>
      <w:numFmt w:val="decimal"/>
      <w:start w:val="1"/>
    </w:lvl>
    <w:lvl w:ilvl="1">
      <w:lvlJc w:val="left"/>
      <w:lvlText w:val="(%2)"/>
      <w:numFmt w:val="lowerLetter"/>
      <w:start w:val="1"/>
    </w:lvl>
  </w:abstractNum>
  <w:abstractNum w:abstractNumId="29">
    <w:nsid w:val="2463B9EA"/>
    <w:multiLevelType w:val="hybridMultilevel"/>
    <w:lvl w:ilvl="0">
      <w:lvlJc w:val="left"/>
      <w:lvlText w:val="%1."/>
      <w:numFmt w:val="decimal"/>
      <w:start w:val="16"/>
    </w:lvl>
    <w:lvl w:ilvl="1">
      <w:lvlJc w:val="left"/>
      <w:lvlText w:val="%2"/>
      <w:numFmt w:val="lowerLetter"/>
      <w:start w:val="1"/>
    </w:lvl>
  </w:abstractNum>
  <w:abstractNum w:abstractNumId="30">
    <w:nsid w:val="5E884ADC"/>
    <w:multiLevelType w:val="hybridMultilevel"/>
    <w:lvl w:ilvl="0">
      <w:lvlJc w:val="left"/>
      <w:lvlText w:val="(%1)"/>
      <w:numFmt w:val="lowerLetter"/>
      <w:start w:val="1"/>
    </w:lvl>
  </w:abstractNum>
  <w:abstractNum w:abstractNumId="31">
    <w:nsid w:val="51EAD36B"/>
    <w:multiLevelType w:val="hybridMultilevel"/>
    <w:lvl w:ilvl="0">
      <w:lvlJc w:val="left"/>
      <w:lvlText w:val="(%1)"/>
      <w:numFmt w:val="lowerLetter"/>
      <w:start w:val="1"/>
    </w:lvl>
  </w:abstractNum>
  <w:abstractNum w:abstractNumId="32">
    <w:nsid w:val="2D517796"/>
    <w:multiLevelType w:val="hybridMultilevel"/>
    <w:lvl w:ilvl="0">
      <w:lvlJc w:val="left"/>
      <w:lvlText w:val="(%1)"/>
      <w:numFmt w:val="lowerLetter"/>
      <w:start w:val="1"/>
    </w:lvl>
  </w:abstractNum>
  <w:abstractNum w:abstractNumId="33">
    <w:nsid w:val="580BD78F"/>
    <w:multiLevelType w:val="hybridMultilevel"/>
    <w:lvl w:ilvl="0">
      <w:lvlJc w:val="left"/>
      <w:lvlText w:val="(%1)"/>
      <w:numFmt w:val="lowerLetter"/>
      <w:start w:val="6"/>
    </w:lvl>
  </w:abstractNum>
  <w:abstractNum w:abstractNumId="34">
    <w:nsid w:val="153EA438"/>
    <w:multiLevelType w:val="hybridMultilevel"/>
    <w:lvl w:ilvl="0">
      <w:lvlJc w:val="left"/>
      <w:lvlText w:val="%1"/>
      <w:numFmt w:val="decimal"/>
      <w:start w:val="1"/>
    </w:lvl>
    <w:lvl w:ilvl="1">
      <w:lvlJc w:val="left"/>
      <w:lvlText w:val="(%2)"/>
      <w:numFmt w:val="lowerLetter"/>
      <w:start w:val="1"/>
    </w:lvl>
  </w:abstractNum>
  <w:abstractNum w:abstractNumId="35">
    <w:nsid w:val="3855585C"/>
    <w:multiLevelType w:val="hybridMultilevel"/>
    <w:lvl w:ilvl="0">
      <w:lvlJc w:val="left"/>
      <w:lvlText w:val="%1."/>
      <w:numFmt w:val="decimal"/>
      <w:start w:val="17"/>
    </w:lvl>
    <w:lvl w:ilvl="1">
      <w:lvlJc w:val="left"/>
      <w:lvlText w:val="%2"/>
      <w:numFmt w:val="lowerLetter"/>
      <w:start w:val="1"/>
    </w:lvl>
  </w:abstractNum>
  <w:abstractNum w:abstractNumId="36">
    <w:nsid w:val="70A64E2A"/>
    <w:multiLevelType w:val="hybridMultilevel"/>
    <w:lvl w:ilvl="0">
      <w:lvlJc w:val="left"/>
      <w:lvlText w:val="(%1)"/>
      <w:numFmt w:val="lowerLetter"/>
      <w:start w:val="1"/>
    </w:lvl>
  </w:abstractNum>
  <w:abstractNum w:abstractNumId="37">
    <w:nsid w:val="6A2342EC"/>
    <w:multiLevelType w:val="hybridMultilevel"/>
    <w:lvl w:ilvl="0">
      <w:lvlJc w:val="left"/>
      <w:lvlText w:val="%1."/>
      <w:numFmt w:val="decimal"/>
      <w:start w:val="18"/>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1)"/>
      <w:numFmt w:val="lowerLetter"/>
      <w:start w:val="1"/>
    </w:lvl>
  </w:abstractNum>
  <w:abstractNum w:abstractNumId="40">
    <w:nsid w:val="725A06FB"/>
    <w:multiLevelType w:val="hybridMultilevel"/>
    <w:lvl w:ilvl="0">
      <w:lvlJc w:val="left"/>
      <w:lvlText w:val="(%1)"/>
      <w:numFmt w:val="lowerRoman"/>
      <w:start w:val="2"/>
    </w:lvl>
  </w:abstractNum>
  <w:abstractNum w:abstractNumId="41">
    <w:nsid w:val="2CD89A32"/>
    <w:multiLevelType w:val="hybridMultilevel"/>
    <w:lvl w:ilvl="0">
      <w:lvlJc w:val="left"/>
      <w:lvlText w:val="(%1)"/>
      <w:numFmt w:val="lowerLetter"/>
      <w:start w:val="1"/>
    </w:lvl>
  </w:abstractNum>
  <w:abstractNum w:abstractNumId="42">
    <w:nsid w:val="57E4CCAF"/>
    <w:multiLevelType w:val="hybridMultilevel"/>
    <w:lvl w:ilvl="0">
      <w:lvlJc w:val="left"/>
      <w:lvlText w:val="%1"/>
      <w:numFmt w:val="decimal"/>
      <w:start w:val="32"/>
    </w:lvl>
  </w:abstractNum>
  <w:abstractNum w:abstractNumId="43">
    <w:nsid w:val="7A6D8D3C"/>
    <w:multiLevelType w:val="hybridMultilevel"/>
    <w:lvl w:ilvl="0">
      <w:lvlJc w:val="left"/>
      <w:lvlText w:val="%1"/>
      <w:numFmt w:val="decimal"/>
      <w:start w:val="104"/>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56" Type="http://schemas.openxmlformats.org/officeDocument/2006/relationships/hyperlink" Target="http://www.sec.gov/Archives/edgar/data/723612/000072361206000058/articles.htm" TargetMode="External"/><Relationship Id="rId57" Type="http://schemas.openxmlformats.org/officeDocument/2006/relationships/hyperlink" Target="http://www.sec.gov/Archives/edgar/data/723612/000119312520218349/d84038dex32.htm" TargetMode="External"/><Relationship Id="rId58" Type="http://schemas.openxmlformats.org/officeDocument/2006/relationships/hyperlink" Target="http://www.sec.gov/Archives/edgar/data/0000723612/000119312522085353/d330835dex101.htm" TargetMode="External"/><Relationship Id="rId59" Type="http://schemas.openxmlformats.org/officeDocument/2006/relationships/hyperlink" Target="http://www.sec.gov/Archives/edgar/data/0000723612/000119312522085353/d330835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2022-05-03T06:26:06Z</dcterms:created>
  <dcterms:modified xsi:type="dcterms:W3CDTF">2022-05-03T06:26:06Z</dcterms:modified>
</cp:coreProperties>
</file>