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72034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354965</wp:posOffset>
            </wp:positionV>
            <wp:extent cx="7203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200" w:lineRule="exact"/>
        <w:rPr>
          <w:sz w:val="24"/>
          <w:szCs w:val="24"/>
          <w:color w:val="auto"/>
        </w:rPr>
      </w:pPr>
    </w:p>
    <w:p>
      <w:pPr>
        <w:spacing w:after="0" w:line="372"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UNITED STATES</w:t>
      </w:r>
    </w:p>
    <w:p>
      <w:pPr>
        <w:spacing w:after="0" w:line="46"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50165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drawing>
          <wp:anchor simplePos="0" relativeHeight="251657728" behindDoc="1" locked="0" layoutInCell="0" allowOverlap="1">
            <wp:simplePos x="0" y="0"/>
            <wp:positionH relativeFrom="column">
              <wp:posOffset>2894965</wp:posOffset>
            </wp:positionH>
            <wp:positionV relativeFrom="paragraph">
              <wp:posOffset>-231775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340"/>
          </w:cols>
          <w:pgMar w:left="240" w:top="225" w:right="319" w:bottom="1440" w:gutter="0" w:footer="0" w:header="0"/>
        </w:sectPr>
      </w:pPr>
    </w:p>
    <w:p>
      <w:pPr>
        <w:spacing w:after="0" w:line="200" w:lineRule="exact"/>
        <w:rPr>
          <w:sz w:val="24"/>
          <w:szCs w:val="24"/>
          <w:color w:val="auto"/>
        </w:rPr>
      </w:pPr>
    </w:p>
    <w:p>
      <w:pPr>
        <w:spacing w:after="0" w:line="31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325" w:lineRule="exact"/>
        <w:rPr>
          <w:sz w:val="24"/>
          <w:szCs w:val="24"/>
          <w:color w:val="auto"/>
        </w:rPr>
      </w:pPr>
    </w:p>
    <w:p>
      <w:pPr>
        <w:ind w:left="2520"/>
        <w:spacing w:after="0"/>
        <w:rPr>
          <w:sz w:val="20"/>
          <w:szCs w:val="20"/>
          <w:color w:val="auto"/>
        </w:rPr>
      </w:pPr>
      <w:r>
        <w:rPr>
          <w:rFonts w:ascii="Arial" w:cs="Arial" w:eastAsia="Arial" w:hAnsi="Arial"/>
          <w:sz w:val="14"/>
          <w:szCs w:val="14"/>
          <w:b w:val="1"/>
          <w:bCs w:val="1"/>
          <w:color w:val="auto"/>
        </w:rPr>
        <w:t>For the quarterly period ended June 30, 2017</w:t>
      </w:r>
    </w:p>
    <w:p>
      <w:pPr>
        <w:spacing w:after="0" w:line="258" w:lineRule="exact"/>
        <w:rPr>
          <w:sz w:val="24"/>
          <w:szCs w:val="24"/>
          <w:color w:val="auto"/>
        </w:rPr>
      </w:pPr>
    </w:p>
    <w:p>
      <w:pPr>
        <w:ind w:left="3940"/>
        <w:spacing w:after="0"/>
        <w:rPr>
          <w:sz w:val="20"/>
          <w:szCs w:val="20"/>
          <w:color w:val="auto"/>
        </w:rPr>
      </w:pPr>
      <w:r>
        <w:rPr>
          <w:rFonts w:ascii="Arial" w:cs="Arial" w:eastAsia="Arial" w:hAnsi="Arial"/>
          <w:sz w:val="14"/>
          <w:szCs w:val="14"/>
          <w:b w:val="1"/>
          <w:bCs w:val="1"/>
          <w:color w:val="auto"/>
        </w:rPr>
        <w:t>OR</w:t>
      </w:r>
    </w:p>
    <w:p>
      <w:pPr>
        <w:spacing w:after="0" w:line="217" w:lineRule="exact"/>
        <w:rPr>
          <w:sz w:val="24"/>
          <w:szCs w:val="24"/>
          <w:color w:val="auto"/>
        </w:rPr>
      </w:pPr>
    </w:p>
    <w:p>
      <w:pPr>
        <w:ind w:left="2520" w:right="2300" w:hanging="2504"/>
        <w:spacing w:after="0" w:line="513" w:lineRule="auto"/>
        <w:rPr>
          <w:sz w:val="20"/>
          <w:szCs w:val="20"/>
          <w:color w:val="auto"/>
        </w:rPr>
      </w:pPr>
      <w:r>
        <w:rPr>
          <w:rFonts w:ascii="Arial" w:cs="Arial" w:eastAsia="Arial" w:hAnsi="Arial"/>
          <w:sz w:val="14"/>
          <w:szCs w:val="14"/>
          <w:b w:val="1"/>
          <w:bCs w:val="1"/>
          <w:color w:val="auto"/>
        </w:rPr>
        <w:t>TRANSITION REPORT PURSUANT TO SECTION 13 OR 15(d) OF THE SECURITIES EXCHANGE ACT OF 1934 For the transition period from _____ to _____</w:t>
      </w:r>
    </w:p>
    <w:p>
      <w:pPr>
        <w:spacing w:after="0" w:line="1" w:lineRule="exact"/>
        <w:rPr>
          <w:sz w:val="24"/>
          <w:szCs w:val="24"/>
          <w:color w:val="auto"/>
        </w:rPr>
      </w:pPr>
    </w:p>
    <w:p>
      <w:pPr>
        <w:ind w:left="2980"/>
        <w:spacing w:after="0"/>
        <w:rPr>
          <w:sz w:val="20"/>
          <w:szCs w:val="20"/>
          <w:color w:val="auto"/>
        </w:rPr>
      </w:pPr>
      <w:r>
        <w:rPr>
          <w:rFonts w:ascii="Arial" w:cs="Arial" w:eastAsia="Arial" w:hAnsi="Arial"/>
          <w:sz w:val="14"/>
          <w:szCs w:val="14"/>
          <w:b w:val="1"/>
          <w:bCs w:val="1"/>
          <w:color w:val="auto"/>
        </w:rPr>
        <w:t>Commission File No. 001-10308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1840865</wp:posOffset>
            </wp:positionH>
            <wp:positionV relativeFrom="paragraph">
              <wp:posOffset>361950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1240" w:space="420"/>
            <w:col w:w="9680"/>
          </w:cols>
          <w:pgMar w:left="240" w:top="225" w:right="31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tbl>
      <w:tblPr>
        <w:tblLayout w:type="fixed"/>
        <w:tblInd w:w="520" w:type="dxa"/>
        <w:tblCellMar>
          <w:top w:w="0" w:type="dxa"/>
          <w:left w:w="0" w:type="dxa"/>
          <w:bottom w:w="0" w:type="dxa"/>
          <w:right w:w="0" w:type="dxa"/>
        </w:tblCellMar>
      </w:tblPr>
      <w:tr>
        <w:trPr>
          <w:trHeight w:val="358"/>
        </w:trPr>
        <w:tc>
          <w:tcPr>
            <w:tcW w:w="2940" w:type="dxa"/>
            <w:vAlign w:val="bottom"/>
          </w:tcPr>
          <w:p>
            <w:pPr>
              <w:spacing w:after="0"/>
              <w:rPr>
                <w:sz w:val="24"/>
                <w:szCs w:val="24"/>
                <w:color w:val="auto"/>
              </w:rPr>
            </w:pPr>
          </w:p>
        </w:tc>
        <w:tc>
          <w:tcPr>
            <w:tcW w:w="6840" w:type="dxa"/>
            <w:vAlign w:val="bottom"/>
          </w:tcPr>
          <w:p>
            <w:pPr>
              <w:jc w:val="center"/>
              <w:ind w:right="2262"/>
              <w:spacing w:after="0"/>
              <w:rPr>
                <w:sz w:val="20"/>
                <w:szCs w:val="20"/>
                <w:color w:val="auto"/>
              </w:rPr>
            </w:pPr>
            <w:r>
              <w:rPr>
                <w:rFonts w:ascii="Arial" w:cs="Arial" w:eastAsia="Arial" w:hAnsi="Arial"/>
                <w:sz w:val="25"/>
                <w:szCs w:val="25"/>
                <w:b w:val="1"/>
                <w:bCs w:val="1"/>
                <w:color w:val="auto"/>
              </w:rPr>
              <w:t>Avis Budget Group, Inc.</w:t>
            </w:r>
          </w:p>
        </w:tc>
      </w:tr>
      <w:tr>
        <w:trPr>
          <w:trHeight w:val="377"/>
        </w:trPr>
        <w:tc>
          <w:tcPr>
            <w:tcW w:w="2940" w:type="dxa"/>
            <w:vAlign w:val="bottom"/>
          </w:tcPr>
          <w:p>
            <w:pPr>
              <w:spacing w:after="0"/>
              <w:rPr>
                <w:sz w:val="24"/>
                <w:szCs w:val="24"/>
                <w:color w:val="auto"/>
              </w:rPr>
            </w:pPr>
          </w:p>
        </w:tc>
        <w:tc>
          <w:tcPr>
            <w:tcW w:w="6840" w:type="dxa"/>
            <w:vAlign w:val="bottom"/>
          </w:tcPr>
          <w:p>
            <w:pPr>
              <w:ind w:left="460"/>
              <w:spacing w:after="0"/>
              <w:rPr>
                <w:sz w:val="20"/>
                <w:szCs w:val="20"/>
                <w:color w:val="auto"/>
              </w:rPr>
            </w:pPr>
            <w:r>
              <w:rPr>
                <w:rFonts w:ascii="Arial" w:cs="Arial" w:eastAsia="Arial" w:hAnsi="Arial"/>
                <w:sz w:val="14"/>
                <w:szCs w:val="14"/>
                <w:b w:val="1"/>
                <w:bCs w:val="1"/>
                <w:i w:val="1"/>
                <w:iCs w:val="1"/>
                <w:color w:val="auto"/>
              </w:rPr>
              <w:t>(Exact name of registrant as specified in its charter)</w:t>
            </w:r>
          </w:p>
        </w:tc>
      </w:tr>
      <w:tr>
        <w:trPr>
          <w:trHeight w:val="405"/>
        </w:trPr>
        <w:tc>
          <w:tcPr>
            <w:tcW w:w="2940" w:type="dxa"/>
            <w:vAlign w:val="bottom"/>
          </w:tcPr>
          <w:p>
            <w:pPr>
              <w:jc w:val="center"/>
              <w:ind w:right="388"/>
              <w:spacing w:after="0"/>
              <w:rPr>
                <w:sz w:val="20"/>
                <w:szCs w:val="20"/>
                <w:color w:val="auto"/>
              </w:rPr>
            </w:pPr>
            <w:r>
              <w:rPr>
                <w:rFonts w:ascii="Arial" w:cs="Arial" w:eastAsia="Arial" w:hAnsi="Arial"/>
                <w:sz w:val="14"/>
                <w:szCs w:val="14"/>
                <w:b w:val="1"/>
                <w:bCs w:val="1"/>
                <w:color w:val="auto"/>
              </w:rPr>
              <w:t>Delaware</w:t>
            </w:r>
          </w:p>
        </w:tc>
        <w:tc>
          <w:tcPr>
            <w:tcW w:w="6840" w:type="dxa"/>
            <w:vAlign w:val="bottom"/>
          </w:tcPr>
          <w:p>
            <w:pPr>
              <w:jc w:val="right"/>
              <w:ind w:right="242"/>
              <w:spacing w:after="0"/>
              <w:rPr>
                <w:sz w:val="20"/>
                <w:szCs w:val="20"/>
                <w:color w:val="auto"/>
              </w:rPr>
            </w:pPr>
            <w:r>
              <w:rPr>
                <w:rFonts w:ascii="Arial" w:cs="Arial" w:eastAsia="Arial" w:hAnsi="Arial"/>
                <w:sz w:val="14"/>
                <w:szCs w:val="14"/>
                <w:b w:val="1"/>
                <w:bCs w:val="1"/>
                <w:color w:val="auto"/>
              </w:rPr>
              <w:t>06-0918165</w:t>
            </w:r>
          </w:p>
        </w:tc>
      </w:tr>
      <w:tr>
        <w:trPr>
          <w:trHeight w:val="180"/>
        </w:trPr>
        <w:tc>
          <w:tcPr>
            <w:tcW w:w="2940" w:type="dxa"/>
            <w:vAlign w:val="bottom"/>
          </w:tcPr>
          <w:p>
            <w:pPr>
              <w:jc w:val="center"/>
              <w:ind w:right="388"/>
              <w:spacing w:after="0"/>
              <w:rPr>
                <w:sz w:val="20"/>
                <w:szCs w:val="20"/>
                <w:color w:val="auto"/>
              </w:rPr>
            </w:pPr>
            <w:r>
              <w:rPr>
                <w:rFonts w:ascii="Arial" w:cs="Arial" w:eastAsia="Arial" w:hAnsi="Arial"/>
                <w:sz w:val="14"/>
                <w:szCs w:val="14"/>
                <w:i w:val="1"/>
                <w:iCs w:val="1"/>
                <w:color w:val="auto"/>
              </w:rPr>
              <w:t>(State or other jurisdiction of</w:t>
            </w:r>
          </w:p>
        </w:tc>
        <w:tc>
          <w:tcPr>
            <w:tcW w:w="6840" w:type="dxa"/>
            <w:vAlign w:val="bottom"/>
          </w:tcPr>
          <w:p>
            <w:pPr>
              <w:jc w:val="center"/>
              <w:ind w:left="5342"/>
              <w:spacing w:after="0"/>
              <w:rPr>
                <w:sz w:val="20"/>
                <w:szCs w:val="20"/>
                <w:color w:val="auto"/>
              </w:rPr>
            </w:pPr>
            <w:r>
              <w:rPr>
                <w:rFonts w:ascii="Arial" w:cs="Arial" w:eastAsia="Arial" w:hAnsi="Arial"/>
                <w:sz w:val="14"/>
                <w:szCs w:val="14"/>
                <w:i w:val="1"/>
                <w:iCs w:val="1"/>
                <w:color w:val="auto"/>
              </w:rPr>
              <w:t>(I.R.S. Employer</w:t>
            </w:r>
          </w:p>
        </w:tc>
      </w:tr>
      <w:tr>
        <w:trPr>
          <w:trHeight w:val="192"/>
        </w:trPr>
        <w:tc>
          <w:tcPr>
            <w:tcW w:w="2940" w:type="dxa"/>
            <w:vAlign w:val="bottom"/>
          </w:tcPr>
          <w:p>
            <w:pPr>
              <w:jc w:val="center"/>
              <w:ind w:right="388"/>
              <w:spacing w:after="0"/>
              <w:rPr>
                <w:sz w:val="20"/>
                <w:szCs w:val="20"/>
                <w:color w:val="auto"/>
              </w:rPr>
            </w:pPr>
            <w:r>
              <w:rPr>
                <w:rFonts w:ascii="Arial" w:cs="Arial" w:eastAsia="Arial" w:hAnsi="Arial"/>
                <w:sz w:val="14"/>
                <w:szCs w:val="14"/>
                <w:i w:val="1"/>
                <w:iCs w:val="1"/>
                <w:color w:val="auto"/>
              </w:rPr>
              <w:t>incorporation or organization)</w:t>
            </w:r>
          </w:p>
        </w:tc>
        <w:tc>
          <w:tcPr>
            <w:tcW w:w="6840" w:type="dxa"/>
            <w:vAlign w:val="bottom"/>
          </w:tcPr>
          <w:p>
            <w:pPr>
              <w:jc w:val="center"/>
              <w:ind w:left="5362"/>
              <w:spacing w:after="0"/>
              <w:rPr>
                <w:sz w:val="20"/>
                <w:szCs w:val="20"/>
                <w:color w:val="auto"/>
              </w:rPr>
            </w:pPr>
            <w:r>
              <w:rPr>
                <w:rFonts w:ascii="Arial" w:cs="Arial" w:eastAsia="Arial" w:hAnsi="Arial"/>
                <w:sz w:val="14"/>
                <w:szCs w:val="14"/>
                <w:i w:val="1"/>
                <w:iCs w:val="1"/>
                <w:color w:val="auto"/>
              </w:rPr>
              <w:t>Identification Number)</w:t>
            </w:r>
          </w:p>
        </w:tc>
      </w:tr>
      <w:tr>
        <w:trPr>
          <w:trHeight w:val="182"/>
        </w:trPr>
        <w:tc>
          <w:tcPr>
            <w:tcW w:w="2940" w:type="dxa"/>
            <w:vAlign w:val="bottom"/>
          </w:tcPr>
          <w:p>
            <w:pPr>
              <w:jc w:val="center"/>
              <w:ind w:right="388"/>
              <w:spacing w:after="0"/>
              <w:rPr>
                <w:sz w:val="20"/>
                <w:szCs w:val="20"/>
                <w:color w:val="auto"/>
              </w:rPr>
            </w:pPr>
            <w:r>
              <w:rPr>
                <w:rFonts w:ascii="Arial" w:cs="Arial" w:eastAsia="Arial" w:hAnsi="Arial"/>
                <w:sz w:val="14"/>
                <w:szCs w:val="14"/>
                <w:b w:val="1"/>
                <w:bCs w:val="1"/>
                <w:color w:val="auto"/>
              </w:rPr>
              <w:t>6 Sylvan Way</w:t>
            </w:r>
          </w:p>
        </w:tc>
        <w:tc>
          <w:tcPr>
            <w:tcW w:w="6840" w:type="dxa"/>
            <w:vAlign w:val="bottom"/>
          </w:tcPr>
          <w:p>
            <w:pPr>
              <w:spacing w:after="0"/>
              <w:rPr>
                <w:sz w:val="15"/>
                <w:szCs w:val="15"/>
                <w:color w:val="auto"/>
              </w:rPr>
            </w:pPr>
          </w:p>
        </w:tc>
      </w:tr>
      <w:tr>
        <w:trPr>
          <w:trHeight w:val="202"/>
        </w:trPr>
        <w:tc>
          <w:tcPr>
            <w:tcW w:w="2940" w:type="dxa"/>
            <w:vAlign w:val="bottom"/>
          </w:tcPr>
          <w:p>
            <w:pPr>
              <w:jc w:val="center"/>
              <w:ind w:right="388"/>
              <w:spacing w:after="0"/>
              <w:rPr>
                <w:sz w:val="20"/>
                <w:szCs w:val="20"/>
                <w:color w:val="auto"/>
              </w:rPr>
            </w:pPr>
            <w:r>
              <w:rPr>
                <w:rFonts w:ascii="Arial" w:cs="Arial" w:eastAsia="Arial" w:hAnsi="Arial"/>
                <w:sz w:val="14"/>
                <w:szCs w:val="14"/>
                <w:b w:val="1"/>
                <w:bCs w:val="1"/>
                <w:color w:val="auto"/>
              </w:rPr>
              <w:t>Parsippany, NJ</w:t>
            </w:r>
          </w:p>
        </w:tc>
        <w:tc>
          <w:tcPr>
            <w:tcW w:w="6840" w:type="dxa"/>
            <w:vAlign w:val="bottom"/>
          </w:tcPr>
          <w:p>
            <w:pPr>
              <w:jc w:val="right"/>
              <w:ind w:right="422"/>
              <w:spacing w:after="0"/>
              <w:rPr>
                <w:sz w:val="20"/>
                <w:szCs w:val="20"/>
                <w:color w:val="auto"/>
              </w:rPr>
            </w:pPr>
            <w:r>
              <w:rPr>
                <w:rFonts w:ascii="Arial" w:cs="Arial" w:eastAsia="Arial" w:hAnsi="Arial"/>
                <w:sz w:val="14"/>
                <w:szCs w:val="14"/>
                <w:b w:val="1"/>
                <w:bCs w:val="1"/>
                <w:color w:val="auto"/>
              </w:rPr>
              <w:t>07054</w:t>
            </w:r>
          </w:p>
        </w:tc>
      </w:tr>
      <w:tr>
        <w:trPr>
          <w:trHeight w:val="264"/>
        </w:trPr>
        <w:tc>
          <w:tcPr>
            <w:tcW w:w="2940" w:type="dxa"/>
            <w:vAlign w:val="bottom"/>
          </w:tcPr>
          <w:p>
            <w:pPr>
              <w:jc w:val="center"/>
              <w:ind w:right="408"/>
              <w:spacing w:after="0"/>
              <w:rPr>
                <w:sz w:val="20"/>
                <w:szCs w:val="20"/>
                <w:color w:val="auto"/>
              </w:rPr>
            </w:pPr>
            <w:r>
              <w:rPr>
                <w:rFonts w:ascii="Arial" w:cs="Arial" w:eastAsia="Arial" w:hAnsi="Arial"/>
                <w:sz w:val="14"/>
                <w:szCs w:val="14"/>
                <w:i w:val="1"/>
                <w:iCs w:val="1"/>
                <w:color w:val="auto"/>
              </w:rPr>
              <w:t>(Address of principal executive offices)</w:t>
            </w:r>
          </w:p>
        </w:tc>
        <w:tc>
          <w:tcPr>
            <w:tcW w:w="6840" w:type="dxa"/>
            <w:vAlign w:val="bottom"/>
          </w:tcPr>
          <w:p>
            <w:pPr>
              <w:jc w:val="center"/>
              <w:ind w:left="5362"/>
              <w:spacing w:after="0"/>
              <w:rPr>
                <w:sz w:val="20"/>
                <w:szCs w:val="20"/>
                <w:color w:val="auto"/>
              </w:rPr>
            </w:pPr>
            <w:r>
              <w:rPr>
                <w:rFonts w:ascii="Arial" w:cs="Arial" w:eastAsia="Arial" w:hAnsi="Arial"/>
                <w:sz w:val="14"/>
                <w:szCs w:val="14"/>
                <w:i w:val="1"/>
                <w:iCs w:val="1"/>
                <w:color w:val="auto"/>
              </w:rPr>
              <w:t>(Zip Code)</w:t>
            </w:r>
          </w:p>
        </w:tc>
      </w:tr>
      <w:tr>
        <w:trPr>
          <w:trHeight w:val="186"/>
        </w:trPr>
        <w:tc>
          <w:tcPr>
            <w:tcW w:w="2940" w:type="dxa"/>
            <w:vAlign w:val="bottom"/>
          </w:tcPr>
          <w:p>
            <w:pPr>
              <w:spacing w:after="0"/>
              <w:rPr>
                <w:sz w:val="16"/>
                <w:szCs w:val="16"/>
                <w:color w:val="auto"/>
              </w:rPr>
            </w:pPr>
          </w:p>
        </w:tc>
        <w:tc>
          <w:tcPr>
            <w:tcW w:w="6840" w:type="dxa"/>
            <w:vAlign w:val="bottom"/>
          </w:tcPr>
          <w:p>
            <w:pPr>
              <w:jc w:val="center"/>
              <w:ind w:right="2262"/>
              <w:spacing w:after="0"/>
              <w:rPr>
                <w:sz w:val="20"/>
                <w:szCs w:val="20"/>
                <w:color w:val="auto"/>
              </w:rPr>
            </w:pPr>
            <w:r>
              <w:rPr>
                <w:rFonts w:ascii="Arial" w:cs="Arial" w:eastAsia="Arial" w:hAnsi="Arial"/>
                <w:sz w:val="14"/>
                <w:szCs w:val="14"/>
                <w:b w:val="1"/>
                <w:bCs w:val="1"/>
                <w:color w:val="auto"/>
              </w:rPr>
              <w:t>(973) 496-4700</w:t>
            </w:r>
          </w:p>
        </w:tc>
      </w:tr>
      <w:tr>
        <w:trPr>
          <w:trHeight w:val="192"/>
        </w:trPr>
        <w:tc>
          <w:tcPr>
            <w:tcW w:w="2940" w:type="dxa"/>
            <w:vAlign w:val="bottom"/>
          </w:tcPr>
          <w:p>
            <w:pPr>
              <w:spacing w:after="0"/>
              <w:rPr>
                <w:sz w:val="16"/>
                <w:szCs w:val="16"/>
                <w:color w:val="auto"/>
              </w:rPr>
            </w:pPr>
          </w:p>
        </w:tc>
        <w:tc>
          <w:tcPr>
            <w:tcW w:w="6840" w:type="dxa"/>
            <w:vAlign w:val="bottom"/>
          </w:tcPr>
          <w:p>
            <w:pPr>
              <w:jc w:val="center"/>
              <w:ind w:right="2262"/>
              <w:spacing w:after="0"/>
              <w:rPr>
                <w:sz w:val="20"/>
                <w:szCs w:val="20"/>
                <w:color w:val="auto"/>
              </w:rPr>
            </w:pPr>
            <w:r>
              <w:rPr>
                <w:rFonts w:ascii="Arial" w:cs="Arial" w:eastAsia="Arial" w:hAnsi="Arial"/>
                <w:sz w:val="14"/>
                <w:szCs w:val="14"/>
                <w:i w:val="1"/>
                <w:iCs w:val="1"/>
                <w:color w:val="auto"/>
              </w:rPr>
              <w:t>(Registrant’s telephone number, including area code)</w:t>
            </w:r>
          </w:p>
        </w:tc>
      </w:tr>
    </w:tbl>
    <w:p>
      <w:pPr>
        <w:spacing w:after="0" w:line="76" w:lineRule="exact"/>
        <w:rPr>
          <w:sz w:val="24"/>
          <w:szCs w:val="24"/>
          <w:color w:val="auto"/>
        </w:rPr>
      </w:pPr>
    </w:p>
    <w:p>
      <w:pPr>
        <w:ind w:right="80"/>
        <w:spacing w:after="0" w:line="291" w:lineRule="auto"/>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 w:cs="Times New Roman" w:eastAsia="Times New Roman" w:hAnsi="Times New Roman"/>
          <w:sz w:val="16"/>
          <w:szCs w:val="16"/>
          <w:color w:val="auto"/>
        </w:rPr>
        <w:t>x</w:t>
      </w:r>
      <w:r>
        <w:rPr>
          <w:rFonts w:ascii="Arial" w:cs="Arial" w:eastAsia="Arial" w:hAnsi="Arial"/>
          <w:sz w:val="14"/>
          <w:szCs w:val="14"/>
          <w:color w:val="auto"/>
        </w:rPr>
        <w:t xml:space="preserve"> No </w:t>
      </w:r>
      <w:r>
        <w:rPr>
          <w:rFonts w:ascii="Times New Roman" w:cs="Times New Roman" w:eastAsia="Times New Roman" w:hAnsi="Times New Roman"/>
          <w:sz w:val="16"/>
          <w:szCs w:val="16"/>
          <w:color w:val="auto"/>
        </w:rPr>
        <w:t>o</w:t>
      </w:r>
    </w:p>
    <w:p>
      <w:pPr>
        <w:spacing w:after="0" w:line="121" w:lineRule="exact"/>
        <w:rPr>
          <w:sz w:val="24"/>
          <w:szCs w:val="24"/>
          <w:color w:val="auto"/>
        </w:rPr>
      </w:pPr>
    </w:p>
    <w:p>
      <w:pPr>
        <w:spacing w:after="0" w:line="287" w:lineRule="auto"/>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Times New Roman" w:cs="Times New Roman" w:eastAsia="Times New Roman" w:hAnsi="Times New Roman"/>
          <w:sz w:val="16"/>
          <w:szCs w:val="16"/>
          <w:color w:val="auto"/>
        </w:rPr>
        <w:t>x</w:t>
      </w:r>
      <w:r>
        <w:rPr>
          <w:rFonts w:ascii="Arial" w:cs="Arial" w:eastAsia="Arial" w:hAnsi="Arial"/>
          <w:sz w:val="14"/>
          <w:szCs w:val="14"/>
          <w:color w:val="auto"/>
        </w:rPr>
        <w:t xml:space="preserve"> No </w:t>
      </w:r>
      <w:r>
        <w:rPr>
          <w:rFonts w:ascii="Times New Roman" w:cs="Times New Roman" w:eastAsia="Times New Roman" w:hAnsi="Times New Roman"/>
          <w:sz w:val="16"/>
          <w:szCs w:val="16"/>
          <w:color w:val="auto"/>
        </w:rPr>
        <w:t>o</w:t>
      </w:r>
    </w:p>
    <w:p>
      <w:pPr>
        <w:spacing w:after="0" w:line="110" w:lineRule="exact"/>
        <w:rPr>
          <w:sz w:val="24"/>
          <w:szCs w:val="24"/>
          <w:color w:val="auto"/>
        </w:rPr>
      </w:pPr>
    </w:p>
    <w:p>
      <w:pPr>
        <w:ind w:right="80"/>
        <w:spacing w:after="0" w:line="29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40" w:type="dxa"/>
        <w:tblCellMar>
          <w:top w:w="0" w:type="dxa"/>
          <w:left w:w="0" w:type="dxa"/>
          <w:bottom w:w="0" w:type="dxa"/>
          <w:right w:w="0" w:type="dxa"/>
        </w:tblCellMar>
      </w:tblPr>
      <w:tr>
        <w:trPr>
          <w:trHeight w:val="235"/>
        </w:trPr>
        <w:tc>
          <w:tcPr>
            <w:tcW w:w="26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10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x</w:t>
            </w:r>
          </w:p>
        </w:tc>
        <w:tc>
          <w:tcPr>
            <w:tcW w:w="2680" w:type="dxa"/>
            <w:vAlign w:val="bottom"/>
          </w:tcPr>
          <w:p>
            <w:pPr>
              <w:ind w:left="80"/>
              <w:spacing w:after="0"/>
              <w:rPr>
                <w:sz w:val="20"/>
                <w:szCs w:val="20"/>
                <w:color w:val="auto"/>
              </w:rPr>
            </w:pPr>
            <w:r>
              <w:rPr>
                <w:rFonts w:ascii="Arial" w:cs="Arial" w:eastAsia="Arial" w:hAnsi="Arial"/>
                <w:sz w:val="14"/>
                <w:szCs w:val="14"/>
                <w:color w:val="auto"/>
              </w:rPr>
              <w:t>Accelerated filer</w:t>
            </w:r>
          </w:p>
        </w:tc>
        <w:tc>
          <w:tcPr>
            <w:tcW w:w="104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o</w:t>
            </w:r>
          </w:p>
        </w:tc>
        <w:tc>
          <w:tcPr>
            <w:tcW w:w="2480" w:type="dxa"/>
            <w:vAlign w:val="bottom"/>
          </w:tcPr>
          <w:p>
            <w:pPr>
              <w:ind w:left="80"/>
              <w:spacing w:after="0"/>
              <w:rPr>
                <w:sz w:val="20"/>
                <w:szCs w:val="20"/>
                <w:color w:val="auto"/>
              </w:rPr>
            </w:pPr>
            <w:r>
              <w:rPr>
                <w:rFonts w:ascii="Arial" w:cs="Arial" w:eastAsia="Arial" w:hAnsi="Arial"/>
                <w:sz w:val="14"/>
                <w:szCs w:val="14"/>
                <w:color w:val="auto"/>
              </w:rPr>
              <w:t>Non-accelerated filer</w:t>
            </w:r>
          </w:p>
        </w:tc>
        <w:tc>
          <w:tcPr>
            <w:tcW w:w="1160" w:type="dxa"/>
            <w:vAlign w:val="bottom"/>
          </w:tcPr>
          <w:p>
            <w:pPr>
              <w:ind w:left="1080"/>
              <w:spacing w:after="0"/>
              <w:rPr>
                <w:sz w:val="20"/>
                <w:szCs w:val="20"/>
                <w:color w:val="auto"/>
              </w:rPr>
            </w:pPr>
            <w:r>
              <w:rPr>
                <w:rFonts w:ascii="Times New Roman" w:cs="Times New Roman" w:eastAsia="Times New Roman" w:hAnsi="Times New Roman"/>
                <w:sz w:val="16"/>
                <w:szCs w:val="16"/>
                <w:color w:val="auto"/>
                <w:w w:val="74"/>
              </w:rPr>
              <w:t>o</w:t>
            </w:r>
          </w:p>
        </w:tc>
      </w:tr>
      <w:tr>
        <w:trPr>
          <w:trHeight w:val="270"/>
        </w:trPr>
        <w:tc>
          <w:tcPr>
            <w:tcW w:w="2660" w:type="dxa"/>
            <w:vAlign w:val="bottom"/>
          </w:tcPr>
          <w:p>
            <w:pPr>
              <w:spacing w:after="0"/>
              <w:rPr>
                <w:sz w:val="20"/>
                <w:szCs w:val="20"/>
                <w:color w:val="auto"/>
              </w:rPr>
            </w:pPr>
            <w:r>
              <w:rPr>
                <w:rFonts w:ascii="Arial" w:cs="Arial" w:eastAsia="Arial" w:hAnsi="Arial"/>
                <w:sz w:val="14"/>
                <w:szCs w:val="14"/>
                <w:color w:val="auto"/>
              </w:rPr>
              <w:t>Smaller reporting company</w:t>
            </w:r>
          </w:p>
        </w:tc>
        <w:tc>
          <w:tcPr>
            <w:tcW w:w="110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o</w:t>
            </w:r>
          </w:p>
        </w:tc>
        <w:tc>
          <w:tcPr>
            <w:tcW w:w="2680" w:type="dxa"/>
            <w:vAlign w:val="bottom"/>
          </w:tcPr>
          <w:p>
            <w:pPr>
              <w:ind w:left="80"/>
              <w:spacing w:after="0"/>
              <w:rPr>
                <w:sz w:val="20"/>
                <w:szCs w:val="20"/>
                <w:color w:val="auto"/>
              </w:rPr>
            </w:pPr>
            <w:r>
              <w:rPr>
                <w:rFonts w:ascii="Arial" w:cs="Arial" w:eastAsia="Arial" w:hAnsi="Arial"/>
                <w:sz w:val="14"/>
                <w:szCs w:val="14"/>
                <w:color w:val="auto"/>
              </w:rPr>
              <w:t>Emerging growth company</w:t>
            </w:r>
          </w:p>
        </w:tc>
        <w:tc>
          <w:tcPr>
            <w:tcW w:w="104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o</w:t>
            </w:r>
          </w:p>
        </w:tc>
        <w:tc>
          <w:tcPr>
            <w:tcW w:w="2480" w:type="dxa"/>
            <w:vAlign w:val="bottom"/>
          </w:tcPr>
          <w:p>
            <w:pPr>
              <w:spacing w:after="0"/>
              <w:rPr>
                <w:sz w:val="23"/>
                <w:szCs w:val="23"/>
                <w:color w:val="auto"/>
              </w:rPr>
            </w:pPr>
          </w:p>
        </w:tc>
        <w:tc>
          <w:tcPr>
            <w:tcW w:w="1160" w:type="dxa"/>
            <w:vAlign w:val="bottom"/>
          </w:tcPr>
          <w:p>
            <w:pPr>
              <w:spacing w:after="0"/>
              <w:rPr>
                <w:sz w:val="23"/>
                <w:szCs w:val="23"/>
                <w:color w:val="auto"/>
              </w:rPr>
            </w:pPr>
          </w:p>
        </w:tc>
      </w:tr>
    </w:tbl>
    <w:p>
      <w:pPr>
        <w:spacing w:after="0" w:line="197" w:lineRule="exact"/>
        <w:rPr>
          <w:sz w:val="24"/>
          <w:szCs w:val="24"/>
          <w:color w:val="auto"/>
        </w:rPr>
      </w:pPr>
    </w:p>
    <w:p>
      <w:pPr>
        <w:ind w:right="400"/>
        <w:spacing w:after="0" w:line="291" w:lineRule="auto"/>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cs="Times New Roman" w:eastAsia="Times New Roman" w:hAnsi="Times New Roman"/>
          <w:sz w:val="16"/>
          <w:szCs w:val="16"/>
          <w:color w:val="auto"/>
        </w:rPr>
        <w:t>o</w:t>
      </w:r>
    </w:p>
    <w:p>
      <w:pPr>
        <w:spacing w:after="0" w:line="10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Times New Roman" w:cs="Times New Roman" w:eastAsia="Times New Roman" w:hAnsi="Times New Roman"/>
          <w:sz w:val="16"/>
          <w:szCs w:val="16"/>
          <w:color w:val="auto"/>
        </w:rPr>
        <w:t>o</w:t>
      </w:r>
      <w:r>
        <w:rPr>
          <w:rFonts w:ascii="Arial" w:cs="Arial" w:eastAsia="Arial" w:hAnsi="Arial"/>
          <w:sz w:val="14"/>
          <w:szCs w:val="14"/>
          <w:color w:val="auto"/>
        </w:rPr>
        <w:t xml:space="preserve">  No </w:t>
      </w:r>
      <w:r>
        <w:rPr>
          <w:rFonts w:ascii="Times New Roman" w:cs="Times New Roman" w:eastAsia="Times New Roman" w:hAnsi="Times New Roman"/>
          <w:sz w:val="16"/>
          <w:szCs w:val="16"/>
          <w:color w:val="auto"/>
        </w:rPr>
        <w:t>x</w:t>
      </w:r>
    </w:p>
    <w:p>
      <w:pPr>
        <w:spacing w:after="0" w:line="221"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outstanding of the issuer’s common stock was 82,652,285 shares as of July 31,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2034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2034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ectPr>
          <w:pgSz w:w="11900" w:h="16838" w:orient="portrait"/>
          <w:cols w:equalWidth="0" w:num="1">
            <w:col w:w="11340"/>
          </w:cols>
          <w:pgMar w:left="240" w:top="225" w:right="31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Table of Contents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64"/>
        </w:trPr>
        <w:tc>
          <w:tcPr>
            <w:tcW w:w="10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Page</w:t>
            </w:r>
          </w:p>
        </w:tc>
      </w:tr>
      <w:tr>
        <w:trPr>
          <w:trHeight w:val="223"/>
        </w:trPr>
        <w:tc>
          <w:tcPr>
            <w:tcW w:w="102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1680" w:type="dxa"/>
            <w:vAlign w:val="bottom"/>
            <w:tcBorders>
              <w:bottom w:val="single" w:sz="8" w:color="0000FF"/>
            </w:tcBorders>
            <w:gridSpan w:val="7"/>
          </w:tcPr>
          <w:p>
            <w:pP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Financial Information</w:t>
              </w:r>
            </w:hyperlink>
          </w:p>
        </w:tc>
        <w:tc>
          <w:tcPr>
            <w:tcW w:w="7880" w:type="dxa"/>
            <w:vAlign w:val="bottom"/>
            <w:gridSpan w:val="10"/>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1020" w:type="dxa"/>
            <w:vAlign w:val="bottom"/>
          </w:tcPr>
          <w:p>
            <w:pPr>
              <w:spacing w:after="0"/>
              <w:rPr>
                <w:sz w:val="20"/>
                <w:szCs w:val="20"/>
                <w:color w:val="auto"/>
              </w:rPr>
            </w:pPr>
            <w:r>
              <w:rPr>
                <w:rFonts w:ascii="Arial" w:cs="Arial" w:eastAsia="Arial" w:hAnsi="Arial"/>
                <w:sz w:val="18"/>
                <w:szCs w:val="18"/>
                <w:color w:val="auto"/>
              </w:rPr>
              <w:t>Item 1.</w:t>
            </w:r>
          </w:p>
        </w:tc>
        <w:tc>
          <w:tcPr>
            <w:tcW w:w="9560" w:type="dxa"/>
            <w:vAlign w:val="bottom"/>
            <w:gridSpan w:val="17"/>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Financial Statements</w:t>
              </w:r>
            </w:hyperlink>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020" w:type="dxa"/>
            <w:vAlign w:val="bottom"/>
          </w:tcPr>
          <w:p>
            <w:pPr>
              <w:spacing w:after="0"/>
              <w:rPr>
                <w:sz w:val="21"/>
                <w:szCs w:val="21"/>
                <w:color w:val="auto"/>
              </w:rPr>
            </w:pPr>
          </w:p>
        </w:tc>
        <w:tc>
          <w:tcPr>
            <w:tcW w:w="9560" w:type="dxa"/>
            <w:vAlign w:val="bottom"/>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Condensed Statements of Comprehensive Income for the Three and Six Months Ended June 30,</w:t>
              </w:r>
            </w:hyperlink>
          </w:p>
        </w:tc>
        <w:tc>
          <w:tcPr>
            <w:tcW w:w="720" w:type="dxa"/>
            <w:vAlign w:val="bottom"/>
            <w:gridSpan w:val="4"/>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3</w:t>
              </w:r>
            </w:hyperlink>
          </w:p>
        </w:tc>
      </w:tr>
      <w:tr>
        <w:trPr>
          <w:trHeight w:val="183"/>
        </w:trPr>
        <w:tc>
          <w:tcPr>
            <w:tcW w:w="1020" w:type="dxa"/>
            <w:vAlign w:val="bottom"/>
          </w:tcPr>
          <w:p>
            <w:pPr>
              <w:spacing w:after="0"/>
              <w:rPr>
                <w:sz w:val="15"/>
                <w:szCs w:val="15"/>
                <w:color w:val="auto"/>
              </w:rPr>
            </w:pPr>
          </w:p>
        </w:tc>
        <w:tc>
          <w:tcPr>
            <w:tcW w:w="220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2017 and 2016 (Unaudited)</w:t>
              </w:r>
            </w:hyperlink>
          </w:p>
        </w:tc>
        <w:tc>
          <w:tcPr>
            <w:tcW w:w="6620" w:type="dxa"/>
            <w:vAlign w:val="bottom"/>
            <w:tcBorders>
              <w:top w:val="single" w:sz="8" w:color="0000EE"/>
            </w:tcBorders>
            <w:gridSpan w:val="7"/>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r>
      <w:tr>
        <w:trPr>
          <w:trHeight w:val="237"/>
        </w:trPr>
        <w:tc>
          <w:tcPr>
            <w:tcW w:w="1020" w:type="dxa"/>
            <w:vAlign w:val="bottom"/>
          </w:tcPr>
          <w:p>
            <w:pPr>
              <w:spacing w:after="0"/>
              <w:rPr>
                <w:sz w:val="20"/>
                <w:szCs w:val="20"/>
                <w:color w:val="auto"/>
              </w:rPr>
            </w:pPr>
          </w:p>
        </w:tc>
        <w:tc>
          <w:tcPr>
            <w:tcW w:w="7940" w:type="dxa"/>
            <w:vAlign w:val="bottom"/>
            <w:gridSpan w:val="14"/>
          </w:tcPr>
          <w:p>
            <w:pP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Consolidated Condensed Balance Sheets as of June 30, 2017 and December 31, 2016 (Unaudited)</w:t>
              </w:r>
            </w:hyperlink>
          </w:p>
        </w:tc>
        <w:tc>
          <w:tcPr>
            <w:tcW w:w="1620" w:type="dxa"/>
            <w:vAlign w:val="bottom"/>
            <w:gridSpan w:val="3"/>
          </w:tcPr>
          <w:p>
            <w:pPr>
              <w:spacing w:after="0"/>
              <w:rPr>
                <w:sz w:val="20"/>
                <w:szCs w:val="20"/>
                <w:color w:val="auto"/>
              </w:rPr>
            </w:pPr>
          </w:p>
        </w:tc>
        <w:tc>
          <w:tcPr>
            <w:tcW w:w="720" w:type="dxa"/>
            <w:vAlign w:val="bottom"/>
            <w:gridSpan w:val="4"/>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4</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020" w:type="dxa"/>
            <w:vAlign w:val="bottom"/>
          </w:tcPr>
          <w:p>
            <w:pPr>
              <w:spacing w:after="0"/>
              <w:rPr>
                <w:sz w:val="21"/>
                <w:szCs w:val="21"/>
                <w:color w:val="auto"/>
              </w:rPr>
            </w:pPr>
          </w:p>
        </w:tc>
        <w:tc>
          <w:tcPr>
            <w:tcW w:w="9560" w:type="dxa"/>
            <w:vAlign w:val="bottom"/>
            <w:gridSpan w:val="1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Consolidated Condensed Statements of Cash Flows for the Six Months Ended June 30, 2017 and 2016</w:t>
              </w:r>
            </w:hyperlink>
          </w:p>
        </w:tc>
        <w:tc>
          <w:tcPr>
            <w:tcW w:w="720" w:type="dxa"/>
            <w:vAlign w:val="bottom"/>
            <w:gridSpan w:val="4"/>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5</w:t>
              </w:r>
            </w:hyperlink>
          </w:p>
        </w:tc>
      </w:tr>
      <w:tr>
        <w:trPr>
          <w:trHeight w:val="183"/>
        </w:trPr>
        <w:tc>
          <w:tcPr>
            <w:tcW w:w="1020" w:type="dxa"/>
            <w:vAlign w:val="bottom"/>
          </w:tcPr>
          <w:p>
            <w:pPr>
              <w:spacing w:after="0"/>
              <w:rPr>
                <w:sz w:val="15"/>
                <w:szCs w:val="15"/>
                <w:color w:val="auto"/>
              </w:rPr>
            </w:pPr>
          </w:p>
        </w:tc>
        <w:tc>
          <w:tcPr>
            <w:tcW w:w="8240" w:type="dxa"/>
            <w:vAlign w:val="bottom"/>
            <w:tcBorders>
              <w:top w:val="single" w:sz="8" w:color="0000EE"/>
            </w:tcBorders>
            <w:gridSpan w:val="15"/>
          </w:tcPr>
          <w:p>
            <w:pPr>
              <w:spacing w:after="0" w:line="182" w:lineRule="exact"/>
              <w:rPr>
                <w:rFonts w:ascii="Arial" w:cs="Arial" w:eastAsia="Arial" w:hAnsi="Arial"/>
                <w:sz w:val="18"/>
                <w:szCs w:val="18"/>
                <w:color w:val="0000EE"/>
              </w:rPr>
            </w:pPr>
            <w:hyperlink w:anchor="page7">
              <w:r>
                <w:rPr>
                  <w:rFonts w:ascii="Arial" w:cs="Arial" w:eastAsia="Arial" w:hAnsi="Arial"/>
                  <w:sz w:val="18"/>
                  <w:szCs w:val="18"/>
                  <w:color w:val="0000EE"/>
                </w:rPr>
                <w:t>(Unaudited)</w:t>
              </w:r>
            </w:hyperlink>
          </w:p>
        </w:tc>
        <w:tc>
          <w:tcPr>
            <w:tcW w:w="1320" w:type="dxa"/>
            <w:vAlign w:val="bottom"/>
            <w:gridSpan w:val="2"/>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9560" w:type="dxa"/>
            <w:vAlign w:val="bottom"/>
            <w:gridSpan w:val="17"/>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Notes to Consolidated Condensed Financial Statements (Unaudited)</w:t>
              </w:r>
            </w:hyperlink>
          </w:p>
        </w:tc>
        <w:tc>
          <w:tcPr>
            <w:tcW w:w="720" w:type="dxa"/>
            <w:vAlign w:val="bottom"/>
            <w:gridSpan w:val="4"/>
          </w:tcPr>
          <w:p>
            <w:pPr>
              <w:jc w:val="right"/>
              <w:spacing w:after="0"/>
              <w:rPr>
                <w:rFonts w:ascii="Arial" w:cs="Arial" w:eastAsia="Arial" w:hAnsi="Arial"/>
                <w:sz w:val="18"/>
                <w:szCs w:val="18"/>
                <w:color w:val="0000FF"/>
              </w:rPr>
            </w:pPr>
            <w:hyperlink w:anchor="page9">
              <w:r>
                <w:rPr>
                  <w:rFonts w:ascii="Arial" w:cs="Arial" w:eastAsia="Arial" w:hAnsi="Arial"/>
                  <w:sz w:val="18"/>
                  <w:szCs w:val="18"/>
                  <w:color w:val="0000FF"/>
                </w:rPr>
                <w:t>7</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020" w:type="dxa"/>
            <w:vAlign w:val="bottom"/>
          </w:tcPr>
          <w:p>
            <w:pPr>
              <w:spacing w:after="0"/>
              <w:rPr>
                <w:sz w:val="20"/>
                <w:szCs w:val="20"/>
                <w:color w:val="auto"/>
              </w:rPr>
            </w:pPr>
            <w:r>
              <w:rPr>
                <w:rFonts w:ascii="Arial" w:cs="Arial" w:eastAsia="Arial" w:hAnsi="Arial"/>
                <w:sz w:val="18"/>
                <w:szCs w:val="18"/>
                <w:color w:val="auto"/>
              </w:rPr>
              <w:t>Item 2.</w:t>
            </w:r>
          </w:p>
        </w:tc>
        <w:tc>
          <w:tcPr>
            <w:tcW w:w="9560" w:type="dxa"/>
            <w:vAlign w:val="bottom"/>
            <w:gridSpan w:val="17"/>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Management’s Discussion and Analysis of Financial Condition and Results of Operations</w:t>
              </w:r>
            </w:hyperlink>
          </w:p>
        </w:tc>
        <w:tc>
          <w:tcPr>
            <w:tcW w:w="720" w:type="dxa"/>
            <w:vAlign w:val="bottom"/>
            <w:gridSpan w:val="4"/>
          </w:tcPr>
          <w:p>
            <w:pPr>
              <w:jc w:val="right"/>
              <w:spacing w:after="0"/>
              <w:rPr>
                <w:rFonts w:ascii="Arial" w:cs="Arial" w:eastAsia="Arial" w:hAnsi="Arial"/>
                <w:sz w:val="18"/>
                <w:szCs w:val="18"/>
                <w:color w:val="0000FF"/>
              </w:rPr>
            </w:pPr>
            <w:hyperlink w:anchor="page34">
              <w:r>
                <w:rPr>
                  <w:rFonts w:ascii="Arial" w:cs="Arial" w:eastAsia="Arial" w:hAnsi="Arial"/>
                  <w:sz w:val="18"/>
                  <w:szCs w:val="18"/>
                  <w:color w:val="0000FF"/>
                </w:rPr>
                <w:t>32</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7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r>
              <w:rPr>
                <w:rFonts w:ascii="Arial" w:cs="Arial" w:eastAsia="Arial" w:hAnsi="Arial"/>
                <w:sz w:val="18"/>
                <w:szCs w:val="18"/>
                <w:color w:val="auto"/>
              </w:rPr>
              <w:t>Item 3.</w:t>
            </w:r>
          </w:p>
        </w:tc>
        <w:tc>
          <w:tcPr>
            <w:tcW w:w="4700" w:type="dxa"/>
            <w:vAlign w:val="bottom"/>
            <w:gridSpan w:val="10"/>
          </w:tcPr>
          <w:p>
            <w:pPr>
              <w:spacing w:after="0"/>
              <w:rPr>
                <w:rFonts w:ascii="Arial" w:cs="Arial" w:eastAsia="Arial" w:hAnsi="Arial"/>
                <w:sz w:val="18"/>
                <w:szCs w:val="18"/>
                <w:color w:val="0000FF"/>
                <w:w w:val="99"/>
              </w:rPr>
            </w:pPr>
            <w:hyperlink w:anchor="page44">
              <w:r>
                <w:rPr>
                  <w:rFonts w:ascii="Arial" w:cs="Arial" w:eastAsia="Arial" w:hAnsi="Arial"/>
                  <w:sz w:val="18"/>
                  <w:szCs w:val="18"/>
                  <w:color w:val="0000FF"/>
                  <w:w w:val="99"/>
                </w:rPr>
                <w:t>Quantitative and Qualitative Disclosures about Market Risk</w:t>
              </w:r>
            </w:hyperlink>
          </w:p>
        </w:tc>
        <w:tc>
          <w:tcPr>
            <w:tcW w:w="2380" w:type="dxa"/>
            <w:vAlign w:val="bottom"/>
            <w:gridSpan w:val="3"/>
          </w:tcPr>
          <w:p>
            <w:pPr>
              <w:spacing w:after="0"/>
              <w:rPr>
                <w:sz w:val="20"/>
                <w:szCs w:val="20"/>
                <w:color w:val="auto"/>
              </w:rPr>
            </w:pPr>
          </w:p>
        </w:tc>
        <w:tc>
          <w:tcPr>
            <w:tcW w:w="2480" w:type="dxa"/>
            <w:vAlign w:val="bottom"/>
            <w:gridSpan w:val="4"/>
          </w:tcPr>
          <w:p>
            <w:pPr>
              <w:spacing w:after="0"/>
              <w:rPr>
                <w:sz w:val="20"/>
                <w:szCs w:val="20"/>
                <w:color w:val="auto"/>
              </w:rPr>
            </w:pPr>
          </w:p>
        </w:tc>
        <w:tc>
          <w:tcPr>
            <w:tcW w:w="720" w:type="dxa"/>
            <w:vAlign w:val="bottom"/>
            <w:gridSpan w:val="4"/>
          </w:tcPr>
          <w:p>
            <w:pPr>
              <w:jc w:val="right"/>
              <w:spacing w:after="0"/>
              <w:rPr>
                <w:rFonts w:ascii="Arial" w:cs="Arial" w:eastAsia="Arial" w:hAnsi="Arial"/>
                <w:sz w:val="18"/>
                <w:szCs w:val="18"/>
                <w:color w:val="0000EE"/>
              </w:rPr>
            </w:pPr>
            <w:hyperlink w:anchor="page44">
              <w:r>
                <w:rPr>
                  <w:rFonts w:ascii="Arial" w:cs="Arial" w:eastAsia="Arial" w:hAnsi="Arial"/>
                  <w:sz w:val="18"/>
                  <w:szCs w:val="18"/>
                  <w:color w:val="0000EE"/>
                </w:rPr>
                <w:t>42</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70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700" w:type="dxa"/>
            <w:vAlign w:val="bottom"/>
            <w:gridSpan w:val="6"/>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r>
              <w:rPr>
                <w:rFonts w:ascii="Arial" w:cs="Arial" w:eastAsia="Arial" w:hAnsi="Arial"/>
                <w:sz w:val="18"/>
                <w:szCs w:val="18"/>
                <w:color w:val="auto"/>
              </w:rPr>
              <w:t>Item 4.</w:t>
            </w:r>
          </w:p>
        </w:tc>
        <w:tc>
          <w:tcPr>
            <w:tcW w:w="2000" w:type="dxa"/>
            <w:vAlign w:val="bottom"/>
            <w:gridSpan w:val="8"/>
          </w:tcPr>
          <w:p>
            <w:pPr>
              <w:spacing w:after="0"/>
              <w:rPr>
                <w:rFonts w:ascii="Arial" w:cs="Arial" w:eastAsia="Arial" w:hAnsi="Arial"/>
                <w:sz w:val="18"/>
                <w:szCs w:val="18"/>
                <w:color w:val="0000FF"/>
                <w:w w:val="99"/>
              </w:rPr>
            </w:pPr>
            <w:hyperlink w:anchor="page44">
              <w:r>
                <w:rPr>
                  <w:rFonts w:ascii="Arial" w:cs="Arial" w:eastAsia="Arial" w:hAnsi="Arial"/>
                  <w:sz w:val="18"/>
                  <w:szCs w:val="18"/>
                  <w:color w:val="0000FF"/>
                  <w:w w:val="99"/>
                </w:rPr>
                <w:t>Controls and Procedures</w:t>
              </w:r>
            </w:hyperlink>
          </w:p>
        </w:tc>
        <w:tc>
          <w:tcPr>
            <w:tcW w:w="2700" w:type="dxa"/>
            <w:vAlign w:val="bottom"/>
            <w:gridSpan w:val="2"/>
          </w:tcPr>
          <w:p>
            <w:pPr>
              <w:spacing w:after="0"/>
              <w:rPr>
                <w:sz w:val="20"/>
                <w:szCs w:val="20"/>
                <w:color w:val="auto"/>
              </w:rPr>
            </w:pPr>
          </w:p>
        </w:tc>
        <w:tc>
          <w:tcPr>
            <w:tcW w:w="4860" w:type="dxa"/>
            <w:vAlign w:val="bottom"/>
            <w:gridSpan w:val="7"/>
          </w:tcPr>
          <w:p>
            <w:pPr>
              <w:spacing w:after="0"/>
              <w:rPr>
                <w:sz w:val="20"/>
                <w:szCs w:val="20"/>
                <w:color w:val="auto"/>
              </w:rPr>
            </w:pPr>
          </w:p>
        </w:tc>
        <w:tc>
          <w:tcPr>
            <w:tcW w:w="720" w:type="dxa"/>
            <w:vAlign w:val="bottom"/>
            <w:gridSpan w:val="4"/>
          </w:tcPr>
          <w:p>
            <w:pPr>
              <w:jc w:val="right"/>
              <w:spacing w:after="0"/>
              <w:rPr>
                <w:rFonts w:ascii="Arial" w:cs="Arial" w:eastAsia="Arial" w:hAnsi="Arial"/>
                <w:sz w:val="18"/>
                <w:szCs w:val="18"/>
                <w:color w:val="0000FF"/>
              </w:rPr>
            </w:pPr>
            <w:hyperlink w:anchor="page44">
              <w:r>
                <w:rPr>
                  <w:rFonts w:ascii="Arial" w:cs="Arial" w:eastAsia="Arial" w:hAnsi="Arial"/>
                  <w:sz w:val="18"/>
                  <w:szCs w:val="18"/>
                  <w:color w:val="0000FF"/>
                </w:rPr>
                <w:t>42</w:t>
              </w:r>
            </w:hyperlink>
          </w:p>
        </w:tc>
      </w:tr>
      <w:tr>
        <w:trPr>
          <w:trHeight w:val="237"/>
        </w:trPr>
        <w:tc>
          <w:tcPr>
            <w:tcW w:w="10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2000" w:type="dxa"/>
            <w:vAlign w:val="bottom"/>
            <w:tcBorders>
              <w:top w:val="single" w:sz="8" w:color="0000FF"/>
            </w:tcBorders>
            <w:gridSpan w:val="8"/>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Other Information</w:t>
              </w:r>
            </w:hyperlink>
          </w:p>
        </w:tc>
        <w:tc>
          <w:tcPr>
            <w:tcW w:w="7560" w:type="dxa"/>
            <w:vAlign w:val="bottom"/>
            <w:gridSpan w:val="9"/>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4700" w:type="dxa"/>
            <w:vAlign w:val="bottom"/>
            <w:gridSpan w:val="6"/>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r>
      <w:tr>
        <w:trPr>
          <w:trHeight w:val="250"/>
        </w:trPr>
        <w:tc>
          <w:tcPr>
            <w:tcW w:w="1020" w:type="dxa"/>
            <w:vAlign w:val="bottom"/>
          </w:tcPr>
          <w:p>
            <w:pPr>
              <w:spacing w:after="0"/>
              <w:rPr>
                <w:sz w:val="20"/>
                <w:szCs w:val="20"/>
                <w:color w:val="auto"/>
              </w:rPr>
            </w:pPr>
            <w:r>
              <w:rPr>
                <w:rFonts w:ascii="Arial" w:cs="Arial" w:eastAsia="Arial" w:hAnsi="Arial"/>
                <w:sz w:val="18"/>
                <w:szCs w:val="18"/>
                <w:color w:val="auto"/>
              </w:rPr>
              <w:t>Item 1.</w:t>
            </w:r>
          </w:p>
        </w:tc>
        <w:tc>
          <w:tcPr>
            <w:tcW w:w="1500" w:type="dxa"/>
            <w:vAlign w:val="bottom"/>
            <w:gridSpan w:val="6"/>
          </w:tcPr>
          <w:p>
            <w:pPr>
              <w:spacing w:after="0"/>
              <w:rPr>
                <w:rFonts w:ascii="Arial" w:cs="Arial" w:eastAsia="Arial" w:hAnsi="Arial"/>
                <w:sz w:val="18"/>
                <w:szCs w:val="18"/>
                <w:color w:val="0000FF"/>
                <w:w w:val="99"/>
              </w:rPr>
            </w:pPr>
            <w:hyperlink w:anchor="page45">
              <w:r>
                <w:rPr>
                  <w:rFonts w:ascii="Arial" w:cs="Arial" w:eastAsia="Arial" w:hAnsi="Arial"/>
                  <w:sz w:val="18"/>
                  <w:szCs w:val="18"/>
                  <w:color w:val="0000FF"/>
                  <w:w w:val="99"/>
                </w:rPr>
                <w:t>Legal Proceedings</w:t>
              </w:r>
            </w:hyperlink>
          </w:p>
        </w:tc>
        <w:tc>
          <w:tcPr>
            <w:tcW w:w="8060" w:type="dxa"/>
            <w:vAlign w:val="bottom"/>
            <w:gridSpan w:val="11"/>
          </w:tcPr>
          <w:p>
            <w:pPr>
              <w:spacing w:after="0"/>
              <w:rPr>
                <w:sz w:val="21"/>
                <w:szCs w:val="21"/>
                <w:color w:val="auto"/>
              </w:rPr>
            </w:pPr>
          </w:p>
        </w:tc>
        <w:tc>
          <w:tcPr>
            <w:tcW w:w="720" w:type="dxa"/>
            <w:vAlign w:val="bottom"/>
            <w:gridSpan w:val="4"/>
          </w:tcPr>
          <w:p>
            <w:pPr>
              <w:jc w:val="right"/>
              <w:spacing w:after="0"/>
              <w:rPr>
                <w:rFonts w:ascii="Arial" w:cs="Arial" w:eastAsia="Arial" w:hAnsi="Arial"/>
                <w:sz w:val="18"/>
                <w:szCs w:val="18"/>
                <w:color w:val="0000FF"/>
              </w:rPr>
            </w:pPr>
            <w:hyperlink w:anchor="page45">
              <w:r>
                <w:rPr>
                  <w:rFonts w:ascii="Arial" w:cs="Arial" w:eastAsia="Arial" w:hAnsi="Arial"/>
                  <w:sz w:val="18"/>
                  <w:szCs w:val="18"/>
                  <w:color w:val="0000FF"/>
                </w:rPr>
                <w:t>43</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4700" w:type="dxa"/>
            <w:vAlign w:val="bottom"/>
            <w:gridSpan w:val="6"/>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r>
              <w:rPr>
                <w:rFonts w:ascii="Arial" w:cs="Arial" w:eastAsia="Arial" w:hAnsi="Arial"/>
                <w:sz w:val="18"/>
                <w:szCs w:val="18"/>
                <w:color w:val="auto"/>
              </w:rPr>
              <w:t>Item 1A.</w:t>
            </w:r>
          </w:p>
        </w:tc>
        <w:tc>
          <w:tcPr>
            <w:tcW w:w="1500" w:type="dxa"/>
            <w:vAlign w:val="bottom"/>
            <w:gridSpan w:val="6"/>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Risk Factors</w:t>
              </w:r>
            </w:hyperlink>
          </w:p>
        </w:tc>
        <w:tc>
          <w:tcPr>
            <w:tcW w:w="8060" w:type="dxa"/>
            <w:vAlign w:val="bottom"/>
            <w:gridSpan w:val="11"/>
          </w:tcPr>
          <w:p>
            <w:pPr>
              <w:spacing w:after="0"/>
              <w:rPr>
                <w:sz w:val="20"/>
                <w:szCs w:val="20"/>
                <w:color w:val="auto"/>
              </w:rPr>
            </w:pPr>
          </w:p>
        </w:tc>
        <w:tc>
          <w:tcPr>
            <w:tcW w:w="720" w:type="dxa"/>
            <w:vAlign w:val="bottom"/>
            <w:gridSpan w:val="4"/>
          </w:tcPr>
          <w:p>
            <w:pPr>
              <w:jc w:val="right"/>
              <w:spacing w:after="0"/>
              <w:rPr>
                <w:rFonts w:ascii="Arial" w:cs="Arial" w:eastAsia="Arial" w:hAnsi="Arial"/>
                <w:sz w:val="18"/>
                <w:szCs w:val="18"/>
                <w:color w:val="0000EE"/>
              </w:rPr>
            </w:pPr>
            <w:hyperlink w:anchor="page45">
              <w:r>
                <w:rPr>
                  <w:rFonts w:ascii="Arial" w:cs="Arial" w:eastAsia="Arial" w:hAnsi="Arial"/>
                  <w:sz w:val="18"/>
                  <w:szCs w:val="18"/>
                  <w:color w:val="0000EE"/>
                </w:rPr>
                <w:t>43</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860" w:type="dxa"/>
            <w:vAlign w:val="bottom"/>
            <w:gridSpan w:val="7"/>
          </w:tcPr>
          <w:p>
            <w:pPr>
              <w:spacing w:after="0" w:line="20" w:lineRule="exact"/>
              <w:rPr>
                <w:sz w:val="1"/>
                <w:szCs w:val="1"/>
                <w:color w:val="auto"/>
              </w:rPr>
            </w:pPr>
          </w:p>
        </w:tc>
        <w:tc>
          <w:tcPr>
            <w:tcW w:w="4700" w:type="dxa"/>
            <w:vAlign w:val="bottom"/>
            <w:gridSpan w:val="6"/>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r>
              <w:rPr>
                <w:rFonts w:ascii="Arial" w:cs="Arial" w:eastAsia="Arial" w:hAnsi="Arial"/>
                <w:sz w:val="18"/>
                <w:szCs w:val="18"/>
                <w:color w:val="auto"/>
              </w:rPr>
              <w:t>Item 2.</w:t>
            </w:r>
          </w:p>
        </w:tc>
        <w:tc>
          <w:tcPr>
            <w:tcW w:w="4860" w:type="dxa"/>
            <w:vAlign w:val="bottom"/>
            <w:gridSpan w:val="11"/>
          </w:tcPr>
          <w:p>
            <w:pPr>
              <w:spacing w:after="0"/>
              <w:rPr>
                <w:rFonts w:ascii="Arial" w:cs="Arial" w:eastAsia="Arial" w:hAnsi="Arial"/>
                <w:sz w:val="18"/>
                <w:szCs w:val="18"/>
                <w:color w:val="0000EE"/>
                <w:w w:val="99"/>
              </w:rPr>
            </w:pPr>
            <w:hyperlink w:anchor="page45">
              <w:r>
                <w:rPr>
                  <w:rFonts w:ascii="Arial" w:cs="Arial" w:eastAsia="Arial" w:hAnsi="Arial"/>
                  <w:sz w:val="18"/>
                  <w:szCs w:val="18"/>
                  <w:color w:val="0000EE"/>
                  <w:w w:val="99"/>
                </w:rPr>
                <w:t>Unregistered Sales of Equity Securities and Use of Proceeds</w:t>
              </w:r>
            </w:hyperlink>
          </w:p>
        </w:tc>
        <w:tc>
          <w:tcPr>
            <w:tcW w:w="4700" w:type="dxa"/>
            <w:vAlign w:val="bottom"/>
            <w:gridSpan w:val="6"/>
          </w:tcPr>
          <w:p>
            <w:pPr>
              <w:spacing w:after="0"/>
              <w:rPr>
                <w:sz w:val="20"/>
                <w:szCs w:val="20"/>
                <w:color w:val="auto"/>
              </w:rPr>
            </w:pPr>
          </w:p>
        </w:tc>
        <w:tc>
          <w:tcPr>
            <w:tcW w:w="720" w:type="dxa"/>
            <w:vAlign w:val="bottom"/>
            <w:gridSpan w:val="4"/>
          </w:tcPr>
          <w:p>
            <w:pPr>
              <w:jc w:val="right"/>
              <w:spacing w:after="0"/>
              <w:rPr>
                <w:rFonts w:ascii="Arial" w:cs="Arial" w:eastAsia="Arial" w:hAnsi="Arial"/>
                <w:sz w:val="18"/>
                <w:szCs w:val="18"/>
                <w:color w:val="0000EE"/>
              </w:rPr>
            </w:pPr>
            <w:hyperlink w:anchor="page45">
              <w:r>
                <w:rPr>
                  <w:rFonts w:ascii="Arial" w:cs="Arial" w:eastAsia="Arial" w:hAnsi="Arial"/>
                  <w:sz w:val="18"/>
                  <w:szCs w:val="18"/>
                  <w:color w:val="0000EE"/>
                </w:rPr>
                <w:t>43</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0" w:type="dxa"/>
            <w:vAlign w:val="bottom"/>
            <w:gridSpan w:val="9"/>
            <w:shd w:val="clear" w:color="auto" w:fill="0000EE"/>
          </w:tcPr>
          <w:p>
            <w:pPr>
              <w:spacing w:after="0" w:line="20" w:lineRule="exact"/>
              <w:rPr>
                <w:sz w:val="1"/>
                <w:szCs w:val="1"/>
                <w:color w:val="auto"/>
              </w:rPr>
            </w:pPr>
          </w:p>
        </w:tc>
        <w:tc>
          <w:tcPr>
            <w:tcW w:w="4700" w:type="dxa"/>
            <w:vAlign w:val="bottom"/>
            <w:gridSpan w:val="6"/>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r>
              <w:rPr>
                <w:rFonts w:ascii="Arial" w:cs="Arial" w:eastAsia="Arial" w:hAnsi="Arial"/>
                <w:sz w:val="18"/>
                <w:szCs w:val="18"/>
                <w:color w:val="auto"/>
              </w:rPr>
              <w:t>Item 6.</w:t>
            </w:r>
          </w:p>
        </w:tc>
        <w:tc>
          <w:tcPr>
            <w:tcW w:w="640" w:type="dxa"/>
            <w:vAlign w:val="bottom"/>
          </w:tcPr>
          <w:p>
            <w:pPr>
              <w:spacing w:after="0"/>
              <w:rPr>
                <w:rFonts w:ascii="Arial" w:cs="Arial" w:eastAsia="Arial" w:hAnsi="Arial"/>
                <w:sz w:val="18"/>
                <w:szCs w:val="18"/>
                <w:color w:val="0000FF"/>
                <w:w w:val="98"/>
              </w:rPr>
            </w:pPr>
            <w:hyperlink w:anchor="page45">
              <w:r>
                <w:rPr>
                  <w:rFonts w:ascii="Arial" w:cs="Arial" w:eastAsia="Arial" w:hAnsi="Arial"/>
                  <w:sz w:val="18"/>
                  <w:szCs w:val="18"/>
                  <w:color w:val="0000FF"/>
                  <w:w w:val="98"/>
                </w:rPr>
                <w:t>Exhibits</w:t>
              </w:r>
            </w:hyperlink>
          </w:p>
        </w:tc>
        <w:tc>
          <w:tcPr>
            <w:tcW w:w="4220" w:type="dxa"/>
            <w:vAlign w:val="bottom"/>
            <w:gridSpan w:val="10"/>
          </w:tcPr>
          <w:p>
            <w:pPr>
              <w:spacing w:after="0"/>
              <w:rPr>
                <w:sz w:val="20"/>
                <w:szCs w:val="20"/>
                <w:color w:val="auto"/>
              </w:rPr>
            </w:pPr>
          </w:p>
        </w:tc>
        <w:tc>
          <w:tcPr>
            <w:tcW w:w="4700" w:type="dxa"/>
            <w:vAlign w:val="bottom"/>
            <w:gridSpan w:val="6"/>
          </w:tcPr>
          <w:p>
            <w:pPr>
              <w:spacing w:after="0"/>
              <w:rPr>
                <w:sz w:val="20"/>
                <w:szCs w:val="20"/>
                <w:color w:val="auto"/>
              </w:rPr>
            </w:pPr>
          </w:p>
        </w:tc>
        <w:tc>
          <w:tcPr>
            <w:tcW w:w="720" w:type="dxa"/>
            <w:vAlign w:val="bottom"/>
            <w:gridSpan w:val="4"/>
          </w:tcPr>
          <w:p>
            <w:pPr>
              <w:jc w:val="right"/>
              <w:spacing w:after="0"/>
              <w:rPr>
                <w:rFonts w:ascii="Arial" w:cs="Arial" w:eastAsia="Arial" w:hAnsi="Arial"/>
                <w:sz w:val="18"/>
                <w:szCs w:val="18"/>
                <w:color w:val="0000FF"/>
              </w:rPr>
            </w:pPr>
            <w:hyperlink w:anchor="page45">
              <w:r>
                <w:rPr>
                  <w:rFonts w:ascii="Arial" w:cs="Arial" w:eastAsia="Arial" w:hAnsi="Arial"/>
                  <w:sz w:val="18"/>
                  <w:szCs w:val="18"/>
                  <w:color w:val="0000FF"/>
                </w:rPr>
                <w:t>43</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700" w:type="dxa"/>
            <w:vAlign w:val="bottom"/>
            <w:gridSpan w:val="15"/>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9560" w:type="dxa"/>
            <w:vAlign w:val="bottom"/>
            <w:gridSpan w:val="17"/>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Signatures</w:t>
              </w:r>
            </w:hyperlink>
          </w:p>
        </w:tc>
        <w:tc>
          <w:tcPr>
            <w:tcW w:w="720" w:type="dxa"/>
            <w:vAlign w:val="bottom"/>
            <w:gridSpan w:val="4"/>
          </w:tcPr>
          <w:p>
            <w:pPr>
              <w:jc w:val="right"/>
              <w:spacing w:after="0"/>
              <w:rPr>
                <w:rFonts w:ascii="Arial" w:cs="Arial" w:eastAsia="Arial" w:hAnsi="Arial"/>
                <w:sz w:val="18"/>
                <w:szCs w:val="18"/>
                <w:color w:val="0000FF"/>
              </w:rPr>
            </w:pPr>
            <w:hyperlink w:anchor="page46">
              <w:r>
                <w:rPr>
                  <w:rFonts w:ascii="Arial" w:cs="Arial" w:eastAsia="Arial" w:hAnsi="Arial"/>
                  <w:sz w:val="18"/>
                  <w:szCs w:val="18"/>
                  <w:color w:val="0000FF"/>
                </w:rPr>
                <w:t>44</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bl>
    <w:p>
      <w:pPr>
        <w:sectPr>
          <w:pgSz w:w="11900" w:h="16838" w:orient="portrait"/>
          <w:cols w:equalWidth="0" w:num="1">
            <w:col w:w="11340"/>
          </w:cols>
          <w:pgMar w:left="240" w:top="115" w:right="31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Certain statements contained in this Quarterly Report on Form 10-Q may be considered “forward-looking statements” as that term is defined in the Private Securities Litigation Reform Act of 1995. The forward-looking statements contained herein are subject to known and unknown risks, uncertainties, assumptions and other factors that may cause our actual results, performance or achievements to be materially different from those expressed or implied by any such forward-looking statements. Forward-looking statements include information concerning our future financial performance, business strategy, projected plans and objectives. These statements may be identified by the fact that they do not relate to historical or current facts and may use words such as “believes,” “expects,” “anticipates,” “will,” “should,” “could,” “may,” “would,” “intends,” “projects,” “estimates,” “plans,” and similar words, expressions or phrases. The following important factors and assumptions could affect our future results and could cause actual results to differ materially from those expressed in such forward-looking statements:</w:t>
      </w:r>
    </w:p>
    <w:p>
      <w:pPr>
        <w:spacing w:after="0" w:line="178"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high level of competition in the vehicle rental industry and the impact such competition may have on pricing and rental volume;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change in travel demand, including changes in airline passenger traffic;</w:t>
      </w:r>
    </w:p>
    <w:p>
      <w:pPr>
        <w:spacing w:after="0" w:line="225" w:lineRule="exact"/>
        <w:rPr>
          <w:rFonts w:ascii="Arial" w:cs="Arial" w:eastAsia="Arial" w:hAnsi="Arial"/>
          <w:sz w:val="18"/>
          <w:szCs w:val="18"/>
          <w:color w:val="auto"/>
        </w:rPr>
      </w:pPr>
    </w:p>
    <w:p>
      <w:pPr>
        <w:ind w:left="660" w:right="260" w:hanging="328"/>
        <w:spacing w:after="0" w:line="271"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change in our fleet costs as a result of a change in the cost of new vehicles, manufacturer recalls, disruption in the supply of new vehicles, and/or a change in the price at which we dispose of used vehicles either in the used vehicle market or under repurchase or guaranteed depreciation programs;</w:t>
      </w:r>
    </w:p>
    <w:p>
      <w:pPr>
        <w:spacing w:after="0" w:line="163"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results of operations or financial condition of the manufacturers of our cars, which could impact their ability to perform their payment obligations under our agreements with them, including repurchase and/or guaranteed depreciation arrangements, and/or their willingness or ability to make cars available to us or the rental car industry as a whole on commercially reasonable terms or at all;</w:t>
      </w:r>
    </w:p>
    <w:p>
      <w:pPr>
        <w:spacing w:after="0" w:line="1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any change in economic conditions generally, particularly during our peak season or in key market segments;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continue to achieve and maintain cost savings and successfully implement our business strategies;</w:t>
      </w:r>
    </w:p>
    <w:p>
      <w:pPr>
        <w:spacing w:after="0" w:line="225" w:lineRule="exact"/>
        <w:rPr>
          <w:rFonts w:ascii="Arial" w:cs="Arial" w:eastAsia="Arial" w:hAnsi="Arial"/>
          <w:sz w:val="18"/>
          <w:szCs w:val="18"/>
          <w:color w:val="auto"/>
        </w:rPr>
      </w:pPr>
    </w:p>
    <w:p>
      <w:pPr>
        <w:ind w:left="660" w:right="180" w:hanging="328"/>
        <w:spacing w:after="0" w:line="29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obtain financing for our global operations, including the funding of our vehicle fleet through the issuance of asset-backed securities and use of the global lending markets;</w:t>
      </w:r>
    </w:p>
    <w:p>
      <w:pPr>
        <w:spacing w:after="0" w:line="144" w:lineRule="exact"/>
        <w:rPr>
          <w:rFonts w:ascii="Arial" w:cs="Arial" w:eastAsia="Arial" w:hAnsi="Arial"/>
          <w:sz w:val="18"/>
          <w:szCs w:val="18"/>
          <w:color w:val="auto"/>
        </w:rPr>
      </w:pPr>
    </w:p>
    <w:p>
      <w:pPr>
        <w:ind w:left="660" w:right="340" w:hanging="328"/>
        <w:spacing w:after="0" w:line="29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 occurrence or threat of terrorism, pandemic disease, natural disasters, military conflict or civil unrest in the locations in which we operate;</w:t>
      </w:r>
    </w:p>
    <w:p>
      <w:pPr>
        <w:spacing w:after="0" w:line="144" w:lineRule="exact"/>
        <w:rPr>
          <w:rFonts w:ascii="Arial" w:cs="Arial" w:eastAsia="Arial" w:hAnsi="Arial"/>
          <w:sz w:val="18"/>
          <w:szCs w:val="18"/>
          <w:color w:val="auto"/>
        </w:rPr>
      </w:pPr>
    </w:p>
    <w:p>
      <w:pPr>
        <w:ind w:left="660" w:right="240" w:hanging="328"/>
        <w:spacing w:after="0" w:line="29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dependence on third-party distribution channels, third-party suppliers of other services and co-marketing arrangements with third parties;</w:t>
      </w:r>
    </w:p>
    <w:p>
      <w:pPr>
        <w:spacing w:after="0" w:line="144" w:lineRule="exact"/>
        <w:rPr>
          <w:rFonts w:ascii="Arial" w:cs="Arial" w:eastAsia="Arial" w:hAnsi="Arial"/>
          <w:sz w:val="18"/>
          <w:szCs w:val="18"/>
          <w:color w:val="auto"/>
        </w:rPr>
      </w:pPr>
    </w:p>
    <w:p>
      <w:pPr>
        <w:ind w:left="660" w:right="180" w:hanging="328"/>
        <w:spacing w:after="0" w:line="29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utilize derivative instruments, and the impact of derivative instruments we utilize, which can be affected by fluctuations in interest rates, gasoline prices and exchange rates, changes in government regulations and other factors;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accurately estimate our future results;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any major disruptions in our communication networks or information systems;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exposure to uninsured or unpaid claims in excess of historical levels;</w:t>
      </w:r>
    </w:p>
    <w:p>
      <w:pPr>
        <w:spacing w:after="0" w:line="225" w:lineRule="exact"/>
        <w:rPr>
          <w:rFonts w:ascii="Arial" w:cs="Arial" w:eastAsia="Arial" w:hAnsi="Arial"/>
          <w:sz w:val="18"/>
          <w:szCs w:val="18"/>
          <w:color w:val="auto"/>
        </w:rPr>
      </w:pPr>
    </w:p>
    <w:p>
      <w:pPr>
        <w:ind w:left="660" w:right="260" w:hanging="328"/>
        <w:spacing w:after="0" w:line="271"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associated with litigation, governmental or regulatory inquiries, or any failure or inability to comply with laws, regulations or contractual obligations or any changes in laws, regulations or contractual obligations, including with respect to personally identifiable information and taxes;</w:t>
      </w:r>
    </w:p>
    <w:p>
      <w:pPr>
        <w:spacing w:after="0" w:line="1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any impact on us from the actions of our licensees, dealers and independent contractors;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1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p>
      <w:pPr>
        <w:ind w:left="660" w:hanging="328"/>
        <w:spacing w:after="0" w:line="29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substantial changes in the cost or supply of fuel, vehicle parts, energy, labor or other resources on which we depend to operate our business;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our indebtedness, including our substantial outstanding debt obligations and our ability to incur substantially more debt;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meet the financial and other covenants contained in the agreements governing our indebtedness;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tax obligations and the effect of future changes in accounting standards;</w:t>
      </w:r>
    </w:p>
    <w:p>
      <w:pPr>
        <w:spacing w:after="0" w:line="225" w:lineRule="exact"/>
        <w:rPr>
          <w:rFonts w:ascii="Arial" w:cs="Arial" w:eastAsia="Arial" w:hAnsi="Arial"/>
          <w:sz w:val="18"/>
          <w:szCs w:val="18"/>
          <w:color w:val="auto"/>
        </w:rPr>
      </w:pPr>
    </w:p>
    <w:p>
      <w:pPr>
        <w:ind w:left="660" w:right="920" w:hanging="328"/>
        <w:spacing w:after="0" w:line="323"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risks related to completed or future acquisitions or investments that we may pursue, including any incurrence of incremental indebtedness to help fund such transactions and our ability to promptly and effectively integrate any acquired businesses;</w:t>
      </w:r>
    </w:p>
    <w:p>
      <w:pPr>
        <w:spacing w:after="0" w:line="122" w:lineRule="exact"/>
        <w:rPr>
          <w:rFonts w:ascii="Arial" w:cs="Arial" w:eastAsia="Arial" w:hAnsi="Arial"/>
          <w:sz w:val="17"/>
          <w:szCs w:val="17"/>
          <w:color w:val="auto"/>
        </w:rPr>
      </w:pPr>
    </w:p>
    <w:p>
      <w:pPr>
        <w:ind w:left="660" w:right="340" w:hanging="328"/>
        <w:spacing w:after="0" w:line="29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protecting the integrity of our information technology systems and the confidential information of our employees and customers against security breaches, including cyber-security breaches; and</w:t>
      </w:r>
    </w:p>
    <w:p>
      <w:pPr>
        <w:spacing w:after="0" w:line="144" w:lineRule="exact"/>
        <w:rPr>
          <w:rFonts w:ascii="Arial" w:cs="Arial" w:eastAsia="Arial" w:hAnsi="Arial"/>
          <w:sz w:val="18"/>
          <w:szCs w:val="18"/>
          <w:color w:val="auto"/>
        </w:rPr>
      </w:pPr>
    </w:p>
    <w:p>
      <w:pPr>
        <w:ind w:left="660" w:right="240" w:hanging="328"/>
        <w:spacing w:after="0" w:line="29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business, economic, competitive, governmental, regulatory, political or technological factors affecting our operations, pricing or services, including uncertainty and instability related to the potential withdrawal of countries from the European Union.</w:t>
      </w:r>
    </w:p>
    <w:p>
      <w:pPr>
        <w:spacing w:after="0" w:line="14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operate in a continuously changing business environment and new risk factors emerge from time to time. New risk factors, factors beyond our control, or changes in the impact of identified risk factors may cause actual results to differ materially from those set forth in any forward-looking statements. Accordingly, forward-looking statements should not be relied upon as a prediction of actual results. Moreover, we do not assume responsibility for the accuracy and completeness of those statements. Other factors and assumptions not identified above, including those discussed in “Management’s Discussion and Analysis of Financial Condition and Results of Operations,” “Risk Factors” and other portions of our 2016 Annual Report on Form 10-K filed with the Securities and Exchange Commission on February 21, 2017 (the “2016 Form 10-K”), could cause actual results to differ materially from those projected in any forward-looking statements.</w:t>
      </w:r>
    </w:p>
    <w:p>
      <w:pPr>
        <w:spacing w:after="0" w:line="177"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Although we believe that our assumptions are reasonable, any or all of our forward-looking statements may prove to be inaccurate and we can make no guarantees about our future performance. Should unknown risks or uncertainties materialize or underlying assumptions prove inaccurate, actual results could differ materially from past results and/or those anticipated, estimated or projected. Except to the extent of our obligations under the federal securities laws, we undertake no obligation to release any revisions to any forward-looking statements, to report events or to report the occurrence of unanticipated events. For any forward-looking statements contained in any document, we claim the protection of the safe harbor for forward-looking statements contained in the Private Securities Litigation Reform Act of 1995.</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116"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9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60" w:type="dxa"/>
            <w:vAlign w:val="bottom"/>
            <w:gridSpan w:val="5"/>
          </w:tcPr>
          <w:p>
            <w:pPr>
              <w:ind w:left="22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17"/>
                <w:szCs w:val="17"/>
                <w:color w:val="auto"/>
              </w:rPr>
            </w:pPr>
          </w:p>
        </w:tc>
        <w:tc>
          <w:tcPr>
            <w:tcW w:w="256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54"/>
        </w:trPr>
        <w:tc>
          <w:tcPr>
            <w:tcW w:w="55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5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37"/>
        </w:trPr>
        <w:tc>
          <w:tcPr>
            <w:tcW w:w="554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9"/>
        </w:trPr>
        <w:tc>
          <w:tcPr>
            <w:tcW w:w="5540" w:type="dxa"/>
            <w:vAlign w:val="bottom"/>
          </w:tcPr>
          <w:p>
            <w:pPr>
              <w:ind w:left="220"/>
              <w:spacing w:after="0"/>
              <w:rPr>
                <w:sz w:val="20"/>
                <w:szCs w:val="20"/>
                <w:color w:val="auto"/>
              </w:rPr>
            </w:pPr>
            <w:r>
              <w:rPr>
                <w:rFonts w:ascii="Arial" w:cs="Arial" w:eastAsia="Arial" w:hAnsi="Arial"/>
                <w:sz w:val="18"/>
                <w:szCs w:val="18"/>
                <w:color w:val="auto"/>
              </w:rPr>
              <w:t>Vehicle rental</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1,563</w:t>
            </w:r>
          </w:p>
        </w:tc>
        <w:tc>
          <w:tcPr>
            <w:tcW w:w="120" w:type="dxa"/>
            <w:vAlign w:val="bottom"/>
          </w:tcPr>
          <w:p>
            <w:pPr>
              <w:spacing w:after="0"/>
              <w:rPr>
                <w:sz w:val="24"/>
                <w:szCs w:val="24"/>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1,573</w:t>
            </w:r>
          </w:p>
        </w:tc>
        <w:tc>
          <w:tcPr>
            <w:tcW w:w="12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2,849</w:t>
            </w:r>
          </w:p>
        </w:tc>
        <w:tc>
          <w:tcPr>
            <w:tcW w:w="100" w:type="dxa"/>
            <w:vAlign w:val="bottom"/>
          </w:tcPr>
          <w:p>
            <w:pPr>
              <w:spacing w:after="0"/>
              <w:rPr>
                <w:sz w:val="24"/>
                <w:szCs w:val="24"/>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2,901</w:t>
            </w:r>
          </w:p>
        </w:tc>
        <w:tc>
          <w:tcPr>
            <w:tcW w:w="0" w:type="dxa"/>
            <w:vAlign w:val="bottom"/>
          </w:tcPr>
          <w:p>
            <w:pPr>
              <w:spacing w:after="0"/>
              <w:rPr>
                <w:sz w:val="1"/>
                <w:szCs w:val="1"/>
                <w:color w:val="auto"/>
              </w:rPr>
            </w:pPr>
          </w:p>
        </w:tc>
      </w:tr>
      <w:tr>
        <w:trPr>
          <w:trHeight w:val="273"/>
        </w:trPr>
        <w:tc>
          <w:tcPr>
            <w:tcW w:w="5540" w:type="dxa"/>
            <w:vAlign w:val="bottom"/>
          </w:tcPr>
          <w:p>
            <w:pPr>
              <w:ind w:left="2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675</w:t>
            </w:r>
          </w:p>
        </w:tc>
        <w:tc>
          <w:tcPr>
            <w:tcW w:w="12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670</w:t>
            </w:r>
          </w:p>
        </w:tc>
        <w:tc>
          <w:tcPr>
            <w:tcW w:w="1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1,228</w:t>
            </w:r>
          </w:p>
        </w:tc>
        <w:tc>
          <w:tcPr>
            <w:tcW w:w="10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50"/>
        </w:trPr>
        <w:tc>
          <w:tcPr>
            <w:tcW w:w="5540" w:type="dxa"/>
            <w:vAlign w:val="bottom"/>
          </w:tcPr>
          <w:p>
            <w:pPr>
              <w:spacing w:after="0"/>
              <w:rPr>
                <w:sz w:val="20"/>
                <w:szCs w:val="20"/>
                <w:color w:val="auto"/>
              </w:rPr>
            </w:pPr>
            <w:r>
              <w:rPr>
                <w:rFonts w:ascii="Arial" w:cs="Arial" w:eastAsia="Arial" w:hAnsi="Arial"/>
                <w:sz w:val="18"/>
                <w:szCs w:val="18"/>
                <w:color w:val="auto"/>
              </w:rPr>
              <w:t>Net revenues</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2,238</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2,243</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4,077</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4,124</w:t>
            </w:r>
          </w:p>
        </w:tc>
        <w:tc>
          <w:tcPr>
            <w:tcW w:w="0" w:type="dxa"/>
            <w:vAlign w:val="bottom"/>
          </w:tcPr>
          <w:p>
            <w:pPr>
              <w:spacing w:after="0"/>
              <w:rPr>
                <w:sz w:val="1"/>
                <w:szCs w:val="1"/>
                <w:color w:val="auto"/>
              </w:rPr>
            </w:pPr>
          </w:p>
        </w:tc>
      </w:tr>
      <w:tr>
        <w:trPr>
          <w:trHeight w:val="485"/>
        </w:trPr>
        <w:tc>
          <w:tcPr>
            <w:tcW w:w="554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540" w:type="dxa"/>
            <w:vAlign w:val="bottom"/>
          </w:tcPr>
          <w:p>
            <w:pPr>
              <w:ind w:left="220"/>
              <w:spacing w:after="0"/>
              <w:rPr>
                <w:sz w:val="20"/>
                <w:szCs w:val="20"/>
                <w:color w:val="auto"/>
              </w:rPr>
            </w:pPr>
            <w:r>
              <w:rPr>
                <w:rFonts w:ascii="Arial" w:cs="Arial" w:eastAsia="Arial" w:hAnsi="Arial"/>
                <w:sz w:val="18"/>
                <w:szCs w:val="18"/>
                <w:color w:val="auto"/>
              </w:rPr>
              <w:t>Operating</w:t>
            </w: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1,108</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1,122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2,157</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2,162</w:t>
            </w:r>
          </w:p>
        </w:tc>
        <w:tc>
          <w:tcPr>
            <w:tcW w:w="0" w:type="dxa"/>
            <w:vAlign w:val="bottom"/>
          </w:tcPr>
          <w:p>
            <w:pPr>
              <w:spacing w:after="0"/>
              <w:rPr>
                <w:sz w:val="1"/>
                <w:szCs w:val="1"/>
                <w:color w:val="auto"/>
              </w:rPr>
            </w:pPr>
          </w:p>
        </w:tc>
      </w:tr>
      <w:tr>
        <w:trPr>
          <w:trHeight w:val="270"/>
        </w:trPr>
        <w:tc>
          <w:tcPr>
            <w:tcW w:w="5540" w:type="dxa"/>
            <w:vAlign w:val="bottom"/>
          </w:tcPr>
          <w:p>
            <w:pPr>
              <w:ind w:left="220"/>
              <w:spacing w:after="0"/>
              <w:rPr>
                <w:sz w:val="20"/>
                <w:szCs w:val="20"/>
                <w:color w:val="auto"/>
              </w:rPr>
            </w:pPr>
            <w:r>
              <w:rPr>
                <w:rFonts w:ascii="Arial" w:cs="Arial" w:eastAsia="Arial" w:hAnsi="Arial"/>
                <w:sz w:val="18"/>
                <w:szCs w:val="18"/>
                <w:color w:val="auto"/>
              </w:rPr>
              <w:t>Vehicle depreciation and lease charges, net</w:t>
            </w: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597</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532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1,101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70"/>
        </w:trPr>
        <w:tc>
          <w:tcPr>
            <w:tcW w:w="5540" w:type="dxa"/>
            <w:vAlign w:val="bottom"/>
          </w:tcPr>
          <w:p>
            <w:pPr>
              <w:ind w:left="22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70"/>
        </w:trPr>
        <w:tc>
          <w:tcPr>
            <w:tcW w:w="5540" w:type="dxa"/>
            <w:vAlign w:val="bottom"/>
          </w:tcPr>
          <w:p>
            <w:pPr>
              <w:ind w:left="220"/>
              <w:spacing w:after="0"/>
              <w:rPr>
                <w:sz w:val="20"/>
                <w:szCs w:val="20"/>
                <w:color w:val="auto"/>
              </w:rPr>
            </w:pPr>
            <w:r>
              <w:rPr>
                <w:rFonts w:ascii="Arial" w:cs="Arial" w:eastAsia="Arial" w:hAnsi="Arial"/>
                <w:sz w:val="18"/>
                <w:szCs w:val="18"/>
                <w:color w:val="auto"/>
              </w:rPr>
              <w:t>Vehicle interest, net</w:t>
            </w: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70"/>
        </w:trPr>
        <w:tc>
          <w:tcPr>
            <w:tcW w:w="5540" w:type="dxa"/>
            <w:vAlign w:val="bottom"/>
          </w:tcPr>
          <w:p>
            <w:pPr>
              <w:ind w:left="220"/>
              <w:spacing w:after="0"/>
              <w:rPr>
                <w:sz w:val="20"/>
                <w:szCs w:val="20"/>
                <w:color w:val="auto"/>
              </w:rPr>
            </w:pPr>
            <w:r>
              <w:rPr>
                <w:rFonts w:ascii="Arial" w:cs="Arial" w:eastAsia="Arial" w:hAnsi="Arial"/>
                <w:sz w:val="18"/>
                <w:szCs w:val="18"/>
                <w:color w:val="auto"/>
              </w:rPr>
              <w:t>Non-vehicle related depreciation and amortization</w:t>
            </w: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57"/>
        </w:trPr>
        <w:tc>
          <w:tcPr>
            <w:tcW w:w="5540" w:type="dxa"/>
            <w:vAlign w:val="bottom"/>
          </w:tcPr>
          <w:p>
            <w:pPr>
              <w:ind w:left="220"/>
              <w:spacing w:after="0"/>
              <w:rPr>
                <w:sz w:val="20"/>
                <w:szCs w:val="20"/>
                <w:color w:val="auto"/>
              </w:rPr>
            </w:pPr>
            <w:r>
              <w:rPr>
                <w:rFonts w:ascii="Arial" w:cs="Arial" w:eastAsia="Arial" w:hAnsi="Arial"/>
                <w:sz w:val="18"/>
                <w:szCs w:val="18"/>
                <w:color w:val="auto"/>
              </w:rPr>
              <w:t>Interest expense related to corporate debt, net:</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5540" w:type="dxa"/>
            <w:vAlign w:val="bottom"/>
          </w:tcPr>
          <w:p>
            <w:pPr>
              <w:ind w:left="46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0"/>
        </w:trPr>
        <w:tc>
          <w:tcPr>
            <w:tcW w:w="5540" w:type="dxa"/>
            <w:vAlign w:val="bottom"/>
          </w:tcPr>
          <w:p>
            <w:pPr>
              <w:ind w:left="460"/>
              <w:spacing w:after="0"/>
              <w:rPr>
                <w:sz w:val="20"/>
                <w:szCs w:val="20"/>
                <w:color w:val="auto"/>
              </w:rPr>
            </w:pPr>
            <w:r>
              <w:rPr>
                <w:rFonts w:ascii="Arial" w:cs="Arial" w:eastAsia="Arial" w:hAnsi="Arial"/>
                <w:sz w:val="18"/>
                <w:szCs w:val="18"/>
                <w:color w:val="auto"/>
              </w:rPr>
              <w:t>Early extinguishment of debt</w:t>
            </w:r>
          </w:p>
        </w:tc>
        <w:tc>
          <w:tcPr>
            <w:tcW w:w="32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0"/>
        </w:trPr>
        <w:tc>
          <w:tcPr>
            <w:tcW w:w="5540" w:type="dxa"/>
            <w:vAlign w:val="bottom"/>
          </w:tcPr>
          <w:p>
            <w:pPr>
              <w:ind w:left="220"/>
              <w:spacing w:after="0"/>
              <w:rPr>
                <w:sz w:val="20"/>
                <w:szCs w:val="20"/>
                <w:color w:val="auto"/>
              </w:rPr>
            </w:pPr>
            <w:r>
              <w:rPr>
                <w:rFonts w:ascii="Arial" w:cs="Arial" w:eastAsia="Arial" w:hAnsi="Arial"/>
                <w:sz w:val="18"/>
                <w:szCs w:val="18"/>
                <w:color w:val="auto"/>
              </w:rPr>
              <w:t>Restructuring and other related charges</w:t>
            </w: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3"/>
        </w:trPr>
        <w:tc>
          <w:tcPr>
            <w:tcW w:w="5540" w:type="dxa"/>
            <w:vAlign w:val="bottom"/>
          </w:tcPr>
          <w:p>
            <w:pPr>
              <w:ind w:left="220"/>
              <w:spacing w:after="0"/>
              <w:rPr>
                <w:sz w:val="20"/>
                <w:szCs w:val="20"/>
                <w:color w:val="auto"/>
              </w:rPr>
            </w:pPr>
            <w:r>
              <w:rPr>
                <w:rFonts w:ascii="Arial" w:cs="Arial" w:eastAsia="Arial" w:hAnsi="Arial"/>
                <w:sz w:val="18"/>
                <w:szCs w:val="18"/>
                <w:color w:val="auto"/>
              </w:rPr>
              <w:t>Transaction-related costs, net</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50"/>
        </w:trPr>
        <w:tc>
          <w:tcPr>
            <w:tcW w:w="5540" w:type="dxa"/>
            <w:vAlign w:val="bottom"/>
          </w:tcPr>
          <w:p>
            <w:pPr>
              <w:spacing w:after="0"/>
              <w:rPr>
                <w:sz w:val="20"/>
                <w:szCs w:val="20"/>
                <w:color w:val="auto"/>
              </w:rPr>
            </w:pPr>
            <w:r>
              <w:rPr>
                <w:rFonts w:ascii="Arial" w:cs="Arial" w:eastAsia="Arial" w:hAnsi="Arial"/>
                <w:sz w:val="18"/>
                <w:szCs w:val="18"/>
                <w:color w:val="auto"/>
              </w:rPr>
              <w:t>Total expenses</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2,227</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2,180</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4,231</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4,147</w:t>
            </w:r>
          </w:p>
        </w:tc>
        <w:tc>
          <w:tcPr>
            <w:tcW w:w="0" w:type="dxa"/>
            <w:vAlign w:val="bottom"/>
          </w:tcPr>
          <w:p>
            <w:pPr>
              <w:spacing w:after="0"/>
              <w:rPr>
                <w:sz w:val="1"/>
                <w:szCs w:val="1"/>
                <w:color w:val="auto"/>
              </w:rPr>
            </w:pPr>
          </w:p>
        </w:tc>
      </w:tr>
      <w:tr>
        <w:trPr>
          <w:trHeight w:val="490"/>
        </w:trPr>
        <w:tc>
          <w:tcPr>
            <w:tcW w:w="5540" w:type="dxa"/>
            <w:vAlign w:val="bottom"/>
          </w:tcPr>
          <w:p>
            <w:pPr>
              <w:spacing w:after="0"/>
              <w:rPr>
                <w:sz w:val="20"/>
                <w:szCs w:val="20"/>
                <w:color w:val="auto"/>
              </w:rPr>
            </w:pPr>
            <w:r>
              <w:rPr>
                <w:rFonts w:ascii="Arial" w:cs="Arial" w:eastAsia="Arial" w:hAnsi="Arial"/>
                <w:sz w:val="18"/>
                <w:szCs w:val="18"/>
                <w:b w:val="1"/>
                <w:bCs w:val="1"/>
                <w:color w:val="auto"/>
              </w:rPr>
              <w:t>Income (loss) before income taxes</w:t>
            </w:r>
          </w:p>
        </w:tc>
        <w:tc>
          <w:tcPr>
            <w:tcW w:w="32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3"/>
        </w:trPr>
        <w:tc>
          <w:tcPr>
            <w:tcW w:w="554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485"/>
        </w:trPr>
        <w:tc>
          <w:tcPr>
            <w:tcW w:w="554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Arial" w:cs="Arial" w:eastAsia="Arial" w:hAnsi="Arial"/>
                <w:sz w:val="18"/>
                <w:szCs w:val="18"/>
                <w:b w:val="1"/>
                <w:bCs w:val="1"/>
                <w:color w:val="auto"/>
              </w:rPr>
              <w:t>Comprehensive income (loss)</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5"/>
        </w:trPr>
        <w:tc>
          <w:tcPr>
            <w:tcW w:w="5540" w:type="dxa"/>
            <w:vAlign w:val="bottom"/>
            <w:vMerge w:val="continue"/>
          </w:tcPr>
          <w:p>
            <w:pPr>
              <w:spacing w:after="0"/>
              <w:rPr>
                <w:sz w:val="24"/>
                <w:szCs w:val="24"/>
                <w:color w:val="auto"/>
              </w:rPr>
            </w:pP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4"/>
                <w:szCs w:val="24"/>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485"/>
        </w:trPr>
        <w:tc>
          <w:tcPr>
            <w:tcW w:w="5540" w:type="dxa"/>
            <w:vAlign w:val="bottom"/>
          </w:tcPr>
          <w:p>
            <w:pPr>
              <w:spacing w:after="0"/>
              <w:rPr>
                <w:sz w:val="20"/>
                <w:szCs w:val="20"/>
                <w:color w:val="auto"/>
              </w:rPr>
            </w:pPr>
            <w:r>
              <w:rPr>
                <w:rFonts w:ascii="Arial" w:cs="Arial" w:eastAsia="Arial" w:hAnsi="Arial"/>
                <w:sz w:val="18"/>
                <w:szCs w:val="18"/>
                <w:b w:val="1"/>
                <w:bCs w:val="1"/>
                <w:color w:val="auto"/>
              </w:rPr>
              <w:t>Earnings (loss) per share</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540" w:type="dxa"/>
            <w:vAlign w:val="bottom"/>
          </w:tcPr>
          <w:p>
            <w:pPr>
              <w:ind w:left="22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23"/>
                <w:szCs w:val="23"/>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0.39</w:t>
            </w:r>
          </w:p>
        </w:tc>
        <w:tc>
          <w:tcPr>
            <w:tcW w:w="12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70"/>
        </w:trPr>
        <w:tc>
          <w:tcPr>
            <w:tcW w:w="5540" w:type="dxa"/>
            <w:vAlign w:val="bottom"/>
          </w:tcPr>
          <w:p>
            <w:pPr>
              <w:ind w:left="220"/>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23"/>
                <w:szCs w:val="23"/>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0.38</w:t>
            </w:r>
          </w:p>
        </w:tc>
        <w:tc>
          <w:tcPr>
            <w:tcW w:w="12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 (Unaudited).</w:t>
      </w:r>
    </w:p>
    <w:p>
      <w:pPr>
        <w:sectPr>
          <w:pgSz w:w="11900" w:h="16838" w:orient="portrait"/>
          <w:cols w:equalWidth="0" w:num="1">
            <w:col w:w="11420"/>
          </w:cols>
          <w:pgMar w:left="240" w:top="116" w:right="239" w:bottom="93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16" w:right="239" w:bottom="93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8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5"/>
        </w:trPr>
        <w:tc>
          <w:tcPr>
            <w:tcW w:w="1400" w:type="dxa"/>
            <w:vAlign w:val="bottom"/>
            <w:tcBorders>
              <w:top w:val="single" w:sz="8" w:color="0000EE"/>
            </w:tcBorders>
          </w:tcPr>
          <w:p>
            <w:pPr>
              <w:spacing w:after="0"/>
              <w:rPr>
                <w:sz w:val="24"/>
                <w:szCs w:val="24"/>
                <w:color w:val="auto"/>
              </w:rPr>
            </w:pPr>
          </w:p>
        </w:tc>
        <w:tc>
          <w:tcPr>
            <w:tcW w:w="6480" w:type="dxa"/>
            <w:vAlign w:val="bottom"/>
          </w:tcPr>
          <w:p>
            <w:pPr>
              <w:jc w:val="center"/>
              <w:ind w:left="2070"/>
              <w:spacing w:after="0"/>
              <w:rPr>
                <w:sz w:val="20"/>
                <w:szCs w:val="20"/>
                <w:color w:val="auto"/>
              </w:rPr>
            </w:pPr>
            <w:r>
              <w:rPr>
                <w:rFonts w:ascii="Arial" w:cs="Arial" w:eastAsia="Arial" w:hAnsi="Arial"/>
                <w:sz w:val="18"/>
                <w:szCs w:val="18"/>
                <w:b w:val="1"/>
                <w:bCs w:val="1"/>
                <w:color w:val="auto"/>
                <w:w w:val="99"/>
              </w:rPr>
              <w:t>Avis Budget Group, Inc.</w:t>
            </w: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6480" w:type="dxa"/>
            <w:vAlign w:val="bottom"/>
          </w:tcPr>
          <w:p>
            <w:pPr>
              <w:jc w:val="center"/>
              <w:ind w:left="2070"/>
              <w:spacing w:after="0"/>
              <w:rPr>
                <w:sz w:val="20"/>
                <w:szCs w:val="20"/>
                <w:color w:val="auto"/>
              </w:rPr>
            </w:pPr>
            <w:r>
              <w:rPr>
                <w:rFonts w:ascii="Arial" w:cs="Arial" w:eastAsia="Arial" w:hAnsi="Arial"/>
                <w:sz w:val="18"/>
                <w:szCs w:val="18"/>
                <w:b w:val="1"/>
                <w:bCs w:val="1"/>
                <w:color w:val="auto"/>
                <w:w w:val="99"/>
              </w:rPr>
              <w:t>CONSOLIDATED CONDENSED BALANCE SHEETS</w:t>
            </w: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6480" w:type="dxa"/>
            <w:vAlign w:val="bottom"/>
          </w:tcPr>
          <w:p>
            <w:pPr>
              <w:jc w:val="center"/>
              <w:ind w:left="2070"/>
              <w:spacing w:after="0"/>
              <w:rPr>
                <w:sz w:val="20"/>
                <w:szCs w:val="20"/>
                <w:color w:val="auto"/>
              </w:rPr>
            </w:pPr>
            <w:r>
              <w:rPr>
                <w:rFonts w:ascii="Arial" w:cs="Arial" w:eastAsia="Arial" w:hAnsi="Arial"/>
                <w:sz w:val="18"/>
                <w:szCs w:val="18"/>
                <w:b w:val="1"/>
                <w:bCs w:val="1"/>
                <w:color w:val="auto"/>
                <w:w w:val="99"/>
              </w:rPr>
              <w:t>(In millions, except par value)</w:t>
            </w: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1400" w:type="dxa"/>
            <w:vAlign w:val="bottom"/>
          </w:tcPr>
          <w:p>
            <w:pPr>
              <w:spacing w:after="0"/>
              <w:rPr>
                <w:sz w:val="21"/>
                <w:szCs w:val="21"/>
                <w:color w:val="auto"/>
              </w:rPr>
            </w:pPr>
          </w:p>
        </w:tc>
        <w:tc>
          <w:tcPr>
            <w:tcW w:w="6480" w:type="dxa"/>
            <w:vAlign w:val="bottom"/>
          </w:tcPr>
          <w:p>
            <w:pPr>
              <w:jc w:val="center"/>
              <w:ind w:left="2070"/>
              <w:spacing w:after="0"/>
              <w:rPr>
                <w:sz w:val="20"/>
                <w:szCs w:val="20"/>
                <w:color w:val="auto"/>
              </w:rPr>
            </w:pPr>
            <w:r>
              <w:rPr>
                <w:rFonts w:ascii="Arial" w:cs="Arial" w:eastAsia="Arial" w:hAnsi="Arial"/>
                <w:sz w:val="18"/>
                <w:szCs w:val="18"/>
                <w:b w:val="1"/>
                <w:bCs w:val="1"/>
                <w:color w:val="auto"/>
                <w:w w:val="99"/>
              </w:rPr>
              <w:t>(Unaudited)</w:t>
            </w:r>
          </w:p>
        </w:tc>
        <w:tc>
          <w:tcPr>
            <w:tcW w:w="3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8"/>
        </w:trPr>
        <w:tc>
          <w:tcPr>
            <w:tcW w:w="140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24"/>
                <w:szCs w:val="24"/>
                <w:color w:val="auto"/>
              </w:rPr>
            </w:pPr>
          </w:p>
        </w:tc>
        <w:tc>
          <w:tcPr>
            <w:tcW w:w="1540" w:type="dxa"/>
            <w:vAlign w:val="bottom"/>
          </w:tcPr>
          <w:p>
            <w:pPr>
              <w:jc w:val="right"/>
              <w:ind w:right="23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53"/>
        </w:trPr>
        <w:tc>
          <w:tcPr>
            <w:tcW w:w="1400" w:type="dxa"/>
            <w:vAlign w:val="bottom"/>
          </w:tcPr>
          <w:p>
            <w:pPr>
              <w:spacing w:after="0"/>
              <w:rPr>
                <w:sz w:val="21"/>
                <w:szCs w:val="21"/>
                <w:color w:val="auto"/>
              </w:rPr>
            </w:pPr>
          </w:p>
        </w:tc>
        <w:tc>
          <w:tcPr>
            <w:tcW w:w="64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37"/>
        </w:trPr>
        <w:tc>
          <w:tcPr>
            <w:tcW w:w="788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776</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70"/>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Receivables, net</w:t>
            </w:r>
          </w:p>
        </w:tc>
        <w:tc>
          <w:tcPr>
            <w:tcW w:w="300" w:type="dxa"/>
            <w:vAlign w:val="bottom"/>
          </w:tcPr>
          <w:p>
            <w:pPr>
              <w:spacing w:after="0"/>
              <w:rPr>
                <w:sz w:val="23"/>
                <w:szCs w:val="23"/>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762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73"/>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Other current assets</w:t>
            </w:r>
          </w:p>
        </w:tc>
        <w:tc>
          <w:tcPr>
            <w:tcW w:w="30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837</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47"/>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2,375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1,817</w:t>
            </w:r>
          </w:p>
        </w:tc>
        <w:tc>
          <w:tcPr>
            <w:tcW w:w="0" w:type="dxa"/>
            <w:vAlign w:val="bottom"/>
          </w:tcPr>
          <w:p>
            <w:pPr>
              <w:spacing w:after="0"/>
              <w:rPr>
                <w:sz w:val="1"/>
                <w:szCs w:val="1"/>
                <w:color w:val="auto"/>
              </w:rPr>
            </w:pPr>
          </w:p>
        </w:tc>
      </w:tr>
      <w:tr>
        <w:trPr>
          <w:trHeight w:val="459"/>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24"/>
                <w:szCs w:val="24"/>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684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70"/>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23"/>
                <w:szCs w:val="23"/>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1,642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1,493</w:t>
            </w:r>
          </w:p>
        </w:tc>
        <w:tc>
          <w:tcPr>
            <w:tcW w:w="0" w:type="dxa"/>
            <w:vAlign w:val="bottom"/>
          </w:tcPr>
          <w:p>
            <w:pPr>
              <w:spacing w:after="0"/>
              <w:rPr>
                <w:sz w:val="1"/>
                <w:szCs w:val="1"/>
                <w:color w:val="auto"/>
              </w:rPr>
            </w:pPr>
          </w:p>
        </w:tc>
      </w:tr>
      <w:tr>
        <w:trPr>
          <w:trHeight w:val="270"/>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23"/>
                <w:szCs w:val="23"/>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1,043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70"/>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Other intangibles, net</w:t>
            </w:r>
          </w:p>
        </w:tc>
        <w:tc>
          <w:tcPr>
            <w:tcW w:w="300" w:type="dxa"/>
            <w:vAlign w:val="bottom"/>
          </w:tcPr>
          <w:p>
            <w:pPr>
              <w:spacing w:after="0"/>
              <w:rPr>
                <w:sz w:val="23"/>
                <w:szCs w:val="23"/>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867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73"/>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Other non-current assets</w:t>
            </w:r>
          </w:p>
        </w:tc>
        <w:tc>
          <w:tcPr>
            <w:tcW w:w="30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50"/>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Total assets exclusive of assets under vehicle programs</w:t>
            </w:r>
          </w:p>
        </w:tc>
        <w:tc>
          <w:tcPr>
            <w:tcW w:w="3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6,813</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6,065</w:t>
            </w:r>
          </w:p>
        </w:tc>
        <w:tc>
          <w:tcPr>
            <w:tcW w:w="0" w:type="dxa"/>
            <w:vAlign w:val="bottom"/>
          </w:tcPr>
          <w:p>
            <w:pPr>
              <w:spacing w:after="0"/>
              <w:rPr>
                <w:sz w:val="1"/>
                <w:szCs w:val="1"/>
                <w:color w:val="auto"/>
              </w:rPr>
            </w:pPr>
          </w:p>
        </w:tc>
      </w:tr>
      <w:tr>
        <w:trPr>
          <w:trHeight w:val="436"/>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Assets under vehicle programs:</w:t>
            </w: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Program cash</w:t>
            </w:r>
          </w:p>
        </w:tc>
        <w:tc>
          <w:tcPr>
            <w:tcW w:w="300" w:type="dxa"/>
            <w:vAlign w:val="bottom"/>
          </w:tcPr>
          <w:p>
            <w:pPr>
              <w:spacing w:after="0"/>
              <w:rPr>
                <w:sz w:val="24"/>
                <w:szCs w:val="24"/>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70"/>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Vehicles, net</w:t>
            </w:r>
          </w:p>
        </w:tc>
        <w:tc>
          <w:tcPr>
            <w:tcW w:w="300" w:type="dxa"/>
            <w:vAlign w:val="bottom"/>
          </w:tcPr>
          <w:p>
            <w:pPr>
              <w:spacing w:after="0"/>
              <w:rPr>
                <w:sz w:val="23"/>
                <w:szCs w:val="23"/>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13,322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10,464</w:t>
            </w:r>
          </w:p>
        </w:tc>
        <w:tc>
          <w:tcPr>
            <w:tcW w:w="0" w:type="dxa"/>
            <w:vAlign w:val="bottom"/>
          </w:tcPr>
          <w:p>
            <w:pPr>
              <w:spacing w:after="0"/>
              <w:rPr>
                <w:sz w:val="1"/>
                <w:szCs w:val="1"/>
                <w:color w:val="auto"/>
              </w:rPr>
            </w:pPr>
          </w:p>
        </w:tc>
      </w:tr>
      <w:tr>
        <w:trPr>
          <w:trHeight w:val="270"/>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Receivables from vehicle manufacturers and other</w:t>
            </w:r>
          </w:p>
        </w:tc>
        <w:tc>
          <w:tcPr>
            <w:tcW w:w="300" w:type="dxa"/>
            <w:vAlign w:val="bottom"/>
          </w:tcPr>
          <w:p>
            <w:pPr>
              <w:spacing w:after="0"/>
              <w:rPr>
                <w:sz w:val="23"/>
                <w:szCs w:val="23"/>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75"/>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Investment in Avis Budget Rental Car Funding (AESOP) LLC—related party</w:t>
            </w:r>
          </w:p>
        </w:tc>
        <w:tc>
          <w:tcPr>
            <w:tcW w:w="30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48"/>
        </w:trPr>
        <w:tc>
          <w:tcPr>
            <w:tcW w:w="1400" w:type="dxa"/>
            <w:vAlign w:val="bottom"/>
          </w:tcPr>
          <w:p>
            <w:pPr>
              <w:spacing w:after="0"/>
              <w:rPr>
                <w:sz w:val="21"/>
                <w:szCs w:val="21"/>
                <w:color w:val="auto"/>
              </w:rPr>
            </w:pPr>
          </w:p>
        </w:tc>
        <w:tc>
          <w:tcPr>
            <w:tcW w:w="64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14,019</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11,578</w:t>
            </w:r>
          </w:p>
        </w:tc>
        <w:tc>
          <w:tcPr>
            <w:tcW w:w="0" w:type="dxa"/>
            <w:vAlign w:val="bottom"/>
          </w:tcPr>
          <w:p>
            <w:pPr>
              <w:spacing w:after="0"/>
              <w:rPr>
                <w:sz w:val="1"/>
                <w:szCs w:val="1"/>
                <w:color w:val="auto"/>
              </w:rPr>
            </w:pPr>
          </w:p>
        </w:tc>
      </w:tr>
      <w:tr>
        <w:trPr>
          <w:trHeight w:val="250"/>
        </w:trPr>
        <w:tc>
          <w:tcPr>
            <w:tcW w:w="788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20,832</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17,643</w:t>
            </w: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788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Accounts payable and other current liabilities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1,849</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1,488</w:t>
            </w:r>
          </w:p>
        </w:tc>
        <w:tc>
          <w:tcPr>
            <w:tcW w:w="0" w:type="dxa"/>
            <w:vAlign w:val="bottom"/>
          </w:tcPr>
          <w:p>
            <w:pPr>
              <w:spacing w:after="0"/>
              <w:rPr>
                <w:sz w:val="1"/>
                <w:szCs w:val="1"/>
                <w:color w:val="auto"/>
              </w:rPr>
            </w:pPr>
          </w:p>
        </w:tc>
      </w:tr>
      <w:tr>
        <w:trPr>
          <w:trHeight w:val="273"/>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Short-term debt and current portion of long-term debt</w:t>
            </w:r>
          </w:p>
        </w:tc>
        <w:tc>
          <w:tcPr>
            <w:tcW w:w="30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47"/>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1,875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1,767</w:t>
            </w:r>
          </w:p>
        </w:tc>
        <w:tc>
          <w:tcPr>
            <w:tcW w:w="0" w:type="dxa"/>
            <w:vAlign w:val="bottom"/>
          </w:tcPr>
          <w:p>
            <w:pPr>
              <w:spacing w:after="0"/>
              <w:rPr>
                <w:sz w:val="1"/>
                <w:szCs w:val="1"/>
                <w:color w:val="auto"/>
              </w:rPr>
            </w:pPr>
          </w:p>
        </w:tc>
      </w:tr>
      <w:tr>
        <w:trPr>
          <w:trHeight w:val="459"/>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Long-term debt</w:t>
            </w:r>
          </w:p>
        </w:tc>
        <w:tc>
          <w:tcPr>
            <w:tcW w:w="300" w:type="dxa"/>
            <w:vAlign w:val="bottom"/>
          </w:tcPr>
          <w:p>
            <w:pPr>
              <w:spacing w:after="0"/>
              <w:rPr>
                <w:sz w:val="24"/>
                <w:szCs w:val="24"/>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3,546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3,244</w:t>
            </w:r>
          </w:p>
        </w:tc>
        <w:tc>
          <w:tcPr>
            <w:tcW w:w="0" w:type="dxa"/>
            <w:vAlign w:val="bottom"/>
          </w:tcPr>
          <w:p>
            <w:pPr>
              <w:spacing w:after="0"/>
              <w:rPr>
                <w:sz w:val="1"/>
                <w:szCs w:val="1"/>
                <w:color w:val="auto"/>
              </w:rPr>
            </w:pPr>
          </w:p>
        </w:tc>
      </w:tr>
      <w:tr>
        <w:trPr>
          <w:trHeight w:val="273"/>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Other non-current liabilities</w:t>
            </w:r>
          </w:p>
        </w:tc>
        <w:tc>
          <w:tcPr>
            <w:tcW w:w="30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768</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50"/>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Total liabilities exclusive of liabilities under vehicle programs</w:t>
            </w:r>
          </w:p>
        </w:tc>
        <w:tc>
          <w:tcPr>
            <w:tcW w:w="3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6,189</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5,775</w:t>
            </w:r>
          </w:p>
        </w:tc>
        <w:tc>
          <w:tcPr>
            <w:tcW w:w="0" w:type="dxa"/>
            <w:vAlign w:val="bottom"/>
          </w:tcPr>
          <w:p>
            <w:pPr>
              <w:spacing w:after="0"/>
              <w:rPr>
                <w:sz w:val="1"/>
                <w:szCs w:val="1"/>
                <w:color w:val="auto"/>
              </w:rPr>
            </w:pPr>
          </w:p>
        </w:tc>
      </w:tr>
      <w:tr>
        <w:trPr>
          <w:trHeight w:val="436"/>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Liabilities under vehicle programs:</w:t>
            </w: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Debt</w:t>
            </w:r>
          </w:p>
        </w:tc>
        <w:tc>
          <w:tcPr>
            <w:tcW w:w="300" w:type="dxa"/>
            <w:vAlign w:val="bottom"/>
          </w:tcPr>
          <w:p>
            <w:pPr>
              <w:spacing w:after="0"/>
              <w:rPr>
                <w:sz w:val="24"/>
                <w:szCs w:val="24"/>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3,486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2,183</w:t>
            </w:r>
          </w:p>
        </w:tc>
        <w:tc>
          <w:tcPr>
            <w:tcW w:w="0" w:type="dxa"/>
            <w:vAlign w:val="bottom"/>
          </w:tcPr>
          <w:p>
            <w:pPr>
              <w:spacing w:after="0"/>
              <w:rPr>
                <w:sz w:val="1"/>
                <w:szCs w:val="1"/>
                <w:color w:val="auto"/>
              </w:rPr>
            </w:pPr>
          </w:p>
        </w:tc>
      </w:tr>
      <w:tr>
        <w:trPr>
          <w:trHeight w:val="270"/>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Debt due to Avis Budget Rental Car Funding (AESOP) LLC—related party</w:t>
            </w:r>
          </w:p>
        </w:tc>
        <w:tc>
          <w:tcPr>
            <w:tcW w:w="300" w:type="dxa"/>
            <w:vAlign w:val="bottom"/>
          </w:tcPr>
          <w:p>
            <w:pPr>
              <w:spacing w:after="0"/>
              <w:rPr>
                <w:sz w:val="23"/>
                <w:szCs w:val="23"/>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7,876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6,695</w:t>
            </w:r>
          </w:p>
        </w:tc>
        <w:tc>
          <w:tcPr>
            <w:tcW w:w="0" w:type="dxa"/>
            <w:vAlign w:val="bottom"/>
          </w:tcPr>
          <w:p>
            <w:pPr>
              <w:spacing w:after="0"/>
              <w:rPr>
                <w:sz w:val="1"/>
                <w:szCs w:val="1"/>
                <w:color w:val="auto"/>
              </w:rPr>
            </w:pPr>
          </w:p>
        </w:tc>
      </w:tr>
      <w:tr>
        <w:trPr>
          <w:trHeight w:val="270"/>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23"/>
                <w:szCs w:val="23"/>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2,437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2,429</w:t>
            </w:r>
          </w:p>
        </w:tc>
        <w:tc>
          <w:tcPr>
            <w:tcW w:w="0" w:type="dxa"/>
            <w:vAlign w:val="bottom"/>
          </w:tcPr>
          <w:p>
            <w:pPr>
              <w:spacing w:after="0"/>
              <w:rPr>
                <w:sz w:val="1"/>
                <w:szCs w:val="1"/>
                <w:color w:val="auto"/>
              </w:rPr>
            </w:pPr>
          </w:p>
        </w:tc>
      </w:tr>
      <w:tr>
        <w:trPr>
          <w:trHeight w:val="275"/>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696</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48"/>
        </w:trPr>
        <w:tc>
          <w:tcPr>
            <w:tcW w:w="1400" w:type="dxa"/>
            <w:vAlign w:val="bottom"/>
          </w:tcPr>
          <w:p>
            <w:pPr>
              <w:spacing w:after="0"/>
              <w:rPr>
                <w:sz w:val="21"/>
                <w:szCs w:val="21"/>
                <w:color w:val="auto"/>
              </w:rPr>
            </w:pPr>
          </w:p>
        </w:tc>
        <w:tc>
          <w:tcPr>
            <w:tcW w:w="64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14,495</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11,647</w:t>
            </w:r>
          </w:p>
        </w:tc>
        <w:tc>
          <w:tcPr>
            <w:tcW w:w="0" w:type="dxa"/>
            <w:vAlign w:val="bottom"/>
          </w:tcPr>
          <w:p>
            <w:pPr>
              <w:spacing w:after="0"/>
              <w:rPr>
                <w:sz w:val="1"/>
                <w:szCs w:val="1"/>
                <w:color w:val="auto"/>
              </w:rPr>
            </w:pPr>
          </w:p>
        </w:tc>
      </w:tr>
      <w:tr>
        <w:trPr>
          <w:trHeight w:val="234"/>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 (Note 11)</w:t>
            </w:r>
          </w:p>
        </w:tc>
        <w:tc>
          <w:tcPr>
            <w:tcW w:w="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Stockholders’ equity:</w:t>
            </w: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Preferred stock, $0.01 par value—authorized 10 shares; none issued and outstanding, at each</w:t>
            </w: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880" w:type="dxa"/>
            <w:vAlign w:val="bottom"/>
            <w:gridSpan w:val="2"/>
          </w:tcPr>
          <w:p>
            <w:pPr>
              <w:ind w:left="320"/>
              <w:spacing w:after="0"/>
              <w:rPr>
                <w:sz w:val="20"/>
                <w:szCs w:val="20"/>
                <w:color w:val="auto"/>
              </w:rPr>
            </w:pPr>
            <w:r>
              <w:rPr>
                <w:rFonts w:ascii="Arial" w:cs="Arial" w:eastAsia="Arial" w:hAnsi="Arial"/>
                <w:sz w:val="18"/>
                <w:szCs w:val="18"/>
                <w:color w:val="auto"/>
              </w:rPr>
              <w:t>date</w:t>
            </w:r>
          </w:p>
        </w:tc>
        <w:tc>
          <w:tcPr>
            <w:tcW w:w="30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Common stock, $0.01 par value—authorized 250 shares; issued 137 shares, at each date</w:t>
            </w:r>
          </w:p>
        </w:tc>
        <w:tc>
          <w:tcPr>
            <w:tcW w:w="300" w:type="dxa"/>
            <w:vAlign w:val="bottom"/>
          </w:tcPr>
          <w:p>
            <w:pPr>
              <w:spacing w:after="0"/>
              <w:rPr>
                <w:sz w:val="23"/>
                <w:szCs w:val="23"/>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23"/>
                <w:szCs w:val="23"/>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6,864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6,918</w:t>
            </w:r>
          </w:p>
        </w:tc>
        <w:tc>
          <w:tcPr>
            <w:tcW w:w="0" w:type="dxa"/>
            <w:vAlign w:val="bottom"/>
          </w:tcPr>
          <w:p>
            <w:pPr>
              <w:spacing w:after="0"/>
              <w:rPr>
                <w:sz w:val="1"/>
                <w:szCs w:val="1"/>
                <w:color w:val="auto"/>
              </w:rPr>
            </w:pPr>
          </w:p>
        </w:tc>
      </w:tr>
      <w:tr>
        <w:trPr>
          <w:trHeight w:val="270"/>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Accumulated deficit</w:t>
            </w:r>
          </w:p>
        </w:tc>
        <w:tc>
          <w:tcPr>
            <w:tcW w:w="3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(1,687)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(1,639)</w:t>
            </w:r>
          </w:p>
        </w:tc>
        <w:tc>
          <w:tcPr>
            <w:tcW w:w="0" w:type="dxa"/>
            <w:vAlign w:val="bottom"/>
          </w:tcPr>
          <w:p>
            <w:pPr>
              <w:spacing w:after="0"/>
              <w:rPr>
                <w:sz w:val="1"/>
                <w:szCs w:val="1"/>
                <w:color w:val="auto"/>
              </w:rPr>
            </w:pPr>
          </w:p>
        </w:tc>
      </w:tr>
      <w:tr>
        <w:trPr>
          <w:trHeight w:val="270"/>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73"/>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Treasury stock, at cost—54 and 51 shares, respectively</w:t>
            </w:r>
          </w:p>
        </w:tc>
        <w:tc>
          <w:tcPr>
            <w:tcW w:w="30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(4,952)</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(4,905)</w:t>
            </w:r>
          </w:p>
        </w:tc>
        <w:tc>
          <w:tcPr>
            <w:tcW w:w="0" w:type="dxa"/>
            <w:vAlign w:val="bottom"/>
          </w:tcPr>
          <w:p>
            <w:pPr>
              <w:spacing w:after="0"/>
              <w:rPr>
                <w:sz w:val="1"/>
                <w:szCs w:val="1"/>
                <w:color w:val="auto"/>
              </w:rPr>
            </w:pPr>
          </w:p>
        </w:tc>
      </w:tr>
      <w:tr>
        <w:trPr>
          <w:trHeight w:val="250"/>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52"/>
        </w:trPr>
        <w:tc>
          <w:tcPr>
            <w:tcW w:w="788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20,832</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17,643</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 (Unaudited).</w:t>
      </w:r>
    </w:p>
    <w:p>
      <w:pPr>
        <w:sectPr>
          <w:pgSz w:w="11900" w:h="16838" w:orient="portrait"/>
          <w:cols w:equalWidth="0" w:num="1">
            <w:col w:w="11420"/>
          </w:cols>
          <w:pgMar w:left="240" w:top="108" w:right="239" w:bottom="93"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08" w:right="239" w:bottom="93"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3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455"/>
        </w:trPr>
        <w:tc>
          <w:tcPr>
            <w:tcW w:w="1400" w:type="dxa"/>
            <w:vAlign w:val="bottom"/>
            <w:tcBorders>
              <w:top w:val="single" w:sz="8" w:color="0000EE"/>
            </w:tcBorders>
          </w:tcPr>
          <w:p>
            <w:pPr>
              <w:spacing w:after="0"/>
              <w:rPr>
                <w:sz w:val="24"/>
                <w:szCs w:val="24"/>
                <w:color w:val="auto"/>
              </w:rPr>
            </w:pPr>
          </w:p>
        </w:tc>
        <w:tc>
          <w:tcPr>
            <w:tcW w:w="6940" w:type="dxa"/>
            <w:vAlign w:val="bottom"/>
          </w:tcPr>
          <w:p>
            <w:pPr>
              <w:jc w:val="center"/>
              <w:ind w:left="1610"/>
              <w:spacing w:after="0"/>
              <w:rPr>
                <w:sz w:val="20"/>
                <w:szCs w:val="20"/>
                <w:color w:val="auto"/>
              </w:rPr>
            </w:pPr>
            <w:r>
              <w:rPr>
                <w:rFonts w:ascii="Arial" w:cs="Arial" w:eastAsia="Arial" w:hAnsi="Arial"/>
                <w:sz w:val="18"/>
                <w:szCs w:val="18"/>
                <w:b w:val="1"/>
                <w:bCs w:val="1"/>
                <w:color w:val="auto"/>
                <w:w w:val="99"/>
              </w:rPr>
              <w:t>Avis Budget Group, Inc.</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6"/>
        </w:trPr>
        <w:tc>
          <w:tcPr>
            <w:tcW w:w="1400" w:type="dxa"/>
            <w:vAlign w:val="bottom"/>
          </w:tcPr>
          <w:p>
            <w:pPr>
              <w:spacing w:after="0"/>
              <w:rPr>
                <w:sz w:val="18"/>
                <w:szCs w:val="18"/>
                <w:color w:val="auto"/>
              </w:rPr>
            </w:pPr>
          </w:p>
        </w:tc>
        <w:tc>
          <w:tcPr>
            <w:tcW w:w="7280" w:type="dxa"/>
            <w:vAlign w:val="bottom"/>
            <w:gridSpan w:val="2"/>
          </w:tcPr>
          <w:p>
            <w:pPr>
              <w:jc w:val="center"/>
              <w:ind w:left="1250"/>
              <w:spacing w:after="0"/>
              <w:rPr>
                <w:sz w:val="20"/>
                <w:szCs w:val="20"/>
                <w:color w:val="auto"/>
              </w:rPr>
            </w:pPr>
            <w:r>
              <w:rPr>
                <w:rFonts w:ascii="Arial" w:cs="Arial" w:eastAsia="Arial" w:hAnsi="Arial"/>
                <w:sz w:val="18"/>
                <w:szCs w:val="18"/>
                <w:b w:val="1"/>
                <w:bCs w:val="1"/>
                <w:color w:val="auto"/>
                <w:w w:val="99"/>
              </w:rPr>
              <w:t>CONSOLIDATED CONDENSED STATEMENTS OF CASH FLOWS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400" w:type="dxa"/>
            <w:vAlign w:val="bottom"/>
          </w:tcPr>
          <w:p>
            <w:pPr>
              <w:spacing w:after="0"/>
              <w:rPr>
                <w:sz w:val="18"/>
                <w:szCs w:val="18"/>
                <w:color w:val="auto"/>
              </w:rPr>
            </w:pPr>
          </w:p>
        </w:tc>
        <w:tc>
          <w:tcPr>
            <w:tcW w:w="6940" w:type="dxa"/>
            <w:vAlign w:val="bottom"/>
          </w:tcPr>
          <w:p>
            <w:pPr>
              <w:jc w:val="center"/>
              <w:ind w:left="1590"/>
              <w:spacing w:after="0"/>
              <w:rPr>
                <w:sz w:val="20"/>
                <w:szCs w:val="20"/>
                <w:color w:val="auto"/>
              </w:rPr>
            </w:pPr>
            <w:r>
              <w:rPr>
                <w:rFonts w:ascii="Arial" w:cs="Arial" w:eastAsia="Arial" w:hAnsi="Arial"/>
                <w:sz w:val="18"/>
                <w:szCs w:val="18"/>
                <w:b w:val="1"/>
                <w:bCs w:val="1"/>
                <w:color w:val="auto"/>
              </w:rPr>
              <w:t>(In millions)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53"/>
        </w:trPr>
        <w:tc>
          <w:tcPr>
            <w:tcW w:w="1400" w:type="dxa"/>
            <w:vAlign w:val="bottom"/>
          </w:tcPr>
          <w:p>
            <w:pPr>
              <w:spacing w:after="0"/>
              <w:rPr>
                <w:sz w:val="21"/>
                <w:szCs w:val="21"/>
                <w:color w:val="auto"/>
              </w:rPr>
            </w:pPr>
          </w:p>
        </w:tc>
        <w:tc>
          <w:tcPr>
            <w:tcW w:w="6940" w:type="dxa"/>
            <w:vAlign w:val="bottom"/>
          </w:tcPr>
          <w:p>
            <w:pPr>
              <w:jc w:val="center"/>
              <w:ind w:left="1530"/>
              <w:spacing w:after="0"/>
              <w:rPr>
                <w:sz w:val="20"/>
                <w:szCs w:val="20"/>
                <w:color w:val="auto"/>
              </w:rPr>
            </w:pPr>
            <w:r>
              <w:rPr>
                <w:rFonts w:ascii="Arial" w:cs="Arial" w:eastAsia="Arial" w:hAnsi="Arial"/>
                <w:sz w:val="18"/>
                <w:szCs w:val="18"/>
                <w:b w:val="1"/>
                <w:bCs w:val="1"/>
                <w:color w:val="auto"/>
                <w:w w:val="99"/>
              </w:rPr>
              <w:t>(Unaudited)</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328"/>
        </w:trPr>
        <w:tc>
          <w:tcPr>
            <w:tcW w:w="140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4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Six Months Ended</w:t>
            </w:r>
          </w:p>
        </w:tc>
      </w:tr>
      <w:tr>
        <w:trPr>
          <w:trHeight w:val="254"/>
        </w:trPr>
        <w:tc>
          <w:tcPr>
            <w:tcW w:w="1400" w:type="dxa"/>
            <w:vAlign w:val="bottom"/>
          </w:tcPr>
          <w:p>
            <w:pPr>
              <w:spacing w:after="0"/>
              <w:rPr>
                <w:sz w:val="22"/>
                <w:szCs w:val="22"/>
                <w:color w:val="auto"/>
              </w:rPr>
            </w:pPr>
          </w:p>
        </w:tc>
        <w:tc>
          <w:tcPr>
            <w:tcW w:w="69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1040" w:type="dxa"/>
            <w:vAlign w:val="bottom"/>
            <w:tcBorders>
              <w:bottom w:val="single" w:sz="8" w:color="auto"/>
            </w:tcBorders>
          </w:tcPr>
          <w:p>
            <w:pPr>
              <w:spacing w:after="0"/>
              <w:rPr>
                <w:sz w:val="22"/>
                <w:szCs w:val="22"/>
                <w:color w:val="auto"/>
              </w:rPr>
            </w:pPr>
          </w:p>
        </w:tc>
      </w:tr>
      <w:tr>
        <w:trPr>
          <w:trHeight w:val="263"/>
        </w:trPr>
        <w:tc>
          <w:tcPr>
            <w:tcW w:w="1400" w:type="dxa"/>
            <w:vAlign w:val="bottom"/>
          </w:tcPr>
          <w:p>
            <w:pPr>
              <w:spacing w:after="0"/>
              <w:rPr>
                <w:sz w:val="22"/>
                <w:szCs w:val="22"/>
                <w:color w:val="auto"/>
              </w:rPr>
            </w:pPr>
          </w:p>
        </w:tc>
        <w:tc>
          <w:tcPr>
            <w:tcW w:w="69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2016</w:t>
            </w:r>
          </w:p>
        </w:tc>
      </w:tr>
      <w:tr>
        <w:trPr>
          <w:trHeight w:val="237"/>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89"/>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5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84"/>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Vehicle depreciation</w:t>
            </w:r>
          </w:p>
        </w:tc>
        <w:tc>
          <w:tcPr>
            <w:tcW w:w="34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953</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931</w:t>
            </w:r>
          </w:p>
        </w:tc>
      </w:tr>
      <w:tr>
        <w:trPr>
          <w:trHeight w:val="270"/>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(Gain) loss on sale of vehicles, net</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Non-vehicle related depreciation and amortization</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126</w:t>
            </w:r>
          </w:p>
        </w:tc>
      </w:tr>
      <w:tr>
        <w:trPr>
          <w:trHeight w:val="270"/>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70"/>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Amortization of debt financing fees</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70"/>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Early extinguishment of debt costs</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57"/>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Net change in assets and liabilities:</w:t>
            </w: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84"/>
        </w:trPr>
        <w:tc>
          <w:tcPr>
            <w:tcW w:w="8340" w:type="dxa"/>
            <w:vAlign w:val="bottom"/>
            <w:gridSpan w:val="2"/>
          </w:tcPr>
          <w:p>
            <w:pPr>
              <w:ind w:left="280"/>
              <w:spacing w:after="0"/>
              <w:rPr>
                <w:sz w:val="20"/>
                <w:szCs w:val="20"/>
                <w:color w:val="auto"/>
              </w:rPr>
            </w:pPr>
            <w:r>
              <w:rPr>
                <w:rFonts w:ascii="Arial" w:cs="Arial" w:eastAsia="Arial" w:hAnsi="Arial"/>
                <w:sz w:val="18"/>
                <w:szCs w:val="18"/>
                <w:color w:val="auto"/>
              </w:rPr>
              <w:t>Receivables</w:t>
            </w: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70"/>
        </w:trPr>
        <w:tc>
          <w:tcPr>
            <w:tcW w:w="8340" w:type="dxa"/>
            <w:vAlign w:val="bottom"/>
            <w:gridSpan w:val="2"/>
          </w:tcPr>
          <w:p>
            <w:pPr>
              <w:ind w:left="280"/>
              <w:spacing w:after="0"/>
              <w:rPr>
                <w:sz w:val="20"/>
                <w:szCs w:val="20"/>
                <w:color w:val="auto"/>
              </w:rPr>
            </w:pPr>
            <w:r>
              <w:rPr>
                <w:rFonts w:ascii="Arial" w:cs="Arial" w:eastAsia="Arial" w:hAnsi="Arial"/>
                <w:sz w:val="18"/>
                <w:szCs w:val="18"/>
                <w:color w:val="auto"/>
              </w:rPr>
              <w:t>Income taxes and deferred income taxes</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0"/>
        </w:trPr>
        <w:tc>
          <w:tcPr>
            <w:tcW w:w="8340" w:type="dxa"/>
            <w:vAlign w:val="bottom"/>
            <w:gridSpan w:val="2"/>
          </w:tcPr>
          <w:p>
            <w:pPr>
              <w:ind w:left="280"/>
              <w:spacing w:after="0"/>
              <w:rPr>
                <w:sz w:val="20"/>
                <w:szCs w:val="20"/>
                <w:color w:val="auto"/>
              </w:rPr>
            </w:pPr>
            <w:r>
              <w:rPr>
                <w:rFonts w:ascii="Arial" w:cs="Arial" w:eastAsia="Arial" w:hAnsi="Arial"/>
                <w:sz w:val="18"/>
                <w:szCs w:val="18"/>
                <w:color w:val="auto"/>
              </w:rPr>
              <w:t>Accounts payable and other current liabilities</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51</w:t>
            </w:r>
          </w:p>
        </w:tc>
      </w:tr>
      <w:tr>
        <w:trPr>
          <w:trHeight w:val="273"/>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Other, net</w:t>
            </w: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103</w:t>
            </w:r>
          </w:p>
        </w:tc>
      </w:tr>
      <w:tr>
        <w:trPr>
          <w:trHeight w:val="250"/>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1,139</w:t>
            </w:r>
          </w:p>
        </w:tc>
        <w:tc>
          <w:tcPr>
            <w:tcW w:w="1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1,079</w:t>
            </w:r>
          </w:p>
        </w:tc>
      </w:tr>
      <w:tr>
        <w:trPr>
          <w:trHeight w:val="539"/>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6"/>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Property and equipment additions</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70"/>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Proceeds received on asset sales</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70"/>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Net assets acquired (net of cash acquired)</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net</w:t>
            </w: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r>
      <w:tr>
        <w:trPr>
          <w:trHeight w:val="250"/>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cash used in investing activities exclusive of vehicle programs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r>
      <w:tr>
        <w:trPr>
          <w:trHeight w:val="531"/>
        </w:trPr>
        <w:tc>
          <w:tcPr>
            <w:tcW w:w="8340" w:type="dxa"/>
            <w:vAlign w:val="bottom"/>
            <w:gridSpan w:val="2"/>
          </w:tcPr>
          <w:p>
            <w:pPr>
              <w:ind w:left="40"/>
              <w:spacing w:after="0"/>
              <w:rPr>
                <w:sz w:val="20"/>
                <w:szCs w:val="20"/>
                <w:color w:val="auto"/>
              </w:rPr>
            </w:pPr>
            <w:r>
              <w:rPr>
                <w:rFonts w:ascii="Arial" w:cs="Arial" w:eastAsia="Arial" w:hAnsi="Arial"/>
                <w:sz w:val="18"/>
                <w:szCs w:val="18"/>
                <w:i w:val="1"/>
                <w:iCs w:val="1"/>
                <w:color w:val="auto"/>
              </w:rPr>
              <w:t>Vehicle programs: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84"/>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Decrease in program cash</w:t>
            </w:r>
          </w:p>
        </w:tc>
        <w:tc>
          <w:tcPr>
            <w:tcW w:w="34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82</w:t>
            </w:r>
          </w:p>
        </w:tc>
      </w:tr>
      <w:tr>
        <w:trPr>
          <w:trHeight w:val="270"/>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Investment in vehicles</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(8,116)</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(8,500)</w:t>
            </w:r>
          </w:p>
        </w:tc>
      </w:tr>
      <w:tr>
        <w:trPr>
          <w:trHeight w:val="270"/>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Proceeds received on disposition of vehicles</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5,059</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5,418</w:t>
            </w:r>
          </w:p>
        </w:tc>
      </w:tr>
      <w:tr>
        <w:trPr>
          <w:trHeight w:val="275"/>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Investment in debt securities of Avis Budget Rental Car Funding (AESOP) LLC—related party</w:t>
            </w: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48"/>
        </w:trPr>
        <w:tc>
          <w:tcPr>
            <w:tcW w:w="1400" w:type="dxa"/>
            <w:vAlign w:val="bottom"/>
          </w:tcPr>
          <w:p>
            <w:pPr>
              <w:spacing w:after="0"/>
              <w:rPr>
                <w:sz w:val="21"/>
                <w:szCs w:val="21"/>
                <w:color w:val="auto"/>
              </w:rPr>
            </w:pPr>
          </w:p>
        </w:tc>
        <w:tc>
          <w:tcPr>
            <w:tcW w:w="69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(2,922)</w:t>
            </w:r>
          </w:p>
        </w:tc>
        <w:tc>
          <w:tcPr>
            <w:tcW w:w="1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r>
      <w:tr>
        <w:trPr>
          <w:trHeight w:val="250"/>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cash used in investing activities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(3,019)</w:t>
            </w:r>
          </w:p>
        </w:tc>
        <w:tc>
          <w:tcPr>
            <w:tcW w:w="1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(3,081)</w:t>
            </w:r>
          </w:p>
        </w:tc>
      </w:tr>
      <w:tr>
        <w:trPr>
          <w:trHeight w:val="679"/>
        </w:trPr>
        <w:tc>
          <w:tcPr>
            <w:tcW w:w="8340" w:type="dxa"/>
            <w:vAlign w:val="bottom"/>
            <w:gridSpan w:val="2"/>
          </w:tcPr>
          <w:p>
            <w:pPr>
              <w:jc w:val="center"/>
              <w:ind w:left="2990"/>
              <w:spacing w:after="0"/>
              <w:rPr>
                <w:sz w:val="20"/>
                <w:szCs w:val="20"/>
                <w:color w:val="auto"/>
              </w:rPr>
            </w:pPr>
            <w:r>
              <w:rPr>
                <w:rFonts w:ascii="Arial" w:cs="Arial" w:eastAsia="Arial" w:hAnsi="Arial"/>
                <w:sz w:val="18"/>
                <w:szCs w:val="18"/>
                <w:color w:val="auto"/>
                <w:w w:val="99"/>
              </w:rPr>
              <w:t>5</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08"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6" w:lineRule="exact"/>
        <w:rPr>
          <w:sz w:val="20"/>
          <w:szCs w:val="20"/>
          <w:color w:val="auto"/>
        </w:rPr>
      </w:pPr>
    </w:p>
    <w:p>
      <w:pPr>
        <w:ind w:left="9080"/>
        <w:spacing w:after="0"/>
        <w:rPr>
          <w:sz w:val="20"/>
          <w:szCs w:val="20"/>
          <w:color w:val="auto"/>
        </w:rPr>
      </w:pPr>
      <w:r>
        <w:rPr>
          <w:rFonts w:ascii="Arial" w:cs="Arial" w:eastAsia="Arial" w:hAnsi="Arial"/>
          <w:sz w:val="18"/>
          <w:szCs w:val="18"/>
          <w:b w:val="1"/>
          <w:bCs w:val="1"/>
          <w:color w:val="auto"/>
        </w:rPr>
        <w:t>Six Months Ended</w:t>
      </w:r>
    </w:p>
    <w:p>
      <w:pPr>
        <w:spacing w:after="0" w:line="20" w:lineRule="exact"/>
        <w:rPr>
          <w:sz w:val="20"/>
          <w:szCs w:val="20"/>
          <w:color w:val="auto"/>
        </w:rPr>
      </w:pPr>
    </w:p>
    <w:p>
      <w:pPr>
        <w:ind w:left="956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14605</wp:posOffset>
            </wp:positionV>
            <wp:extent cx="19551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33" w:lineRule="exact"/>
        <w:rPr>
          <w:sz w:val="20"/>
          <w:szCs w:val="20"/>
          <w:color w:val="auto"/>
        </w:rPr>
      </w:pPr>
    </w:p>
    <w:tbl>
      <w:tblPr>
        <w:tblLayout w:type="fixed"/>
        <w:tblInd w:w="40" w:type="dxa"/>
        <w:tblCellMar>
          <w:top w:w="0" w:type="dxa"/>
          <w:left w:w="0" w:type="dxa"/>
          <w:bottom w:w="0" w:type="dxa"/>
          <w:right w:w="0" w:type="dxa"/>
        </w:tblCellMar>
      </w:tblPr>
      <w:tr>
        <w:trPr>
          <w:trHeight w:val="254"/>
        </w:trPr>
        <w:tc>
          <w:tcPr>
            <w:tcW w:w="9280" w:type="dxa"/>
            <w:vAlign w:val="bottom"/>
            <w:gridSpan w:val="2"/>
          </w:tcPr>
          <w:p>
            <w:pPr>
              <w:ind w:left="8840"/>
              <w:spacing w:after="0"/>
              <w:rPr>
                <w:sz w:val="20"/>
                <w:szCs w:val="20"/>
                <w:color w:val="auto"/>
              </w:rPr>
            </w:pPr>
            <w:r>
              <w:rPr>
                <w:rFonts w:ascii="Arial" w:cs="Arial" w:eastAsia="Arial" w:hAnsi="Arial"/>
                <w:sz w:val="18"/>
                <w:szCs w:val="18"/>
                <w:b w:val="1"/>
                <w:bCs w:val="1"/>
                <w:color w:val="auto"/>
              </w:rPr>
              <w:t>2017</w:t>
            </w: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r>
      <w:tr>
        <w:trPr>
          <w:trHeight w:val="236"/>
        </w:trPr>
        <w:tc>
          <w:tcPr>
            <w:tcW w:w="830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9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r>
      <w:tr>
        <w:trPr>
          <w:trHeight w:val="289"/>
        </w:trPr>
        <w:tc>
          <w:tcPr>
            <w:tcW w:w="9280" w:type="dxa"/>
            <w:vAlign w:val="bottom"/>
            <w:gridSpan w:val="2"/>
          </w:tcPr>
          <w:p>
            <w:pPr>
              <w:spacing w:after="0"/>
              <w:rPr>
                <w:sz w:val="20"/>
                <w:szCs w:val="20"/>
                <w:color w:val="auto"/>
              </w:rPr>
            </w:pPr>
            <w:r>
              <w:rPr>
                <w:rFonts w:ascii="Arial" w:cs="Arial" w:eastAsia="Arial" w:hAnsi="Arial"/>
                <w:sz w:val="18"/>
                <w:szCs w:val="18"/>
                <w:color w:val="auto"/>
              </w:rPr>
              <w:t>Proceeds from long-term borrowings</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589</w:t>
            </w:r>
          </w:p>
        </w:tc>
        <w:tc>
          <w:tcPr>
            <w:tcW w:w="120" w:type="dxa"/>
            <w:vAlign w:val="bottom"/>
          </w:tcPr>
          <w:p>
            <w:pPr>
              <w:spacing w:after="0"/>
              <w:rPr>
                <w:sz w:val="24"/>
                <w:szCs w:val="24"/>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558</w:t>
            </w:r>
          </w:p>
        </w:tc>
      </w:tr>
      <w:tr>
        <w:trPr>
          <w:trHeight w:val="270"/>
        </w:trPr>
        <w:tc>
          <w:tcPr>
            <w:tcW w:w="9280" w:type="dxa"/>
            <w:vAlign w:val="bottom"/>
            <w:gridSpan w:val="2"/>
          </w:tcPr>
          <w:p>
            <w:pPr>
              <w:spacing w:after="0"/>
              <w:rPr>
                <w:sz w:val="20"/>
                <w:szCs w:val="20"/>
                <w:color w:val="auto"/>
              </w:rPr>
            </w:pPr>
            <w:r>
              <w:rPr>
                <w:rFonts w:ascii="Arial" w:cs="Arial" w:eastAsia="Arial" w:hAnsi="Arial"/>
                <w:sz w:val="18"/>
                <w:szCs w:val="18"/>
                <w:color w:val="auto"/>
              </w:rPr>
              <w:t>Payments on long-term borrowings</w:t>
            </w:r>
          </w:p>
        </w:tc>
        <w:tc>
          <w:tcPr>
            <w:tcW w:w="500" w:type="dxa"/>
            <w:vAlign w:val="bottom"/>
          </w:tcPr>
          <w:p>
            <w:pPr>
              <w:jc w:val="right"/>
              <w:spacing w:after="0"/>
              <w:rPr>
                <w:sz w:val="20"/>
                <w:szCs w:val="20"/>
                <w:color w:val="auto"/>
              </w:rPr>
            </w:pPr>
            <w:r>
              <w:rPr>
                <w:rFonts w:ascii="Arial" w:cs="Arial" w:eastAsia="Arial" w:hAnsi="Arial"/>
                <w:sz w:val="18"/>
                <w:szCs w:val="18"/>
                <w:color w:val="auto"/>
              </w:rPr>
              <w:t>(591)</w:t>
            </w: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(520)</w:t>
            </w:r>
          </w:p>
        </w:tc>
      </w:tr>
      <w:tr>
        <w:trPr>
          <w:trHeight w:val="270"/>
        </w:trPr>
        <w:tc>
          <w:tcPr>
            <w:tcW w:w="9280" w:type="dxa"/>
            <w:vAlign w:val="bottom"/>
            <w:gridSpan w:val="2"/>
          </w:tcPr>
          <w:p>
            <w:pPr>
              <w:spacing w:after="0"/>
              <w:rPr>
                <w:sz w:val="20"/>
                <w:szCs w:val="20"/>
                <w:color w:val="auto"/>
              </w:rPr>
            </w:pPr>
            <w:r>
              <w:rPr>
                <w:rFonts w:ascii="Arial" w:cs="Arial" w:eastAsia="Arial" w:hAnsi="Arial"/>
                <w:sz w:val="18"/>
                <w:szCs w:val="18"/>
                <w:color w:val="auto"/>
              </w:rPr>
              <w:t>Net change in short-term borrowings</w:t>
            </w: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9280" w:type="dxa"/>
            <w:vAlign w:val="bottom"/>
            <w:gridSpan w:val="2"/>
          </w:tcPr>
          <w:p>
            <w:pPr>
              <w:spacing w:after="0"/>
              <w:rPr>
                <w:sz w:val="20"/>
                <w:szCs w:val="20"/>
                <w:color w:val="auto"/>
              </w:rPr>
            </w:pPr>
            <w:r>
              <w:rPr>
                <w:rFonts w:ascii="Arial" w:cs="Arial" w:eastAsia="Arial" w:hAnsi="Arial"/>
                <w:sz w:val="18"/>
                <w:szCs w:val="18"/>
                <w:color w:val="auto"/>
              </w:rPr>
              <w:t>Repurchases of common stock</w:t>
            </w:r>
          </w:p>
        </w:tc>
        <w:tc>
          <w:tcPr>
            <w:tcW w:w="50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(183)</w:t>
            </w:r>
          </w:p>
        </w:tc>
      </w:tr>
      <w:tr>
        <w:trPr>
          <w:trHeight w:val="275"/>
        </w:trPr>
        <w:tc>
          <w:tcPr>
            <w:tcW w:w="9280" w:type="dxa"/>
            <w:vAlign w:val="bottom"/>
            <w:gridSpan w:val="2"/>
          </w:tcPr>
          <w:p>
            <w:pPr>
              <w:spacing w:after="0"/>
              <w:rPr>
                <w:sz w:val="20"/>
                <w:szCs w:val="20"/>
                <w:color w:val="auto"/>
              </w:rPr>
            </w:pPr>
            <w:r>
              <w:rPr>
                <w:rFonts w:ascii="Arial" w:cs="Arial" w:eastAsia="Arial" w:hAnsi="Arial"/>
                <w:sz w:val="18"/>
                <w:szCs w:val="18"/>
                <w:color w:val="auto"/>
              </w:rPr>
              <w:t>Debt financing fees</w:t>
            </w: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50"/>
        </w:trPr>
        <w:tc>
          <w:tcPr>
            <w:tcW w:w="8300" w:type="dxa"/>
            <w:vAlign w:val="bottom"/>
          </w:tcPr>
          <w:p>
            <w:pPr>
              <w:spacing w:after="0"/>
              <w:rPr>
                <w:sz w:val="20"/>
                <w:szCs w:val="20"/>
                <w:color w:val="auto"/>
              </w:rPr>
            </w:pPr>
            <w:r>
              <w:rPr>
                <w:rFonts w:ascii="Arial" w:cs="Arial" w:eastAsia="Arial" w:hAnsi="Arial"/>
                <w:sz w:val="18"/>
                <w:szCs w:val="18"/>
                <w:b w:val="1"/>
                <w:bCs w:val="1"/>
                <w:color w:val="auto"/>
              </w:rPr>
              <w:t>Net cash used in financing activities exclusive of vehicle programs</w:t>
            </w:r>
          </w:p>
        </w:tc>
        <w:tc>
          <w:tcPr>
            <w:tcW w:w="980" w:type="dxa"/>
            <w:vAlign w:val="bottom"/>
            <w:tcBorders>
              <w:top w:val="single" w:sz="8" w:color="auto"/>
              <w:bottom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1"/>
                <w:szCs w:val="21"/>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w:t>
            </w:r>
          </w:p>
        </w:tc>
      </w:tr>
    </w:tbl>
    <w:p>
      <w:pPr>
        <w:spacing w:after="0" w:line="29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Vehicle programs:</w:t>
      </w:r>
    </w:p>
    <w:p>
      <w:pPr>
        <w:sectPr>
          <w:pgSz w:w="11900" w:h="16838" w:orient="portrait"/>
          <w:cols w:equalWidth="0" w:num="1">
            <w:col w:w="11420"/>
          </w:cols>
          <w:pgMar w:left="240" w:top="115" w:right="239" w:bottom="1440" w:gutter="0" w:footer="0" w:header="0"/>
        </w:sectPr>
      </w:pPr>
    </w:p>
    <w:p>
      <w:pPr>
        <w:spacing w:after="0" w:line="6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Proceeds from borrowings</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Payments on borrowings</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Debt financing fees</w:t>
      </w:r>
    </w:p>
    <w:p>
      <w:pPr>
        <w:spacing w:after="0" w:line="33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362" w:lineRule="exact"/>
        <w:rPr>
          <w:sz w:val="20"/>
          <w:szCs w:val="20"/>
          <w:color w:val="auto"/>
        </w:rPr>
      </w:pPr>
    </w:p>
    <w:p>
      <w:pPr>
        <w:ind w:left="40"/>
        <w:spacing w:after="0"/>
        <w:rPr>
          <w:sz w:val="20"/>
          <w:szCs w:val="20"/>
          <w:color w:val="auto"/>
        </w:rPr>
      </w:pPr>
      <w:r>
        <w:rPr>
          <w:rFonts w:ascii="Arial" w:cs="Arial" w:eastAsia="Arial" w:hAnsi="Arial"/>
          <w:sz w:val="17"/>
          <w:szCs w:val="17"/>
          <w:color w:val="auto"/>
        </w:rPr>
        <w:t>Effect of changes in exchange rates on cash and cash equivalents</w:t>
      </w:r>
    </w:p>
    <w:p>
      <w:pPr>
        <w:spacing w:after="0" w:line="372"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increase in cash and cash equivalents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and cash equivalents, beginning of period</w:t>
      </w: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Cash and cash equivalents, end of period</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11,255</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9,850</w:t>
            </w:r>
          </w:p>
        </w:tc>
      </w:tr>
      <w:tr>
        <w:trPr>
          <w:trHeight w:val="270"/>
        </w:trPr>
        <w:tc>
          <w:tcPr>
            <w:tcW w:w="4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(8,988)</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(7,614)</w:t>
            </w:r>
          </w:p>
        </w:tc>
      </w:tr>
      <w:tr>
        <w:trPr>
          <w:trHeight w:val="275"/>
        </w:trPr>
        <w:tc>
          <w:tcPr>
            <w:tcW w:w="4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50"/>
        </w:trPr>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2,259</w:t>
            </w:r>
          </w:p>
        </w:tc>
        <w:tc>
          <w:tcPr>
            <w:tcW w:w="12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2,219</w:t>
            </w:r>
          </w:p>
        </w:tc>
      </w:tr>
      <w:tr>
        <w:trPr>
          <w:trHeight w:val="250"/>
        </w:trPr>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2,139</w:t>
            </w:r>
          </w:p>
        </w:tc>
        <w:tc>
          <w:tcPr>
            <w:tcW w:w="12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2,064</w:t>
            </w:r>
          </w:p>
        </w:tc>
      </w:tr>
      <w:tr>
        <w:trPr>
          <w:trHeight w:val="547"/>
        </w:trPr>
        <w:tc>
          <w:tcPr>
            <w:tcW w:w="4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w:t>
            </w:r>
          </w:p>
        </w:tc>
      </w:tr>
      <w:tr>
        <w:trPr>
          <w:trHeight w:val="542"/>
        </w:trPr>
        <w:tc>
          <w:tcPr>
            <w:tcW w:w="48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75</w:t>
            </w:r>
          </w:p>
        </w:tc>
      </w:tr>
      <w:tr>
        <w:trPr>
          <w:trHeight w:val="275"/>
        </w:trPr>
        <w:tc>
          <w:tcPr>
            <w:tcW w:w="4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490</w:t>
            </w:r>
          </w:p>
        </w:tc>
        <w:tc>
          <w:tcPr>
            <w:tcW w:w="120" w:type="dxa"/>
            <w:vAlign w:val="bottom"/>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452</w:t>
            </w:r>
          </w:p>
        </w:tc>
      </w:tr>
      <w:tr>
        <w:trPr>
          <w:trHeight w:val="250"/>
        </w:trPr>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776</w:t>
            </w:r>
          </w:p>
        </w:tc>
        <w:tc>
          <w:tcPr>
            <w:tcW w:w="120" w:type="dxa"/>
            <w:vAlign w:val="bottom"/>
          </w:tcPr>
          <w:p>
            <w:pPr>
              <w:spacing w:after="0"/>
              <w:rPr>
                <w:sz w:val="21"/>
                <w:szCs w:val="21"/>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527</w:t>
            </w: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620" w:space="720"/>
            <w:col w:w="3080"/>
          </w:cols>
          <w:pgMar w:left="240" w:top="11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See Notes to Consolidated Condensed Financial Statements (Unaudited).</w:t>
      </w:r>
    </w:p>
    <w:p>
      <w:pPr>
        <w:sectPr>
          <w:pgSz w:w="11900" w:h="16838" w:orient="portrait"/>
          <w:cols w:equalWidth="0" w:num="1">
            <w:col w:w="11420"/>
          </w:cols>
          <w:pgMar w:left="240" w:top="115" w:right="239" w:bottom="1440" w:gutter="0" w:footer="0" w:header="0"/>
          <w:type w:val="continuous"/>
        </w:sect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15" w:right="23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Avis Budget Group,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CONDENSED FINANCIAL STATEMENTS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(Unless otherwise noted, all dollar amounts in tables are in millions, except per share amounts)</w:t>
      </w:r>
    </w:p>
    <w:p>
      <w:pPr>
        <w:spacing w:after="0" w:line="201" w:lineRule="exact"/>
        <w:rPr>
          <w:sz w:val="20"/>
          <w:szCs w:val="20"/>
          <w:color w:val="auto"/>
        </w:rPr>
      </w:pPr>
    </w:p>
    <w:p>
      <w:pPr>
        <w:ind w:left="500" w:hanging="492"/>
        <w:spacing w:after="0"/>
        <w:tabs>
          <w:tab w:leader="none" w:pos="5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7" w:lineRule="exact"/>
        <w:rPr>
          <w:rFonts w:ascii="Arial" w:cs="Arial" w:eastAsia="Arial" w:hAnsi="Arial"/>
          <w:sz w:val="18"/>
          <w:szCs w:val="18"/>
          <w:b w:val="1"/>
          <w:bCs w:val="1"/>
          <w:color w:val="auto"/>
        </w:rPr>
      </w:pPr>
    </w:p>
    <w:p>
      <w:pPr>
        <w:ind w:left="500"/>
        <w:spacing w:after="0" w:line="260" w:lineRule="auto"/>
        <w:rPr>
          <w:rFonts w:ascii="Arial" w:cs="Arial" w:eastAsia="Arial" w:hAnsi="Arial"/>
          <w:sz w:val="18"/>
          <w:szCs w:val="18"/>
          <w:b w:val="1"/>
          <w:bCs w:val="1"/>
          <w:color w:val="auto"/>
        </w:rPr>
      </w:pPr>
      <w:r>
        <w:rPr>
          <w:rFonts w:ascii="Arial" w:cs="Arial" w:eastAsia="Arial" w:hAnsi="Arial"/>
          <w:sz w:val="18"/>
          <w:szCs w:val="18"/>
          <w:color w:val="auto"/>
        </w:rPr>
        <w:t>Avis Budget Group, Inc. provides car and truck rentals, car sharing services and ancillary services to businesses and consumers worldwide. The accompanying unaudited Consolidated Condensed Financial Statements include the accounts and transactions of Avis Budget Group, Inc. and its subsidiaries, as well as entities in which Avis Budget Group, Inc. directly or indirectly has a controlling financial interest (collectively, the “Company”), and have been prepared pursuant to the rules and regulations of the U.S. Securities and Exchange Commission for interim financial reporting.</w:t>
      </w:r>
    </w:p>
    <w:p>
      <w:pPr>
        <w:spacing w:after="0" w:line="121"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Company operates the following reportable business segments:</w:t>
      </w:r>
    </w:p>
    <w:p>
      <w:pPr>
        <w:spacing w:after="0" w:line="223" w:lineRule="exact"/>
        <w:rPr>
          <w:rFonts w:ascii="Arial" w:cs="Arial" w:eastAsia="Arial" w:hAnsi="Arial"/>
          <w:sz w:val="18"/>
          <w:szCs w:val="18"/>
          <w:b w:val="1"/>
          <w:bCs w:val="1"/>
          <w:color w:val="auto"/>
        </w:rPr>
      </w:pPr>
    </w:p>
    <w:p>
      <w:pPr>
        <w:ind w:left="1300" w:right="20" w:hanging="482"/>
        <w:spacing w:after="0" w:line="272"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b w:val="1"/>
          <w:bCs w:val="1"/>
          <w:color w:val="auto"/>
        </w:rPr>
        <w:t>Americas</w:t>
      </w:r>
      <w:r>
        <w:rPr>
          <w:rFonts w:ascii="Arial" w:cs="Arial" w:eastAsia="Arial" w:hAnsi="Arial"/>
          <w:sz w:val="18"/>
          <w:szCs w:val="18"/>
          <w:color w:val="auto"/>
        </w:rPr>
        <w:t>—provides and licenses the Company’s brands to third parties for vehicle rentals and ancillary products and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in North America, South America, Central America and the Caribbean, and operates the Company’s car sharing business in certain of these markets.</w:t>
      </w:r>
    </w:p>
    <w:p>
      <w:pPr>
        <w:spacing w:after="0" w:line="160" w:lineRule="exact"/>
        <w:rPr>
          <w:rFonts w:ascii="Arial" w:cs="Arial" w:eastAsia="Arial" w:hAnsi="Arial"/>
          <w:sz w:val="18"/>
          <w:szCs w:val="18"/>
          <w:color w:val="auto"/>
        </w:rPr>
      </w:pPr>
    </w:p>
    <w:p>
      <w:pPr>
        <w:ind w:left="1300" w:right="200" w:hanging="482"/>
        <w:spacing w:after="0" w:line="272"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b w:val="1"/>
          <w:bCs w:val="1"/>
          <w:color w:val="auto"/>
        </w:rPr>
        <w:t>International</w:t>
      </w:r>
      <w:r>
        <w:rPr>
          <w:rFonts w:ascii="Arial" w:cs="Arial" w:eastAsia="Arial" w:hAnsi="Arial"/>
          <w:sz w:val="18"/>
          <w:szCs w:val="18"/>
          <w:color w:val="auto"/>
        </w:rPr>
        <w:t>—provides and licenses the Company’s brands to third parties for vehicle rentals and ancillary products and</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in Europe, the Middle East, Africa, Asia, Australasia, and operates the Company’s car sharing business in certain of these markets.</w:t>
      </w:r>
    </w:p>
    <w:p>
      <w:pPr>
        <w:spacing w:after="0" w:line="163" w:lineRule="exact"/>
        <w:rPr>
          <w:sz w:val="20"/>
          <w:szCs w:val="20"/>
          <w:color w:val="auto"/>
        </w:rPr>
      </w:pPr>
    </w:p>
    <w:p>
      <w:pPr>
        <w:ind w:left="500" w:right="20"/>
        <w:spacing w:after="0" w:line="264" w:lineRule="auto"/>
        <w:rPr>
          <w:sz w:val="20"/>
          <w:szCs w:val="20"/>
          <w:color w:val="auto"/>
        </w:rPr>
      </w:pPr>
      <w:r>
        <w:rPr>
          <w:rFonts w:ascii="Arial" w:cs="Arial" w:eastAsia="Arial" w:hAnsi="Arial"/>
          <w:sz w:val="18"/>
          <w:szCs w:val="18"/>
          <w:color w:val="auto"/>
        </w:rPr>
        <w:t>The operating results of acquired businesses are included in the accompanying Consolidated Condensed Financial Statements from the dates of acquisition. The fair value of the assets acquired and liabilities assumed in connection with the Company’s fourth quarter 2016 acquisition of FranceCars has not yet been finalized; however, there have been no significant changes to the preliminary allocation of the purchase price during the six months ended June 30, 2017.</w:t>
      </w:r>
    </w:p>
    <w:p>
      <w:pPr>
        <w:spacing w:after="0" w:line="170" w:lineRule="exact"/>
        <w:rPr>
          <w:sz w:val="20"/>
          <w:szCs w:val="20"/>
          <w:color w:val="auto"/>
        </w:rPr>
      </w:pPr>
    </w:p>
    <w:p>
      <w:pPr>
        <w:ind w:left="500" w:right="140"/>
        <w:spacing w:after="0" w:line="257" w:lineRule="auto"/>
        <w:rPr>
          <w:sz w:val="20"/>
          <w:szCs w:val="20"/>
          <w:color w:val="auto"/>
        </w:rPr>
      </w:pPr>
      <w:r>
        <w:rPr>
          <w:rFonts w:ascii="Arial" w:cs="Arial" w:eastAsia="Arial" w:hAnsi="Arial"/>
          <w:sz w:val="18"/>
          <w:szCs w:val="18"/>
          <w:color w:val="auto"/>
        </w:rPr>
        <w:t>In presenting the Consolidated Condensed Financial Statements in accordance with accounting principles generally accepted in the United States of America (“GAAP”), management makes estimates and assumptions that affect the amounts reported and related disclosures. Estimates, by their nature, are based on judgment and available information. Accordingly, actual results could differ from those estimates. In management’s opinion, the Consolidated Condensed Financial Statements contain all adjustments necessary for a fair presentation of interim results reported. The results of operations reported for interim periods are not necessarily indicative of the results of operations for the entire year or any subsequent interim period. These financial statements should be read in conjunction with the Company’s 2016 Form 10-K.</w:t>
      </w:r>
    </w:p>
    <w:p>
      <w:pPr>
        <w:spacing w:after="0" w:line="17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225" w:lineRule="exact"/>
        <w:rPr>
          <w:sz w:val="20"/>
          <w:szCs w:val="20"/>
          <w:color w:val="auto"/>
        </w:rPr>
      </w:pPr>
    </w:p>
    <w:p>
      <w:pPr>
        <w:ind w:left="500" w:right="720"/>
        <w:spacing w:after="0" w:line="292" w:lineRule="auto"/>
        <w:rPr>
          <w:sz w:val="20"/>
          <w:szCs w:val="20"/>
          <w:color w:val="auto"/>
        </w:rPr>
      </w:pPr>
      <w:r>
        <w:rPr>
          <w:rFonts w:ascii="Arial" w:cs="Arial" w:eastAsia="Arial" w:hAnsi="Arial"/>
          <w:sz w:val="18"/>
          <w:szCs w:val="18"/>
          <w:color w:val="auto"/>
        </w:rPr>
        <w:t>The Company’s significant accounting policies are fully described in Note 2, “Summary of Significant Accounting Policies,” in the Company’s Annual Report on Form 10-K for fiscal year 2016.</w:t>
      </w:r>
    </w:p>
    <w:p>
      <w:pPr>
        <w:spacing w:after="0" w:line="145" w:lineRule="exact"/>
        <w:rPr>
          <w:sz w:val="20"/>
          <w:szCs w:val="20"/>
          <w:color w:val="auto"/>
        </w:rPr>
      </w:pPr>
    </w:p>
    <w:p>
      <w:pPr>
        <w:ind w:left="500" w:right="140"/>
        <w:spacing w:after="0" w:line="271" w:lineRule="auto"/>
        <w:rPr>
          <w:sz w:val="20"/>
          <w:szCs w:val="20"/>
          <w:color w:val="auto"/>
        </w:rPr>
      </w:pPr>
      <w:r>
        <w:rPr>
          <w:rFonts w:ascii="Arial" w:cs="Arial" w:eastAsia="Arial" w:hAnsi="Arial"/>
          <w:sz w:val="18"/>
          <w:szCs w:val="18"/>
          <w:i w:val="1"/>
          <w:iCs w:val="1"/>
          <w:color w:val="auto"/>
        </w:rPr>
        <w:t xml:space="preserve">Reclassifications. </w:t>
      </w:r>
      <w:r>
        <w:rPr>
          <w:rFonts w:ascii="Arial" w:cs="Arial" w:eastAsia="Arial" w:hAnsi="Arial"/>
          <w:sz w:val="18"/>
          <w:szCs w:val="18"/>
          <w:color w:val="auto"/>
        </w:rPr>
        <w:t>Certain reclassifications have been made to prior years’ Consolidated Condensed Financial Statements to conform to</w:t>
      </w:r>
      <w:r>
        <w:rPr>
          <w:rFonts w:ascii="Arial" w:cs="Arial" w:eastAsia="Arial" w:hAnsi="Arial"/>
          <w:sz w:val="18"/>
          <w:szCs w:val="18"/>
          <w:i w:val="1"/>
          <w:iCs w:val="1"/>
          <w:color w:val="auto"/>
        </w:rPr>
        <w:t xml:space="preserve"> </w:t>
      </w:r>
      <w:r>
        <w:rPr>
          <w:rFonts w:ascii="Arial" w:cs="Arial" w:eastAsia="Arial" w:hAnsi="Arial"/>
          <w:sz w:val="18"/>
          <w:szCs w:val="18"/>
          <w:color w:val="auto"/>
        </w:rPr>
        <w:t>the current year presentation. These reclassifications have no impact on reported net income (see “Adoption of New Accounting Pronouncements” below).</w:t>
      </w:r>
    </w:p>
    <w:p>
      <w:pPr>
        <w:spacing w:after="0" w:line="163" w:lineRule="exact"/>
        <w:rPr>
          <w:sz w:val="20"/>
          <w:szCs w:val="20"/>
          <w:color w:val="auto"/>
        </w:rPr>
      </w:pPr>
    </w:p>
    <w:p>
      <w:pPr>
        <w:ind w:left="500" w:right="140"/>
        <w:spacing w:after="0" w:line="258" w:lineRule="auto"/>
        <w:rPr>
          <w:sz w:val="20"/>
          <w:szCs w:val="20"/>
          <w:color w:val="auto"/>
        </w:rPr>
      </w:pPr>
      <w:r>
        <w:rPr>
          <w:rFonts w:ascii="Arial" w:cs="Arial" w:eastAsia="Arial" w:hAnsi="Arial"/>
          <w:sz w:val="18"/>
          <w:szCs w:val="18"/>
          <w:i w:val="1"/>
          <w:iCs w:val="1"/>
          <w:color w:val="auto"/>
        </w:rPr>
        <w:t xml:space="preserve">Vehicle Programs. </w:t>
      </w:r>
      <w:r>
        <w:rPr>
          <w:rFonts w:ascii="Arial" w:cs="Arial" w:eastAsia="Arial" w:hAnsi="Arial"/>
          <w:sz w:val="18"/>
          <w:szCs w:val="18"/>
          <w:color w:val="auto"/>
        </w:rPr>
        <w:t>The Company presents separately the financial data of its vehicle programs. These programs are distinct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other activities since the assets under vehicle programs are generally funded through the issuance of debt that is collateralized by such assets. The income generated by these assets is used, in part, to repay the principal and interest associated with the debt. Cash inflows and outflows relating to the acquisition of such assets and the principal debt repayment or financing of such assets are classified as activities of the Company’s vehicle programs. The Company believes it is appropriate to segregate the financial data of its vehicle programs because, ultimately, the source of repayment of such debt is the realization of such assets.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15"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ind w:left="500"/>
        <w:spacing w:after="0" w:line="260" w:lineRule="auto"/>
        <w:rPr>
          <w:sz w:val="20"/>
          <w:szCs w:val="20"/>
          <w:color w:val="auto"/>
        </w:rPr>
      </w:pPr>
      <w:r>
        <w:rPr>
          <w:rFonts w:ascii="Arial" w:cs="Arial" w:eastAsia="Arial" w:hAnsi="Arial"/>
          <w:sz w:val="18"/>
          <w:szCs w:val="18"/>
          <w:i w:val="1"/>
          <w:iCs w:val="1"/>
          <w:color w:val="auto"/>
        </w:rPr>
        <w:t xml:space="preserve">Transaction-related costs, net. </w:t>
      </w:r>
      <w:r>
        <w:rPr>
          <w:rFonts w:ascii="Arial" w:cs="Arial" w:eastAsia="Arial" w:hAnsi="Arial"/>
          <w:sz w:val="18"/>
          <w:szCs w:val="18"/>
          <w:color w:val="auto"/>
        </w:rPr>
        <w:t>Transaction-related costs, net are classified separately in the Consolidated Condensed Statements of</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Income. These costs are comprised of expenses related to acquisition-related activities such as due diligence and other advisory costs, expenses related to the integration of the acquiree’s operations with those of the Company, including the implementation of best practices and process improvements, non-cash gains and losses related to re-acquired rights, expenses related to pre-acquisition contingencies and contingent consideration related to acquisitions.</w:t>
      </w:r>
    </w:p>
    <w:p>
      <w:pPr>
        <w:spacing w:after="0" w:line="175" w:lineRule="exact"/>
        <w:rPr>
          <w:sz w:val="20"/>
          <w:szCs w:val="20"/>
          <w:color w:val="auto"/>
        </w:rPr>
      </w:pPr>
    </w:p>
    <w:p>
      <w:pPr>
        <w:ind w:left="500"/>
        <w:spacing w:after="0" w:line="264" w:lineRule="auto"/>
        <w:rPr>
          <w:sz w:val="20"/>
          <w:szCs w:val="20"/>
          <w:color w:val="auto"/>
        </w:rPr>
      </w:pPr>
      <w:r>
        <w:rPr>
          <w:rFonts w:ascii="Arial" w:cs="Arial" w:eastAsia="Arial" w:hAnsi="Arial"/>
          <w:sz w:val="18"/>
          <w:szCs w:val="18"/>
          <w:i w:val="1"/>
          <w:iCs w:val="1"/>
          <w:color w:val="auto"/>
        </w:rPr>
        <w:t xml:space="preserve">Currency Transactions. </w:t>
      </w:r>
      <w:r>
        <w:rPr>
          <w:rFonts w:ascii="Arial" w:cs="Arial" w:eastAsia="Arial" w:hAnsi="Arial"/>
          <w:sz w:val="18"/>
          <w:szCs w:val="18"/>
          <w:color w:val="auto"/>
        </w:rPr>
        <w:t>The Company records the gain or loss on foreign-currency transactions on certain intercompany loans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gain or loss on intercompany loan hedges within interest expense related to corporate debt, net. During the three months ended June 30, 2017 and 2016, the Company recorded losses of an immaterial amount and $4 million, respectively, and during the six months ended June 30, 2017 and 2016, the Company recorded losses of an immaterial amount and $7 million, respectively.</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Adoption of New Accounting Pronouncements</w:t>
      </w:r>
    </w:p>
    <w:p>
      <w:pPr>
        <w:spacing w:after="0" w:line="225" w:lineRule="exact"/>
        <w:rPr>
          <w:sz w:val="20"/>
          <w:szCs w:val="20"/>
          <w:color w:val="auto"/>
        </w:rPr>
      </w:pPr>
    </w:p>
    <w:p>
      <w:pPr>
        <w:ind w:left="500" w:right="20"/>
        <w:spacing w:after="0" w:line="254" w:lineRule="auto"/>
        <w:rPr>
          <w:sz w:val="20"/>
          <w:szCs w:val="20"/>
          <w:color w:val="auto"/>
        </w:rPr>
      </w:pPr>
      <w:r>
        <w:rPr>
          <w:rFonts w:ascii="Arial" w:cs="Arial" w:eastAsia="Arial" w:hAnsi="Arial"/>
          <w:sz w:val="18"/>
          <w:szCs w:val="18"/>
          <w:color w:val="auto"/>
        </w:rPr>
        <w:t>On January 1, 2017, as a result of a new accounting pronouncement, the Company adopted Accounting Standards Update (”ASU”) 2016-09, “Improvements to Employee Share-Based Payment Accounting,” which simplifies several aspects of the accounting for employee share-based payment transactions, including the accounting for income taxes, forfeitures, minimum statutory withholding requirements and classification in the statement of cash flows. Accordingly, in the Company’s Consolidated Condensed Balance Sheet at January 1, 2017, deferred income tax assets, net of the valuation allowance were increased by $ 56 million related to previously unrecognized excess tax benefits associated with equity awards, with a corresponding decrease to accumulated deficit, using the modified retrospective method. In addition, in the Company’s Consolidated Condensed Statement of Cash Flows for the six months ended June 30, 2016, cash taxes paid related to shares directly withheld from employees for tax purposes of $9 million were reclassified from accounts payable and other current liabilities within net cash provided by operating activities to repurchases of common stock within net cash provided by financing activities exclusive of vehicle programs. The Company elected to account for forfeitures on an actual basis, which did not have a material impact on its Consolidated Condensed Financial Statements.</w:t>
      </w:r>
    </w:p>
    <w:p>
      <w:pPr>
        <w:spacing w:after="0" w:line="18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ind w:left="500" w:right="200"/>
        <w:spacing w:after="0" w:line="264" w:lineRule="auto"/>
        <w:rPr>
          <w:sz w:val="20"/>
          <w:szCs w:val="20"/>
          <w:color w:val="auto"/>
        </w:rPr>
      </w:pPr>
      <w:r>
        <w:rPr>
          <w:rFonts w:ascii="Arial" w:cs="Arial" w:eastAsia="Arial" w:hAnsi="Arial"/>
          <w:sz w:val="18"/>
          <w:szCs w:val="18"/>
          <w:color w:val="auto"/>
        </w:rPr>
        <w:t>In May 2017, the Financial Accounting Standards Board (“FASB”) issued ASU 2017-09, “Stock Compensation, Scope of Modification Accounting,” which provides guidance on the types of changes to the terms or conditions of a share-based payment award to which an entity would be required to apply modification accounting. ASU 2017-09 becomes effective for the Company on January 1, 2018. The adoption of this pronouncement is not expected to have a material impact on the Company’s Consolidated Financial Statements.</w:t>
      </w:r>
    </w:p>
    <w:p>
      <w:pPr>
        <w:spacing w:after="0" w:line="170" w:lineRule="exact"/>
        <w:rPr>
          <w:sz w:val="20"/>
          <w:szCs w:val="20"/>
          <w:color w:val="auto"/>
        </w:rPr>
      </w:pPr>
    </w:p>
    <w:p>
      <w:pPr>
        <w:ind w:left="500" w:right="80"/>
        <w:spacing w:after="0" w:line="264" w:lineRule="auto"/>
        <w:rPr>
          <w:sz w:val="20"/>
          <w:szCs w:val="20"/>
          <w:color w:val="auto"/>
        </w:rPr>
      </w:pPr>
      <w:r>
        <w:rPr>
          <w:rFonts w:ascii="Arial" w:cs="Arial" w:eastAsia="Arial" w:hAnsi="Arial"/>
          <w:sz w:val="18"/>
          <w:szCs w:val="18"/>
          <w:color w:val="auto"/>
        </w:rPr>
        <w:t>In March 2017, the FASB issued ASU 2017-07, “Improving the Presentation of Net Periodic Pension Costs and Net Periodic Postretirement Benefit Cost,” which requires an entity to disaggregate the components of net benefit cost recognized in the consolidated statements of operations. ASU 2017-07 becomes effective for the Company on January 1, 2018. The adoption of this accounting pronouncement is not expected to have a material impact on the Company’s Consolidated Financial Statements.</w:t>
      </w:r>
    </w:p>
    <w:p>
      <w:pPr>
        <w:spacing w:after="0" w:line="170" w:lineRule="exact"/>
        <w:rPr>
          <w:sz w:val="20"/>
          <w:szCs w:val="20"/>
          <w:color w:val="auto"/>
        </w:rPr>
      </w:pPr>
    </w:p>
    <w:p>
      <w:pPr>
        <w:ind w:left="500" w:right="100"/>
        <w:spacing w:after="0" w:line="260" w:lineRule="auto"/>
        <w:rPr>
          <w:sz w:val="20"/>
          <w:szCs w:val="20"/>
          <w:color w:val="auto"/>
        </w:rPr>
      </w:pPr>
      <w:r>
        <w:rPr>
          <w:rFonts w:ascii="Arial" w:cs="Arial" w:eastAsia="Arial" w:hAnsi="Arial"/>
          <w:sz w:val="18"/>
          <w:szCs w:val="18"/>
          <w:color w:val="auto"/>
        </w:rPr>
        <w:t>In January 2017, the FASB issued ASU 2017-04, “Intangibles—Goodwill and Other, Simplifying the Test for Goodwill Impairment,” which requires an entity to perform its goodwill impairment test by comparing the fair value of a reporting unit with its carrying amount and to recognize an impairment charge for the amount by which the carrying amount exceeds the reporting unit’s fair value. ASU 2017-04 becomes effective for the Company on January 1, 2020. The adoption of this accounting pronouncement is not expected to have an impact on the Company’s Consolidated Financial Statements.</w:t>
      </w:r>
    </w:p>
    <w:p>
      <w:pPr>
        <w:spacing w:after="0" w:line="175" w:lineRule="exact"/>
        <w:rPr>
          <w:sz w:val="20"/>
          <w:szCs w:val="20"/>
          <w:color w:val="auto"/>
        </w:rPr>
      </w:pPr>
    </w:p>
    <w:p>
      <w:pPr>
        <w:ind w:left="500" w:right="100"/>
        <w:spacing w:after="0" w:line="264" w:lineRule="auto"/>
        <w:rPr>
          <w:sz w:val="20"/>
          <w:szCs w:val="20"/>
          <w:color w:val="auto"/>
        </w:rPr>
      </w:pPr>
      <w:r>
        <w:rPr>
          <w:rFonts w:ascii="Arial" w:cs="Arial" w:eastAsia="Arial" w:hAnsi="Arial"/>
          <w:sz w:val="18"/>
          <w:szCs w:val="18"/>
          <w:color w:val="auto"/>
        </w:rPr>
        <w:t>In January 2017, the FASB issued ASU 2017-01, “Business Combinations, Clarifying the Definition of a Business,” which assists entities in evaluating whether transactions should be accounted for as acquisitions of assets or businesses. ASU 2017-01 becomes effective for the Company on January 1, 2018. The adoption of this accounting pronouncement is not expected to have a material impact on the Company’s Consolidated Financial Statements.</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15"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ind w:left="500" w:right="340"/>
        <w:spacing w:after="0" w:line="264" w:lineRule="auto"/>
        <w:rPr>
          <w:sz w:val="20"/>
          <w:szCs w:val="20"/>
          <w:color w:val="auto"/>
        </w:rPr>
      </w:pPr>
      <w:r>
        <w:rPr>
          <w:rFonts w:ascii="Arial" w:cs="Arial" w:eastAsia="Arial" w:hAnsi="Arial"/>
          <w:sz w:val="18"/>
          <w:szCs w:val="18"/>
          <w:color w:val="auto"/>
        </w:rPr>
        <w:t>In November 2016, the FASB issued ASU 2016-18, “Statement of Cash Flows, Restricted Cash,” which clarifies guidance on the classification and presentation of restricted cash in the statement of cash flows. ASU 2016-18 becomes effective for the Company on January 1, 2018. The adoption of this accounting pronouncement will impact the presentation of restricted cash in the Company’s Consolidated Statements of Cash Flows.</w:t>
      </w:r>
    </w:p>
    <w:p>
      <w:pPr>
        <w:spacing w:after="0" w:line="170" w:lineRule="exact"/>
        <w:rPr>
          <w:sz w:val="20"/>
          <w:szCs w:val="20"/>
          <w:color w:val="auto"/>
        </w:rPr>
      </w:pPr>
    </w:p>
    <w:p>
      <w:pPr>
        <w:ind w:left="500" w:right="140"/>
        <w:spacing w:after="0" w:line="264" w:lineRule="auto"/>
        <w:rPr>
          <w:sz w:val="20"/>
          <w:szCs w:val="20"/>
          <w:color w:val="auto"/>
        </w:rPr>
      </w:pPr>
      <w:r>
        <w:rPr>
          <w:rFonts w:ascii="Arial" w:cs="Arial" w:eastAsia="Arial" w:hAnsi="Arial"/>
          <w:sz w:val="18"/>
          <w:szCs w:val="18"/>
          <w:color w:val="auto"/>
        </w:rPr>
        <w:t>In August 2016, the FASB issued ASU 2016 -15, “Classification of Certain Cash Receipts and Cash Payments,” which clarifies guidance on the classification of certain cash receipts and cash payments in the statement of cash flows. ASU 2016-15 becomes effective for the Company on January 1, 2018. The adoption of this accounting pronouncement is not expected to have a material impact on the Company’s Consolidated Financial Statements.</w:t>
      </w:r>
    </w:p>
    <w:p>
      <w:pPr>
        <w:spacing w:after="0" w:line="170" w:lineRule="exact"/>
        <w:rPr>
          <w:sz w:val="20"/>
          <w:szCs w:val="20"/>
          <w:color w:val="auto"/>
        </w:rPr>
      </w:pPr>
    </w:p>
    <w:p>
      <w:pPr>
        <w:ind w:left="500"/>
        <w:spacing w:after="0" w:line="254" w:lineRule="auto"/>
        <w:rPr>
          <w:sz w:val="20"/>
          <w:szCs w:val="20"/>
          <w:color w:val="auto"/>
        </w:rPr>
      </w:pPr>
      <w:r>
        <w:rPr>
          <w:rFonts w:ascii="Arial" w:cs="Arial" w:eastAsia="Arial" w:hAnsi="Arial"/>
          <w:sz w:val="18"/>
          <w:szCs w:val="18"/>
          <w:color w:val="auto"/>
        </w:rPr>
        <w:t>In February 2016, the FASB issued ASU 2016-02, “Leases,” which requires a lessee to recognize all long-term leases on its balance sheet as a liability for its lease obligation, measured at the present value of lease payments not yet paid, and a corresponding asset representing its right to use the underlying asset over the lease term and expands disclosure of key information about leasing arrangements. The ASU does not significantly change a lessee’s recognition, measurement and presentation of expenses and cash flows. Additionally, ASU 2016-02 aligns key aspects of lessor accounting with the new revenue recognition guidance in ASU 2014-09, “Revenue from Contracts with Customers” (see below). ASU 2016-02 becomes effective for the Company on January 1, 2019. Early adoption is permitted. In transition, lessees and lessors are required to recognize and measure leases at the beginning of the earliest period presented using a modified retrospective approach which includes a number of optional practical expedients that entities may elect to apply. The Company is currently evaluating and planning for the implementation of this ASU, including assessing its overall impact, and expects most of its operating lease commitments will be subject to the new standard and recognized as operating lease liabilities and right-of-use assets upon adoption, which will materially increase total assets and total liabilities relative to such amounts prior to adoption. The Company has determined portions of its vehicle rental contracts that convey the right to control the use of identified assets are within the scope of the accounting guidance contained in ASU 2016-02.</w:t>
      </w:r>
    </w:p>
    <w:p>
      <w:pPr>
        <w:spacing w:after="0" w:line="177" w:lineRule="exact"/>
        <w:rPr>
          <w:sz w:val="20"/>
          <w:szCs w:val="20"/>
          <w:color w:val="auto"/>
        </w:rPr>
      </w:pPr>
    </w:p>
    <w:p>
      <w:pPr>
        <w:ind w:left="500" w:right="80"/>
        <w:spacing w:after="0" w:line="260" w:lineRule="auto"/>
        <w:rPr>
          <w:sz w:val="20"/>
          <w:szCs w:val="20"/>
          <w:color w:val="auto"/>
        </w:rPr>
      </w:pPr>
      <w:r>
        <w:rPr>
          <w:rFonts w:ascii="Arial" w:cs="Arial" w:eastAsia="Arial" w:hAnsi="Arial"/>
          <w:sz w:val="18"/>
          <w:szCs w:val="18"/>
          <w:color w:val="auto"/>
        </w:rPr>
        <w:t>In January 2016, the FASB issued ASU 2016-01, “Recognition and Measurement of Financial Assets and Financial Liabilities,” which makes limited amendments to the classification and measurement of financial instruments. The new standard amends certain disclosure requirements associated with the fair value of financial instruments. ASU 2016-01 becomes effective for the Company on January 1, 2018. The adoption of this accounting pronouncement is not expected to have a material impact on the Company’s Consolidated Financial Statements.</w:t>
      </w:r>
    </w:p>
    <w:p>
      <w:pPr>
        <w:spacing w:after="0" w:line="175" w:lineRule="exact"/>
        <w:rPr>
          <w:sz w:val="20"/>
          <w:szCs w:val="20"/>
          <w:color w:val="auto"/>
        </w:rPr>
      </w:pPr>
    </w:p>
    <w:p>
      <w:pPr>
        <w:ind w:left="500" w:right="20"/>
        <w:spacing w:after="0" w:line="254" w:lineRule="auto"/>
        <w:rPr>
          <w:sz w:val="20"/>
          <w:szCs w:val="20"/>
          <w:color w:val="auto"/>
        </w:rPr>
      </w:pPr>
      <w:r>
        <w:rPr>
          <w:rFonts w:ascii="Arial" w:cs="Arial" w:eastAsia="Arial" w:hAnsi="Arial"/>
          <w:sz w:val="18"/>
          <w:szCs w:val="18"/>
          <w:color w:val="auto"/>
        </w:rPr>
        <w:t>In May 2014, the FASB issued ASU 2014-09, “Revenue from Contracts with Customers,” which outlines a single model for entities to use in accounting for revenue arising from contracts with customers and supersedes current revenue recognition guidance. The new guidance applies to all contracts with customers except for leases, insurance contracts, financial instruments, certain nonmonetary exchanges and certain guarantees. Also, additional disclosures are required about the nature, amount, timing and uncertainty of revenue and cash flows arising from customer contracts, including significant judgments and changes in judgments. ASU 2014-09 becomes effective for the Company on January 1, 2018 and may be adopted on either a full or modified retrospective basis. The Company is currently evaluating and planning for the implementation of this ASU which will extend through 2017 and has determined it will adopt the requirements of the new standard on a modified retrospective basis using the practical expedient not to restate contracts that begin and end within the same prior fiscal year. The Company derives revenue primarily by providing vehicle rentals and ancillary products to customers and has determined this ASU will affect its presentation of vehicle rental and other revenue as the total transaction price for each vehicle rental contract must be allocated among performance obligations based on standalone selling price. ASU 2014-09 defines standalone selling price as the observable price of a good or service when sold separately in similar circumstances and to similar customers. The Company has also determined this ASU will impact its accounting for customer loyalty programs and rebates.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16"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right="7380" w:hanging="492"/>
        <w:spacing w:after="0" w:line="502" w:lineRule="auto"/>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Restructuring and Other Related Charges </w:t>
      </w:r>
      <w:r>
        <w:rPr>
          <w:rFonts w:ascii="Arial" w:cs="Arial" w:eastAsia="Arial" w:hAnsi="Arial"/>
          <w:sz w:val="18"/>
          <w:szCs w:val="18"/>
          <w:b w:val="1"/>
          <w:bCs w:val="1"/>
          <w:i w:val="1"/>
          <w:iCs w:val="1"/>
          <w:color w:val="auto"/>
        </w:rPr>
        <w:t>Restructuring</w:t>
      </w:r>
    </w:p>
    <w:p>
      <w:pPr>
        <w:ind w:left="5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During first quarter 2017, the Company initiated a strategic restructuring initiative to drive operational efficiency throughout the organization by reducing headcount, improving processes and consolidating functions, closing certain rental locations and decreasing the size of our fleet (the “T17”). During the six months ended June 30, 2017, as part of this initiative, the Company formally communicated the termination of employment to approximately 535 employees, and as of June 30, 2017, the Company had terminated the employment of approximately 410 of these employees. The costs associated with this initiative primarily represent severance, outplacement services and other costs associated with employee terminations, the majority of which have been or are expected to be settled in cash. The Company expects further restructuring expense of approximately $10 million related to this initiative to be incurred in 2017.</w:t>
      </w:r>
    </w:p>
    <w:p>
      <w:pPr>
        <w:spacing w:after="0" w:line="177" w:lineRule="exact"/>
        <w:rPr>
          <w:rFonts w:ascii="Arial" w:cs="Arial" w:eastAsia="Arial" w:hAnsi="Arial"/>
          <w:sz w:val="18"/>
          <w:szCs w:val="18"/>
          <w:b w:val="1"/>
          <w:bCs w:val="1"/>
          <w:color w:val="auto"/>
        </w:rPr>
      </w:pPr>
    </w:p>
    <w:p>
      <w:pPr>
        <w:ind w:left="500" w:right="30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In conjunction with previous acquisitions, the Company identified opportunities to integrate and streamline its operations, primarily in Europe. This initiative is substantially complete, and the Company does not anticipate any further restructuring expense related to this initiative.</w:t>
      </w:r>
    </w:p>
    <w:p>
      <w:pPr>
        <w:spacing w:after="0" w:line="163" w:lineRule="exact"/>
        <w:rPr>
          <w:rFonts w:ascii="Arial" w:cs="Arial" w:eastAsia="Arial" w:hAnsi="Arial"/>
          <w:sz w:val="18"/>
          <w:szCs w:val="18"/>
          <w:b w:val="1"/>
          <w:bCs w:val="1"/>
          <w:color w:val="auto"/>
        </w:rPr>
      </w:pPr>
    </w:p>
    <w:p>
      <w:pPr>
        <w:ind w:left="500" w:right="14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In 2014, the Company committed to various strategic initiatives to identify best practices and drive efficiency throughout its organization, by reducing headcount, improving processes and consolidating functions (the “T15”). The Company does not anticipate any further restructuring expense related to this initiative.</w:t>
      </w:r>
    </w:p>
    <w:p>
      <w:pPr>
        <w:spacing w:after="0" w:line="163" w:lineRule="exact"/>
        <w:rPr>
          <w:rFonts w:ascii="Arial" w:cs="Arial" w:eastAsia="Arial" w:hAnsi="Arial"/>
          <w:sz w:val="18"/>
          <w:szCs w:val="18"/>
          <w:b w:val="1"/>
          <w:bCs w:val="1"/>
          <w:color w:val="auto"/>
        </w:rPr>
      </w:pPr>
    </w:p>
    <w:p>
      <w:pPr>
        <w:ind w:left="500" w:right="900"/>
        <w:spacing w:after="0" w:line="292" w:lineRule="auto"/>
        <w:rPr>
          <w:rFonts w:ascii="Arial" w:cs="Arial" w:eastAsia="Arial" w:hAnsi="Arial"/>
          <w:sz w:val="18"/>
          <w:szCs w:val="18"/>
          <w:b w:val="1"/>
          <w:bCs w:val="1"/>
          <w:color w:val="auto"/>
        </w:rPr>
      </w:pPr>
      <w:r>
        <w:rPr>
          <w:rFonts w:ascii="Arial" w:cs="Arial" w:eastAsia="Arial" w:hAnsi="Arial"/>
          <w:sz w:val="18"/>
          <w:szCs w:val="18"/>
          <w:color w:val="auto"/>
        </w:rPr>
        <w:t>The following tables summarize the changes to our restructuring-related liabilities and identify the amounts recorded within the Company’s reporting segments for restructuring charges and corresponding payments and utilizations:</w:t>
      </w:r>
    </w:p>
    <w:p>
      <w:pPr>
        <w:spacing w:after="0" w:line="120"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4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9"/>
              </w:rPr>
              <w:t>Americas</w:t>
            </w:r>
          </w:p>
        </w:tc>
        <w:tc>
          <w:tcPr>
            <w:tcW w:w="180" w:type="dxa"/>
            <w:vAlign w:val="bottom"/>
          </w:tcPr>
          <w:p>
            <w:pPr>
              <w:spacing w:after="0"/>
              <w:rPr>
                <w:sz w:val="19"/>
                <w:szCs w:val="19"/>
                <w:color w:val="auto"/>
              </w:rPr>
            </w:pPr>
          </w:p>
        </w:tc>
        <w:tc>
          <w:tcPr>
            <w:tcW w:w="1380" w:type="dxa"/>
            <w:vAlign w:val="bottom"/>
            <w:gridSpan w:val="2"/>
          </w:tcPr>
          <w:p>
            <w:pPr>
              <w:ind w:left="60"/>
              <w:spacing w:after="0"/>
              <w:rPr>
                <w:sz w:val="20"/>
                <w:szCs w:val="20"/>
                <w:color w:val="auto"/>
              </w:rPr>
            </w:pPr>
            <w:r>
              <w:rPr>
                <w:rFonts w:ascii="Arial" w:cs="Arial" w:eastAsia="Arial" w:hAnsi="Arial"/>
                <w:sz w:val="16"/>
                <w:szCs w:val="16"/>
                <w:b w:val="1"/>
                <w:bCs w:val="1"/>
                <w:color w:val="auto"/>
              </w:rPr>
              <w:t>International</w:t>
            </w:r>
          </w:p>
        </w:tc>
        <w:tc>
          <w:tcPr>
            <w:tcW w:w="340" w:type="dxa"/>
            <w:vAlign w:val="bottom"/>
          </w:tcPr>
          <w:p>
            <w:pPr>
              <w:spacing w:after="0"/>
              <w:rPr>
                <w:sz w:val="19"/>
                <w:szCs w:val="19"/>
                <w:color w:val="auto"/>
              </w:rPr>
            </w:pPr>
          </w:p>
        </w:tc>
        <w:tc>
          <w:tcPr>
            <w:tcW w:w="1120" w:type="dxa"/>
            <w:vAlign w:val="bottom"/>
          </w:tcPr>
          <w:p>
            <w:pPr>
              <w:jc w:val="right"/>
              <w:ind w:right="45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47"/>
        </w:trPr>
        <w:tc>
          <w:tcPr>
            <w:tcW w:w="4160" w:type="dxa"/>
            <w:vAlign w:val="bottom"/>
          </w:tcPr>
          <w:p>
            <w:pPr>
              <w:ind w:left="20"/>
              <w:spacing w:after="0"/>
              <w:rPr>
                <w:sz w:val="20"/>
                <w:szCs w:val="20"/>
                <w:color w:val="auto"/>
              </w:rPr>
            </w:pPr>
            <w:r>
              <w:rPr>
                <w:rFonts w:ascii="Arial" w:cs="Arial" w:eastAsia="Arial" w:hAnsi="Arial"/>
                <w:sz w:val="18"/>
                <w:szCs w:val="18"/>
                <w:color w:val="auto"/>
              </w:rPr>
              <w:t>Balance as of January 1, 2017</w:t>
            </w: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0"/>
        </w:trPr>
        <w:tc>
          <w:tcPr>
            <w:tcW w:w="4160" w:type="dxa"/>
            <w:vAlign w:val="bottom"/>
          </w:tcPr>
          <w:p>
            <w:pPr>
              <w:ind w:left="220"/>
              <w:spacing w:after="0"/>
              <w:rPr>
                <w:sz w:val="20"/>
                <w:szCs w:val="20"/>
                <w:color w:val="auto"/>
              </w:rPr>
            </w:pPr>
            <w:r>
              <w:rPr>
                <w:rFonts w:ascii="Arial" w:cs="Arial" w:eastAsia="Arial" w:hAnsi="Arial"/>
                <w:sz w:val="18"/>
                <w:szCs w:val="18"/>
                <w:color w:val="auto"/>
              </w:rPr>
              <w:t>Restructuring expense T17</w:t>
            </w: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0"/>
        </w:trPr>
        <w:tc>
          <w:tcPr>
            <w:tcW w:w="4160" w:type="dxa"/>
            <w:vAlign w:val="bottom"/>
          </w:tcPr>
          <w:p>
            <w:pPr>
              <w:ind w:left="220"/>
              <w:spacing w:after="0"/>
              <w:rPr>
                <w:sz w:val="20"/>
                <w:szCs w:val="20"/>
                <w:color w:val="auto"/>
              </w:rPr>
            </w:pPr>
            <w:r>
              <w:rPr>
                <w:rFonts w:ascii="Arial" w:cs="Arial" w:eastAsia="Arial" w:hAnsi="Arial"/>
                <w:sz w:val="18"/>
                <w:szCs w:val="18"/>
                <w:color w:val="auto"/>
              </w:rPr>
              <w:t>Restructuring payment/utilization T17</w:t>
            </w: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5"/>
        </w:trPr>
        <w:tc>
          <w:tcPr>
            <w:tcW w:w="4160" w:type="dxa"/>
            <w:vAlign w:val="bottom"/>
          </w:tcPr>
          <w:p>
            <w:pPr>
              <w:ind w:left="220"/>
              <w:spacing w:after="0"/>
              <w:rPr>
                <w:sz w:val="20"/>
                <w:szCs w:val="20"/>
                <w:color w:val="auto"/>
              </w:rPr>
            </w:pPr>
            <w:r>
              <w:rPr>
                <w:rFonts w:ascii="Arial" w:cs="Arial" w:eastAsia="Arial" w:hAnsi="Arial"/>
                <w:sz w:val="18"/>
                <w:szCs w:val="18"/>
                <w:color w:val="auto"/>
              </w:rPr>
              <w:t>Restructuring payment/utilization T15</w:t>
            </w: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5"/>
        </w:trPr>
        <w:tc>
          <w:tcPr>
            <w:tcW w:w="4160" w:type="dxa"/>
            <w:vAlign w:val="bottom"/>
          </w:tcPr>
          <w:p>
            <w:pPr>
              <w:ind w:left="20"/>
              <w:spacing w:after="0"/>
              <w:rPr>
                <w:sz w:val="20"/>
                <w:szCs w:val="20"/>
                <w:color w:val="auto"/>
              </w:rPr>
            </w:pPr>
            <w:r>
              <w:rPr>
                <w:rFonts w:ascii="Arial" w:cs="Arial" w:eastAsia="Arial" w:hAnsi="Arial"/>
                <w:sz w:val="18"/>
                <w:szCs w:val="18"/>
                <w:color w:val="auto"/>
              </w:rPr>
              <w:t>Balance as of June 30, 2017</w:t>
            </w: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4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tcPr>
          <w:p>
            <w:pPr>
              <w:ind w:left="100"/>
              <w:spacing w:after="0"/>
              <w:rPr>
                <w:sz w:val="20"/>
                <w:szCs w:val="20"/>
                <w:color w:val="auto"/>
              </w:rPr>
            </w:pPr>
            <w:r>
              <w:rPr>
                <w:rFonts w:ascii="Arial" w:cs="Arial" w:eastAsia="Arial" w:hAnsi="Arial"/>
                <w:sz w:val="16"/>
                <w:szCs w:val="16"/>
                <w:b w:val="1"/>
                <w:bCs w:val="1"/>
                <w:color w:val="auto"/>
              </w:rPr>
              <w:t>Personnel</w:t>
            </w:r>
          </w:p>
        </w:tc>
        <w:tc>
          <w:tcPr>
            <w:tcW w:w="240" w:type="dxa"/>
            <w:vAlign w:val="bottom"/>
          </w:tcPr>
          <w:p>
            <w:pPr>
              <w:spacing w:after="0"/>
              <w:rPr>
                <w:sz w:val="24"/>
                <w:szCs w:val="2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Facility</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Related</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52"/>
              <w:spacing w:after="0"/>
              <w:rPr>
                <w:sz w:val="20"/>
                <w:szCs w:val="20"/>
                <w:color w:val="auto"/>
              </w:rPr>
            </w:pPr>
            <w:r>
              <w:rPr>
                <w:rFonts w:ascii="Arial" w:cs="Arial" w:eastAsia="Arial" w:hAnsi="Arial"/>
                <w:sz w:val="16"/>
                <w:szCs w:val="16"/>
                <w:b w:val="1"/>
                <w:bCs w:val="1"/>
                <w:color w:val="auto"/>
              </w:rPr>
              <w:t>Related</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31"/>
              <w:spacing w:after="0" w:line="236" w:lineRule="exact"/>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21"/>
                <w:szCs w:val="21"/>
                <w:b w:val="1"/>
                <w:bCs w:val="1"/>
                <w:color w:val="auto"/>
                <w:vertAlign w:val="superscript"/>
              </w:rPr>
              <w:t>(a)</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41"/>
        </w:trPr>
        <w:tc>
          <w:tcPr>
            <w:tcW w:w="4160" w:type="dxa"/>
            <w:vAlign w:val="bottom"/>
          </w:tcPr>
          <w:p>
            <w:pPr>
              <w:ind w:left="20"/>
              <w:spacing w:after="0"/>
              <w:rPr>
                <w:sz w:val="20"/>
                <w:szCs w:val="20"/>
                <w:color w:val="auto"/>
              </w:rPr>
            </w:pPr>
            <w:r>
              <w:rPr>
                <w:rFonts w:ascii="Arial" w:cs="Arial" w:eastAsia="Arial" w:hAnsi="Arial"/>
                <w:sz w:val="18"/>
                <w:szCs w:val="18"/>
                <w:color w:val="auto"/>
              </w:rPr>
              <w:t>Balance as of January 1, 2017</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0"/>
        </w:trPr>
        <w:tc>
          <w:tcPr>
            <w:tcW w:w="4160" w:type="dxa"/>
            <w:vAlign w:val="bottom"/>
          </w:tcPr>
          <w:p>
            <w:pPr>
              <w:ind w:left="220"/>
              <w:spacing w:after="0"/>
              <w:rPr>
                <w:sz w:val="20"/>
                <w:szCs w:val="20"/>
                <w:color w:val="auto"/>
              </w:rPr>
            </w:pPr>
            <w:r>
              <w:rPr>
                <w:rFonts w:ascii="Arial" w:cs="Arial" w:eastAsia="Arial" w:hAnsi="Arial"/>
                <w:sz w:val="18"/>
                <w:szCs w:val="18"/>
                <w:color w:val="auto"/>
              </w:rPr>
              <w:t>Restructuring expense T17</w:t>
            </w: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0"/>
        </w:trPr>
        <w:tc>
          <w:tcPr>
            <w:tcW w:w="4160" w:type="dxa"/>
            <w:vAlign w:val="bottom"/>
          </w:tcPr>
          <w:p>
            <w:pPr>
              <w:ind w:left="220"/>
              <w:spacing w:after="0"/>
              <w:rPr>
                <w:sz w:val="20"/>
                <w:szCs w:val="20"/>
                <w:color w:val="auto"/>
              </w:rPr>
            </w:pPr>
            <w:r>
              <w:rPr>
                <w:rFonts w:ascii="Arial" w:cs="Arial" w:eastAsia="Arial" w:hAnsi="Arial"/>
                <w:sz w:val="18"/>
                <w:szCs w:val="18"/>
                <w:color w:val="auto"/>
              </w:rPr>
              <w:t>Restructuring payment/utilization T17</w:t>
            </w: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5"/>
        </w:trPr>
        <w:tc>
          <w:tcPr>
            <w:tcW w:w="4160" w:type="dxa"/>
            <w:vAlign w:val="bottom"/>
          </w:tcPr>
          <w:p>
            <w:pPr>
              <w:ind w:left="220"/>
              <w:spacing w:after="0"/>
              <w:rPr>
                <w:sz w:val="20"/>
                <w:szCs w:val="20"/>
                <w:color w:val="auto"/>
              </w:rPr>
            </w:pPr>
            <w:r>
              <w:rPr>
                <w:rFonts w:ascii="Arial" w:cs="Arial" w:eastAsia="Arial" w:hAnsi="Arial"/>
                <w:sz w:val="18"/>
                <w:szCs w:val="18"/>
                <w:color w:val="auto"/>
              </w:rPr>
              <w:t>Restructuring payment/utilization T15</w:t>
            </w:r>
          </w:p>
        </w:tc>
        <w:tc>
          <w:tcPr>
            <w:tcW w:w="2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5"/>
        </w:trPr>
        <w:tc>
          <w:tcPr>
            <w:tcW w:w="4160" w:type="dxa"/>
            <w:vAlign w:val="bottom"/>
          </w:tcPr>
          <w:p>
            <w:pPr>
              <w:ind w:left="20"/>
              <w:spacing w:after="0"/>
              <w:rPr>
                <w:sz w:val="20"/>
                <w:szCs w:val="20"/>
                <w:color w:val="auto"/>
              </w:rPr>
            </w:pPr>
            <w:r>
              <w:rPr>
                <w:rFonts w:ascii="Arial" w:cs="Arial" w:eastAsia="Arial" w:hAnsi="Arial"/>
                <w:sz w:val="18"/>
                <w:szCs w:val="18"/>
                <w:color w:val="auto"/>
              </w:rPr>
              <w:t>Balance as of June 30, 2017</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16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1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820" w:hanging="326"/>
        <w:spacing w:after="0" w:line="193" w:lineRule="auto"/>
        <w:tabs>
          <w:tab w:leader="none" w:pos="820" w:val="left"/>
        </w:tabs>
        <w:numPr>
          <w:ilvl w:val="0"/>
          <w:numId w:val="5"/>
        </w:numPr>
        <w:rPr>
          <w:rFonts w:ascii="Arial" w:cs="Arial" w:eastAsia="Arial" w:hAnsi="Arial"/>
          <w:sz w:val="22"/>
          <w:szCs w:val="22"/>
          <w:color w:val="auto"/>
          <w:vertAlign w:val="superscript"/>
        </w:rPr>
      </w:pPr>
      <w:r>
        <w:rPr>
          <w:rFonts w:ascii="Arial" w:cs="Arial" w:eastAsia="Arial" w:hAnsi="Arial"/>
          <w:sz w:val="16"/>
          <w:szCs w:val="16"/>
          <w:color w:val="auto"/>
        </w:rPr>
        <w:t>Includes expenses primarily related to the disposition of vehicles.</w:t>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Other Related Charges</w:t>
      </w:r>
    </w:p>
    <w:p>
      <w:pPr>
        <w:spacing w:after="0" w:line="22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Officer Separation Costs</w:t>
      </w:r>
    </w:p>
    <w:p>
      <w:pPr>
        <w:spacing w:after="0" w:line="223" w:lineRule="exact"/>
        <w:rPr>
          <w:sz w:val="20"/>
          <w:szCs w:val="20"/>
          <w:color w:val="auto"/>
        </w:rPr>
      </w:pPr>
    </w:p>
    <w:p>
      <w:pPr>
        <w:ind w:left="500"/>
        <w:spacing w:after="0" w:line="271" w:lineRule="auto"/>
        <w:rPr>
          <w:sz w:val="20"/>
          <w:szCs w:val="20"/>
          <w:color w:val="auto"/>
        </w:rPr>
      </w:pPr>
      <w:r>
        <w:rPr>
          <w:rFonts w:ascii="Arial" w:cs="Arial" w:eastAsia="Arial" w:hAnsi="Arial"/>
          <w:sz w:val="18"/>
          <w:szCs w:val="18"/>
          <w:color w:val="auto"/>
        </w:rPr>
        <w:t>On May 12, 2017, the Company announced the resignation of David B. Wyshner as the Company’s President and Chief Financial Officer. In connection with Mr. Wyshner’s departure, the Company recorded other related charges of $7 million during the three and six months ended June 30, 2017, inclusive of accelerated stock-based compensation expense of $2 million.</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Limited Voluntary Opportunity Plan (“LVOP”)</w:t>
      </w:r>
    </w:p>
    <w:p>
      <w:pPr>
        <w:spacing w:after="0" w:line="223" w:lineRule="exact"/>
        <w:rPr>
          <w:sz w:val="20"/>
          <w:szCs w:val="20"/>
          <w:color w:val="auto"/>
        </w:rPr>
      </w:pPr>
    </w:p>
    <w:p>
      <w:pPr>
        <w:ind w:left="500" w:right="260"/>
        <w:spacing w:after="0" w:line="264" w:lineRule="auto"/>
        <w:rPr>
          <w:sz w:val="20"/>
          <w:szCs w:val="20"/>
          <w:color w:val="auto"/>
        </w:rPr>
      </w:pPr>
      <w:r>
        <w:rPr>
          <w:rFonts w:ascii="Arial" w:cs="Arial" w:eastAsia="Arial" w:hAnsi="Arial"/>
          <w:sz w:val="18"/>
          <w:szCs w:val="18"/>
          <w:color w:val="auto"/>
        </w:rPr>
        <w:t>During second quarter 2017, the Company offered a voluntary termination program to certain employees in the Americas’ field operations, shared services, and general and administrative functions for a limited time. These employees, if qualified, could have elected resignation from employment in return for enhanced severance benefits to be settled in cash. In connection with the LVOP, the Company recorded other related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1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ind w:left="500"/>
        <w:spacing w:after="0" w:line="292" w:lineRule="auto"/>
        <w:rPr>
          <w:sz w:val="20"/>
          <w:szCs w:val="20"/>
          <w:color w:val="auto"/>
        </w:rPr>
      </w:pPr>
      <w:r>
        <w:rPr>
          <w:rFonts w:ascii="Arial" w:cs="Arial" w:eastAsia="Arial" w:hAnsi="Arial"/>
          <w:sz w:val="18"/>
          <w:szCs w:val="18"/>
          <w:color w:val="auto"/>
        </w:rPr>
        <w:t>charges of $14 million. Approximately 325 qualified employees elected to participate in the plan, and as of June 30, 2017, the Company had terminated the employment of approximately 185 of these participants.</w:t>
      </w:r>
    </w:p>
    <w:p>
      <w:pPr>
        <w:spacing w:after="0" w:line="143"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computation of basic and diluted earnings (loss) per share (“EPS”) (shares in millions):</w:t>
      </w:r>
    </w:p>
    <w:p>
      <w:pPr>
        <w:spacing w:after="0" w:line="165"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5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0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54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0" w:type="dxa"/>
            <w:vAlign w:val="bottom"/>
            <w:tcBorders>
              <w:bottom w:val="single" w:sz="8" w:color="auto"/>
            </w:tcBorders>
            <w:gridSpan w:val="5"/>
          </w:tcPr>
          <w:p>
            <w:pPr>
              <w:ind w:left="60"/>
              <w:spacing w:after="0"/>
              <w:rPr>
                <w:sz w:val="20"/>
                <w:szCs w:val="20"/>
                <w:color w:val="auto"/>
              </w:rPr>
            </w:pPr>
            <w:r>
              <w:rPr>
                <w:rFonts w:ascii="Arial" w:cs="Arial" w:eastAsia="Arial" w:hAnsi="Arial"/>
                <w:sz w:val="18"/>
                <w:szCs w:val="18"/>
                <w:b w:val="1"/>
                <w:bCs w:val="1"/>
                <w:color w:val="auto"/>
                <w:w w:val="99"/>
              </w:rPr>
              <w:t>Six Months Ended June 30,</w:t>
            </w:r>
          </w:p>
        </w:tc>
        <w:tc>
          <w:tcPr>
            <w:tcW w:w="0" w:type="dxa"/>
            <w:vAlign w:val="bottom"/>
          </w:tcPr>
          <w:p>
            <w:pPr>
              <w:spacing w:after="0"/>
              <w:rPr>
                <w:sz w:val="1"/>
                <w:szCs w:val="1"/>
                <w:color w:val="auto"/>
              </w:rPr>
            </w:pPr>
          </w:p>
        </w:tc>
      </w:tr>
      <w:tr>
        <w:trPr>
          <w:trHeight w:val="264"/>
        </w:trPr>
        <w:tc>
          <w:tcPr>
            <w:tcW w:w="54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2016</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55"/>
        </w:trPr>
        <w:tc>
          <w:tcPr>
            <w:tcW w:w="5400" w:type="dxa"/>
            <w:vAlign w:val="bottom"/>
          </w:tcPr>
          <w:p>
            <w:pPr>
              <w:ind w:left="20"/>
              <w:spacing w:after="0"/>
              <w:rPr>
                <w:sz w:val="20"/>
                <w:szCs w:val="20"/>
                <w:color w:val="auto"/>
              </w:rPr>
            </w:pPr>
            <w:r>
              <w:rPr>
                <w:rFonts w:ascii="Arial" w:cs="Arial" w:eastAsia="Arial" w:hAnsi="Arial"/>
                <w:sz w:val="18"/>
                <w:szCs w:val="18"/>
                <w:color w:val="auto"/>
              </w:rPr>
              <w:t>Net income (loss) for basic and diluted EPS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2"/>
                <w:szCs w:val="22"/>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500"/>
        </w:trPr>
        <w:tc>
          <w:tcPr>
            <w:tcW w:w="5400" w:type="dxa"/>
            <w:vAlign w:val="bottom"/>
          </w:tcPr>
          <w:p>
            <w:pPr>
              <w:ind w:left="20"/>
              <w:spacing w:after="0"/>
              <w:rPr>
                <w:sz w:val="20"/>
                <w:szCs w:val="20"/>
                <w:color w:val="auto"/>
              </w:rPr>
            </w:pPr>
            <w:r>
              <w:rPr>
                <w:rFonts w:ascii="Arial" w:cs="Arial" w:eastAsia="Arial" w:hAnsi="Arial"/>
                <w:sz w:val="18"/>
                <w:szCs w:val="18"/>
                <w:color w:val="auto"/>
              </w:rPr>
              <w:t>Basic weighted average shares outstanding</w:t>
            </w:r>
          </w:p>
        </w:tc>
        <w:tc>
          <w:tcPr>
            <w:tcW w:w="22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84.0</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93.9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84.9</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80"/>
        </w:trPr>
        <w:tc>
          <w:tcPr>
            <w:tcW w:w="5400" w:type="dxa"/>
            <w:vAlign w:val="bottom"/>
          </w:tcPr>
          <w:p>
            <w:pPr>
              <w:ind w:left="20"/>
              <w:spacing w:after="0"/>
              <w:rPr>
                <w:sz w:val="20"/>
                <w:szCs w:val="20"/>
                <w:color w:val="auto"/>
              </w:rPr>
            </w:pPr>
            <w:r>
              <w:rPr>
                <w:rFonts w:ascii="Arial" w:cs="Arial" w:eastAsia="Arial" w:hAnsi="Arial"/>
                <w:sz w:val="18"/>
                <w:szCs w:val="18"/>
                <w:color w:val="auto"/>
              </w:rPr>
              <w:t xml:space="preserve">Options and non-vested stock </w:t>
            </w:r>
            <w:r>
              <w:rPr>
                <w:rFonts w:ascii="Arial" w:cs="Arial" w:eastAsia="Arial" w:hAnsi="Arial"/>
                <w:sz w:val="18"/>
                <w:szCs w:val="18"/>
                <w:color w:val="auto"/>
                <w:vertAlign w:val="superscript"/>
              </w:rPr>
              <w:t>(a)</w:t>
            </w:r>
          </w:p>
        </w:tc>
        <w:tc>
          <w:tcPr>
            <w:tcW w:w="22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400" w:type="dxa"/>
            <w:vAlign w:val="bottom"/>
          </w:tcPr>
          <w:p>
            <w:pPr>
              <w:ind w:left="20"/>
              <w:spacing w:after="0"/>
              <w:rPr>
                <w:sz w:val="20"/>
                <w:szCs w:val="20"/>
                <w:color w:val="auto"/>
              </w:rPr>
            </w:pPr>
            <w:r>
              <w:rPr>
                <w:rFonts w:ascii="Arial" w:cs="Arial" w:eastAsia="Arial" w:hAnsi="Arial"/>
                <w:sz w:val="18"/>
                <w:szCs w:val="18"/>
                <w:color w:val="auto"/>
              </w:rPr>
              <w:t>Diluted weighted average shares outstanding</w:t>
            </w:r>
          </w:p>
        </w:tc>
        <w:tc>
          <w:tcPr>
            <w:tcW w:w="22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85.2</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95.1</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84.9</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0"/>
        </w:trPr>
        <w:tc>
          <w:tcPr>
            <w:tcW w:w="54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Earnings (loss) per share:</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1"/>
        </w:trPr>
        <w:tc>
          <w:tcPr>
            <w:tcW w:w="54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400" w:type="dxa"/>
            <w:vAlign w:val="bottom"/>
          </w:tcPr>
          <w:p>
            <w:pPr>
              <w:ind w:left="22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3"/>
                <w:szCs w:val="23"/>
                <w:color w:val="auto"/>
              </w:rPr>
            </w:pP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23"/>
                <w:szCs w:val="23"/>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57"/>
        </w:trPr>
        <w:tc>
          <w:tcPr>
            <w:tcW w:w="5400" w:type="dxa"/>
            <w:vAlign w:val="bottom"/>
          </w:tcPr>
          <w:p>
            <w:pPr>
              <w:ind w:left="22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2"/>
                <w:szCs w:val="22"/>
                <w:color w:val="auto"/>
              </w:rPr>
            </w:pP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22"/>
                <w:szCs w:val="22"/>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39"/>
        </w:trPr>
        <w:tc>
          <w:tcPr>
            <w:tcW w:w="5400" w:type="dxa"/>
            <w:vAlign w:val="bottom"/>
          </w:tcPr>
          <w:p>
            <w:pPr>
              <w:spacing w:after="0"/>
              <w:rPr>
                <w:sz w:val="20"/>
                <w:szCs w:val="20"/>
                <w:color w:val="auto"/>
              </w:rPr>
            </w:pPr>
            <w:r>
              <w:rPr>
                <w:rFonts w:ascii="Arial" w:cs="Arial" w:eastAsia="Arial" w:hAnsi="Arial"/>
                <w:sz w:val="18"/>
                <w:szCs w:val="18"/>
                <w:color w:val="auto"/>
              </w:rPr>
              <w:t>__________</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820" w:right="40" w:hanging="326"/>
        <w:spacing w:after="0" w:line="232" w:lineRule="auto"/>
        <w:tabs>
          <w:tab w:leader="none" w:pos="820" w:val="left"/>
        </w:tabs>
        <w:numPr>
          <w:ilvl w:val="1"/>
          <w:numId w:val="7"/>
        </w:numPr>
        <w:rPr>
          <w:rFonts w:ascii="Arial" w:cs="Arial" w:eastAsia="Arial" w:hAnsi="Arial"/>
          <w:sz w:val="18"/>
          <w:szCs w:val="18"/>
          <w:color w:val="auto"/>
          <w:vertAlign w:val="superscript"/>
        </w:rPr>
      </w:pPr>
      <w:r>
        <w:rPr>
          <w:rFonts w:ascii="Arial" w:cs="Arial" w:eastAsia="Arial" w:hAnsi="Arial"/>
          <w:sz w:val="14"/>
          <w:szCs w:val="14"/>
          <w:color w:val="auto"/>
        </w:rPr>
        <w:t>For the three months ended June 30, 2017 and 2016, 0.7 million and 0.2 million non-vested stock awards, respectively, have an anti-dilutive effect and therefore are excluded from the computation of diluted weighted average shares outstanding. As the Company incurred a net loss for the six months ended June 30, 2017 and 2016, 0.8 million outstanding options in each period, and 1.3 million and 1.5 million non-vested stock awards, respectively, have an anti-dilutive effect and therefore are excluded from the computation of diluted weighted average shares outstanding.</w:t>
      </w:r>
    </w:p>
    <w:p>
      <w:pPr>
        <w:spacing w:after="0" w:line="118" w:lineRule="exact"/>
        <w:rPr>
          <w:rFonts w:ascii="Arial" w:cs="Arial" w:eastAsia="Arial" w:hAnsi="Arial"/>
          <w:sz w:val="18"/>
          <w:szCs w:val="18"/>
          <w:color w:val="auto"/>
          <w:vertAlign w:val="superscript"/>
        </w:rPr>
      </w:pPr>
    </w:p>
    <w:p>
      <w:pPr>
        <w:ind w:left="500" w:hanging="492"/>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Other Current Assets</w:t>
      </w:r>
    </w:p>
    <w:p>
      <w:pPr>
        <w:spacing w:after="0" w:line="22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Other current assets consisted of:</w:t>
      </w:r>
    </w:p>
    <w:p>
      <w:pPr>
        <w:spacing w:after="0" w:line="165"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6840" w:type="dxa"/>
            <w:vAlign w:val="bottom"/>
          </w:tcPr>
          <w:p>
            <w:pPr>
              <w:spacing w:after="0"/>
              <w:rPr>
                <w:sz w:val="18"/>
                <w:szCs w:val="18"/>
                <w:color w:val="auto"/>
              </w:rPr>
            </w:pPr>
          </w:p>
        </w:tc>
        <w:tc>
          <w:tcPr>
            <w:tcW w:w="1240" w:type="dxa"/>
            <w:vAlign w:val="bottom"/>
          </w:tcPr>
          <w:p>
            <w:pPr>
              <w:jc w:val="center"/>
              <w:ind w:left="310"/>
              <w:spacing w:after="0"/>
              <w:rPr>
                <w:sz w:val="20"/>
                <w:szCs w:val="20"/>
                <w:color w:val="auto"/>
              </w:rPr>
            </w:pPr>
            <w:r>
              <w:rPr>
                <w:rFonts w:ascii="Arial" w:cs="Arial" w:eastAsia="Arial" w:hAnsi="Arial"/>
                <w:sz w:val="18"/>
                <w:szCs w:val="18"/>
                <w:b w:val="1"/>
                <w:bCs w:val="1"/>
                <w:color w:val="auto"/>
                <w:w w:val="97"/>
              </w:rPr>
              <w:t>As of</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03"/>
        </w:trPr>
        <w:tc>
          <w:tcPr>
            <w:tcW w:w="6840" w:type="dxa"/>
            <w:vAlign w:val="bottom"/>
          </w:tcPr>
          <w:p>
            <w:pPr>
              <w:spacing w:after="0"/>
              <w:rPr>
                <w:sz w:val="17"/>
                <w:szCs w:val="17"/>
                <w:color w:val="auto"/>
              </w:rPr>
            </w:pPr>
          </w:p>
        </w:tc>
        <w:tc>
          <w:tcPr>
            <w:tcW w:w="1240" w:type="dxa"/>
            <w:vAlign w:val="bottom"/>
          </w:tcPr>
          <w:p>
            <w:pPr>
              <w:jc w:val="center"/>
              <w:ind w:left="350"/>
              <w:spacing w:after="0" w:line="202" w:lineRule="exact"/>
              <w:rPr>
                <w:sz w:val="20"/>
                <w:szCs w:val="20"/>
                <w:color w:val="auto"/>
              </w:rPr>
            </w:pPr>
            <w:r>
              <w:rPr>
                <w:rFonts w:ascii="Arial" w:cs="Arial" w:eastAsia="Arial" w:hAnsi="Arial"/>
                <w:sz w:val="18"/>
                <w:szCs w:val="18"/>
                <w:b w:val="1"/>
                <w:bCs w:val="1"/>
                <w:color w:val="auto"/>
                <w:w w:val="99"/>
              </w:rPr>
              <w:t>June 30,</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w w:val="99"/>
              </w:rPr>
              <w:t>As of December</w:t>
            </w:r>
          </w:p>
        </w:tc>
      </w:tr>
      <w:tr>
        <w:trPr>
          <w:trHeight w:val="253"/>
        </w:trPr>
        <w:tc>
          <w:tcPr>
            <w:tcW w:w="6840" w:type="dxa"/>
            <w:vAlign w:val="bottom"/>
          </w:tcPr>
          <w:p>
            <w:pPr>
              <w:spacing w:after="0"/>
              <w:rPr>
                <w:sz w:val="21"/>
                <w:szCs w:val="21"/>
                <w:color w:val="auto"/>
              </w:rPr>
            </w:pPr>
          </w:p>
        </w:tc>
        <w:tc>
          <w:tcPr>
            <w:tcW w:w="124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99"/>
              </w:rPr>
              <w:t>2017</w:t>
            </w:r>
          </w:p>
        </w:tc>
        <w:tc>
          <w:tcPr>
            <w:tcW w:w="4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31, 2016</w:t>
            </w:r>
          </w:p>
        </w:tc>
      </w:tr>
      <w:tr>
        <w:trPr>
          <w:trHeight w:val="242"/>
        </w:trPr>
        <w:tc>
          <w:tcPr>
            <w:tcW w:w="6840" w:type="dxa"/>
            <w:vAlign w:val="bottom"/>
          </w:tcPr>
          <w:p>
            <w:pPr>
              <w:spacing w:after="0"/>
              <w:rPr>
                <w:sz w:val="20"/>
                <w:szCs w:val="20"/>
                <w:color w:val="auto"/>
              </w:rPr>
            </w:pPr>
            <w:r>
              <w:rPr>
                <w:rFonts w:ascii="Arial" w:cs="Arial" w:eastAsia="Arial" w:hAnsi="Arial"/>
                <w:sz w:val="18"/>
                <w:szCs w:val="18"/>
                <w:color w:val="auto"/>
              </w:rPr>
              <w:t>Sales and use taxes</w:t>
            </w:r>
          </w:p>
        </w:tc>
        <w:tc>
          <w:tcPr>
            <w:tcW w:w="1240" w:type="dxa"/>
            <w:vAlign w:val="bottom"/>
          </w:tcPr>
          <w:p>
            <w:pPr>
              <w:jc w:val="right"/>
              <w:ind w:right="101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430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70"/>
        </w:trPr>
        <w:tc>
          <w:tcPr>
            <w:tcW w:w="6840" w:type="dxa"/>
            <w:vAlign w:val="bottom"/>
          </w:tcPr>
          <w:p>
            <w:pPr>
              <w:spacing w:after="0"/>
              <w:rPr>
                <w:sz w:val="20"/>
                <w:szCs w:val="20"/>
                <w:color w:val="auto"/>
              </w:rPr>
            </w:pPr>
            <w:r>
              <w:rPr>
                <w:rFonts w:ascii="Arial" w:cs="Arial" w:eastAsia="Arial" w:hAnsi="Arial"/>
                <w:sz w:val="18"/>
                <w:szCs w:val="18"/>
                <w:color w:val="auto"/>
              </w:rPr>
              <w:t>Prepaid expenses</w:t>
            </w:r>
          </w:p>
        </w:tc>
        <w:tc>
          <w:tcPr>
            <w:tcW w:w="1240" w:type="dxa"/>
            <w:vAlign w:val="bottom"/>
          </w:tcPr>
          <w:p>
            <w:pPr>
              <w:spacing w:after="0"/>
              <w:rPr>
                <w:sz w:val="23"/>
                <w:szCs w:val="23"/>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212</w:t>
            </w:r>
          </w:p>
        </w:tc>
      </w:tr>
      <w:tr>
        <w:trPr>
          <w:trHeight w:val="275"/>
        </w:trPr>
        <w:tc>
          <w:tcPr>
            <w:tcW w:w="6840" w:type="dxa"/>
            <w:vAlign w:val="bottom"/>
          </w:tcPr>
          <w:p>
            <w:pPr>
              <w:spacing w:after="0"/>
              <w:rPr>
                <w:sz w:val="20"/>
                <w:szCs w:val="20"/>
                <w:color w:val="auto"/>
              </w:rPr>
            </w:pPr>
            <w:r>
              <w:rPr>
                <w:rFonts w:ascii="Arial" w:cs="Arial" w:eastAsia="Arial" w:hAnsi="Arial"/>
                <w:sz w:val="18"/>
                <w:szCs w:val="18"/>
                <w:color w:val="auto"/>
              </w:rPr>
              <w:t>Other</w:t>
            </w:r>
          </w:p>
        </w:tc>
        <w:tc>
          <w:tcPr>
            <w:tcW w:w="124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r>
      <w:tr>
        <w:trPr>
          <w:trHeight w:val="255"/>
        </w:trPr>
        <w:tc>
          <w:tcPr>
            <w:tcW w:w="6840" w:type="dxa"/>
            <w:vAlign w:val="bottom"/>
          </w:tcPr>
          <w:p>
            <w:pPr>
              <w:spacing w:after="0"/>
              <w:rPr>
                <w:sz w:val="20"/>
                <w:szCs w:val="20"/>
                <w:color w:val="auto"/>
              </w:rPr>
            </w:pPr>
            <w:r>
              <w:rPr>
                <w:rFonts w:ascii="Arial" w:cs="Arial" w:eastAsia="Arial" w:hAnsi="Arial"/>
                <w:sz w:val="18"/>
                <w:szCs w:val="18"/>
                <w:color w:val="auto"/>
              </w:rPr>
              <w:t>Other current assets</w:t>
            </w:r>
          </w:p>
        </w:tc>
        <w:tc>
          <w:tcPr>
            <w:tcW w:w="124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837</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w:t>
            </w:r>
          </w:p>
        </w:tc>
      </w:tr>
      <w:tr>
        <w:trPr>
          <w:trHeight w:val="20"/>
        </w:trPr>
        <w:tc>
          <w:tcPr>
            <w:tcW w:w="68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22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Intangible assets consisted of:</w:t>
      </w:r>
    </w:p>
    <w:p>
      <w:pPr>
        <w:spacing w:after="0" w:line="201" w:lineRule="exact"/>
        <w:rPr>
          <w:sz w:val="20"/>
          <w:szCs w:val="20"/>
          <w:color w:val="auto"/>
        </w:rPr>
      </w:pPr>
    </w:p>
    <w:tbl>
      <w:tblPr>
        <w:tblLayout w:type="fixed"/>
        <w:tblInd w:w="500" w:type="dxa"/>
        <w:tblCellMar>
          <w:top w:w="0" w:type="dxa"/>
          <w:left w:w="0" w:type="dxa"/>
          <w:bottom w:w="0" w:type="dxa"/>
          <w:right w:w="0" w:type="dxa"/>
        </w:tblCellMar>
      </w:tblPr>
      <w:tr>
        <w:trPr>
          <w:trHeight w:val="232"/>
        </w:trPr>
        <w:tc>
          <w:tcPr>
            <w:tcW w:w="27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6"/>
          </w:tcPr>
          <w:p>
            <w:pPr>
              <w:jc w:val="center"/>
              <w:ind w:right="50"/>
              <w:spacing w:after="0"/>
              <w:rPr>
                <w:sz w:val="20"/>
                <w:szCs w:val="20"/>
                <w:color w:val="auto"/>
              </w:rPr>
            </w:pPr>
            <w:r>
              <w:rPr>
                <w:rFonts w:ascii="Arial" w:cs="Arial" w:eastAsia="Arial" w:hAnsi="Arial"/>
                <w:sz w:val="16"/>
                <w:szCs w:val="16"/>
                <w:b w:val="1"/>
                <w:bCs w:val="1"/>
                <w:color w:val="auto"/>
              </w:rPr>
              <w:t>As of June 30, 2017</w:t>
            </w:r>
          </w:p>
        </w:tc>
        <w:tc>
          <w:tcPr>
            <w:tcW w:w="9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6"/>
          </w:tcPr>
          <w:p>
            <w:pPr>
              <w:jc w:val="center"/>
              <w:ind w:left="636"/>
              <w:spacing w:after="0"/>
              <w:rPr>
                <w:sz w:val="20"/>
                <w:szCs w:val="20"/>
                <w:color w:val="auto"/>
              </w:rPr>
            </w:pPr>
            <w:r>
              <w:rPr>
                <w:rFonts w:ascii="Arial" w:cs="Arial" w:eastAsia="Arial" w:hAnsi="Arial"/>
                <w:sz w:val="16"/>
                <w:szCs w:val="16"/>
                <w:b w:val="1"/>
                <w:bCs w:val="1"/>
                <w:color w:val="auto"/>
              </w:rPr>
              <w:t>As of December 31, 2016</w:t>
            </w: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center"/>
              <w:ind w:right="76"/>
              <w:spacing w:after="0"/>
              <w:rPr>
                <w:sz w:val="20"/>
                <w:szCs w:val="20"/>
                <w:color w:val="auto"/>
              </w:rPr>
            </w:pPr>
            <w:r>
              <w:rPr>
                <w:rFonts w:ascii="Arial" w:cs="Arial" w:eastAsia="Arial" w:hAnsi="Arial"/>
                <w:sz w:val="14"/>
                <w:szCs w:val="14"/>
                <w:b w:val="1"/>
                <w:bCs w:val="1"/>
                <w:color w:val="auto"/>
              </w:rPr>
              <w:t>Gross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Net</w:t>
            </w:r>
          </w:p>
        </w:tc>
        <w:tc>
          <w:tcPr>
            <w:tcW w:w="200" w:type="dxa"/>
            <w:vAlign w:val="bottom"/>
          </w:tcPr>
          <w:p>
            <w:pPr>
              <w:spacing w:after="0"/>
              <w:rPr>
                <w:sz w:val="14"/>
                <w:szCs w:val="14"/>
                <w:color w:val="auto"/>
              </w:rPr>
            </w:pPr>
          </w:p>
        </w:tc>
        <w:tc>
          <w:tcPr>
            <w:tcW w:w="940" w:type="dxa"/>
            <w:vAlign w:val="bottom"/>
          </w:tcPr>
          <w:p>
            <w:pPr>
              <w:jc w:val="center"/>
              <w:ind w:right="116"/>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center"/>
              <w:ind w:right="178"/>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62"/>
        </w:trPr>
        <w:tc>
          <w:tcPr>
            <w:tcW w:w="2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center"/>
              <w:ind w:right="56"/>
              <w:spacing w:after="0"/>
              <w:rPr>
                <w:sz w:val="20"/>
                <w:szCs w:val="20"/>
                <w:color w:val="auto"/>
              </w:rPr>
            </w:pPr>
            <w:r>
              <w:rPr>
                <w:rFonts w:ascii="Arial" w:cs="Arial" w:eastAsia="Arial" w:hAnsi="Arial"/>
                <w:sz w:val="14"/>
                <w:szCs w:val="14"/>
                <w:b w:val="1"/>
                <w:bCs w:val="1"/>
                <w:color w:val="auto"/>
              </w:rPr>
              <w:t>Carrying</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4"/>
                <w:szCs w:val="14"/>
                <w:color w:val="auto"/>
              </w:rPr>
            </w:pPr>
          </w:p>
        </w:tc>
        <w:tc>
          <w:tcPr>
            <w:tcW w:w="940" w:type="dxa"/>
            <w:vAlign w:val="bottom"/>
          </w:tcPr>
          <w:p>
            <w:pPr>
              <w:jc w:val="center"/>
              <w:ind w:right="116"/>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4"/>
                <w:szCs w:val="14"/>
                <w:color w:val="auto"/>
              </w:rPr>
            </w:pPr>
          </w:p>
        </w:tc>
        <w:tc>
          <w:tcPr>
            <w:tcW w:w="880" w:type="dxa"/>
            <w:vAlign w:val="bottom"/>
          </w:tcPr>
          <w:p>
            <w:pPr>
              <w:jc w:val="center"/>
              <w:ind w:right="178"/>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202"/>
        </w:trPr>
        <w:tc>
          <w:tcPr>
            <w:tcW w:w="2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center"/>
              <w:ind w:right="76"/>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7"/>
                <w:szCs w:val="17"/>
                <w:color w:val="auto"/>
              </w:rPr>
            </w:pPr>
          </w:p>
        </w:tc>
        <w:tc>
          <w:tcPr>
            <w:tcW w:w="940" w:type="dxa"/>
            <w:vAlign w:val="bottom"/>
          </w:tcPr>
          <w:p>
            <w:pPr>
              <w:jc w:val="center"/>
              <w:ind w:right="116"/>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7"/>
                <w:szCs w:val="17"/>
                <w:color w:val="auto"/>
              </w:rPr>
            </w:pPr>
          </w:p>
        </w:tc>
        <w:tc>
          <w:tcPr>
            <w:tcW w:w="880" w:type="dxa"/>
            <w:vAlign w:val="bottom"/>
          </w:tcPr>
          <w:p>
            <w:pPr>
              <w:jc w:val="center"/>
              <w:ind w:right="17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50"/>
        </w:trPr>
        <w:tc>
          <w:tcPr>
            <w:tcW w:w="2700" w:type="dxa"/>
            <w:vAlign w:val="bottom"/>
          </w:tcPr>
          <w:p>
            <w:pPr>
              <w:ind w:left="20"/>
              <w:spacing w:after="0"/>
              <w:rPr>
                <w:sz w:val="20"/>
                <w:szCs w:val="20"/>
                <w:color w:val="auto"/>
              </w:rPr>
            </w:pPr>
            <w:r>
              <w:rPr>
                <w:rFonts w:ascii="Arial" w:cs="Arial" w:eastAsia="Arial" w:hAnsi="Arial"/>
                <w:sz w:val="16"/>
                <w:szCs w:val="16"/>
                <w:i w:val="1"/>
                <w:iCs w:val="1"/>
                <w:color w:val="auto"/>
              </w:rPr>
              <w:t>Amortized Intangible Assets</w:t>
            </w:r>
          </w:p>
        </w:tc>
        <w:tc>
          <w:tcPr>
            <w:tcW w:w="20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700" w:type="dxa"/>
            <w:vAlign w:val="bottom"/>
          </w:tcPr>
          <w:p>
            <w:pPr>
              <w:ind w:left="20"/>
              <w:spacing w:after="0"/>
              <w:rPr>
                <w:sz w:val="20"/>
                <w:szCs w:val="20"/>
                <w:color w:val="auto"/>
              </w:rPr>
            </w:pPr>
            <w:r>
              <w:rPr>
                <w:rFonts w:ascii="Arial" w:cs="Arial" w:eastAsia="Arial" w:hAnsi="Arial"/>
                <w:sz w:val="16"/>
                <w:szCs w:val="16"/>
                <w:color w:val="auto"/>
              </w:rPr>
              <w:t>License agreements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272</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261</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70"/>
        </w:trPr>
        <w:tc>
          <w:tcPr>
            <w:tcW w:w="270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2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235</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75"/>
        </w:trPr>
        <w:tc>
          <w:tcPr>
            <w:tcW w:w="2700" w:type="dxa"/>
            <w:vAlign w:val="bottom"/>
          </w:tcPr>
          <w:p>
            <w:pPr>
              <w:ind w:left="2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4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53"/>
        </w:trPr>
        <w:tc>
          <w:tcPr>
            <w:tcW w:w="2700" w:type="dxa"/>
            <w:vAlign w:val="bottom"/>
          </w:tcPr>
          <w:p>
            <w:pPr>
              <w:ind w:left="20"/>
              <w:spacing w:after="0"/>
              <w:rPr>
                <w:sz w:val="20"/>
                <w:szCs w:val="20"/>
                <w:color w:val="auto"/>
              </w:rPr>
            </w:pPr>
            <w:r>
              <w:rPr>
                <w:rFonts w:ascii="Arial" w:cs="Arial" w:eastAsia="Arial" w:hAnsi="Arial"/>
                <w:sz w:val="16"/>
                <w:szCs w:val="16"/>
                <w:color w:val="auto"/>
              </w:rPr>
              <w:t>Total</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556</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531</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0"/>
        </w:trPr>
        <w:tc>
          <w:tcPr>
            <w:tcW w:w="27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Unamortized Intangible Assets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27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2700" w:type="dxa"/>
            <w:vAlign w:val="bottom"/>
          </w:tcPr>
          <w:p>
            <w:pPr>
              <w:ind w:left="20"/>
              <w:spacing w:after="0"/>
              <w:rPr>
                <w:sz w:val="20"/>
                <w:szCs w:val="20"/>
                <w:color w:val="auto"/>
              </w:rPr>
            </w:pPr>
            <w:r>
              <w:rPr>
                <w:rFonts w:ascii="Arial" w:cs="Arial" w:eastAsia="Arial" w:hAnsi="Arial"/>
                <w:sz w:val="16"/>
                <w:szCs w:val="16"/>
                <w:color w:val="auto"/>
              </w:rPr>
              <w:t xml:space="preserve">Goodwill </w:t>
            </w:r>
            <w:r>
              <w:rPr>
                <w:rFonts w:ascii="Arial" w:cs="Arial" w:eastAsia="Arial" w:hAnsi="Arial"/>
                <w:sz w:val="21"/>
                <w:szCs w:val="21"/>
                <w:color w:val="auto"/>
                <w:vertAlign w:val="superscript"/>
              </w:rPr>
              <w:t>(a)</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1,043</w:t>
            </w:r>
          </w:p>
        </w:tc>
        <w:tc>
          <w:tcPr>
            <w:tcW w:w="4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700" w:type="dxa"/>
            <w:vAlign w:val="bottom"/>
          </w:tcPr>
          <w:p>
            <w:pPr>
              <w:ind w:left="20"/>
              <w:spacing w:after="0"/>
              <w:rPr>
                <w:sz w:val="20"/>
                <w:szCs w:val="20"/>
                <w:color w:val="auto"/>
              </w:rPr>
            </w:pPr>
            <w:r>
              <w:rPr>
                <w:rFonts w:ascii="Arial" w:cs="Arial" w:eastAsia="Arial" w:hAnsi="Arial"/>
                <w:sz w:val="16"/>
                <w:szCs w:val="16"/>
                <w:color w:val="auto"/>
              </w:rPr>
              <w:t>Trademarks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w:t>
            </w:r>
          </w:p>
        </w:tc>
        <w:tc>
          <w:tcPr>
            <w:tcW w:w="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00" w:type="dxa"/>
            <w:vAlign w:val="bottom"/>
            <w:vMerge w:val="restart"/>
          </w:tcPr>
          <w:p>
            <w:pPr>
              <w:spacing w:after="0"/>
              <w:rPr>
                <w:sz w:val="20"/>
                <w:szCs w:val="20"/>
                <w:color w:val="auto"/>
              </w:rPr>
            </w:pPr>
            <w:r>
              <w:rPr>
                <w:rFonts w:ascii="Arial" w:cs="Arial" w:eastAsia="Arial" w:hAnsi="Arial"/>
                <w:sz w:val="16"/>
                <w:szCs w:val="16"/>
                <w:color w:val="auto"/>
              </w:rPr>
              <w:t>_________</w:t>
            </w: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7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820" w:hanging="326"/>
        <w:spacing w:after="0" w:line="210" w:lineRule="auto"/>
        <w:tabs>
          <w:tab w:leader="none" w:pos="82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The increase in the carrying amount since December 31, 2016 primarily reflects currency translation.</w:t>
      </w:r>
    </w:p>
    <w:p>
      <w:pPr>
        <w:spacing w:after="0" w:line="148" w:lineRule="exact"/>
        <w:rPr>
          <w:sz w:val="20"/>
          <w:szCs w:val="20"/>
          <w:color w:val="auto"/>
        </w:rPr>
      </w:pPr>
    </w:p>
    <w:p>
      <w:pPr>
        <w:ind w:left="500" w:right="40"/>
        <w:spacing w:after="0" w:line="271" w:lineRule="auto"/>
        <w:rPr>
          <w:sz w:val="20"/>
          <w:szCs w:val="20"/>
          <w:color w:val="auto"/>
        </w:rPr>
      </w:pPr>
      <w:r>
        <w:rPr>
          <w:rFonts w:ascii="Arial" w:cs="Arial" w:eastAsia="Arial" w:hAnsi="Arial"/>
          <w:sz w:val="18"/>
          <w:szCs w:val="18"/>
          <w:color w:val="auto"/>
        </w:rPr>
        <w:t>For the three months ended June 30, 2017 and 2016, amortization expense related to amortizable intangible assets was approximately $16 million in each period. For the six months ended June 30, 2017 and 2016, amortization expense related to amortizable intangible assets was approximately $31 million and</w:t>
      </w:r>
    </w:p>
    <w:p>
      <w:pPr>
        <w:sectPr>
          <w:pgSz w:w="11900" w:h="16838" w:orient="portrait"/>
          <w:cols w:equalWidth="0" w:num="1">
            <w:col w:w="11280"/>
          </w:cols>
          <w:pgMar w:left="240" w:top="116" w:right="379" w:bottom="1440" w:gutter="0" w:footer="0" w:header="0"/>
        </w:sectPr>
      </w:pPr>
    </w:p>
    <w:p>
      <w:pPr>
        <w:spacing w:after="0" w:line="19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80"/>
          </w:cols>
          <w:pgMar w:left="240" w:top="116" w:right="37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ind w:left="500" w:right="240"/>
        <w:spacing w:after="0" w:line="271" w:lineRule="auto"/>
        <w:rPr>
          <w:sz w:val="20"/>
          <w:szCs w:val="20"/>
          <w:color w:val="auto"/>
        </w:rPr>
      </w:pPr>
      <w:r>
        <w:rPr>
          <w:rFonts w:ascii="Arial" w:cs="Arial" w:eastAsia="Arial" w:hAnsi="Arial"/>
          <w:sz w:val="18"/>
          <w:szCs w:val="18"/>
          <w:color w:val="auto"/>
        </w:rPr>
        <w:t>$33 million, respectively. Based on the Company’s amortizable intangible assets at June 30, 2017, the Company expects amortization expense of approximately $29 million for the remainder of 2017, $45 million for 2018, $40 million for 2019, $39 million for 2020, $29 million for 2021 and $23 million for 2022, excluding effects of currency exchange rates.</w:t>
      </w:r>
    </w:p>
    <w:p>
      <w:pPr>
        <w:spacing w:after="0" w:line="161"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Vehicle Rental Activities</w:t>
      </w:r>
    </w:p>
    <w:p>
      <w:pPr>
        <w:spacing w:after="0" w:line="22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components of vehicles, net within assets under vehicle programs were as follows:</w:t>
      </w:r>
    </w:p>
    <w:p>
      <w:pPr>
        <w:spacing w:after="0" w:line="169" w:lineRule="exact"/>
        <w:rPr>
          <w:sz w:val="20"/>
          <w:szCs w:val="20"/>
          <w:color w:val="auto"/>
        </w:rPr>
      </w:pPr>
    </w:p>
    <w:tbl>
      <w:tblPr>
        <w:tblLayout w:type="fixed"/>
        <w:tblInd w:w="520" w:type="dxa"/>
        <w:tblCellMar>
          <w:top w:w="0" w:type="dxa"/>
          <w:left w:w="0" w:type="dxa"/>
          <w:bottom w:w="0" w:type="dxa"/>
          <w:right w:w="0" w:type="dxa"/>
        </w:tblCellMar>
      </w:tblPr>
      <w:tr>
        <w:trPr>
          <w:trHeight w:val="253"/>
        </w:trPr>
        <w:tc>
          <w:tcPr>
            <w:tcW w:w="6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rPr>
              <w:t>As of</w:t>
            </w:r>
          </w:p>
        </w:tc>
        <w:tc>
          <w:tcPr>
            <w:tcW w:w="180" w:type="dxa"/>
            <w:vAlign w:val="bottom"/>
          </w:tcPr>
          <w:p>
            <w:pPr>
              <w:spacing w:after="0"/>
              <w:rPr>
                <w:sz w:val="21"/>
                <w:szCs w:val="21"/>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rPr>
              <w:t>As of</w:t>
            </w:r>
          </w:p>
        </w:tc>
      </w:tr>
      <w:tr>
        <w:trPr>
          <w:trHeight w:val="270"/>
        </w:trPr>
        <w:tc>
          <w:tcPr>
            <w:tcW w:w="68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9"/>
              </w:rPr>
              <w:t>June 30,</w:t>
            </w:r>
          </w:p>
        </w:tc>
        <w:tc>
          <w:tcPr>
            <w:tcW w:w="180" w:type="dxa"/>
            <w:vAlign w:val="bottom"/>
          </w:tcPr>
          <w:p>
            <w:pPr>
              <w:spacing w:after="0"/>
              <w:rPr>
                <w:sz w:val="23"/>
                <w:szCs w:val="23"/>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rPr>
              <w:t>December 31,</w:t>
            </w:r>
          </w:p>
        </w:tc>
      </w:tr>
      <w:tr>
        <w:trPr>
          <w:trHeight w:val="279"/>
        </w:trPr>
        <w:tc>
          <w:tcPr>
            <w:tcW w:w="68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9"/>
              </w:rPr>
              <w:t>2017</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2016</w:t>
            </w:r>
          </w:p>
        </w:tc>
      </w:tr>
      <w:tr>
        <w:trPr>
          <w:trHeight w:val="247"/>
        </w:trPr>
        <w:tc>
          <w:tcPr>
            <w:tcW w:w="6840" w:type="dxa"/>
            <w:vAlign w:val="bottom"/>
          </w:tcPr>
          <w:p>
            <w:pPr>
              <w:spacing w:after="0"/>
              <w:rPr>
                <w:sz w:val="20"/>
                <w:szCs w:val="20"/>
                <w:color w:val="auto"/>
              </w:rPr>
            </w:pPr>
            <w:r>
              <w:rPr>
                <w:rFonts w:ascii="Arial" w:cs="Arial" w:eastAsia="Arial" w:hAnsi="Arial"/>
                <w:sz w:val="18"/>
                <w:szCs w:val="18"/>
                <w:color w:val="auto"/>
              </w:rPr>
              <w:t>Rental vehicles</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14,400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10,937</w:t>
            </w:r>
          </w:p>
        </w:tc>
      </w:tr>
      <w:tr>
        <w:trPr>
          <w:trHeight w:val="275"/>
        </w:trPr>
        <w:tc>
          <w:tcPr>
            <w:tcW w:w="68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3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(1,431)</w:t>
            </w: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(1,454)</w:t>
            </w:r>
          </w:p>
        </w:tc>
      </w:tr>
      <w:tr>
        <w:trPr>
          <w:trHeight w:val="245"/>
        </w:trPr>
        <w:tc>
          <w:tcPr>
            <w:tcW w:w="6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12,969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9,483</w:t>
            </w:r>
          </w:p>
        </w:tc>
      </w:tr>
      <w:tr>
        <w:trPr>
          <w:trHeight w:val="275"/>
        </w:trPr>
        <w:tc>
          <w:tcPr>
            <w:tcW w:w="6840" w:type="dxa"/>
            <w:vAlign w:val="bottom"/>
          </w:tcPr>
          <w:p>
            <w:pPr>
              <w:spacing w:after="0"/>
              <w:rPr>
                <w:sz w:val="20"/>
                <w:szCs w:val="20"/>
                <w:color w:val="auto"/>
              </w:rPr>
            </w:pPr>
            <w:r>
              <w:rPr>
                <w:rFonts w:ascii="Arial" w:cs="Arial" w:eastAsia="Arial" w:hAnsi="Arial"/>
                <w:sz w:val="18"/>
                <w:szCs w:val="18"/>
                <w:color w:val="auto"/>
              </w:rPr>
              <w:t>Vehicles held for sale</w:t>
            </w:r>
          </w:p>
        </w:tc>
        <w:tc>
          <w:tcPr>
            <w:tcW w:w="3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w:t>
            </w:r>
          </w:p>
        </w:tc>
      </w:tr>
      <w:tr>
        <w:trPr>
          <w:trHeight w:val="255"/>
        </w:trPr>
        <w:tc>
          <w:tcPr>
            <w:tcW w:w="6840" w:type="dxa"/>
            <w:vAlign w:val="bottom"/>
          </w:tcPr>
          <w:p>
            <w:pPr>
              <w:spacing w:after="0"/>
              <w:rPr>
                <w:sz w:val="20"/>
                <w:szCs w:val="20"/>
                <w:color w:val="auto"/>
              </w:rPr>
            </w:pPr>
            <w:r>
              <w:rPr>
                <w:rFonts w:ascii="Arial" w:cs="Arial" w:eastAsia="Arial" w:hAnsi="Arial"/>
                <w:sz w:val="18"/>
                <w:szCs w:val="18"/>
                <w:color w:val="auto"/>
              </w:rPr>
              <w:t>Vehicles, net</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13,322</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10,464</w:t>
            </w:r>
          </w:p>
        </w:tc>
      </w:tr>
      <w:tr>
        <w:trPr>
          <w:trHeight w:val="20"/>
        </w:trPr>
        <w:tc>
          <w:tcPr>
            <w:tcW w:w="68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ectPr>
          <w:pgSz w:w="11900" w:h="16838" w:orient="portrait"/>
          <w:cols w:equalWidth="0" w:num="1">
            <w:col w:w="11380"/>
          </w:cols>
          <w:pgMar w:left="240" w:top="116" w:right="279" w:bottom="1440" w:gutter="0" w:footer="0" w:header="0"/>
        </w:sectPr>
      </w:pPr>
    </w:p>
    <w:p>
      <w:pPr>
        <w:ind w:left="500"/>
        <w:spacing w:after="0"/>
        <w:rPr>
          <w:sz w:val="20"/>
          <w:szCs w:val="20"/>
          <w:color w:val="auto"/>
        </w:rPr>
      </w:pPr>
      <w:r>
        <w:rPr>
          <w:rFonts w:ascii="Arial" w:cs="Arial" w:eastAsia="Arial" w:hAnsi="Arial"/>
          <w:sz w:val="18"/>
          <w:szCs w:val="18"/>
          <w:color w:val="auto"/>
        </w:rPr>
        <w:t>The components of vehicle depreciation and lease charges, net are summarized below:</w:t>
      </w:r>
    </w:p>
    <w:p>
      <w:pPr>
        <w:spacing w:after="0" w:line="169"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Three Months Ended</w:t>
      </w:r>
    </w:p>
    <w:p>
      <w:pPr>
        <w:spacing w:after="0" w:line="20"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414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1020" w:type="dxa"/>
            <w:vAlign w:val="bottom"/>
            <w:tcBorders>
              <w:bottom w:val="single" w:sz="8" w:color="auto"/>
            </w:tcBorders>
          </w:tcPr>
          <w:p>
            <w:pPr>
              <w:spacing w:after="0"/>
              <w:rPr>
                <w:sz w:val="20"/>
                <w:szCs w:val="20"/>
                <w:color w:val="auto"/>
              </w:rPr>
            </w:pPr>
          </w:p>
        </w:tc>
      </w:tr>
      <w:tr>
        <w:trPr>
          <w:trHeight w:val="262"/>
        </w:trPr>
        <w:tc>
          <w:tcPr>
            <w:tcW w:w="414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4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2016</w:t>
            </w:r>
          </w:p>
        </w:tc>
      </w:tr>
      <w:tr>
        <w:trPr>
          <w:trHeight w:val="242"/>
        </w:trPr>
        <w:tc>
          <w:tcPr>
            <w:tcW w:w="4140" w:type="dxa"/>
            <w:vAlign w:val="bottom"/>
          </w:tcPr>
          <w:p>
            <w:pPr>
              <w:spacing w:after="0"/>
              <w:rPr>
                <w:sz w:val="20"/>
                <w:szCs w:val="20"/>
                <w:color w:val="auto"/>
              </w:rPr>
            </w:pPr>
            <w:r>
              <w:rPr>
                <w:rFonts w:ascii="Arial" w:cs="Arial" w:eastAsia="Arial" w:hAnsi="Arial"/>
                <w:sz w:val="18"/>
                <w:szCs w:val="18"/>
                <w:color w:val="auto"/>
              </w:rPr>
              <w:t>Depreciation expense</w:t>
            </w:r>
          </w:p>
        </w:tc>
        <w:tc>
          <w:tcPr>
            <w:tcW w:w="1000" w:type="dxa"/>
            <w:vAlign w:val="bottom"/>
          </w:tcPr>
          <w:p>
            <w:pPr>
              <w:jc w:val="right"/>
              <w:ind w:right="77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516</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499</w:t>
            </w:r>
          </w:p>
        </w:tc>
      </w:tr>
      <w:tr>
        <w:trPr>
          <w:trHeight w:val="270"/>
        </w:trPr>
        <w:tc>
          <w:tcPr>
            <w:tcW w:w="4140" w:type="dxa"/>
            <w:vAlign w:val="bottom"/>
          </w:tcPr>
          <w:p>
            <w:pPr>
              <w:spacing w:after="0"/>
              <w:rPr>
                <w:sz w:val="20"/>
                <w:szCs w:val="20"/>
                <w:color w:val="auto"/>
              </w:rPr>
            </w:pPr>
            <w:r>
              <w:rPr>
                <w:rFonts w:ascii="Arial" w:cs="Arial" w:eastAsia="Arial" w:hAnsi="Arial"/>
                <w:sz w:val="18"/>
                <w:szCs w:val="18"/>
                <w:color w:val="auto"/>
              </w:rPr>
              <w:t>Lease charges</w:t>
            </w:r>
          </w:p>
        </w:tc>
        <w:tc>
          <w:tcPr>
            <w:tcW w:w="100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42</w:t>
            </w:r>
          </w:p>
        </w:tc>
      </w:tr>
      <w:tr>
        <w:trPr>
          <w:trHeight w:val="275"/>
        </w:trPr>
        <w:tc>
          <w:tcPr>
            <w:tcW w:w="4140" w:type="dxa"/>
            <w:vAlign w:val="bottom"/>
          </w:tcPr>
          <w:p>
            <w:pPr>
              <w:spacing w:after="0"/>
              <w:rPr>
                <w:sz w:val="20"/>
                <w:szCs w:val="20"/>
                <w:color w:val="auto"/>
              </w:rPr>
            </w:pPr>
            <w:r>
              <w:rPr>
                <w:rFonts w:ascii="Arial" w:cs="Arial" w:eastAsia="Arial" w:hAnsi="Arial"/>
                <w:sz w:val="18"/>
                <w:szCs w:val="18"/>
                <w:color w:val="auto"/>
              </w:rPr>
              <w:t>(Gain) loss on sale of vehicles, net</w:t>
            </w:r>
          </w:p>
        </w:tc>
        <w:tc>
          <w:tcPr>
            <w:tcW w:w="100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55"/>
        </w:trPr>
        <w:tc>
          <w:tcPr>
            <w:tcW w:w="4140" w:type="dxa"/>
            <w:vAlign w:val="bottom"/>
          </w:tcPr>
          <w:p>
            <w:pPr>
              <w:spacing w:after="0"/>
              <w:rPr>
                <w:sz w:val="20"/>
                <w:szCs w:val="20"/>
                <w:color w:val="auto"/>
              </w:rPr>
            </w:pPr>
            <w:r>
              <w:rPr>
                <w:rFonts w:ascii="Arial" w:cs="Arial" w:eastAsia="Arial" w:hAnsi="Arial"/>
                <w:sz w:val="18"/>
                <w:szCs w:val="18"/>
                <w:color w:val="auto"/>
              </w:rPr>
              <w:t>Vehicle depreciation and lease charges, net</w:t>
            </w:r>
          </w:p>
        </w:tc>
        <w:tc>
          <w:tcPr>
            <w:tcW w:w="100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w:t>
            </w:r>
          </w:p>
        </w:tc>
        <w:tc>
          <w:tcPr>
            <w:tcW w:w="120" w:type="dxa"/>
            <w:vAlign w:val="bottom"/>
          </w:tcPr>
          <w:p>
            <w:pPr>
              <w:spacing w:after="0"/>
              <w:rPr>
                <w:sz w:val="22"/>
                <w:szCs w:val="22"/>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532</w:t>
            </w:r>
          </w:p>
        </w:tc>
      </w:tr>
      <w:tr>
        <w:trPr>
          <w:trHeight w:val="20"/>
        </w:trPr>
        <w:tc>
          <w:tcPr>
            <w:tcW w:w="4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Six Months Ended</w:t>
      </w:r>
    </w:p>
    <w:p>
      <w:pPr>
        <w:spacing w:after="0" w:line="20"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19208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r>
      <w:tr>
        <w:trPr>
          <w:trHeight w:val="241"/>
        </w:trPr>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953</w:t>
            </w:r>
          </w:p>
        </w:tc>
        <w:tc>
          <w:tcPr>
            <w:tcW w:w="100" w:type="dxa"/>
            <w:vAlign w:val="bottom"/>
          </w:tcPr>
          <w:p>
            <w:pPr>
              <w:spacing w:after="0"/>
              <w:rPr>
                <w:sz w:val="20"/>
                <w:szCs w:val="20"/>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931</w:t>
            </w:r>
          </w:p>
        </w:tc>
      </w:tr>
      <w:tr>
        <w:trPr>
          <w:trHeight w:val="270"/>
        </w:trPr>
        <w:tc>
          <w:tcPr>
            <w:tcW w:w="3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75"/>
        </w:trPr>
        <w:tc>
          <w:tcPr>
            <w:tcW w:w="3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50"/>
        </w:trPr>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1,101</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ectPr>
          <w:pgSz w:w="11900" w:h="16838" w:orient="portrait"/>
          <w:cols w:equalWidth="0" w:num="2">
            <w:col w:w="7700" w:space="100"/>
            <w:col w:w="3580"/>
          </w:cols>
          <w:pgMar w:left="240" w:top="116" w:right="279" w:bottom="1440" w:gutter="0" w:footer="0" w:header="0"/>
          <w:type w:val="continuous"/>
        </w:sectPr>
      </w:pPr>
    </w:p>
    <w:p>
      <w:pPr>
        <w:ind w:left="500"/>
        <w:spacing w:after="0" w:line="271" w:lineRule="auto"/>
        <w:rPr>
          <w:sz w:val="20"/>
          <w:szCs w:val="20"/>
          <w:color w:val="auto"/>
        </w:rPr>
      </w:pPr>
      <w:r>
        <w:rPr>
          <w:rFonts w:ascii="Arial" w:cs="Arial" w:eastAsia="Arial" w:hAnsi="Arial"/>
          <w:sz w:val="18"/>
          <w:szCs w:val="18"/>
          <w:color w:val="auto"/>
        </w:rPr>
        <w:t>At June 30, 2017 and 2016, the Company had payables related to vehicle purchases included in liabilities under vehicle programs - other of $658 million and $557 million, respectively, and receivables related to vehicle sales included in assets under vehicle programs - receivables from vehicle manufacturers and other of $235 million and $251 million, respectively.</w:t>
      </w:r>
    </w:p>
    <w:p>
      <w:pPr>
        <w:spacing w:after="0" w:line="161"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7" w:lineRule="exact"/>
        <w:rPr>
          <w:rFonts w:ascii="Arial" w:cs="Arial" w:eastAsia="Arial" w:hAnsi="Arial"/>
          <w:sz w:val="18"/>
          <w:szCs w:val="18"/>
          <w:b w:val="1"/>
          <w:bCs w:val="1"/>
          <w:color w:val="auto"/>
        </w:rPr>
      </w:pPr>
    </w:p>
    <w:p>
      <w:pPr>
        <w:jc w:val="both"/>
        <w:ind w:left="500" w:right="44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The Company’s effective tax rate for the six months ended June 30, 2017 is a benefit of 32.5%. Such rate differed from the Federal statutory rate of 35.0% primarily due to foreign taxes as a result of the mix of the Company’s earnings between the U.S. and foreign jurisdictions.</w:t>
      </w:r>
    </w:p>
    <w:p>
      <w:pPr>
        <w:spacing w:after="0" w:line="163"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Company’s effective tax rate for the six months ended June 30, 2016 is a benefit of 34.8%.</w:t>
      </w:r>
    </w:p>
    <w:p>
      <w:pPr>
        <w:spacing w:after="0" w:line="223" w:lineRule="exact"/>
        <w:rPr>
          <w:rFonts w:ascii="Arial" w:cs="Arial" w:eastAsia="Arial" w:hAnsi="Arial"/>
          <w:sz w:val="18"/>
          <w:szCs w:val="18"/>
          <w:b w:val="1"/>
          <w:bCs w:val="1"/>
          <w:color w:val="auto"/>
        </w:rPr>
      </w:pPr>
    </w:p>
    <w:p>
      <w:pPr>
        <w:ind w:left="500" w:right="6260" w:hanging="492"/>
        <w:spacing w:after="0" w:line="497" w:lineRule="auto"/>
        <w:tabs>
          <w:tab w:leader="none" w:pos="500"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Accounts Payable and Other Current Liabilities </w:t>
      </w:r>
      <w:r>
        <w:rPr>
          <w:rFonts w:ascii="Arial" w:cs="Arial" w:eastAsia="Arial" w:hAnsi="Arial"/>
          <w:sz w:val="17"/>
          <w:szCs w:val="17"/>
          <w:color w:val="auto"/>
        </w:rPr>
        <w:t>Accounts payable and other current liabilities consisted of:</w:t>
      </w:r>
    </w:p>
    <w:p>
      <w:pPr>
        <w:spacing w:after="0" w:line="1" w:lineRule="exact"/>
        <w:rPr>
          <w:sz w:val="20"/>
          <w:szCs w:val="20"/>
          <w:color w:val="auto"/>
        </w:rPr>
      </w:pPr>
    </w:p>
    <w:tbl>
      <w:tblPr>
        <w:tblLayout w:type="fixed"/>
        <w:tblInd w:w="520" w:type="dxa"/>
        <w:tblCellMar>
          <w:top w:w="0" w:type="dxa"/>
          <w:left w:w="0" w:type="dxa"/>
          <w:bottom w:w="0" w:type="dxa"/>
          <w:right w:w="0" w:type="dxa"/>
        </w:tblCellMar>
      </w:tblPr>
      <w:tr>
        <w:trPr>
          <w:trHeight w:val="253"/>
        </w:trPr>
        <w:tc>
          <w:tcPr>
            <w:tcW w:w="6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rPr>
              <w:t>As of</w:t>
            </w:r>
          </w:p>
        </w:tc>
        <w:tc>
          <w:tcPr>
            <w:tcW w:w="180" w:type="dxa"/>
            <w:vAlign w:val="bottom"/>
          </w:tcPr>
          <w:p>
            <w:pPr>
              <w:spacing w:after="0"/>
              <w:rPr>
                <w:sz w:val="21"/>
                <w:szCs w:val="21"/>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rPr>
              <w:t>As of</w:t>
            </w:r>
          </w:p>
        </w:tc>
      </w:tr>
      <w:tr>
        <w:trPr>
          <w:trHeight w:val="270"/>
        </w:trPr>
        <w:tc>
          <w:tcPr>
            <w:tcW w:w="6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9"/>
              </w:rPr>
              <w:t>June 30,</w:t>
            </w:r>
          </w:p>
        </w:tc>
        <w:tc>
          <w:tcPr>
            <w:tcW w:w="180" w:type="dxa"/>
            <w:vAlign w:val="bottom"/>
          </w:tcPr>
          <w:p>
            <w:pPr>
              <w:spacing w:after="0"/>
              <w:rPr>
                <w:sz w:val="23"/>
                <w:szCs w:val="23"/>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rPr>
              <w:t>December 31,</w:t>
            </w:r>
          </w:p>
        </w:tc>
      </w:tr>
      <w:tr>
        <w:trPr>
          <w:trHeight w:val="279"/>
        </w:trPr>
        <w:tc>
          <w:tcPr>
            <w:tcW w:w="68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9"/>
              </w:rPr>
              <w:t>2017</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2016</w:t>
            </w:r>
          </w:p>
        </w:tc>
      </w:tr>
      <w:tr>
        <w:trPr>
          <w:trHeight w:val="247"/>
        </w:trPr>
        <w:tc>
          <w:tcPr>
            <w:tcW w:w="6800" w:type="dxa"/>
            <w:vAlign w:val="bottom"/>
          </w:tcPr>
          <w:p>
            <w:pPr>
              <w:spacing w:after="0"/>
              <w:rPr>
                <w:sz w:val="20"/>
                <w:szCs w:val="20"/>
                <w:color w:val="auto"/>
              </w:rPr>
            </w:pPr>
            <w:r>
              <w:rPr>
                <w:rFonts w:ascii="Arial" w:cs="Arial" w:eastAsia="Arial" w:hAnsi="Arial"/>
                <w:sz w:val="18"/>
                <w:szCs w:val="18"/>
                <w:color w:val="auto"/>
              </w:rPr>
              <w:t>Accounts payable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343</w:t>
            </w:r>
          </w:p>
        </w:tc>
      </w:tr>
      <w:tr>
        <w:trPr>
          <w:trHeight w:val="270"/>
        </w:trPr>
        <w:tc>
          <w:tcPr>
            <w:tcW w:w="6800" w:type="dxa"/>
            <w:vAlign w:val="bottom"/>
          </w:tcPr>
          <w:p>
            <w:pPr>
              <w:spacing w:after="0"/>
              <w:rPr>
                <w:sz w:val="20"/>
                <w:szCs w:val="20"/>
                <w:color w:val="auto"/>
              </w:rPr>
            </w:pPr>
            <w:r>
              <w:rPr>
                <w:rFonts w:ascii="Arial" w:cs="Arial" w:eastAsia="Arial" w:hAnsi="Arial"/>
                <w:sz w:val="18"/>
                <w:szCs w:val="18"/>
                <w:color w:val="auto"/>
              </w:rPr>
              <w:t>Accrued sales and use taxes</w:t>
            </w:r>
          </w:p>
        </w:tc>
        <w:tc>
          <w:tcPr>
            <w:tcW w:w="30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206</w:t>
            </w:r>
          </w:p>
        </w:tc>
      </w:tr>
      <w:tr>
        <w:trPr>
          <w:trHeight w:val="270"/>
        </w:trPr>
        <w:tc>
          <w:tcPr>
            <w:tcW w:w="6800" w:type="dxa"/>
            <w:vAlign w:val="bottom"/>
          </w:tcPr>
          <w:p>
            <w:pPr>
              <w:spacing w:after="0"/>
              <w:rPr>
                <w:sz w:val="20"/>
                <w:szCs w:val="20"/>
                <w:color w:val="auto"/>
              </w:rPr>
            </w:pPr>
            <w:r>
              <w:rPr>
                <w:rFonts w:ascii="Arial" w:cs="Arial" w:eastAsia="Arial" w:hAnsi="Arial"/>
                <w:sz w:val="18"/>
                <w:szCs w:val="18"/>
                <w:color w:val="auto"/>
              </w:rPr>
              <w:t>Deferred revenue – current</w:t>
            </w:r>
          </w:p>
        </w:tc>
        <w:tc>
          <w:tcPr>
            <w:tcW w:w="30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70"/>
        </w:trPr>
        <w:tc>
          <w:tcPr>
            <w:tcW w:w="6800" w:type="dxa"/>
            <w:vAlign w:val="bottom"/>
          </w:tcPr>
          <w:p>
            <w:pPr>
              <w:spacing w:after="0"/>
              <w:rPr>
                <w:sz w:val="20"/>
                <w:szCs w:val="20"/>
                <w:color w:val="auto"/>
              </w:rPr>
            </w:pPr>
            <w:r>
              <w:rPr>
                <w:rFonts w:ascii="Arial" w:cs="Arial" w:eastAsia="Arial" w:hAnsi="Arial"/>
                <w:sz w:val="18"/>
                <w:szCs w:val="18"/>
                <w:color w:val="auto"/>
              </w:rPr>
              <w:t>Accrued payroll and related</w:t>
            </w:r>
          </w:p>
        </w:tc>
        <w:tc>
          <w:tcPr>
            <w:tcW w:w="30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70"/>
        </w:trPr>
        <w:tc>
          <w:tcPr>
            <w:tcW w:w="6800" w:type="dxa"/>
            <w:vAlign w:val="bottom"/>
          </w:tcPr>
          <w:p>
            <w:pPr>
              <w:spacing w:after="0"/>
              <w:rPr>
                <w:sz w:val="20"/>
                <w:szCs w:val="20"/>
                <w:color w:val="auto"/>
              </w:rPr>
            </w:pPr>
            <w:r>
              <w:rPr>
                <w:rFonts w:ascii="Arial" w:cs="Arial" w:eastAsia="Arial" w:hAnsi="Arial"/>
                <w:sz w:val="18"/>
                <w:szCs w:val="18"/>
                <w:color w:val="auto"/>
              </w:rPr>
              <w:t>Public liability and property damage insurance liabilities – current</w:t>
            </w:r>
          </w:p>
        </w:tc>
        <w:tc>
          <w:tcPr>
            <w:tcW w:w="30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70"/>
        </w:trPr>
        <w:tc>
          <w:tcPr>
            <w:tcW w:w="6800" w:type="dxa"/>
            <w:vAlign w:val="bottom"/>
          </w:tcPr>
          <w:p>
            <w:pPr>
              <w:spacing w:after="0"/>
              <w:rPr>
                <w:sz w:val="20"/>
                <w:szCs w:val="20"/>
                <w:color w:val="auto"/>
              </w:rPr>
            </w:pPr>
            <w:r>
              <w:rPr>
                <w:rFonts w:ascii="Arial" w:cs="Arial" w:eastAsia="Arial" w:hAnsi="Arial"/>
                <w:sz w:val="18"/>
                <w:szCs w:val="18"/>
                <w:color w:val="auto"/>
              </w:rPr>
              <w:t>Accrued commissions</w:t>
            </w:r>
          </w:p>
        </w:tc>
        <w:tc>
          <w:tcPr>
            <w:tcW w:w="30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75"/>
        </w:trPr>
        <w:tc>
          <w:tcPr>
            <w:tcW w:w="6800" w:type="dxa"/>
            <w:vAlign w:val="bottom"/>
          </w:tcPr>
          <w:p>
            <w:pPr>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w:t>
            </w:r>
          </w:p>
        </w:tc>
      </w:tr>
      <w:tr>
        <w:trPr>
          <w:trHeight w:val="255"/>
        </w:trPr>
        <w:tc>
          <w:tcPr>
            <w:tcW w:w="6800" w:type="dxa"/>
            <w:vAlign w:val="bottom"/>
          </w:tcPr>
          <w:p>
            <w:pPr>
              <w:spacing w:after="0"/>
              <w:rPr>
                <w:sz w:val="20"/>
                <w:szCs w:val="20"/>
                <w:color w:val="auto"/>
              </w:rPr>
            </w:pPr>
            <w:r>
              <w:rPr>
                <w:rFonts w:ascii="Arial" w:cs="Arial" w:eastAsia="Arial" w:hAnsi="Arial"/>
                <w:sz w:val="18"/>
                <w:szCs w:val="18"/>
                <w:color w:val="auto"/>
              </w:rPr>
              <w:t>Accounts payable and other current liabilities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1,849</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1,488</w:t>
            </w:r>
          </w:p>
        </w:tc>
      </w:tr>
      <w:tr>
        <w:trPr>
          <w:trHeight w:val="20"/>
        </w:trPr>
        <w:tc>
          <w:tcPr>
            <w:tcW w:w="6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40" w:top="116" w:right="279" w:bottom="1440" w:gutter="0" w:footer="0" w:header="0"/>
          <w:type w:val="continuous"/>
        </w:sect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380"/>
          </w:cols>
          <w:pgMar w:left="240" w:top="116" w:right="27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right="6200" w:hanging="492"/>
        <w:spacing w:after="0" w:line="488" w:lineRule="auto"/>
        <w:tabs>
          <w:tab w:leader="none" w:pos="5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Long-term Debt and Borrowing Arrangements </w:t>
      </w:r>
      <w:r>
        <w:rPr>
          <w:rFonts w:ascii="Arial" w:cs="Arial" w:eastAsia="Arial" w:hAnsi="Arial"/>
          <w:sz w:val="18"/>
          <w:szCs w:val="18"/>
          <w:color w:val="auto"/>
        </w:rPr>
        <w:t>Long-term and other borrowing arrangements consisted of:</w:t>
      </w:r>
    </w:p>
    <w:tbl>
      <w:tblPr>
        <w:tblLayout w:type="fixed"/>
        <w:tblInd w:w="500" w:type="dxa"/>
        <w:tblCellMar>
          <w:top w:w="0" w:type="dxa"/>
          <w:left w:w="0" w:type="dxa"/>
          <w:bottom w:w="0" w:type="dxa"/>
          <w:right w:w="0" w:type="dxa"/>
        </w:tblCellMar>
      </w:tblPr>
      <w:tr>
        <w:trPr>
          <w:trHeight w:val="229"/>
        </w:trPr>
        <w:tc>
          <w:tcPr>
            <w:tcW w:w="54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As of</w:t>
            </w:r>
          </w:p>
        </w:tc>
        <w:tc>
          <w:tcPr>
            <w:tcW w:w="160" w:type="dxa"/>
            <w:vAlign w:val="bottom"/>
          </w:tcPr>
          <w:p>
            <w:pPr>
              <w:spacing w:after="0"/>
              <w:rPr>
                <w:sz w:val="19"/>
                <w:szCs w:val="19"/>
                <w:color w:val="auto"/>
              </w:rPr>
            </w:pPr>
          </w:p>
        </w:tc>
        <w:tc>
          <w:tcPr>
            <w:tcW w:w="1280" w:type="dxa"/>
            <w:vAlign w:val="bottom"/>
          </w:tcPr>
          <w:p>
            <w:pPr>
              <w:jc w:val="center"/>
              <w:ind w:right="79"/>
              <w:spacing w:after="0"/>
              <w:rPr>
                <w:sz w:val="20"/>
                <w:szCs w:val="20"/>
                <w:color w:val="auto"/>
              </w:rPr>
            </w:pPr>
            <w:r>
              <w:rPr>
                <w:rFonts w:ascii="Arial" w:cs="Arial" w:eastAsia="Arial" w:hAnsi="Arial"/>
                <w:sz w:val="16"/>
                <w:szCs w:val="16"/>
                <w:b w:val="1"/>
                <w:bCs w:val="1"/>
                <w:color w:val="auto"/>
                <w:w w:val="99"/>
              </w:rPr>
              <w:t>As of</w:t>
            </w:r>
          </w:p>
        </w:tc>
        <w:tc>
          <w:tcPr>
            <w:tcW w:w="0" w:type="dxa"/>
            <w:vAlign w:val="bottom"/>
          </w:tcPr>
          <w:p>
            <w:pPr>
              <w:spacing w:after="0"/>
              <w:rPr>
                <w:sz w:val="1"/>
                <w:szCs w:val="1"/>
                <w:color w:val="auto"/>
              </w:rPr>
            </w:pPr>
          </w:p>
        </w:tc>
      </w:tr>
      <w:tr>
        <w:trPr>
          <w:trHeight w:val="243"/>
        </w:trPr>
        <w:tc>
          <w:tcPr>
            <w:tcW w:w="5460" w:type="dxa"/>
            <w:vAlign w:val="bottom"/>
          </w:tcPr>
          <w:p>
            <w:pPr>
              <w:spacing w:after="0"/>
              <w:rPr>
                <w:sz w:val="21"/>
                <w:szCs w:val="21"/>
                <w:color w:val="auto"/>
              </w:rPr>
            </w:pPr>
          </w:p>
        </w:tc>
        <w:tc>
          <w:tcPr>
            <w:tcW w:w="1860" w:type="dxa"/>
            <w:vAlign w:val="bottom"/>
            <w:gridSpan w:val="2"/>
            <w:vMerge w:val="restart"/>
          </w:tcPr>
          <w:p>
            <w:pPr>
              <w:ind w:left="560"/>
              <w:spacing w:after="0"/>
              <w:rPr>
                <w:sz w:val="20"/>
                <w:szCs w:val="20"/>
                <w:color w:val="auto"/>
              </w:rPr>
            </w:pPr>
            <w:r>
              <w:rPr>
                <w:rFonts w:ascii="Arial" w:cs="Arial" w:eastAsia="Arial" w:hAnsi="Arial"/>
                <w:sz w:val="16"/>
                <w:szCs w:val="16"/>
                <w:b w:val="1"/>
                <w:bCs w:val="1"/>
                <w:color w:val="auto"/>
              </w:rPr>
              <w:t>Maturity</w:t>
            </w:r>
          </w:p>
        </w:tc>
        <w:tc>
          <w:tcPr>
            <w:tcW w:w="260" w:type="dxa"/>
            <w:vAlign w:val="bottom"/>
          </w:tcPr>
          <w:p>
            <w:pPr>
              <w:spacing w:after="0"/>
              <w:rPr>
                <w:sz w:val="21"/>
                <w:szCs w:val="21"/>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June 30,</w:t>
            </w:r>
          </w:p>
        </w:tc>
        <w:tc>
          <w:tcPr>
            <w:tcW w:w="160" w:type="dxa"/>
            <w:vAlign w:val="bottom"/>
          </w:tcPr>
          <w:p>
            <w:pPr>
              <w:spacing w:after="0"/>
              <w:rPr>
                <w:sz w:val="21"/>
                <w:szCs w:val="21"/>
                <w:color w:val="auto"/>
              </w:rPr>
            </w:pPr>
          </w:p>
        </w:tc>
        <w:tc>
          <w:tcPr>
            <w:tcW w:w="1280" w:type="dxa"/>
            <w:vAlign w:val="bottom"/>
          </w:tcPr>
          <w:p>
            <w:pPr>
              <w:jc w:val="center"/>
              <w:ind w:right="5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68"/>
        </w:trPr>
        <w:tc>
          <w:tcPr>
            <w:tcW w:w="5460" w:type="dxa"/>
            <w:vAlign w:val="bottom"/>
          </w:tcPr>
          <w:p>
            <w:pPr>
              <w:spacing w:after="0"/>
              <w:rPr>
                <w:sz w:val="5"/>
                <w:szCs w:val="5"/>
                <w:color w:val="auto"/>
              </w:rPr>
            </w:pPr>
          </w:p>
        </w:tc>
        <w:tc>
          <w:tcPr>
            <w:tcW w:w="18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vMerge w:val="restart"/>
          </w:tcPr>
          <w:p>
            <w:pPr>
              <w:jc w:val="center"/>
              <w:ind w:right="17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80" w:type="dxa"/>
            <w:vAlign w:val="bottom"/>
            <w:vMerge w:val="restart"/>
          </w:tcPr>
          <w:p>
            <w:pPr>
              <w:jc w:val="center"/>
              <w:ind w:right="7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232"/>
        </w:trPr>
        <w:tc>
          <w:tcPr>
            <w:tcW w:w="5460" w:type="dxa"/>
            <w:vAlign w:val="bottom"/>
          </w:tcPr>
          <w:p>
            <w:pPr>
              <w:spacing w:after="0"/>
              <w:rPr>
                <w:sz w:val="20"/>
                <w:szCs w:val="20"/>
                <w:color w:val="auto"/>
              </w:rPr>
            </w:pPr>
          </w:p>
        </w:tc>
        <w:tc>
          <w:tcPr>
            <w:tcW w:w="17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Dates</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460" w:type="dxa"/>
            <w:vAlign w:val="bottom"/>
          </w:tcPr>
          <w:p>
            <w:pPr>
              <w:ind w:left="20"/>
              <w:spacing w:after="0"/>
              <w:rPr>
                <w:sz w:val="20"/>
                <w:szCs w:val="20"/>
                <w:color w:val="auto"/>
              </w:rPr>
            </w:pPr>
            <w:r>
              <w:rPr>
                <w:rFonts w:ascii="Arial" w:cs="Arial" w:eastAsia="Arial" w:hAnsi="Arial"/>
                <w:sz w:val="16"/>
                <w:szCs w:val="16"/>
                <w:color w:val="auto"/>
              </w:rPr>
              <w:t>Floating Rate Senior Notes</w:t>
            </w: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December 2017</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270"/>
        </w:trPr>
        <w:tc>
          <w:tcPr>
            <w:tcW w:w="5460" w:type="dxa"/>
            <w:vAlign w:val="bottom"/>
          </w:tcPr>
          <w:p>
            <w:pPr>
              <w:ind w:left="20"/>
              <w:spacing w:after="0"/>
              <w:rPr>
                <w:sz w:val="20"/>
                <w:szCs w:val="20"/>
                <w:color w:val="auto"/>
              </w:rPr>
            </w:pPr>
            <w:r>
              <w:rPr>
                <w:rFonts w:ascii="Arial" w:cs="Arial" w:eastAsia="Arial" w:hAnsi="Arial"/>
                <w:sz w:val="16"/>
                <w:szCs w:val="16"/>
                <w:color w:val="auto"/>
              </w:rPr>
              <w:t>Floating Rate Term Loan</w:t>
            </w: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March 2019</w:t>
            </w:r>
          </w:p>
        </w:tc>
        <w:tc>
          <w:tcPr>
            <w:tcW w:w="26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270"/>
        </w:trPr>
        <w:tc>
          <w:tcPr>
            <w:tcW w:w="5460" w:type="dxa"/>
            <w:vAlign w:val="bottom"/>
          </w:tcPr>
          <w:p>
            <w:pPr>
              <w:ind w:left="20"/>
              <w:spacing w:after="0"/>
              <w:rPr>
                <w:sz w:val="20"/>
                <w:szCs w:val="20"/>
                <w:color w:val="auto"/>
              </w:rPr>
            </w:pPr>
            <w:r>
              <w:rPr>
                <w:rFonts w:ascii="Arial" w:cs="Arial" w:eastAsia="Arial" w:hAnsi="Arial"/>
                <w:sz w:val="16"/>
                <w:szCs w:val="16"/>
                <w:color w:val="auto"/>
              </w:rPr>
              <w:t>6% euro-denominated Senior Notes</w:t>
            </w: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March 2021</w:t>
            </w:r>
          </w:p>
        </w:tc>
        <w:tc>
          <w:tcPr>
            <w:tcW w:w="26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322"/>
        </w:trPr>
        <w:tc>
          <w:tcPr>
            <w:tcW w:w="5460" w:type="dxa"/>
            <w:vAlign w:val="bottom"/>
          </w:tcPr>
          <w:p>
            <w:pPr>
              <w:ind w:left="20"/>
              <w:spacing w:after="0"/>
              <w:rPr>
                <w:sz w:val="20"/>
                <w:szCs w:val="20"/>
                <w:color w:val="auto"/>
              </w:rPr>
            </w:pPr>
            <w:r>
              <w:rPr>
                <w:rFonts w:ascii="Arial" w:cs="Arial" w:eastAsia="Arial" w:hAnsi="Arial"/>
                <w:sz w:val="16"/>
                <w:szCs w:val="16"/>
                <w:color w:val="auto"/>
              </w:rPr>
              <w:t xml:space="preserve">Floating Rate Term Loan </w:t>
            </w:r>
            <w:r>
              <w:rPr>
                <w:rFonts w:ascii="Arial" w:cs="Arial" w:eastAsia="Arial" w:hAnsi="Arial"/>
                <w:sz w:val="21"/>
                <w:szCs w:val="21"/>
                <w:color w:val="auto"/>
                <w:vertAlign w:val="superscript"/>
              </w:rPr>
              <w:t>(a)</w:t>
            </w: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March 2022</w:t>
            </w:r>
          </w:p>
        </w:tc>
        <w:tc>
          <w:tcPr>
            <w:tcW w:w="260" w:type="dxa"/>
            <w:vAlign w:val="bottom"/>
          </w:tcPr>
          <w:p>
            <w:pPr>
              <w:spacing w:after="0"/>
              <w:rPr>
                <w:sz w:val="24"/>
                <w:szCs w:val="24"/>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1,141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816</w:t>
            </w:r>
          </w:p>
        </w:tc>
        <w:tc>
          <w:tcPr>
            <w:tcW w:w="0" w:type="dxa"/>
            <w:vAlign w:val="bottom"/>
          </w:tcPr>
          <w:p>
            <w:pPr>
              <w:spacing w:after="0"/>
              <w:rPr>
                <w:sz w:val="1"/>
                <w:szCs w:val="1"/>
                <w:color w:val="auto"/>
              </w:rPr>
            </w:pPr>
          </w:p>
        </w:tc>
      </w:tr>
      <w:tr>
        <w:trPr>
          <w:trHeight w:val="219"/>
        </w:trPr>
        <w:tc>
          <w:tcPr>
            <w:tcW w:w="5460" w:type="dxa"/>
            <w:vAlign w:val="bottom"/>
          </w:tcPr>
          <w:p>
            <w:pPr>
              <w:ind w:left="20"/>
              <w:spacing w:after="0"/>
              <w:rPr>
                <w:sz w:val="20"/>
                <w:szCs w:val="20"/>
                <w:color w:val="auto"/>
              </w:rPr>
            </w:pPr>
            <w:r>
              <w:rPr>
                <w:rFonts w:ascii="Arial" w:cs="Arial" w:eastAsia="Arial" w:hAnsi="Arial"/>
                <w:sz w:val="16"/>
                <w:szCs w:val="16"/>
                <w:color w:val="auto"/>
              </w:rPr>
              <w:t>5⅛% Senior Notes</w:t>
            </w: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June 2022</w:t>
            </w:r>
          </w:p>
        </w:tc>
        <w:tc>
          <w:tcPr>
            <w:tcW w:w="26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270"/>
        </w:trPr>
        <w:tc>
          <w:tcPr>
            <w:tcW w:w="5460" w:type="dxa"/>
            <w:vAlign w:val="bottom"/>
          </w:tcPr>
          <w:p>
            <w:pPr>
              <w:ind w:left="20"/>
              <w:spacing w:after="0"/>
              <w:rPr>
                <w:sz w:val="20"/>
                <w:szCs w:val="20"/>
                <w:color w:val="auto"/>
              </w:rPr>
            </w:pPr>
            <w:r>
              <w:rPr>
                <w:rFonts w:ascii="Arial" w:cs="Arial" w:eastAsia="Arial" w:hAnsi="Arial"/>
                <w:sz w:val="16"/>
                <w:szCs w:val="16"/>
                <w:color w:val="auto"/>
              </w:rPr>
              <w:t>5½% Senior Notes</w:t>
            </w: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April 2023</w:t>
            </w:r>
          </w:p>
        </w:tc>
        <w:tc>
          <w:tcPr>
            <w:tcW w:w="26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675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675</w:t>
            </w:r>
          </w:p>
        </w:tc>
        <w:tc>
          <w:tcPr>
            <w:tcW w:w="0" w:type="dxa"/>
            <w:vAlign w:val="bottom"/>
          </w:tcPr>
          <w:p>
            <w:pPr>
              <w:spacing w:after="0"/>
              <w:rPr>
                <w:sz w:val="1"/>
                <w:szCs w:val="1"/>
                <w:color w:val="auto"/>
              </w:rPr>
            </w:pPr>
          </w:p>
        </w:tc>
      </w:tr>
      <w:tr>
        <w:trPr>
          <w:trHeight w:val="270"/>
        </w:trPr>
        <w:tc>
          <w:tcPr>
            <w:tcW w:w="5460" w:type="dxa"/>
            <w:vAlign w:val="bottom"/>
          </w:tcPr>
          <w:p>
            <w:pPr>
              <w:ind w:left="20"/>
              <w:spacing w:after="0"/>
              <w:rPr>
                <w:sz w:val="20"/>
                <w:szCs w:val="20"/>
                <w:color w:val="auto"/>
              </w:rPr>
            </w:pPr>
            <w:r>
              <w:rPr>
                <w:rFonts w:ascii="Arial" w:cs="Arial" w:eastAsia="Arial" w:hAnsi="Arial"/>
                <w:sz w:val="16"/>
                <w:szCs w:val="16"/>
                <w:color w:val="auto"/>
              </w:rPr>
              <w:t>6⅜% Senior Notes</w:t>
            </w: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April 2024</w:t>
            </w:r>
          </w:p>
        </w:tc>
        <w:tc>
          <w:tcPr>
            <w:tcW w:w="26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350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r>
        <w:trPr>
          <w:trHeight w:val="270"/>
        </w:trPr>
        <w:tc>
          <w:tcPr>
            <w:tcW w:w="5460" w:type="dxa"/>
            <w:vAlign w:val="bottom"/>
          </w:tcPr>
          <w:p>
            <w:pPr>
              <w:ind w:left="20"/>
              <w:spacing w:after="0"/>
              <w:rPr>
                <w:sz w:val="20"/>
                <w:szCs w:val="20"/>
                <w:color w:val="auto"/>
              </w:rPr>
            </w:pPr>
            <w:r>
              <w:rPr>
                <w:rFonts w:ascii="Arial" w:cs="Arial" w:eastAsia="Arial" w:hAnsi="Arial"/>
                <w:sz w:val="16"/>
                <w:szCs w:val="16"/>
                <w:color w:val="auto"/>
              </w:rPr>
              <w:t>4⅛% euro-denominated Senior Notes</w:t>
            </w: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November 2024</w:t>
            </w:r>
          </w:p>
        </w:tc>
        <w:tc>
          <w:tcPr>
            <w:tcW w:w="26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343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316</w:t>
            </w:r>
          </w:p>
        </w:tc>
        <w:tc>
          <w:tcPr>
            <w:tcW w:w="0" w:type="dxa"/>
            <w:vAlign w:val="bottom"/>
          </w:tcPr>
          <w:p>
            <w:pPr>
              <w:spacing w:after="0"/>
              <w:rPr>
                <w:sz w:val="1"/>
                <w:szCs w:val="1"/>
                <w:color w:val="auto"/>
              </w:rPr>
            </w:pPr>
          </w:p>
        </w:tc>
      </w:tr>
      <w:tr>
        <w:trPr>
          <w:trHeight w:val="270"/>
        </w:trPr>
        <w:tc>
          <w:tcPr>
            <w:tcW w:w="5460" w:type="dxa"/>
            <w:vAlign w:val="bottom"/>
          </w:tcPr>
          <w:p>
            <w:pPr>
              <w:ind w:left="20"/>
              <w:spacing w:after="0"/>
              <w:rPr>
                <w:sz w:val="20"/>
                <w:szCs w:val="20"/>
                <w:color w:val="auto"/>
              </w:rPr>
            </w:pPr>
            <w:r>
              <w:rPr>
                <w:rFonts w:ascii="Arial" w:cs="Arial" w:eastAsia="Arial" w:hAnsi="Arial"/>
                <w:sz w:val="16"/>
                <w:szCs w:val="16"/>
                <w:color w:val="auto"/>
              </w:rPr>
              <w:t>5¼% Senior Notes</w:t>
            </w: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March 2025</w:t>
            </w:r>
          </w:p>
        </w:tc>
        <w:tc>
          <w:tcPr>
            <w:tcW w:w="26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375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375</w:t>
            </w:r>
          </w:p>
        </w:tc>
        <w:tc>
          <w:tcPr>
            <w:tcW w:w="0" w:type="dxa"/>
            <w:vAlign w:val="bottom"/>
          </w:tcPr>
          <w:p>
            <w:pPr>
              <w:spacing w:after="0"/>
              <w:rPr>
                <w:sz w:val="1"/>
                <w:szCs w:val="1"/>
                <w:color w:val="auto"/>
              </w:rPr>
            </w:pPr>
          </w:p>
        </w:tc>
      </w:tr>
      <w:tr>
        <w:trPr>
          <w:trHeight w:val="270"/>
        </w:trPr>
        <w:tc>
          <w:tcPr>
            <w:tcW w:w="5460" w:type="dxa"/>
            <w:vAlign w:val="bottom"/>
          </w:tcPr>
          <w:p>
            <w:pPr>
              <w:ind w:left="20"/>
              <w:spacing w:after="0"/>
              <w:rPr>
                <w:sz w:val="20"/>
                <w:szCs w:val="20"/>
                <w:color w:val="auto"/>
              </w:rPr>
            </w:pPr>
            <w:r>
              <w:rPr>
                <w:rFonts w:ascii="Arial" w:cs="Arial" w:eastAsia="Arial" w:hAnsi="Arial"/>
                <w:sz w:val="16"/>
                <w:szCs w:val="16"/>
                <w:color w:val="auto"/>
              </w:rPr>
              <w:t>4½% euro-denominated Senior Notes</w:t>
            </w: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May 2025</w:t>
            </w:r>
          </w:p>
        </w:tc>
        <w:tc>
          <w:tcPr>
            <w:tcW w:w="26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286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22"/>
        </w:trPr>
        <w:tc>
          <w:tcPr>
            <w:tcW w:w="5460" w:type="dxa"/>
            <w:vAlign w:val="bottom"/>
          </w:tcPr>
          <w:p>
            <w:pPr>
              <w:ind w:left="2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(b)</w:t>
            </w: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28"/>
        </w:trPr>
        <w:tc>
          <w:tcPr>
            <w:tcW w:w="5460" w:type="dxa"/>
            <w:vAlign w:val="bottom"/>
          </w:tcPr>
          <w:p>
            <w:pPr>
              <w:ind w:left="20"/>
              <w:spacing w:after="0"/>
              <w:rPr>
                <w:sz w:val="20"/>
                <w:szCs w:val="20"/>
                <w:color w:val="auto"/>
              </w:rPr>
            </w:pPr>
            <w:r>
              <w:rPr>
                <w:rFonts w:ascii="Arial" w:cs="Arial" w:eastAsia="Arial" w:hAnsi="Arial"/>
                <w:sz w:val="16"/>
                <w:szCs w:val="16"/>
                <w:color w:val="auto"/>
              </w:rPr>
              <w:t>Deferred financing fees</w:t>
            </w: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41"/>
        </w:trPr>
        <w:tc>
          <w:tcPr>
            <w:tcW w:w="5460" w:type="dxa"/>
            <w:vAlign w:val="bottom"/>
          </w:tcPr>
          <w:p>
            <w:pPr>
              <w:ind w:left="20"/>
              <w:spacing w:after="0"/>
              <w:rPr>
                <w:sz w:val="20"/>
                <w:szCs w:val="20"/>
                <w:color w:val="auto"/>
              </w:rPr>
            </w:pPr>
            <w:r>
              <w:rPr>
                <w:rFonts w:ascii="Arial" w:cs="Arial" w:eastAsia="Arial" w:hAnsi="Arial"/>
                <w:sz w:val="16"/>
                <w:szCs w:val="16"/>
                <w:color w:val="auto"/>
              </w:rPr>
              <w:t>Total</w:t>
            </w: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3,572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3,523</w:t>
            </w:r>
          </w:p>
        </w:tc>
        <w:tc>
          <w:tcPr>
            <w:tcW w:w="0" w:type="dxa"/>
            <w:vAlign w:val="bottom"/>
          </w:tcPr>
          <w:p>
            <w:pPr>
              <w:spacing w:after="0"/>
              <w:rPr>
                <w:sz w:val="1"/>
                <w:szCs w:val="1"/>
                <w:color w:val="auto"/>
              </w:rPr>
            </w:pPr>
          </w:p>
        </w:tc>
      </w:tr>
      <w:tr>
        <w:trPr>
          <w:trHeight w:val="279"/>
        </w:trPr>
        <w:tc>
          <w:tcPr>
            <w:tcW w:w="5460" w:type="dxa"/>
            <w:vAlign w:val="bottom"/>
          </w:tcPr>
          <w:p>
            <w:pPr>
              <w:ind w:left="20"/>
              <w:spacing w:after="0"/>
              <w:rPr>
                <w:sz w:val="20"/>
                <w:szCs w:val="20"/>
                <w:color w:val="auto"/>
              </w:rPr>
            </w:pPr>
            <w:r>
              <w:rPr>
                <w:rFonts w:ascii="Arial" w:cs="Arial" w:eastAsia="Arial" w:hAnsi="Arial"/>
                <w:sz w:val="16"/>
                <w:szCs w:val="16"/>
                <w:color w:val="auto"/>
              </w:rPr>
              <w:t>Less: Short-term debt and current portion of long-term debt</w:t>
            </w: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w:t>
            </w:r>
          </w:p>
        </w:tc>
        <w:tc>
          <w:tcPr>
            <w:tcW w:w="0" w:type="dxa"/>
            <w:vAlign w:val="bottom"/>
          </w:tcPr>
          <w:p>
            <w:pPr>
              <w:spacing w:after="0"/>
              <w:rPr>
                <w:sz w:val="1"/>
                <w:szCs w:val="1"/>
                <w:color w:val="auto"/>
              </w:rPr>
            </w:pPr>
          </w:p>
        </w:tc>
      </w:tr>
      <w:tr>
        <w:trPr>
          <w:trHeight w:val="241"/>
        </w:trPr>
        <w:tc>
          <w:tcPr>
            <w:tcW w:w="546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3,546</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3,244</w:t>
            </w: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5460" w:type="dxa"/>
            <w:vAlign w:val="bottom"/>
            <w:vMerge w:val="continue"/>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820" w:hanging="326"/>
        <w:spacing w:after="0" w:line="227" w:lineRule="auto"/>
        <w:tabs>
          <w:tab w:leader="none" w:pos="82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The floating rate term loan is part of the Company’s senior credit facility, which is secured by pledges of capital stock of certain subsidiaries of the Company, and liens on substantially all of the Company’s intellectual property and certain other real and personal property. As of June 30, 2017, the floating rate term loan due 2022 bears interest at three-month LIBOR plus 200 basis points, for an aggregate rate of 3.30%. The Company has entered into a swap to hedge $700 million of its interest rate exposure related to the floating rate term loan at an aggregate rate of 3.75%.</w:t>
      </w:r>
    </w:p>
    <w:p>
      <w:pPr>
        <w:ind w:left="820" w:hanging="326"/>
        <w:spacing w:after="0" w:line="204" w:lineRule="auto"/>
        <w:tabs>
          <w:tab w:leader="none" w:pos="82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Primarily includes capital leases which are secured by liens on the related assets.</w:t>
      </w:r>
    </w:p>
    <w:p>
      <w:pPr>
        <w:spacing w:after="0" w:line="175" w:lineRule="exact"/>
        <w:rPr>
          <w:sz w:val="20"/>
          <w:szCs w:val="20"/>
          <w:color w:val="auto"/>
        </w:rPr>
      </w:pPr>
    </w:p>
    <w:p>
      <w:pPr>
        <w:ind w:left="500" w:right="80"/>
        <w:spacing w:after="0" w:line="264" w:lineRule="auto"/>
        <w:rPr>
          <w:sz w:val="20"/>
          <w:szCs w:val="20"/>
          <w:color w:val="auto"/>
        </w:rPr>
      </w:pPr>
      <w:r>
        <w:rPr>
          <w:rFonts w:ascii="Arial" w:cs="Arial" w:eastAsia="Arial" w:hAnsi="Arial"/>
          <w:sz w:val="18"/>
          <w:szCs w:val="18"/>
          <w:color w:val="auto"/>
        </w:rPr>
        <w:t>In March 2017, the Company issued €250 million of 4½% euro-denominated Senior Notes due 2025, at par. In April 2017, the Company used the net proceeds from the offering to redeem its outstanding €175 million principal amount of 6% euro-denominated Senior Notes due 2021 for €180 million plus accrued interest. In June 2017, the Company used the remaining proceeds to redeem a portion of its Floating Rate Senior Notes due 2017.</w:t>
      </w:r>
    </w:p>
    <w:p>
      <w:pPr>
        <w:spacing w:after="0" w:line="170" w:lineRule="exact"/>
        <w:rPr>
          <w:sz w:val="20"/>
          <w:szCs w:val="20"/>
          <w:color w:val="auto"/>
        </w:rPr>
      </w:pPr>
    </w:p>
    <w:p>
      <w:pPr>
        <w:ind w:left="500" w:right="100"/>
        <w:spacing w:after="0" w:line="264" w:lineRule="auto"/>
        <w:rPr>
          <w:sz w:val="20"/>
          <w:szCs w:val="20"/>
          <w:color w:val="auto"/>
        </w:rPr>
      </w:pPr>
      <w:r>
        <w:rPr>
          <w:rFonts w:ascii="Arial" w:cs="Arial" w:eastAsia="Arial" w:hAnsi="Arial"/>
          <w:sz w:val="18"/>
          <w:szCs w:val="18"/>
          <w:color w:val="auto"/>
        </w:rPr>
        <w:t>In March 2017, the Company increased its Floating Rate Term Loan due 2022 to $1.1 billion and reduced the loan interest rate to three-month LIBOR plus 2.00%. The Company used the incremental term loan proceeds to repay all of its outstanding Floating Rate Term Loan due 2019. In June 2017, the Company used the remaining proceeds to redeem the remainder of its outstanding Floating Rate Senior Notes due 2017.</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Committed Credit Facilities and Available Funding Arrangements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June 30, 2017, the committed corporate credit facilities available to the Company and/or its subsidiaries were as follows:</w:t>
      </w:r>
    </w:p>
    <w:p>
      <w:pPr>
        <w:spacing w:after="0" w:line="174" w:lineRule="exact"/>
        <w:rPr>
          <w:sz w:val="20"/>
          <w:szCs w:val="20"/>
          <w:color w:val="auto"/>
        </w:rPr>
      </w:pPr>
    </w:p>
    <w:tbl>
      <w:tblPr>
        <w:tblLayout w:type="fixed"/>
        <w:tblInd w:w="500" w:type="dxa"/>
        <w:tblCellMar>
          <w:top w:w="0" w:type="dxa"/>
          <w:left w:w="0" w:type="dxa"/>
          <w:bottom w:w="0" w:type="dxa"/>
          <w:right w:w="0" w:type="dxa"/>
        </w:tblCellMar>
      </w:tblPr>
      <w:tr>
        <w:trPr>
          <w:trHeight w:val="189"/>
        </w:trPr>
        <w:tc>
          <w:tcPr>
            <w:tcW w:w="4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ind w:left="280"/>
              <w:spacing w:after="0"/>
              <w:rPr>
                <w:sz w:val="20"/>
                <w:szCs w:val="20"/>
                <w:color w:val="auto"/>
              </w:rPr>
            </w:pPr>
            <w:r>
              <w:rPr>
                <w:rFonts w:ascii="Arial" w:cs="Arial" w:eastAsia="Arial" w:hAnsi="Arial"/>
                <w:sz w:val="16"/>
                <w:szCs w:val="16"/>
                <w:b w:val="1"/>
                <w:bCs w:val="1"/>
                <w:color w:val="auto"/>
              </w:rPr>
              <w:t>Total</w:t>
            </w:r>
          </w:p>
        </w:tc>
        <w:tc>
          <w:tcPr>
            <w:tcW w:w="180" w:type="dxa"/>
            <w:vAlign w:val="bottom"/>
          </w:tcPr>
          <w:p>
            <w:pPr>
              <w:spacing w:after="0"/>
              <w:rPr>
                <w:sz w:val="16"/>
                <w:szCs w:val="16"/>
                <w:color w:val="auto"/>
              </w:rPr>
            </w:pPr>
          </w:p>
        </w:tc>
        <w:tc>
          <w:tcPr>
            <w:tcW w:w="1540" w:type="dxa"/>
            <w:vAlign w:val="bottom"/>
            <w:gridSpan w:val="3"/>
          </w:tcPr>
          <w:p>
            <w:pPr>
              <w:jc w:val="center"/>
              <w:ind w:right="460"/>
              <w:spacing w:after="0"/>
              <w:rPr>
                <w:sz w:val="20"/>
                <w:szCs w:val="20"/>
                <w:color w:val="auto"/>
              </w:rPr>
            </w:pPr>
            <w:r>
              <w:rPr>
                <w:rFonts w:ascii="Arial" w:cs="Arial" w:eastAsia="Arial" w:hAnsi="Arial"/>
                <w:sz w:val="16"/>
                <w:szCs w:val="16"/>
                <w:b w:val="1"/>
                <w:bCs w:val="1"/>
                <w:color w:val="auto"/>
              </w:rPr>
              <w:t>Outstanding</w:t>
            </w:r>
          </w:p>
        </w:tc>
        <w:tc>
          <w:tcPr>
            <w:tcW w:w="1380" w:type="dxa"/>
            <w:vAlign w:val="bottom"/>
            <w:gridSpan w:val="2"/>
          </w:tcPr>
          <w:p>
            <w:pPr>
              <w:ind w:left="180"/>
              <w:spacing w:after="0"/>
              <w:rPr>
                <w:sz w:val="20"/>
                <w:szCs w:val="20"/>
                <w:color w:val="auto"/>
              </w:rPr>
            </w:pPr>
            <w:r>
              <w:rPr>
                <w:rFonts w:ascii="Arial" w:cs="Arial" w:eastAsia="Arial" w:hAnsi="Arial"/>
                <w:sz w:val="16"/>
                <w:szCs w:val="16"/>
                <w:b w:val="1"/>
                <w:bCs w:val="1"/>
                <w:color w:val="auto"/>
              </w:rPr>
              <w:t>Letters of</w:t>
            </w:r>
          </w:p>
        </w:tc>
        <w:tc>
          <w:tcPr>
            <w:tcW w:w="240" w:type="dxa"/>
            <w:vAlign w:val="bottom"/>
          </w:tcPr>
          <w:p>
            <w:pPr>
              <w:spacing w:after="0"/>
              <w:rPr>
                <w:sz w:val="16"/>
                <w:szCs w:val="16"/>
                <w:color w:val="auto"/>
              </w:rPr>
            </w:pPr>
          </w:p>
        </w:tc>
        <w:tc>
          <w:tcPr>
            <w:tcW w:w="1200" w:type="dxa"/>
            <w:vAlign w:val="bottom"/>
          </w:tcPr>
          <w:p>
            <w:pPr>
              <w:jc w:val="right"/>
              <w:ind w:right="279"/>
              <w:spacing w:after="0"/>
              <w:rPr>
                <w:sz w:val="20"/>
                <w:szCs w:val="20"/>
                <w:color w:val="auto"/>
              </w:rPr>
            </w:pPr>
            <w:r>
              <w:rPr>
                <w:rFonts w:ascii="Arial" w:cs="Arial" w:eastAsia="Arial" w:hAnsi="Arial"/>
                <w:sz w:val="16"/>
                <w:szCs w:val="16"/>
                <w:b w:val="1"/>
                <w:bCs w:val="1"/>
                <w:color w:val="auto"/>
              </w:rPr>
              <w:t>Available</w:t>
            </w:r>
          </w:p>
        </w:tc>
      </w:tr>
      <w:tr>
        <w:trPr>
          <w:trHeight w:val="232"/>
        </w:trPr>
        <w:tc>
          <w:tcPr>
            <w:tcW w:w="4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Capacity</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Borrowings</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Credit Issued</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Capacity</w:t>
            </w:r>
          </w:p>
        </w:tc>
      </w:tr>
      <w:tr>
        <w:trPr>
          <w:trHeight w:val="269"/>
        </w:trPr>
        <w:tc>
          <w:tcPr>
            <w:tcW w:w="4220" w:type="dxa"/>
            <w:vAlign w:val="bottom"/>
          </w:tcPr>
          <w:p>
            <w:pPr>
              <w:ind w:left="20"/>
              <w:spacing w:after="0"/>
              <w:rPr>
                <w:sz w:val="20"/>
                <w:szCs w:val="20"/>
                <w:color w:val="auto"/>
              </w:rPr>
            </w:pPr>
            <w:r>
              <w:rPr>
                <w:rFonts w:ascii="Arial" w:cs="Arial" w:eastAsia="Arial" w:hAnsi="Arial"/>
                <w:sz w:val="16"/>
                <w:szCs w:val="16"/>
                <w:color w:val="auto"/>
              </w:rPr>
              <w:t xml:space="preserve">Senior revolving credit facility maturing 2021 </w:t>
            </w:r>
            <w:r>
              <w:rPr>
                <w:rFonts w:ascii="Arial" w:cs="Arial" w:eastAsia="Arial" w:hAnsi="Arial"/>
                <w:sz w:val="17"/>
                <w:szCs w:val="17"/>
                <w:color w:val="auto"/>
                <w:vertAlign w:val="superscript"/>
              </w:rPr>
              <w:t>(a)</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1,800</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3"/>
          </w:tcPr>
          <w:p>
            <w:pPr>
              <w:ind w:left="1000"/>
              <w:spacing w:after="0"/>
              <w:rPr>
                <w:sz w:val="20"/>
                <w:szCs w:val="20"/>
                <w:color w:val="auto"/>
              </w:rPr>
            </w:pPr>
            <w:r>
              <w:rPr>
                <w:rFonts w:ascii="Arial" w:cs="Arial" w:eastAsia="Arial" w:hAnsi="Arial"/>
                <w:sz w:val="16"/>
                <w:szCs w:val="16"/>
                <w:color w:val="auto"/>
              </w:rPr>
              <w:t>—  $</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1,301</w:t>
            </w:r>
          </w:p>
        </w:tc>
        <w:tc>
          <w:tcPr>
            <w:tcW w:w="100" w:type="dxa"/>
            <w:vAlign w:val="bottom"/>
          </w:tcPr>
          <w:p>
            <w:pPr>
              <w:spacing w:after="0"/>
              <w:rPr>
                <w:sz w:val="23"/>
                <w:szCs w:val="23"/>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499</w:t>
            </w:r>
          </w:p>
        </w:tc>
      </w:tr>
      <w:tr>
        <w:trPr>
          <w:trHeight w:val="237"/>
        </w:trPr>
        <w:tc>
          <w:tcPr>
            <w:tcW w:w="4220" w:type="dxa"/>
            <w:vAlign w:val="bottom"/>
          </w:tcPr>
          <w:p>
            <w:pPr>
              <w:ind w:left="20"/>
              <w:spacing w:after="0"/>
              <w:rPr>
                <w:sz w:val="20"/>
                <w:szCs w:val="20"/>
                <w:color w:val="auto"/>
              </w:rPr>
            </w:pPr>
            <w:r>
              <w:rPr>
                <w:rFonts w:ascii="Arial" w:cs="Arial" w:eastAsia="Arial" w:hAnsi="Arial"/>
                <w:sz w:val="16"/>
                <w:szCs w:val="16"/>
                <w:color w:val="auto"/>
              </w:rPr>
              <w:t xml:space="preserve">Other facilities </w:t>
            </w:r>
            <w:r>
              <w:rPr>
                <w:rFonts w:ascii="Arial" w:cs="Arial" w:eastAsia="Arial" w:hAnsi="Arial"/>
                <w:sz w:val="17"/>
                <w:szCs w:val="17"/>
                <w:color w:val="auto"/>
                <w:vertAlign w:val="superscript"/>
              </w:rPr>
              <w:t>(b)</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4220" w:type="dxa"/>
            <w:vAlign w:val="bottom"/>
          </w:tcPr>
          <w:p>
            <w:pPr>
              <w:spacing w:after="0"/>
              <w:rPr>
                <w:sz w:val="20"/>
                <w:szCs w:val="20"/>
                <w:color w:val="auto"/>
              </w:rPr>
            </w:pPr>
            <w:r>
              <w:rPr>
                <w:rFonts w:ascii="Arial" w:cs="Arial" w:eastAsia="Arial" w:hAnsi="Arial"/>
                <w:sz w:val="16"/>
                <w:szCs w:val="16"/>
                <w:color w:val="auto"/>
              </w:rPr>
              <w:t>__________</w:t>
            </w: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r>
    </w:tbl>
    <w:p>
      <w:pPr>
        <w:ind w:left="820" w:hanging="326"/>
        <w:spacing w:after="0"/>
        <w:tabs>
          <w:tab w:leader="none" w:pos="82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The senior revolving credit facility bears interest at one-month LIBOR plus 200 basis points and is part of the Company’s senior credit facility, which is secured by pledges of capital stock of certain subsidiaries of the Company, and liens on substantially all of the Company’s intellectual property and certain other real and personal property.</w:t>
      </w:r>
    </w:p>
    <w:p>
      <w:pPr>
        <w:spacing w:after="0" w:line="123" w:lineRule="exact"/>
        <w:rPr>
          <w:rFonts w:ascii="Arial" w:cs="Arial" w:eastAsia="Arial" w:hAnsi="Arial"/>
          <w:sz w:val="18"/>
          <w:szCs w:val="18"/>
          <w:color w:val="auto"/>
          <w:vertAlign w:val="superscript"/>
        </w:rPr>
      </w:pPr>
    </w:p>
    <w:p>
      <w:pPr>
        <w:ind w:left="820" w:hanging="326"/>
        <w:spacing w:after="0" w:line="204" w:lineRule="auto"/>
        <w:tabs>
          <w:tab w:leader="none" w:pos="82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These facilities encompass bank overdraft lines of credit, bearing interest of 3.05% to 3.10% as of June 30, 2017.</w:t>
      </w:r>
    </w:p>
    <w:p>
      <w:pPr>
        <w:spacing w:after="0" w:line="148" w:lineRule="exact"/>
        <w:rPr>
          <w:sz w:val="20"/>
          <w:szCs w:val="20"/>
          <w:color w:val="auto"/>
        </w:rPr>
      </w:pPr>
    </w:p>
    <w:p>
      <w:pPr>
        <w:ind w:left="500" w:right="220"/>
        <w:spacing w:after="0" w:line="292" w:lineRule="auto"/>
        <w:rPr>
          <w:sz w:val="20"/>
          <w:szCs w:val="20"/>
          <w:color w:val="auto"/>
        </w:rPr>
      </w:pPr>
      <w:r>
        <w:rPr>
          <w:rFonts w:ascii="Arial" w:cs="Arial" w:eastAsia="Arial" w:hAnsi="Arial"/>
          <w:sz w:val="18"/>
          <w:szCs w:val="18"/>
          <w:color w:val="auto"/>
        </w:rPr>
        <w:t>At June 30, 2017, the Company had various uncommitted credit facilities available, under which it had drawn approximately $3 million, which bear interest at rates between 0.74% and 4.50%.</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116" w:right="27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Debt Covenants</w:t>
      </w:r>
    </w:p>
    <w:p>
      <w:pPr>
        <w:spacing w:after="0" w:line="225" w:lineRule="exact"/>
        <w:rPr>
          <w:sz w:val="20"/>
          <w:szCs w:val="20"/>
          <w:color w:val="auto"/>
        </w:rPr>
      </w:pPr>
    </w:p>
    <w:p>
      <w:pPr>
        <w:ind w:left="500" w:right="160"/>
        <w:spacing w:after="0" w:line="260" w:lineRule="auto"/>
        <w:rPr>
          <w:sz w:val="20"/>
          <w:szCs w:val="20"/>
          <w:color w:val="auto"/>
        </w:rPr>
      </w:pPr>
      <w:r>
        <w:rPr>
          <w:rFonts w:ascii="Arial" w:cs="Arial" w:eastAsia="Arial" w:hAnsi="Arial"/>
          <w:sz w:val="18"/>
          <w:szCs w:val="18"/>
          <w:color w:val="auto"/>
        </w:rPr>
        <w:t>The agreements governing the Company’s indebtedness contain restrictive covenants, including restrictions on dividends paid to the Company by certain of its subsidiaries, the incurrence of additional indebtedness by the Company and certain of its subsidiaries, acquisitions, mergers, liquidations, and sale and leaseback transactions. The Company’s senior credit facility also contains a maximum leverage ratio requirement. As of June 30, 2017, the Company was in compliance with the financial covenants governing its indebtedness.</w:t>
      </w:r>
    </w:p>
    <w:p>
      <w:pPr>
        <w:spacing w:after="0" w:line="173" w:lineRule="exact"/>
        <w:rPr>
          <w:sz w:val="20"/>
          <w:szCs w:val="20"/>
          <w:color w:val="auto"/>
        </w:rPr>
      </w:pPr>
    </w:p>
    <w:p>
      <w:pPr>
        <w:ind w:left="500" w:hanging="492"/>
        <w:spacing w:after="0"/>
        <w:tabs>
          <w:tab w:leader="none" w:pos="5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Debt Under Vehicle Programs and Borrowing Arrangements</w:t>
      </w:r>
    </w:p>
    <w:p>
      <w:pPr>
        <w:spacing w:after="0" w:line="227" w:lineRule="exact"/>
        <w:rPr>
          <w:rFonts w:ascii="Arial" w:cs="Arial" w:eastAsia="Arial" w:hAnsi="Arial"/>
          <w:sz w:val="18"/>
          <w:szCs w:val="18"/>
          <w:b w:val="1"/>
          <w:bCs w:val="1"/>
          <w:color w:val="auto"/>
        </w:rPr>
      </w:pPr>
    </w:p>
    <w:p>
      <w:pPr>
        <w:ind w:left="500" w:right="280"/>
        <w:spacing w:after="0" w:line="292" w:lineRule="auto"/>
        <w:rPr>
          <w:rFonts w:ascii="Arial" w:cs="Arial" w:eastAsia="Arial" w:hAnsi="Arial"/>
          <w:sz w:val="18"/>
          <w:szCs w:val="18"/>
          <w:b w:val="1"/>
          <w:bCs w:val="1"/>
          <w:color w:val="auto"/>
        </w:rPr>
      </w:pPr>
      <w:r>
        <w:rPr>
          <w:rFonts w:ascii="Arial" w:cs="Arial" w:eastAsia="Arial" w:hAnsi="Arial"/>
          <w:sz w:val="18"/>
          <w:szCs w:val="18"/>
          <w:color w:val="auto"/>
        </w:rPr>
        <w:t>Debt under vehicle programs, including related party debt due to Avis Budget Rental Car Funding (AESOP) LLC (“Avis Budget Rental Car Funding”), consisted of:</w:t>
      </w:r>
    </w:p>
    <w:p>
      <w:pPr>
        <w:spacing w:after="0" w:line="102" w:lineRule="exact"/>
        <w:rPr>
          <w:sz w:val="20"/>
          <w:szCs w:val="20"/>
          <w:color w:val="auto"/>
        </w:rPr>
      </w:pPr>
    </w:p>
    <w:tbl>
      <w:tblPr>
        <w:tblLayout w:type="fixed"/>
        <w:tblInd w:w="500" w:type="dxa"/>
        <w:tblCellMar>
          <w:top w:w="0" w:type="dxa"/>
          <w:left w:w="0" w:type="dxa"/>
          <w:bottom w:w="0" w:type="dxa"/>
          <w:right w:w="0" w:type="dxa"/>
        </w:tblCellMar>
      </w:tblPr>
      <w:tr>
        <w:trPr>
          <w:trHeight w:val="253"/>
        </w:trPr>
        <w:tc>
          <w:tcPr>
            <w:tcW w:w="6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rPr>
              <w:t>As of</w:t>
            </w:r>
          </w:p>
        </w:tc>
        <w:tc>
          <w:tcPr>
            <w:tcW w:w="180" w:type="dxa"/>
            <w:vAlign w:val="bottom"/>
          </w:tcPr>
          <w:p>
            <w:pPr>
              <w:spacing w:after="0"/>
              <w:rPr>
                <w:sz w:val="21"/>
                <w:szCs w:val="21"/>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70"/>
        </w:trPr>
        <w:tc>
          <w:tcPr>
            <w:tcW w:w="6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9"/>
              </w:rPr>
              <w:t>June 30,</w:t>
            </w:r>
          </w:p>
        </w:tc>
        <w:tc>
          <w:tcPr>
            <w:tcW w:w="180" w:type="dxa"/>
            <w:vAlign w:val="bottom"/>
          </w:tcPr>
          <w:p>
            <w:pPr>
              <w:spacing w:after="0"/>
              <w:rPr>
                <w:sz w:val="23"/>
                <w:szCs w:val="23"/>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70"/>
        </w:trPr>
        <w:tc>
          <w:tcPr>
            <w:tcW w:w="68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9"/>
              </w:rPr>
              <w:t>2017</w:t>
            </w: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2016</w:t>
            </w:r>
          </w:p>
        </w:tc>
        <w:tc>
          <w:tcPr>
            <w:tcW w:w="0" w:type="dxa"/>
            <w:vAlign w:val="bottom"/>
          </w:tcPr>
          <w:p>
            <w:pPr>
              <w:spacing w:after="0"/>
              <w:rPr>
                <w:sz w:val="1"/>
                <w:szCs w:val="1"/>
                <w:color w:val="auto"/>
              </w:rPr>
            </w:pPr>
          </w:p>
        </w:tc>
      </w:tr>
      <w:tr>
        <w:trPr>
          <w:trHeight w:val="269"/>
        </w:trPr>
        <w:tc>
          <w:tcPr>
            <w:tcW w:w="6860" w:type="dxa"/>
            <w:vAlign w:val="bottom"/>
          </w:tcPr>
          <w:p>
            <w:pPr>
              <w:ind w:left="20"/>
              <w:spacing w:after="0"/>
              <w:rPr>
                <w:sz w:val="20"/>
                <w:szCs w:val="20"/>
                <w:color w:val="auto"/>
              </w:rPr>
            </w:pPr>
            <w:r>
              <w:rPr>
                <w:rFonts w:ascii="Arial" w:cs="Arial" w:eastAsia="Arial" w:hAnsi="Arial"/>
                <w:sz w:val="18"/>
                <w:szCs w:val="18"/>
                <w:color w:val="auto"/>
              </w:rPr>
              <w:t xml:space="preserve">Americas - Debt due to Avis Budget Rental Car Funding </w:t>
            </w:r>
            <w:r>
              <w:rPr>
                <w:rFonts w:ascii="Arial" w:cs="Arial" w:eastAsia="Arial" w:hAnsi="Arial"/>
                <w:sz w:val="21"/>
                <w:szCs w:val="21"/>
                <w:color w:val="auto"/>
                <w:vertAlign w:val="superscript"/>
              </w:rPr>
              <w:t>(a)</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7,912</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6,733</w:t>
            </w:r>
          </w:p>
        </w:tc>
        <w:tc>
          <w:tcPr>
            <w:tcW w:w="0" w:type="dxa"/>
            <w:vAlign w:val="bottom"/>
          </w:tcPr>
          <w:p>
            <w:pPr>
              <w:spacing w:after="0"/>
              <w:rPr>
                <w:sz w:val="1"/>
                <w:szCs w:val="1"/>
                <w:color w:val="auto"/>
              </w:rPr>
            </w:pPr>
          </w:p>
        </w:tc>
      </w:tr>
      <w:tr>
        <w:trPr>
          <w:trHeight w:val="270"/>
        </w:trPr>
        <w:tc>
          <w:tcPr>
            <w:tcW w:w="6860" w:type="dxa"/>
            <w:vAlign w:val="bottom"/>
          </w:tcPr>
          <w:p>
            <w:pPr>
              <w:ind w:left="20"/>
              <w:spacing w:after="0"/>
              <w:rPr>
                <w:sz w:val="20"/>
                <w:szCs w:val="20"/>
                <w:color w:val="auto"/>
              </w:rPr>
            </w:pPr>
            <w:r>
              <w:rPr>
                <w:rFonts w:ascii="Arial" w:cs="Arial" w:eastAsia="Arial" w:hAnsi="Arial"/>
                <w:sz w:val="18"/>
                <w:szCs w:val="18"/>
                <w:color w:val="auto"/>
              </w:rPr>
              <w:t xml:space="preserve">Americas - Debt borrowings </w:t>
            </w:r>
            <w:r>
              <w:rPr>
                <w:rFonts w:ascii="Arial" w:cs="Arial" w:eastAsia="Arial" w:hAnsi="Arial"/>
                <w:sz w:val="21"/>
                <w:szCs w:val="21"/>
                <w:color w:val="auto"/>
                <w:vertAlign w:val="superscript"/>
              </w:rPr>
              <w:t>(a)</w:t>
            </w:r>
          </w:p>
        </w:tc>
        <w:tc>
          <w:tcPr>
            <w:tcW w:w="32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924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70"/>
        </w:trPr>
        <w:tc>
          <w:tcPr>
            <w:tcW w:w="6860" w:type="dxa"/>
            <w:vAlign w:val="bottom"/>
          </w:tcPr>
          <w:p>
            <w:pPr>
              <w:ind w:left="20"/>
              <w:spacing w:after="0"/>
              <w:rPr>
                <w:sz w:val="20"/>
                <w:szCs w:val="20"/>
                <w:color w:val="auto"/>
              </w:rPr>
            </w:pPr>
            <w:r>
              <w:rPr>
                <w:rFonts w:ascii="Arial" w:cs="Arial" w:eastAsia="Arial" w:hAnsi="Arial"/>
                <w:sz w:val="18"/>
                <w:szCs w:val="18"/>
                <w:color w:val="auto"/>
              </w:rPr>
              <w:t xml:space="preserve">International - Debt borrowings </w:t>
            </w:r>
            <w:r>
              <w:rPr>
                <w:rFonts w:ascii="Arial" w:cs="Arial" w:eastAsia="Arial" w:hAnsi="Arial"/>
                <w:sz w:val="21"/>
                <w:szCs w:val="21"/>
                <w:color w:val="auto"/>
                <w:vertAlign w:val="superscript"/>
              </w:rPr>
              <w:t>(a)</w:t>
            </w:r>
          </w:p>
        </w:tc>
        <w:tc>
          <w:tcPr>
            <w:tcW w:w="32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2,410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1,449</w:t>
            </w:r>
          </w:p>
        </w:tc>
        <w:tc>
          <w:tcPr>
            <w:tcW w:w="0" w:type="dxa"/>
            <w:vAlign w:val="bottom"/>
          </w:tcPr>
          <w:p>
            <w:pPr>
              <w:spacing w:after="0"/>
              <w:rPr>
                <w:sz w:val="1"/>
                <w:szCs w:val="1"/>
                <w:color w:val="auto"/>
              </w:rPr>
            </w:pPr>
          </w:p>
        </w:tc>
      </w:tr>
      <w:tr>
        <w:trPr>
          <w:trHeight w:val="243"/>
        </w:trPr>
        <w:tc>
          <w:tcPr>
            <w:tcW w:w="6860" w:type="dxa"/>
            <w:vAlign w:val="bottom"/>
          </w:tcPr>
          <w:p>
            <w:pPr>
              <w:ind w:left="20"/>
              <w:spacing w:after="0"/>
              <w:rPr>
                <w:sz w:val="20"/>
                <w:szCs w:val="20"/>
                <w:color w:val="auto"/>
              </w:rPr>
            </w:pPr>
            <w:r>
              <w:rPr>
                <w:rFonts w:ascii="Arial" w:cs="Arial" w:eastAsia="Arial" w:hAnsi="Arial"/>
                <w:sz w:val="18"/>
                <w:szCs w:val="18"/>
                <w:color w:val="auto"/>
              </w:rPr>
              <w:t>International - Capital leases</w:t>
            </w:r>
          </w:p>
        </w:tc>
        <w:tc>
          <w:tcPr>
            <w:tcW w:w="3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0"/>
        </w:trPr>
        <w:tc>
          <w:tcPr>
            <w:tcW w:w="6860" w:type="dxa"/>
            <w:vAlign w:val="bottom"/>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80"/>
        </w:trPr>
        <w:tc>
          <w:tcPr>
            <w:tcW w:w="6860" w:type="dxa"/>
            <w:vAlign w:val="bottom"/>
          </w:tcPr>
          <w:p>
            <w:pPr>
              <w:ind w:left="20"/>
              <w:spacing w:after="0"/>
              <w:rPr>
                <w:sz w:val="20"/>
                <w:szCs w:val="20"/>
                <w:color w:val="auto"/>
              </w:rPr>
            </w:pPr>
            <w:r>
              <w:rPr>
                <w:rFonts w:ascii="Arial" w:cs="Arial" w:eastAsia="Arial" w:hAnsi="Arial"/>
                <w:sz w:val="18"/>
                <w:szCs w:val="18"/>
                <w:color w:val="auto"/>
              </w:rPr>
              <w:t xml:space="preserve">Deferred financing fees </w:t>
            </w:r>
            <w:r>
              <w:rPr>
                <w:rFonts w:ascii="Arial" w:cs="Arial" w:eastAsia="Arial" w:hAnsi="Arial"/>
                <w:sz w:val="21"/>
                <w:szCs w:val="21"/>
                <w:color w:val="auto"/>
                <w:vertAlign w:val="superscript"/>
              </w:rPr>
              <w:t>(b)</w:t>
            </w: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50"/>
        </w:trPr>
        <w:tc>
          <w:tcPr>
            <w:tcW w:w="686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11,362</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8,878</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820" w:hanging="326"/>
        <w:spacing w:after="0" w:line="193" w:lineRule="auto"/>
        <w:tabs>
          <w:tab w:leader="none" w:pos="820"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The increase reflects additional borrowings principally to fund increases in the Company’s car rental fleet.</w:t>
      </w:r>
    </w:p>
    <w:p>
      <w:pPr>
        <w:ind w:left="820" w:right="540" w:hanging="326"/>
        <w:spacing w:after="0" w:line="220" w:lineRule="auto"/>
        <w:tabs>
          <w:tab w:leader="none" w:pos="820"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Deferred financing fees related to Debt due to Avis Budget Rental Car Funding as of June 30, 2017 and December 31, 2016 were $35 million and $38 million, respectively.</w:t>
      </w:r>
    </w:p>
    <w:p>
      <w:pPr>
        <w:spacing w:after="0" w:line="175" w:lineRule="exact"/>
        <w:rPr>
          <w:sz w:val="20"/>
          <w:szCs w:val="20"/>
          <w:color w:val="auto"/>
        </w:rPr>
      </w:pPr>
    </w:p>
    <w:p>
      <w:pPr>
        <w:jc w:val="both"/>
        <w:ind w:left="500" w:right="40"/>
        <w:spacing w:after="0" w:line="271" w:lineRule="auto"/>
        <w:rPr>
          <w:sz w:val="20"/>
          <w:szCs w:val="20"/>
          <w:color w:val="auto"/>
        </w:rPr>
      </w:pPr>
      <w:r>
        <w:rPr>
          <w:rFonts w:ascii="Arial" w:cs="Arial" w:eastAsia="Arial" w:hAnsi="Arial"/>
          <w:sz w:val="18"/>
          <w:szCs w:val="18"/>
          <w:color w:val="auto"/>
        </w:rPr>
        <w:t>In March 2017, the Company’s Avis Budget Rental Car Funding subsidiary issued approximately $600 million in asset-backed notes with an expected final payment date of September 2022. The weighted average interest rate was 3%. The Company used the proceeds from these borrowings to fund the repayment of maturing vehicle-backed debt and the acquisition of rental cars in the United States.</w:t>
      </w:r>
    </w:p>
    <w:p>
      <w:pPr>
        <w:spacing w:after="0" w:line="163" w:lineRule="exact"/>
        <w:rPr>
          <w:sz w:val="20"/>
          <w:szCs w:val="20"/>
          <w:color w:val="auto"/>
        </w:rPr>
      </w:pPr>
    </w:p>
    <w:p>
      <w:pPr>
        <w:ind w:left="500" w:right="120"/>
        <w:spacing w:after="0" w:line="292" w:lineRule="auto"/>
        <w:rPr>
          <w:sz w:val="20"/>
          <w:szCs w:val="20"/>
          <w:color w:val="auto"/>
        </w:rPr>
      </w:pPr>
      <w:r>
        <w:rPr>
          <w:rFonts w:ascii="Arial" w:cs="Arial" w:eastAsia="Arial" w:hAnsi="Arial"/>
          <w:sz w:val="18"/>
          <w:szCs w:val="18"/>
          <w:color w:val="auto"/>
        </w:rPr>
        <w:t>In May 2017, the Company increased its capacity under the European rental fleet securitization program by €250 million. The Company used the proceeds to finance fleet purchases for certain of the Company’s European operations.</w:t>
      </w:r>
    </w:p>
    <w:p>
      <w:pPr>
        <w:spacing w:after="0" w:line="14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Debt Maturities</w:t>
      </w:r>
    </w:p>
    <w:p>
      <w:pPr>
        <w:spacing w:after="0" w:line="225" w:lineRule="exact"/>
        <w:rPr>
          <w:sz w:val="20"/>
          <w:szCs w:val="20"/>
          <w:color w:val="auto"/>
        </w:rPr>
      </w:pPr>
    </w:p>
    <w:p>
      <w:pPr>
        <w:ind w:left="500"/>
        <w:spacing w:after="0" w:line="292" w:lineRule="auto"/>
        <w:rPr>
          <w:sz w:val="20"/>
          <w:szCs w:val="20"/>
          <w:color w:val="auto"/>
        </w:rPr>
      </w:pPr>
      <w:r>
        <w:rPr>
          <w:rFonts w:ascii="Arial" w:cs="Arial" w:eastAsia="Arial" w:hAnsi="Arial"/>
          <w:sz w:val="18"/>
          <w:szCs w:val="18"/>
          <w:color w:val="auto"/>
        </w:rPr>
        <w:t>The following table provides the contractual maturities of the Company’s debt under vehicle programs, including related party debt due to Avis Budget Rental Car Funding, at June 30, 2017.</w:t>
      </w:r>
    </w:p>
    <w:p>
      <w:pPr>
        <w:spacing w:after="0" w:line="84"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8660" w:type="dxa"/>
            <w:vAlign w:val="bottom"/>
          </w:tcPr>
          <w:p>
            <w:pPr>
              <w:spacing w:after="0"/>
              <w:rPr>
                <w:sz w:val="18"/>
                <w:szCs w:val="18"/>
                <w:color w:val="auto"/>
              </w:rPr>
            </w:pPr>
          </w:p>
        </w:tc>
        <w:tc>
          <w:tcPr>
            <w:tcW w:w="166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Debt under Vehicle</w:t>
            </w:r>
          </w:p>
        </w:tc>
        <w:tc>
          <w:tcPr>
            <w:tcW w:w="0" w:type="dxa"/>
            <w:vAlign w:val="bottom"/>
          </w:tcPr>
          <w:p>
            <w:pPr>
              <w:spacing w:after="0"/>
              <w:rPr>
                <w:sz w:val="1"/>
                <w:szCs w:val="1"/>
                <w:color w:val="auto"/>
              </w:rPr>
            </w:pPr>
          </w:p>
        </w:tc>
      </w:tr>
      <w:tr>
        <w:trPr>
          <w:trHeight w:val="253"/>
        </w:trPr>
        <w:tc>
          <w:tcPr>
            <w:tcW w:w="86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Programs</w:t>
            </w:r>
          </w:p>
        </w:tc>
        <w:tc>
          <w:tcPr>
            <w:tcW w:w="0" w:type="dxa"/>
            <w:vAlign w:val="bottom"/>
          </w:tcPr>
          <w:p>
            <w:pPr>
              <w:spacing w:after="0"/>
              <w:rPr>
                <w:sz w:val="1"/>
                <w:szCs w:val="1"/>
                <w:color w:val="auto"/>
              </w:rPr>
            </w:pPr>
          </w:p>
        </w:tc>
      </w:tr>
      <w:tr>
        <w:trPr>
          <w:trHeight w:val="256"/>
        </w:trPr>
        <w:tc>
          <w:tcPr>
            <w:tcW w:w="8660" w:type="dxa"/>
            <w:vAlign w:val="bottom"/>
          </w:tcPr>
          <w:p>
            <w:pPr>
              <w:ind w:left="20"/>
              <w:spacing w:after="0"/>
              <w:rPr>
                <w:sz w:val="20"/>
                <w:szCs w:val="20"/>
                <w:color w:val="auto"/>
              </w:rPr>
            </w:pPr>
            <w:r>
              <w:rPr>
                <w:rFonts w:ascii="Arial" w:cs="Arial" w:eastAsia="Arial" w:hAnsi="Arial"/>
                <w:sz w:val="18"/>
                <w:szCs w:val="18"/>
                <w:color w:val="auto"/>
              </w:rPr>
              <w:t xml:space="preserve">Within 1 year </w:t>
            </w:r>
            <w:r>
              <w:rPr>
                <w:rFonts w:ascii="Arial" w:cs="Arial" w:eastAsia="Arial" w:hAnsi="Arial"/>
                <w:sz w:val="21"/>
                <w:szCs w:val="21"/>
                <w:color w:val="auto"/>
                <w:vertAlign w:val="superscript"/>
              </w:rPr>
              <w:t>(a)</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1,311</w:t>
            </w:r>
          </w:p>
        </w:tc>
        <w:tc>
          <w:tcPr>
            <w:tcW w:w="0" w:type="dxa"/>
            <w:vAlign w:val="bottom"/>
          </w:tcPr>
          <w:p>
            <w:pPr>
              <w:spacing w:after="0"/>
              <w:rPr>
                <w:sz w:val="1"/>
                <w:szCs w:val="1"/>
                <w:color w:val="auto"/>
              </w:rPr>
            </w:pPr>
          </w:p>
        </w:tc>
      </w:tr>
      <w:tr>
        <w:trPr>
          <w:trHeight w:val="243"/>
        </w:trPr>
        <w:tc>
          <w:tcPr>
            <w:tcW w:w="8660" w:type="dxa"/>
            <w:vAlign w:val="bottom"/>
          </w:tcPr>
          <w:p>
            <w:pPr>
              <w:ind w:left="20"/>
              <w:spacing w:after="0"/>
              <w:rPr>
                <w:sz w:val="20"/>
                <w:szCs w:val="20"/>
                <w:color w:val="auto"/>
              </w:rPr>
            </w:pPr>
            <w:r>
              <w:rPr>
                <w:rFonts w:ascii="Arial" w:cs="Arial" w:eastAsia="Arial" w:hAnsi="Arial"/>
                <w:sz w:val="18"/>
                <w:szCs w:val="18"/>
                <w:color w:val="auto"/>
              </w:rPr>
              <w:t>Between 1 and 2 years</w:t>
            </w: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5,655</w:t>
            </w:r>
          </w:p>
        </w:tc>
        <w:tc>
          <w:tcPr>
            <w:tcW w:w="0" w:type="dxa"/>
            <w:vAlign w:val="bottom"/>
          </w:tcPr>
          <w:p>
            <w:pPr>
              <w:spacing w:after="0"/>
              <w:rPr>
                <w:sz w:val="1"/>
                <w:szCs w:val="1"/>
                <w:color w:val="auto"/>
              </w:rPr>
            </w:pPr>
          </w:p>
        </w:tc>
      </w:tr>
      <w:tr>
        <w:trPr>
          <w:trHeight w:val="257"/>
        </w:trPr>
        <w:tc>
          <w:tcPr>
            <w:tcW w:w="8660" w:type="dxa"/>
            <w:vAlign w:val="bottom"/>
          </w:tcPr>
          <w:p>
            <w:pPr>
              <w:ind w:left="20"/>
              <w:spacing w:after="0"/>
              <w:rPr>
                <w:sz w:val="20"/>
                <w:szCs w:val="20"/>
                <w:color w:val="auto"/>
              </w:rPr>
            </w:pPr>
            <w:r>
              <w:rPr>
                <w:rFonts w:ascii="Arial" w:cs="Arial" w:eastAsia="Arial" w:hAnsi="Arial"/>
                <w:sz w:val="18"/>
                <w:szCs w:val="18"/>
                <w:color w:val="auto"/>
              </w:rPr>
              <w:t>Between 2 and 3 years</w:t>
            </w:r>
          </w:p>
        </w:tc>
        <w:tc>
          <w:tcPr>
            <w:tcW w:w="2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1,996</w:t>
            </w:r>
          </w:p>
        </w:tc>
        <w:tc>
          <w:tcPr>
            <w:tcW w:w="0" w:type="dxa"/>
            <w:vAlign w:val="bottom"/>
          </w:tcPr>
          <w:p>
            <w:pPr>
              <w:spacing w:after="0"/>
              <w:rPr>
                <w:sz w:val="1"/>
                <w:szCs w:val="1"/>
                <w:color w:val="auto"/>
              </w:rPr>
            </w:pPr>
          </w:p>
        </w:tc>
      </w:tr>
      <w:tr>
        <w:trPr>
          <w:trHeight w:val="257"/>
        </w:trPr>
        <w:tc>
          <w:tcPr>
            <w:tcW w:w="8660" w:type="dxa"/>
            <w:vAlign w:val="bottom"/>
          </w:tcPr>
          <w:p>
            <w:pPr>
              <w:ind w:left="20"/>
              <w:spacing w:after="0"/>
              <w:rPr>
                <w:sz w:val="20"/>
                <w:szCs w:val="20"/>
                <w:color w:val="auto"/>
              </w:rPr>
            </w:pPr>
            <w:r>
              <w:rPr>
                <w:rFonts w:ascii="Arial" w:cs="Arial" w:eastAsia="Arial" w:hAnsi="Arial"/>
                <w:sz w:val="18"/>
                <w:szCs w:val="18"/>
                <w:color w:val="auto"/>
              </w:rPr>
              <w:t>Between 3 and 4 years</w:t>
            </w:r>
          </w:p>
        </w:tc>
        <w:tc>
          <w:tcPr>
            <w:tcW w:w="2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1,310</w:t>
            </w:r>
          </w:p>
        </w:tc>
        <w:tc>
          <w:tcPr>
            <w:tcW w:w="0" w:type="dxa"/>
            <w:vAlign w:val="bottom"/>
          </w:tcPr>
          <w:p>
            <w:pPr>
              <w:spacing w:after="0"/>
              <w:rPr>
                <w:sz w:val="1"/>
                <w:szCs w:val="1"/>
                <w:color w:val="auto"/>
              </w:rPr>
            </w:pPr>
          </w:p>
        </w:tc>
      </w:tr>
      <w:tr>
        <w:trPr>
          <w:trHeight w:val="257"/>
        </w:trPr>
        <w:tc>
          <w:tcPr>
            <w:tcW w:w="8660" w:type="dxa"/>
            <w:vAlign w:val="bottom"/>
          </w:tcPr>
          <w:p>
            <w:pPr>
              <w:ind w:left="20"/>
              <w:spacing w:after="0"/>
              <w:rPr>
                <w:sz w:val="20"/>
                <w:szCs w:val="20"/>
                <w:color w:val="auto"/>
              </w:rPr>
            </w:pPr>
            <w:r>
              <w:rPr>
                <w:rFonts w:ascii="Arial" w:cs="Arial" w:eastAsia="Arial" w:hAnsi="Arial"/>
                <w:sz w:val="18"/>
                <w:szCs w:val="18"/>
                <w:color w:val="auto"/>
              </w:rPr>
              <w:t>Between 4 and 5 years</w:t>
            </w:r>
          </w:p>
        </w:tc>
        <w:tc>
          <w:tcPr>
            <w:tcW w:w="2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61"/>
        </w:trPr>
        <w:tc>
          <w:tcPr>
            <w:tcW w:w="86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55"/>
        </w:trPr>
        <w:tc>
          <w:tcPr>
            <w:tcW w:w="866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11,409</w:t>
            </w:r>
          </w:p>
        </w:tc>
        <w:tc>
          <w:tcPr>
            <w:tcW w:w="0" w:type="dxa"/>
            <w:vAlign w:val="bottom"/>
          </w:tcPr>
          <w:p>
            <w:pPr>
              <w:spacing w:after="0"/>
              <w:rPr>
                <w:sz w:val="1"/>
                <w:szCs w:val="1"/>
                <w:color w:val="auto"/>
              </w:rPr>
            </w:pPr>
          </w:p>
        </w:tc>
      </w:tr>
      <w:tr>
        <w:trPr>
          <w:trHeight w:val="20"/>
        </w:trPr>
        <w:tc>
          <w:tcPr>
            <w:tcW w:w="866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6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820" w:hanging="326"/>
        <w:spacing w:after="0" w:line="210" w:lineRule="auto"/>
        <w:tabs>
          <w:tab w:leader="none" w:pos="820"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Vehicle-backed debt maturing within one year primarily represents term asset-backed securities.</w:t>
      </w: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116" w:right="27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Committed Credit Facilities and Available Funding Arrangements</w:t>
      </w:r>
    </w:p>
    <w:p>
      <w:pPr>
        <w:spacing w:after="0" w:line="225" w:lineRule="exact"/>
        <w:rPr>
          <w:sz w:val="20"/>
          <w:szCs w:val="20"/>
          <w:color w:val="auto"/>
        </w:rPr>
      </w:pPr>
    </w:p>
    <w:p>
      <w:pPr>
        <w:ind w:left="500" w:right="280"/>
        <w:spacing w:after="0" w:line="292" w:lineRule="auto"/>
        <w:rPr>
          <w:sz w:val="20"/>
          <w:szCs w:val="20"/>
          <w:color w:val="auto"/>
        </w:rPr>
      </w:pPr>
      <w:r>
        <w:rPr>
          <w:rFonts w:ascii="Arial" w:cs="Arial" w:eastAsia="Arial" w:hAnsi="Arial"/>
          <w:sz w:val="18"/>
          <w:szCs w:val="18"/>
          <w:color w:val="auto"/>
        </w:rPr>
        <w:t>As of June 30, 2017, available funding under the Company’s vehicle programs, including related party debt due to Avis Budget Rental Car Funding, consisted of:</w:t>
      </w:r>
    </w:p>
    <w:p>
      <w:pPr>
        <w:spacing w:after="0" w:line="89" w:lineRule="exact"/>
        <w:rPr>
          <w:sz w:val="20"/>
          <w:szCs w:val="20"/>
          <w:color w:val="auto"/>
        </w:rPr>
      </w:pPr>
    </w:p>
    <w:p>
      <w:pPr>
        <w:ind w:left="6760"/>
        <w:spacing w:after="0"/>
        <w:tabs>
          <w:tab w:leader="none" w:pos="7980" w:val="left"/>
          <w:tab w:leader="none" w:pos="9680" w:val="left"/>
        </w:tabs>
        <w:rPr>
          <w:sz w:val="20"/>
          <w:szCs w:val="20"/>
          <w:color w:val="auto"/>
        </w:rPr>
      </w:pPr>
      <w:r>
        <w:rPr>
          <w:rFonts w:ascii="Arial" w:cs="Arial" w:eastAsia="Arial" w:hAnsi="Arial"/>
          <w:sz w:val="18"/>
          <w:szCs w:val="18"/>
          <w:b w:val="1"/>
          <w:bCs w:val="1"/>
          <w:color w:val="auto"/>
        </w:rPr>
        <w:t>Total</w:t>
      </w:r>
      <w:r>
        <w:rPr>
          <w:sz w:val="20"/>
          <w:szCs w:val="20"/>
          <w:color w:val="auto"/>
        </w:rPr>
        <w:tab/>
      </w:r>
      <w:r>
        <w:rPr>
          <w:rFonts w:ascii="Arial" w:cs="Arial" w:eastAsia="Arial" w:hAnsi="Arial"/>
          <w:sz w:val="18"/>
          <w:szCs w:val="18"/>
          <w:b w:val="1"/>
          <w:bCs w:val="1"/>
          <w:color w:val="auto"/>
        </w:rPr>
        <w:t>Outstanding</w:t>
      </w:r>
      <w:r>
        <w:rPr>
          <w:sz w:val="20"/>
          <w:szCs w:val="20"/>
          <w:color w:val="auto"/>
        </w:rPr>
        <w:tab/>
      </w:r>
      <w:r>
        <w:rPr>
          <w:rFonts w:ascii="Arial" w:cs="Arial" w:eastAsia="Arial" w:hAnsi="Arial"/>
          <w:sz w:val="17"/>
          <w:szCs w:val="17"/>
          <w:b w:val="1"/>
          <w:bCs w:val="1"/>
          <w:color w:val="auto"/>
        </w:rPr>
        <w:t>Available</w:t>
      </w:r>
    </w:p>
    <w:p>
      <w:pPr>
        <w:spacing w:after="0" w:line="17" w:lineRule="exact"/>
        <w:rPr>
          <w:sz w:val="20"/>
          <w:szCs w:val="20"/>
          <w:color w:val="auto"/>
        </w:rPr>
      </w:pPr>
    </w:p>
    <w:p>
      <w:pPr>
        <w:ind w:left="6500"/>
        <w:spacing w:after="0"/>
        <w:tabs>
          <w:tab w:leader="none" w:pos="8020" w:val="left"/>
          <w:tab w:leader="none" w:pos="9700" w:val="left"/>
        </w:tabs>
        <w:rPr>
          <w:sz w:val="20"/>
          <w:szCs w:val="20"/>
          <w:color w:val="auto"/>
        </w:rPr>
      </w:pPr>
      <w:r>
        <w:rPr>
          <w:rFonts w:ascii="Arial" w:cs="Arial" w:eastAsia="Arial" w:hAnsi="Arial"/>
          <w:sz w:val="18"/>
          <w:szCs w:val="18"/>
          <w:b w:val="1"/>
          <w:bCs w:val="1"/>
          <w:color w:val="auto"/>
        </w:rPr>
        <w:t xml:space="preserve">Capacity </w:t>
      </w:r>
      <w:r>
        <w:rPr>
          <w:rFonts w:ascii="Arial" w:cs="Arial" w:eastAsia="Arial" w:hAnsi="Arial"/>
          <w:sz w:val="21"/>
          <w:szCs w:val="21"/>
          <w:b w:val="1"/>
          <w:bCs w:val="1"/>
          <w:color w:val="auto"/>
          <w:vertAlign w:val="superscript"/>
        </w:rPr>
        <w:t>(a)</w:t>
      </w:r>
      <w:r>
        <w:rPr>
          <w:sz w:val="20"/>
          <w:szCs w:val="20"/>
          <w:color w:val="auto"/>
        </w:rPr>
        <w:tab/>
      </w:r>
      <w:r>
        <w:rPr>
          <w:rFonts w:ascii="Arial" w:cs="Arial" w:eastAsia="Arial" w:hAnsi="Arial"/>
          <w:sz w:val="18"/>
          <w:szCs w:val="18"/>
          <w:b w:val="1"/>
          <w:bCs w:val="1"/>
          <w:color w:val="auto"/>
        </w:rPr>
        <w:t>Borrowings</w:t>
      </w:r>
      <w:r>
        <w:rPr>
          <w:sz w:val="20"/>
          <w:szCs w:val="20"/>
          <w:color w:val="auto"/>
        </w:rPr>
        <w:tab/>
      </w:r>
      <w:r>
        <w:rPr>
          <w:rFonts w:ascii="Arial" w:cs="Arial" w:eastAsia="Arial" w:hAnsi="Arial"/>
          <w:sz w:val="18"/>
          <w:szCs w:val="18"/>
          <w:b w:val="1"/>
          <w:bCs w:val="1"/>
          <w:color w:val="auto"/>
        </w:rPr>
        <w:t>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-5080</wp:posOffset>
            </wp:positionV>
            <wp:extent cx="29159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ectPr>
          <w:pgSz w:w="11900" w:h="16838" w:orient="portrait"/>
          <w:cols w:equalWidth="0" w:num="1">
            <w:col w:w="11400"/>
          </w:cols>
          <w:pgMar w:left="240" w:top="116" w:right="259" w:bottom="1440" w:gutter="0" w:footer="0" w:header="0"/>
        </w:sectPr>
      </w:pPr>
    </w:p>
    <w:p>
      <w:pPr>
        <w:spacing w:after="0" w:line="29" w:lineRule="exact"/>
        <w:rPr>
          <w:sz w:val="20"/>
          <w:szCs w:val="20"/>
          <w:color w:val="auto"/>
        </w:rPr>
      </w:pPr>
    </w:p>
    <w:tbl>
      <w:tblPr>
        <w:tblLayout w:type="fixed"/>
        <w:tblInd w:w="500" w:type="dxa"/>
        <w:tblCellMar>
          <w:top w:w="0" w:type="dxa"/>
          <w:left w:w="0" w:type="dxa"/>
          <w:bottom w:w="0" w:type="dxa"/>
          <w:right w:w="0" w:type="dxa"/>
        </w:tblCellMar>
      </w:tblPr>
      <w:tr>
        <w:trPr>
          <w:trHeight w:val="250"/>
        </w:trPr>
        <w:tc>
          <w:tcPr>
            <w:tcW w:w="5740" w:type="dxa"/>
            <w:vAlign w:val="bottom"/>
          </w:tcPr>
          <w:p>
            <w:pPr>
              <w:ind w:left="20"/>
              <w:spacing w:after="0"/>
              <w:rPr>
                <w:sz w:val="20"/>
                <w:szCs w:val="20"/>
                <w:color w:val="auto"/>
              </w:rPr>
            </w:pPr>
            <w:r>
              <w:rPr>
                <w:rFonts w:ascii="Arial" w:cs="Arial" w:eastAsia="Arial" w:hAnsi="Arial"/>
                <w:sz w:val="18"/>
                <w:szCs w:val="18"/>
                <w:color w:val="auto"/>
              </w:rPr>
              <w:t xml:space="preserve">Americas - Debt due to Avis Budget Rental Car Funding </w:t>
            </w:r>
            <w:r>
              <w:rPr>
                <w:rFonts w:ascii="Arial" w:cs="Arial" w:eastAsia="Arial" w:hAnsi="Arial"/>
                <w:sz w:val="21"/>
                <w:szCs w:val="21"/>
                <w:color w:val="auto"/>
                <w:vertAlign w:val="superscript"/>
              </w:rPr>
              <w:t>(b)</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9,057</w:t>
            </w:r>
          </w:p>
        </w:tc>
        <w:tc>
          <w:tcPr>
            <w:tcW w:w="0" w:type="dxa"/>
            <w:vAlign w:val="bottom"/>
          </w:tcPr>
          <w:p>
            <w:pPr>
              <w:spacing w:after="0"/>
              <w:rPr>
                <w:sz w:val="1"/>
                <w:szCs w:val="1"/>
                <w:color w:val="auto"/>
              </w:rPr>
            </w:pPr>
          </w:p>
        </w:tc>
      </w:tr>
      <w:tr>
        <w:trPr>
          <w:trHeight w:val="270"/>
        </w:trPr>
        <w:tc>
          <w:tcPr>
            <w:tcW w:w="5740" w:type="dxa"/>
            <w:vAlign w:val="bottom"/>
          </w:tcPr>
          <w:p>
            <w:pPr>
              <w:ind w:left="20"/>
              <w:spacing w:after="0"/>
              <w:rPr>
                <w:sz w:val="20"/>
                <w:szCs w:val="20"/>
                <w:color w:val="auto"/>
              </w:rPr>
            </w:pPr>
            <w:r>
              <w:rPr>
                <w:rFonts w:ascii="Arial" w:cs="Arial" w:eastAsia="Arial" w:hAnsi="Arial"/>
                <w:sz w:val="18"/>
                <w:szCs w:val="18"/>
                <w:color w:val="auto"/>
              </w:rPr>
              <w:t xml:space="preserve">Americas - Debt borrowings </w:t>
            </w:r>
            <w:r>
              <w:rPr>
                <w:rFonts w:ascii="Arial" w:cs="Arial" w:eastAsia="Arial" w:hAnsi="Arial"/>
                <w:sz w:val="21"/>
                <w:szCs w:val="21"/>
                <w:color w:val="auto"/>
                <w:vertAlign w:val="superscript"/>
              </w:rPr>
              <w:t>(c)</w:t>
            </w:r>
          </w:p>
        </w:tc>
        <w:tc>
          <w:tcPr>
            <w:tcW w:w="46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70"/>
        </w:trPr>
        <w:tc>
          <w:tcPr>
            <w:tcW w:w="5740" w:type="dxa"/>
            <w:vAlign w:val="bottom"/>
          </w:tcPr>
          <w:p>
            <w:pPr>
              <w:ind w:left="20"/>
              <w:spacing w:after="0"/>
              <w:rPr>
                <w:sz w:val="20"/>
                <w:szCs w:val="20"/>
                <w:color w:val="auto"/>
              </w:rPr>
            </w:pPr>
            <w:r>
              <w:rPr>
                <w:rFonts w:ascii="Arial" w:cs="Arial" w:eastAsia="Arial" w:hAnsi="Arial"/>
                <w:sz w:val="18"/>
                <w:szCs w:val="18"/>
                <w:color w:val="auto"/>
              </w:rPr>
              <w:t xml:space="preserve">International - Debt borrowings </w:t>
            </w:r>
            <w:r>
              <w:rPr>
                <w:rFonts w:ascii="Arial" w:cs="Arial" w:eastAsia="Arial" w:hAnsi="Arial"/>
                <w:sz w:val="21"/>
                <w:szCs w:val="21"/>
                <w:color w:val="auto"/>
                <w:vertAlign w:val="superscript"/>
              </w:rPr>
              <w:t>(d)</w:t>
            </w:r>
          </w:p>
        </w:tc>
        <w:tc>
          <w:tcPr>
            <w:tcW w:w="46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2,806</w:t>
            </w:r>
          </w:p>
        </w:tc>
        <w:tc>
          <w:tcPr>
            <w:tcW w:w="0" w:type="dxa"/>
            <w:vAlign w:val="bottom"/>
          </w:tcPr>
          <w:p>
            <w:pPr>
              <w:spacing w:after="0"/>
              <w:rPr>
                <w:sz w:val="1"/>
                <w:szCs w:val="1"/>
                <w:color w:val="auto"/>
              </w:rPr>
            </w:pPr>
          </w:p>
        </w:tc>
      </w:tr>
      <w:tr>
        <w:trPr>
          <w:trHeight w:val="270"/>
        </w:trPr>
        <w:tc>
          <w:tcPr>
            <w:tcW w:w="5740" w:type="dxa"/>
            <w:vAlign w:val="bottom"/>
          </w:tcPr>
          <w:p>
            <w:pPr>
              <w:ind w:left="20"/>
              <w:spacing w:after="0"/>
              <w:rPr>
                <w:sz w:val="20"/>
                <w:szCs w:val="20"/>
                <w:color w:val="auto"/>
              </w:rPr>
            </w:pPr>
            <w:r>
              <w:rPr>
                <w:rFonts w:ascii="Arial" w:cs="Arial" w:eastAsia="Arial" w:hAnsi="Arial"/>
                <w:sz w:val="18"/>
                <w:szCs w:val="18"/>
                <w:color w:val="auto"/>
              </w:rPr>
              <w:t xml:space="preserve">International - Capital leases </w:t>
            </w:r>
            <w:r>
              <w:rPr>
                <w:rFonts w:ascii="Arial" w:cs="Arial" w:eastAsia="Arial" w:hAnsi="Arial"/>
                <w:sz w:val="21"/>
                <w:szCs w:val="21"/>
                <w:color w:val="auto"/>
                <w:vertAlign w:val="superscript"/>
              </w:rPr>
              <w:t>(e)</w:t>
            </w:r>
          </w:p>
        </w:tc>
        <w:tc>
          <w:tcPr>
            <w:tcW w:w="46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48"/>
        </w:trPr>
        <w:tc>
          <w:tcPr>
            <w:tcW w:w="5740" w:type="dxa"/>
            <w:vAlign w:val="bottom"/>
          </w:tcPr>
          <w:p>
            <w:pPr>
              <w:ind w:left="20"/>
              <w:spacing w:after="0"/>
              <w:rPr>
                <w:sz w:val="20"/>
                <w:szCs w:val="20"/>
                <w:color w:val="auto"/>
              </w:rPr>
            </w:pPr>
            <w:r>
              <w:rPr>
                <w:rFonts w:ascii="Arial" w:cs="Arial" w:eastAsia="Arial" w:hAnsi="Arial"/>
                <w:sz w:val="18"/>
                <w:szCs w:val="18"/>
                <w:color w:val="auto"/>
              </w:rPr>
              <w:t>Other</w:t>
            </w:r>
          </w:p>
        </w:tc>
        <w:tc>
          <w:tcPr>
            <w:tcW w:w="4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5"/>
        </w:trPr>
        <w:tc>
          <w:tcPr>
            <w:tcW w:w="5740" w:type="dxa"/>
            <w:vAlign w:val="bottom"/>
          </w:tcPr>
          <w:p>
            <w:pPr>
              <w:ind w:left="2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13,000</w:t>
            </w: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74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820" w:hanging="326"/>
        <w:spacing w:after="0" w:line="193" w:lineRule="auto"/>
        <w:tabs>
          <w:tab w:leader="none" w:pos="820" w:val="left"/>
        </w:tabs>
        <w:numPr>
          <w:ilvl w:val="0"/>
          <w:numId w:val="19"/>
        </w:numPr>
        <w:rPr>
          <w:rFonts w:ascii="Arial" w:cs="Arial" w:eastAsia="Arial" w:hAnsi="Arial"/>
          <w:sz w:val="18"/>
          <w:szCs w:val="18"/>
          <w:color w:val="auto"/>
          <w:vertAlign w:val="superscript"/>
        </w:rPr>
      </w:pPr>
      <w:r>
        <w:rPr>
          <w:rFonts w:ascii="Arial" w:cs="Arial" w:eastAsia="Arial" w:hAnsi="Arial"/>
          <w:sz w:val="14"/>
          <w:szCs w:val="14"/>
          <w:color w:val="auto"/>
        </w:rPr>
        <w:t>Capacity is subject to maintaining sufficient assets to collateralize debt.</w:t>
      </w:r>
    </w:p>
    <w:p>
      <w:pPr>
        <w:ind w:left="820" w:hanging="326"/>
        <w:spacing w:after="0" w:line="187" w:lineRule="auto"/>
        <w:tabs>
          <w:tab w:leader="none" w:pos="820" w:val="left"/>
        </w:tabs>
        <w:numPr>
          <w:ilvl w:val="0"/>
          <w:numId w:val="19"/>
        </w:numPr>
        <w:rPr>
          <w:rFonts w:ascii="Arial" w:cs="Arial" w:eastAsia="Arial" w:hAnsi="Arial"/>
          <w:sz w:val="18"/>
          <w:szCs w:val="18"/>
          <w:color w:val="auto"/>
          <w:vertAlign w:val="superscript"/>
        </w:rPr>
      </w:pPr>
      <w:r>
        <w:rPr>
          <w:rFonts w:ascii="Arial" w:cs="Arial" w:eastAsia="Arial" w:hAnsi="Arial"/>
          <w:sz w:val="14"/>
          <w:szCs w:val="14"/>
          <w:color w:val="auto"/>
        </w:rPr>
        <w:t>The outstanding debt is collateralized by approximately $9.4 billion of underlying vehicles and related assets.</w:t>
      </w:r>
    </w:p>
    <w:p>
      <w:pPr>
        <w:ind w:left="820" w:hanging="326"/>
        <w:spacing w:after="0" w:line="187" w:lineRule="auto"/>
        <w:tabs>
          <w:tab w:leader="none" w:pos="820" w:val="left"/>
        </w:tabs>
        <w:numPr>
          <w:ilvl w:val="0"/>
          <w:numId w:val="19"/>
        </w:numPr>
        <w:rPr>
          <w:rFonts w:ascii="Arial" w:cs="Arial" w:eastAsia="Arial" w:hAnsi="Arial"/>
          <w:sz w:val="18"/>
          <w:szCs w:val="18"/>
          <w:color w:val="auto"/>
          <w:vertAlign w:val="superscript"/>
        </w:rPr>
      </w:pPr>
      <w:r>
        <w:rPr>
          <w:rFonts w:ascii="Arial" w:cs="Arial" w:eastAsia="Arial" w:hAnsi="Arial"/>
          <w:sz w:val="14"/>
          <w:szCs w:val="14"/>
          <w:color w:val="auto"/>
        </w:rPr>
        <w:t>The outstanding debt is collateralized by approximately $1.2 billion of underlying vehicles and related assets.</w:t>
      </w:r>
    </w:p>
    <w:p>
      <w:pPr>
        <w:ind w:left="820" w:hanging="326"/>
        <w:spacing w:after="0" w:line="187" w:lineRule="auto"/>
        <w:tabs>
          <w:tab w:leader="none" w:pos="820" w:val="left"/>
        </w:tabs>
        <w:numPr>
          <w:ilvl w:val="0"/>
          <w:numId w:val="19"/>
        </w:numPr>
        <w:rPr>
          <w:rFonts w:ascii="Arial" w:cs="Arial" w:eastAsia="Arial" w:hAnsi="Arial"/>
          <w:sz w:val="18"/>
          <w:szCs w:val="18"/>
          <w:color w:val="auto"/>
          <w:vertAlign w:val="superscript"/>
        </w:rPr>
      </w:pPr>
      <w:r>
        <w:rPr>
          <w:rFonts w:ascii="Arial" w:cs="Arial" w:eastAsia="Arial" w:hAnsi="Arial"/>
          <w:sz w:val="14"/>
          <w:szCs w:val="14"/>
          <w:color w:val="auto"/>
        </w:rPr>
        <w:t>The outstanding debt is collateralized by approximately $2.7 billion of underlying vehicles and related assets.</w:t>
      </w:r>
    </w:p>
    <w:p>
      <w:pPr>
        <w:ind w:left="820" w:hanging="326"/>
        <w:spacing w:after="0" w:line="204" w:lineRule="auto"/>
        <w:tabs>
          <w:tab w:leader="none" w:pos="820" w:val="left"/>
        </w:tabs>
        <w:numPr>
          <w:ilvl w:val="0"/>
          <w:numId w:val="19"/>
        </w:numPr>
        <w:rPr>
          <w:rFonts w:ascii="Arial" w:cs="Arial" w:eastAsia="Arial" w:hAnsi="Arial"/>
          <w:sz w:val="18"/>
          <w:szCs w:val="18"/>
          <w:color w:val="auto"/>
          <w:vertAlign w:val="superscript"/>
        </w:rPr>
      </w:pPr>
      <w:r>
        <w:rPr>
          <w:rFonts w:ascii="Arial" w:cs="Arial" w:eastAsia="Arial" w:hAnsi="Arial"/>
          <w:sz w:val="14"/>
          <w:szCs w:val="14"/>
          <w:color w:val="auto"/>
        </w:rPr>
        <w:t>The outstanding debt is collateralized by approximately $0.2 billion of underlying vehicles and related assets.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tabs>
          <w:tab w:leader="none" w:pos="880" w:val="left"/>
          <w:tab w:leader="none" w:pos="1560" w:val="left"/>
          <w:tab w:leader="none" w:pos="2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7,912</w:t>
        <w:tab/>
        <w:t>$</w:t>
      </w:r>
      <w:r>
        <w:rPr>
          <w:sz w:val="20"/>
          <w:szCs w:val="20"/>
          <w:color w:val="auto"/>
        </w:rPr>
        <w:tab/>
      </w:r>
      <w:r>
        <w:rPr>
          <w:rFonts w:ascii="Arial" w:cs="Arial" w:eastAsia="Arial" w:hAnsi="Arial"/>
          <w:sz w:val="18"/>
          <w:szCs w:val="18"/>
          <w:color w:val="auto"/>
        </w:rPr>
        <w:t>1,145</w:t>
      </w:r>
    </w:p>
    <w:p>
      <w:pPr>
        <w:spacing w:after="0" w:line="44" w:lineRule="exact"/>
        <w:rPr>
          <w:sz w:val="20"/>
          <w:szCs w:val="20"/>
          <w:color w:val="auto"/>
        </w:rPr>
      </w:pPr>
    </w:p>
    <w:p>
      <w:pPr>
        <w:jc w:val="both"/>
        <w:ind w:left="1040"/>
        <w:spacing w:after="0"/>
        <w:tabs>
          <w:tab w:leader="none" w:pos="2700" w:val="left"/>
        </w:tabs>
        <w:rPr>
          <w:sz w:val="20"/>
          <w:szCs w:val="20"/>
          <w:color w:val="auto"/>
        </w:rPr>
      </w:pPr>
      <w:r>
        <w:rPr>
          <w:rFonts w:ascii="Arial" w:cs="Arial" w:eastAsia="Arial" w:hAnsi="Arial"/>
          <w:sz w:val="18"/>
          <w:szCs w:val="18"/>
          <w:color w:val="auto"/>
        </w:rPr>
        <w:t>924</w:t>
      </w:r>
      <w:r>
        <w:rPr>
          <w:sz w:val="20"/>
          <w:szCs w:val="20"/>
          <w:color w:val="auto"/>
        </w:rPr>
        <w:tab/>
      </w:r>
      <w:r>
        <w:rPr>
          <w:rFonts w:ascii="Arial" w:cs="Arial" w:eastAsia="Arial" w:hAnsi="Arial"/>
          <w:sz w:val="18"/>
          <w:szCs w:val="18"/>
          <w:color w:val="auto"/>
        </w:rPr>
        <w:t>23</w:t>
      </w:r>
    </w:p>
    <w:p>
      <w:pPr>
        <w:spacing w:after="0" w:line="63" w:lineRule="exact"/>
        <w:rPr>
          <w:sz w:val="20"/>
          <w:szCs w:val="20"/>
          <w:color w:val="auto"/>
        </w:rPr>
      </w:pPr>
    </w:p>
    <w:p>
      <w:pPr>
        <w:ind w:left="900"/>
        <w:spacing w:after="0"/>
        <w:tabs>
          <w:tab w:leader="none" w:pos="2600" w:val="left"/>
        </w:tabs>
        <w:rPr>
          <w:sz w:val="20"/>
          <w:szCs w:val="20"/>
          <w:color w:val="auto"/>
        </w:rPr>
      </w:pPr>
      <w:r>
        <w:rPr>
          <w:rFonts w:ascii="Arial" w:cs="Arial" w:eastAsia="Arial" w:hAnsi="Arial"/>
          <w:sz w:val="17"/>
          <w:szCs w:val="17"/>
          <w:color w:val="auto"/>
        </w:rPr>
        <w:t>2,410</w:t>
      </w:r>
      <w:r>
        <w:rPr>
          <w:sz w:val="20"/>
          <w:szCs w:val="20"/>
          <w:color w:val="auto"/>
        </w:rPr>
        <w:tab/>
      </w:r>
      <w:r>
        <w:rPr>
          <w:rFonts w:ascii="Arial" w:cs="Arial" w:eastAsia="Arial" w:hAnsi="Arial"/>
          <w:sz w:val="17"/>
          <w:szCs w:val="17"/>
          <w:color w:val="auto"/>
        </w:rPr>
        <w:t>396</w:t>
      </w:r>
    </w:p>
    <w:p>
      <w:pPr>
        <w:spacing w:after="0" w:line="75" w:lineRule="exact"/>
        <w:rPr>
          <w:sz w:val="20"/>
          <w:szCs w:val="20"/>
          <w:color w:val="auto"/>
        </w:rPr>
      </w:pPr>
    </w:p>
    <w:p>
      <w:pPr>
        <w:jc w:val="both"/>
        <w:ind w:left="1040"/>
        <w:spacing w:after="0"/>
        <w:tabs>
          <w:tab w:leader="none" w:pos="270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8"/>
          <w:szCs w:val="18"/>
          <w:color w:val="auto"/>
        </w:rPr>
        <w:t>27</w:t>
      </w:r>
    </w:p>
    <w:p>
      <w:pPr>
        <w:spacing w:after="0" w:line="63" w:lineRule="exact"/>
        <w:rPr>
          <w:sz w:val="20"/>
          <w:szCs w:val="20"/>
          <w:color w:val="auto"/>
        </w:rPr>
      </w:pPr>
    </w:p>
    <w:p>
      <w:pPr>
        <w:ind w:left="2740" w:hanging="1495"/>
        <w:spacing w:after="0"/>
        <w:tabs>
          <w:tab w:leader="none" w:pos="2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28575</wp:posOffset>
            </wp:positionV>
            <wp:extent cx="19208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43" w:lineRule="exact"/>
        <w:rPr>
          <w:sz w:val="20"/>
          <w:szCs w:val="20"/>
          <w:color w:val="auto"/>
        </w:rPr>
      </w:pPr>
    </w:p>
    <w:p>
      <w:pPr>
        <w:spacing w:after="0"/>
        <w:tabs>
          <w:tab w:leader="none" w:pos="780" w:val="left"/>
          <w:tab w:leader="none" w:pos="1560" w:val="left"/>
          <w:tab w:leader="none" w:pos="2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11,409</w:t>
        <w:tab/>
        <w:t>$</w:t>
      </w:r>
      <w:r>
        <w:rPr>
          <w:sz w:val="20"/>
          <w:szCs w:val="20"/>
          <w:color w:val="auto"/>
        </w:rPr>
        <w:tab/>
      </w:r>
      <w:r>
        <w:rPr>
          <w:rFonts w:ascii="Arial" w:cs="Arial" w:eastAsia="Arial" w:hAnsi="Arial"/>
          <w:sz w:val="18"/>
          <w:szCs w:val="18"/>
          <w:color w:val="auto"/>
        </w:rPr>
        <w:t>1,591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28575</wp:posOffset>
            </wp:positionV>
            <wp:extent cx="192087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20875" cy="26035"/>
                    </a:xfrm>
                    <a:prstGeom prst="rect">
                      <a:avLst/>
                    </a:prstGeom>
                    <a:noFill/>
                  </pic:spPr>
                </pic:pic>
              </a:graphicData>
            </a:graphic>
          </wp:anchor>
        </w:drawing>
      </w:r>
    </w:p>
    <w:p>
      <w:pPr>
        <w:spacing w:after="0" w:line="1279" w:lineRule="exact"/>
        <w:rPr>
          <w:sz w:val="20"/>
          <w:szCs w:val="20"/>
          <w:color w:val="auto"/>
        </w:rPr>
      </w:pPr>
    </w:p>
    <w:p>
      <w:pPr>
        <w:sectPr>
          <w:pgSz w:w="11900" w:h="16838" w:orient="portrait"/>
          <w:cols w:equalWidth="0" w:num="2">
            <w:col w:w="7740" w:space="80"/>
            <w:col w:w="3580"/>
          </w:cols>
          <w:pgMar w:left="240" w:top="116" w:right="259" w:bottom="1440" w:gutter="0" w:footer="0" w:header="0"/>
          <w:type w:val="continuous"/>
        </w:sectPr>
      </w:pPr>
    </w:p>
    <w:p>
      <w:pPr>
        <w:ind w:left="500"/>
        <w:spacing w:after="0"/>
        <w:rPr>
          <w:sz w:val="20"/>
          <w:szCs w:val="20"/>
          <w:color w:val="auto"/>
        </w:rPr>
      </w:pPr>
      <w:r>
        <w:rPr>
          <w:rFonts w:ascii="Arial" w:cs="Arial" w:eastAsia="Arial" w:hAnsi="Arial"/>
          <w:sz w:val="18"/>
          <w:szCs w:val="18"/>
          <w:b w:val="1"/>
          <w:bCs w:val="1"/>
          <w:i w:val="1"/>
          <w:iCs w:val="1"/>
          <w:color w:val="auto"/>
        </w:rPr>
        <w:t>Debt Covenants</w:t>
      </w:r>
    </w:p>
    <w:p>
      <w:pPr>
        <w:spacing w:after="0" w:line="225" w:lineRule="exact"/>
        <w:rPr>
          <w:sz w:val="20"/>
          <w:szCs w:val="20"/>
          <w:color w:val="auto"/>
        </w:rPr>
      </w:pPr>
    </w:p>
    <w:p>
      <w:pPr>
        <w:ind w:left="500" w:right="20"/>
        <w:spacing w:after="0" w:line="260" w:lineRule="auto"/>
        <w:rPr>
          <w:sz w:val="20"/>
          <w:szCs w:val="20"/>
          <w:color w:val="auto"/>
        </w:rPr>
      </w:pPr>
      <w:r>
        <w:rPr>
          <w:rFonts w:ascii="Arial" w:cs="Arial" w:eastAsia="Arial" w:hAnsi="Arial"/>
          <w:sz w:val="18"/>
          <w:szCs w:val="18"/>
          <w:color w:val="auto"/>
        </w:rPr>
        <w:t>The agreements under the Company’s vehicle-backed funding programs contain restrictive covenants, including restrictions on dividends paid to the Company by certain of its subsidiaries and restrictions on indebtedness, mergers, liens, liquidations, and sale and leaseback transactions and in some cases also require compliance with certain financial requirements. As of June 30, 2017, the Company is not aware of any instances of non-compliance with any of the financial covenants contained in the debt agreements under its vehicle-backed funding programs.</w:t>
      </w:r>
    </w:p>
    <w:p>
      <w:pPr>
        <w:spacing w:after="0" w:line="173" w:lineRule="exact"/>
        <w:rPr>
          <w:sz w:val="20"/>
          <w:szCs w:val="20"/>
          <w:color w:val="auto"/>
        </w:rPr>
      </w:pPr>
    </w:p>
    <w:p>
      <w:pPr>
        <w:ind w:left="500" w:right="8040" w:hanging="492"/>
        <w:spacing w:after="0" w:line="502" w:lineRule="auto"/>
        <w:tabs>
          <w:tab w:leader="none" w:pos="5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Contingencies</w:t>
      </w:r>
    </w:p>
    <w:p>
      <w:pPr>
        <w:ind w:left="500" w:right="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In 2006, the Company completed the spin-offs of its Realogy and Wyndham subsidiaries. The Company does not believe that the impact of any resolution of pre-existing contingent liabilities in connection with the spin-offs should result in a material liability to the Company in relation to its consolidated financial position or liquidity, as Realogy and Wyndham each have agreed to assume responsibility for these liabilities. The Company is also named in litigation that is primarily related to the businesses of its former subsidiaries, including Realogy and Wyndham. The Company is entitled to indemnification from such entities for any liability resulting from such litigation.</w:t>
      </w:r>
    </w:p>
    <w:p>
      <w:pPr>
        <w:spacing w:after="0" w:line="160" w:lineRule="exact"/>
        <w:rPr>
          <w:rFonts w:ascii="Arial" w:cs="Arial" w:eastAsia="Arial" w:hAnsi="Arial"/>
          <w:sz w:val="18"/>
          <w:szCs w:val="18"/>
          <w:b w:val="1"/>
          <w:bCs w:val="1"/>
          <w:color w:val="auto"/>
        </w:rPr>
      </w:pPr>
    </w:p>
    <w:p>
      <w:pPr>
        <w:ind w:left="500"/>
        <w:spacing w:after="0" w:line="258" w:lineRule="auto"/>
        <w:rPr>
          <w:rFonts w:ascii="Arial" w:cs="Arial" w:eastAsia="Arial" w:hAnsi="Arial"/>
          <w:sz w:val="18"/>
          <w:szCs w:val="18"/>
          <w:b w:val="1"/>
          <w:bCs w:val="1"/>
          <w:color w:val="auto"/>
        </w:rPr>
      </w:pPr>
      <w:r>
        <w:rPr>
          <w:rFonts w:ascii="Arial" w:cs="Arial" w:eastAsia="Arial" w:hAnsi="Arial"/>
          <w:sz w:val="18"/>
          <w:szCs w:val="18"/>
          <w:color w:val="auto"/>
        </w:rPr>
        <w:t>In February 2015, the French Competition Authority issued a statement of objections alleging that several car rental companies, including the Company and two of its European subsidiaries, engaged with (i) twelve French airports, the majority of which are controlled by public administrative bodies or the French state, and violated competition law through the distribution by airports of company-specific statistics to car rental companies operating at those airports and (ii) two other international car rental companies in a concerted practice relating to train station surcharges. In February 2017, the Company was notified that the French Competition Authority dismissed the charges and cleared the Company and its subsidiaries of any wrongdoing.</w:t>
      </w:r>
    </w:p>
    <w:p>
      <w:pPr>
        <w:spacing w:after="0" w:line="177" w:lineRule="exact"/>
        <w:rPr>
          <w:rFonts w:ascii="Arial" w:cs="Arial" w:eastAsia="Arial" w:hAnsi="Arial"/>
          <w:sz w:val="18"/>
          <w:szCs w:val="18"/>
          <w:b w:val="1"/>
          <w:bCs w:val="1"/>
          <w:color w:val="auto"/>
        </w:rPr>
      </w:pPr>
    </w:p>
    <w:p>
      <w:pPr>
        <w:ind w:left="500" w:right="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In February 2017, following a state court trial in Georgia, a jury found the Company liable for damages in a case brought by a plaintiff who was injured in a vehicle accident allegedly caused by an employee of an independent contractor of the Company who was acting outside of the scope of employment. In March 2017, the Company was also found liable for damages in a companion case arising from the same incident. The Company considers the attribution of liability to the Company, and the amount of damages awarded, to be unsupported by the facts of these cases and intends to appeal the verdicts. At December 31, 2016, the Company had recognized a $26 million liability for the expected loss related to these cases. During the three months ended March 31, 2017, the Company increased this liability by $13 million and during the three months ended June 30, 2017, recognized recoverable insurance proceeds of $27 million.</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16" w:right="25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ind w:left="500" w:right="280"/>
        <w:spacing w:after="0" w:line="292" w:lineRule="auto"/>
        <w:rPr>
          <w:sz w:val="20"/>
          <w:szCs w:val="20"/>
          <w:color w:val="auto"/>
        </w:rPr>
      </w:pPr>
      <w:r>
        <w:rPr>
          <w:rFonts w:ascii="Arial" w:cs="Arial" w:eastAsia="Arial" w:hAnsi="Arial"/>
          <w:sz w:val="18"/>
          <w:szCs w:val="18"/>
          <w:color w:val="auto"/>
        </w:rPr>
        <w:t>Therefore, at June 30, 2017, the Company has recognized a net liability for the expected loss related to these cases of approximately $12 million.</w:t>
      </w:r>
    </w:p>
    <w:p>
      <w:pPr>
        <w:spacing w:after="0" w:line="145" w:lineRule="exact"/>
        <w:rPr>
          <w:sz w:val="20"/>
          <w:szCs w:val="20"/>
          <w:color w:val="auto"/>
        </w:rPr>
      </w:pPr>
    </w:p>
    <w:p>
      <w:pPr>
        <w:ind w:left="500" w:right="40"/>
        <w:spacing w:after="0" w:line="256" w:lineRule="auto"/>
        <w:rPr>
          <w:sz w:val="20"/>
          <w:szCs w:val="20"/>
          <w:color w:val="auto"/>
        </w:rPr>
      </w:pPr>
      <w:r>
        <w:rPr>
          <w:rFonts w:ascii="Arial" w:cs="Arial" w:eastAsia="Arial" w:hAnsi="Arial"/>
          <w:sz w:val="18"/>
          <w:szCs w:val="18"/>
          <w:color w:val="auto"/>
        </w:rPr>
        <w:t>The Company is involved in claims, legal proceedings and governmental inquiries related, among other things, to its vehicle rental operations, including contract and licensee disputes, competition matters, employment matters, insurance and liability claims, intellectual property claims, business practice disputes and other regulatory, environmental, commercial and tax matters. Litigation is inherently unpredictable and, although the Company believes that its accruals are adequate and/or that it has valid defenses in these matters, unfavorable resolutions could occur. The Company estimates that the potential exposure resulting from adverse outcomes of legal proceedings in which it is reasonably possible that a loss may be incurred could, in the aggregate, be up to approximately $ 50 million in excess of amounts accrued as of June 30, 2017; however, the Company does not believe that the impact should result in a material liability to the Company in relation to its consolidated financial condition or results of operations.</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Commitments to Purchase Vehicles</w:t>
      </w:r>
    </w:p>
    <w:p>
      <w:pPr>
        <w:spacing w:after="0" w:line="225" w:lineRule="exact"/>
        <w:rPr>
          <w:sz w:val="20"/>
          <w:szCs w:val="20"/>
          <w:color w:val="auto"/>
        </w:rPr>
      </w:pPr>
    </w:p>
    <w:p>
      <w:pPr>
        <w:jc w:val="both"/>
        <w:ind w:left="500" w:right="40"/>
        <w:spacing w:after="0" w:line="264" w:lineRule="auto"/>
        <w:rPr>
          <w:sz w:val="20"/>
          <w:szCs w:val="20"/>
          <w:color w:val="auto"/>
        </w:rPr>
      </w:pPr>
      <w:r>
        <w:rPr>
          <w:rFonts w:ascii="Arial" w:cs="Arial" w:eastAsia="Arial" w:hAnsi="Arial"/>
          <w:sz w:val="18"/>
          <w:szCs w:val="18"/>
          <w:color w:val="auto"/>
        </w:rPr>
        <w:t>The Company maintains agreements with vehicle manufacturers under which the Company has agreed to purchase approximately $1.7 billion of vehicles from manufacturers over the next 12 months. Certain of these commitments are subject to the vehicle manufacturers’ satisfying their obligations under their respective repurchase and guaranteed depreciation agreements. The purchase of such vehicles is financed primarily through the issuance of vehicle-backed debt and cash received upon the disposition of vehicles.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Concentrations</w:t>
      </w:r>
    </w:p>
    <w:p>
      <w:pPr>
        <w:spacing w:after="0" w:line="225" w:lineRule="exact"/>
        <w:rPr>
          <w:sz w:val="20"/>
          <w:szCs w:val="20"/>
          <w:color w:val="auto"/>
        </w:rPr>
      </w:pPr>
    </w:p>
    <w:p>
      <w:pPr>
        <w:ind w:left="500"/>
        <w:spacing w:after="0" w:line="258" w:lineRule="auto"/>
        <w:rPr>
          <w:sz w:val="20"/>
          <w:szCs w:val="20"/>
          <w:color w:val="auto"/>
        </w:rPr>
      </w:pPr>
      <w:r>
        <w:rPr>
          <w:rFonts w:ascii="Arial" w:cs="Arial" w:eastAsia="Arial" w:hAnsi="Arial"/>
          <w:sz w:val="18"/>
          <w:szCs w:val="18"/>
          <w:color w:val="auto"/>
        </w:rPr>
        <w:t>Concentrations of credit risk at June 30, 2017 include (i) risks related to the Company’s repurchase and guaranteed depreciation agreements with domestic and foreign car manufacturers, including Ford, General Motors, Chrysler, Peugeot, Kia, Volkswagen, Fiat, Mercedes, Toyota and Volvo, and primarily with respect to receivables for program cars that have been disposed but for which the Company has not yet received payment from the manufacturers and (ii) risks related to Realogy and Wyndham, including receivables of $41 million and $25 million, respectively, related to certain contingent, income tax and other corporate liabilities assumed by Realogy and Wyndham in connection with their disposition.</w:t>
      </w:r>
    </w:p>
    <w:p>
      <w:pPr>
        <w:spacing w:after="0" w:line="176" w:lineRule="exact"/>
        <w:rPr>
          <w:sz w:val="20"/>
          <w:szCs w:val="20"/>
          <w:color w:val="auto"/>
        </w:rPr>
      </w:pPr>
    </w:p>
    <w:p>
      <w:pPr>
        <w:ind w:left="500" w:right="8800" w:hanging="492"/>
        <w:spacing w:after="0" w:line="531" w:lineRule="auto"/>
        <w:tabs>
          <w:tab w:leader="none" w:pos="500" w:val="left"/>
        </w:tabs>
        <w:numPr>
          <w:ilvl w:val="0"/>
          <w:numId w:val="2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Stockholders’ Equity </w:t>
      </w:r>
      <w:r>
        <w:rPr>
          <w:rFonts w:ascii="Arial" w:cs="Arial" w:eastAsia="Arial" w:hAnsi="Arial"/>
          <w:sz w:val="17"/>
          <w:szCs w:val="17"/>
          <w:b w:val="1"/>
          <w:bCs w:val="1"/>
          <w:i w:val="1"/>
          <w:iCs w:val="1"/>
          <w:color w:val="auto"/>
        </w:rPr>
        <w:t>Stockholder Rights Plan</w:t>
      </w:r>
    </w:p>
    <w:p>
      <w:pPr>
        <w:spacing w:after="0" w:line="1" w:lineRule="exact"/>
        <w:rPr>
          <w:rFonts w:ascii="Arial" w:cs="Arial" w:eastAsia="Arial" w:hAnsi="Arial"/>
          <w:sz w:val="17"/>
          <w:szCs w:val="17"/>
          <w:b w:val="1"/>
          <w:bCs w:val="1"/>
          <w:color w:val="auto"/>
        </w:rPr>
      </w:pPr>
    </w:p>
    <w:p>
      <w:pPr>
        <w:ind w:left="500" w:right="20"/>
        <w:spacing w:after="0" w:line="255" w:lineRule="auto"/>
        <w:rPr>
          <w:rFonts w:ascii="Arial" w:cs="Arial" w:eastAsia="Arial" w:hAnsi="Arial"/>
          <w:sz w:val="17"/>
          <w:szCs w:val="17"/>
          <w:b w:val="1"/>
          <w:bCs w:val="1"/>
          <w:color w:val="auto"/>
        </w:rPr>
      </w:pPr>
      <w:r>
        <w:rPr>
          <w:rFonts w:ascii="Arial" w:cs="Arial" w:eastAsia="Arial" w:hAnsi="Arial"/>
          <w:sz w:val="18"/>
          <w:szCs w:val="18"/>
          <w:color w:val="auto"/>
        </w:rPr>
        <w:t>In January 2017, the Company’s Board of Directors authorized the adoption of a short-term stockholder rights plan, with an expiration date in January 2018. Effective May 3, 2017, the Company terminated the rights plan. Pursuant to the rights plan, the Company declared a dividend of one preferred share purchase right for each outstanding share of common stock, payable to holders of record as of the close of business on February 2, 2017. Each right, which was exercisable only in the event any person or group were to acquire a voting or economic position of 10% or more of the Company’s outstanding common stock (with certain limited exceptions), would have entitled any holder other than the person or group whose ownership position had exceeded the ownership limit to purchase common stock having a value equal to twice the $90 exercise price of the right, or, at the election of the Board of Directors, to exchange each right for one share of common stock (subject to adjustment). On May 3, 2017, the Company also entered into a new cooperation agreement with SRS Investment Management LLC and certain of its affiliates.</w:t>
      </w:r>
    </w:p>
    <w:p>
      <w:pPr>
        <w:spacing w:after="0" w:line="181" w:lineRule="exact"/>
        <w:rPr>
          <w:rFonts w:ascii="Arial" w:cs="Arial" w:eastAsia="Arial" w:hAnsi="Arial"/>
          <w:sz w:val="17"/>
          <w:szCs w:val="17"/>
          <w:b w:val="1"/>
          <w:bCs w:val="1"/>
          <w:color w:val="auto"/>
        </w:rPr>
      </w:pPr>
    </w:p>
    <w:p>
      <w:pPr>
        <w:ind w:left="500"/>
        <w:spacing w:after="0"/>
        <w:rPr>
          <w:rFonts w:ascii="Arial" w:cs="Arial" w:eastAsia="Arial" w:hAnsi="Arial"/>
          <w:sz w:val="17"/>
          <w:szCs w:val="17"/>
          <w:b w:val="1"/>
          <w:bCs w:val="1"/>
          <w:color w:val="auto"/>
        </w:rPr>
      </w:pPr>
      <w:r>
        <w:rPr>
          <w:rFonts w:ascii="Arial" w:cs="Arial" w:eastAsia="Arial" w:hAnsi="Arial"/>
          <w:sz w:val="18"/>
          <w:szCs w:val="18"/>
          <w:b w:val="1"/>
          <w:bCs w:val="1"/>
          <w:i w:val="1"/>
          <w:iCs w:val="1"/>
          <w:color w:val="auto"/>
        </w:rPr>
        <w:t>Share Repurchases</w:t>
      </w:r>
    </w:p>
    <w:p>
      <w:pPr>
        <w:spacing w:after="0" w:line="225" w:lineRule="exact"/>
        <w:rPr>
          <w:rFonts w:ascii="Arial" w:cs="Arial" w:eastAsia="Arial" w:hAnsi="Arial"/>
          <w:sz w:val="17"/>
          <w:szCs w:val="17"/>
          <w:b w:val="1"/>
          <w:bCs w:val="1"/>
          <w:color w:val="auto"/>
        </w:rPr>
      </w:pPr>
    </w:p>
    <w:p>
      <w:pPr>
        <w:ind w:left="500" w:right="220"/>
        <w:spacing w:after="0" w:line="258" w:lineRule="auto"/>
        <w:rPr>
          <w:rFonts w:ascii="Arial" w:cs="Arial" w:eastAsia="Arial" w:hAnsi="Arial"/>
          <w:sz w:val="17"/>
          <w:szCs w:val="17"/>
          <w:b w:val="1"/>
          <w:bCs w:val="1"/>
          <w:color w:val="auto"/>
        </w:rPr>
      </w:pPr>
      <w:r>
        <w:rPr>
          <w:rFonts w:ascii="Arial" w:cs="Arial" w:eastAsia="Arial" w:hAnsi="Arial"/>
          <w:sz w:val="18"/>
          <w:szCs w:val="18"/>
          <w:color w:val="auto"/>
        </w:rPr>
        <w:t>The Company’s Board of Directors has authorized the repurchase of up to approximately $1.5 billion of its common stock under a plan originally approved in 2013 and subsequently expanded, most recently in 2016. During the six months ended June 30, 2017, the Company repurchased approximately 3.4 million shares of common stock at a cost of approximately $100 million under the program. During the six months ended June 30, 2016, the Company repurchased approximately 6.5 million shares of common stock at a cost of approximately $180 million under the program. As of June 30, 2017, approximately $200 million of authorization remains available to repurchase common stock under this plan.</w:t>
      </w: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116" w:right="27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Total Comprehensive Income (Loss)</w:t>
      </w:r>
    </w:p>
    <w:p>
      <w:pPr>
        <w:spacing w:after="0" w:line="225" w:lineRule="exact"/>
        <w:rPr>
          <w:sz w:val="20"/>
          <w:szCs w:val="20"/>
          <w:color w:val="auto"/>
        </w:rPr>
      </w:pPr>
    </w:p>
    <w:p>
      <w:pPr>
        <w:ind w:left="500" w:right="60"/>
        <w:spacing w:after="0" w:line="292" w:lineRule="auto"/>
        <w:rPr>
          <w:sz w:val="20"/>
          <w:szCs w:val="20"/>
          <w:color w:val="auto"/>
        </w:rPr>
      </w:pPr>
      <w:r>
        <w:rPr>
          <w:rFonts w:ascii="Arial" w:cs="Arial" w:eastAsia="Arial" w:hAnsi="Arial"/>
          <w:sz w:val="18"/>
          <w:szCs w:val="18"/>
          <w:color w:val="auto"/>
        </w:rPr>
        <w:t>Comprehensive income consists of net income and other gains and losses affecting stockholders’ equity that, under GAAP, are excluded from net income.</w:t>
      </w:r>
    </w:p>
    <w:p>
      <w:pPr>
        <w:sectPr>
          <w:pgSz w:w="11900" w:h="16838" w:orient="portrait"/>
          <w:cols w:equalWidth="0" w:num="1">
            <w:col w:w="11400"/>
          </w:cols>
          <w:pgMar w:left="240" w:top="116" w:right="259" w:bottom="1440" w:gutter="0" w:footer="0" w:header="0"/>
        </w:sectPr>
      </w:pPr>
    </w:p>
    <w:p>
      <w:pPr>
        <w:spacing w:after="0" w:line="14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other comprehensive income (loss) were as follows:</w:t>
      </w:r>
    </w:p>
    <w:p>
      <w:pPr>
        <w:spacing w:after="0" w:line="169"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Three Months Ended</w:t>
      </w:r>
    </w:p>
    <w:p>
      <w:pPr>
        <w:spacing w:after="0" w:line="20"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4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42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42"/>
        </w:trPr>
        <w:tc>
          <w:tcPr>
            <w:tcW w:w="420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0"/>
        </w:trPr>
        <w:tc>
          <w:tcPr>
            <w:tcW w:w="420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120"/>
              <w:spacing w:after="0"/>
              <w:rPr>
                <w:sz w:val="20"/>
                <w:szCs w:val="20"/>
                <w:color w:val="auto"/>
              </w:rPr>
            </w:pPr>
            <w:r>
              <w:rPr>
                <w:rFonts w:ascii="Arial" w:cs="Arial" w:eastAsia="Arial" w:hAnsi="Arial"/>
                <w:sz w:val="18"/>
                <w:szCs w:val="18"/>
                <w:color w:val="auto"/>
              </w:rPr>
              <w:t>Currency translation adjustments (net of tax of</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300"/>
              <w:spacing w:after="0"/>
              <w:rPr>
                <w:sz w:val="20"/>
                <w:szCs w:val="20"/>
                <w:color w:val="auto"/>
              </w:rPr>
            </w:pPr>
            <w:r>
              <w:rPr>
                <w:rFonts w:ascii="Arial" w:cs="Arial" w:eastAsia="Arial" w:hAnsi="Arial"/>
                <w:sz w:val="18"/>
                <w:szCs w:val="18"/>
                <w:color w:val="auto"/>
              </w:rPr>
              <w:t>$17, $(5), $20 and $4, respectively)</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200" w:type="dxa"/>
            <w:vAlign w:val="bottom"/>
          </w:tcPr>
          <w:p>
            <w:pPr>
              <w:ind w:left="120"/>
              <w:spacing w:after="0"/>
              <w:rPr>
                <w:sz w:val="20"/>
                <w:szCs w:val="20"/>
                <w:color w:val="auto"/>
              </w:rPr>
            </w:pPr>
            <w:r>
              <w:rPr>
                <w:rFonts w:ascii="Arial" w:cs="Arial" w:eastAsia="Arial" w:hAnsi="Arial"/>
                <w:sz w:val="18"/>
                <w:szCs w:val="18"/>
                <w:color w:val="auto"/>
              </w:rPr>
              <w:t>Net unrealized gain (loss) on available-for-sale</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300"/>
              <w:spacing w:after="0"/>
              <w:rPr>
                <w:sz w:val="20"/>
                <w:szCs w:val="20"/>
                <w:color w:val="auto"/>
              </w:rPr>
            </w:pPr>
            <w:r>
              <w:rPr>
                <w:rFonts w:ascii="Arial" w:cs="Arial" w:eastAsia="Arial" w:hAnsi="Arial"/>
                <w:sz w:val="18"/>
                <w:szCs w:val="18"/>
                <w:color w:val="auto"/>
              </w:rPr>
              <w:t>securities (net of tax of $0 in each period)</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tcPr>
          <w:p>
            <w:pPr>
              <w:ind w:left="120"/>
              <w:spacing w:after="0"/>
              <w:rPr>
                <w:sz w:val="20"/>
                <w:szCs w:val="20"/>
                <w:color w:val="auto"/>
              </w:rPr>
            </w:pPr>
            <w:r>
              <w:rPr>
                <w:rFonts w:ascii="Arial" w:cs="Arial" w:eastAsia="Arial" w:hAnsi="Arial"/>
                <w:sz w:val="18"/>
                <w:szCs w:val="18"/>
                <w:color w:val="auto"/>
              </w:rPr>
              <w:t>Net unrealized gain (loss) on cash flow hedges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300"/>
              <w:spacing w:after="0"/>
              <w:rPr>
                <w:sz w:val="20"/>
                <w:szCs w:val="20"/>
                <w:color w:val="auto"/>
              </w:rPr>
            </w:pPr>
            <w:r>
              <w:rPr>
                <w:rFonts w:ascii="Arial" w:cs="Arial" w:eastAsia="Arial" w:hAnsi="Arial"/>
                <w:sz w:val="18"/>
                <w:szCs w:val="18"/>
                <w:color w:val="auto"/>
              </w:rPr>
              <w:t>(net of tax of $1, $3, $1 and $5, respectively)</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200" w:type="dxa"/>
            <w:vAlign w:val="bottom"/>
          </w:tcPr>
          <w:p>
            <w:pPr>
              <w:ind w:left="120"/>
              <w:spacing w:after="0"/>
              <w:rPr>
                <w:sz w:val="20"/>
                <w:szCs w:val="20"/>
                <w:color w:val="auto"/>
              </w:rPr>
            </w:pPr>
            <w:r>
              <w:rPr>
                <w:rFonts w:ascii="Arial" w:cs="Arial" w:eastAsia="Arial" w:hAnsi="Arial"/>
                <w:sz w:val="18"/>
                <w:szCs w:val="18"/>
                <w:color w:val="auto"/>
              </w:rPr>
              <w:t>Minimum pension liability adjustment (net of tax of</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200" w:type="dxa"/>
            <w:vAlign w:val="bottom"/>
          </w:tcPr>
          <w:p>
            <w:pPr>
              <w:ind w:left="300"/>
              <w:spacing w:after="0"/>
              <w:rPr>
                <w:sz w:val="20"/>
                <w:szCs w:val="20"/>
                <w:color w:val="auto"/>
              </w:rPr>
            </w:pPr>
            <w:r>
              <w:rPr>
                <w:rFonts w:ascii="Arial" w:cs="Arial" w:eastAsia="Arial" w:hAnsi="Arial"/>
                <w:sz w:val="18"/>
                <w:szCs w:val="18"/>
                <w:color w:val="auto"/>
              </w:rPr>
              <w:t>$0, $(1), $(1) and $(1), respectively)</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0"/>
        </w:trPr>
        <w:tc>
          <w:tcPr>
            <w:tcW w:w="42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5"/>
        </w:trPr>
        <w:tc>
          <w:tcPr>
            <w:tcW w:w="4200" w:type="dxa"/>
            <w:vAlign w:val="bottom"/>
          </w:tcPr>
          <w:p>
            <w:pPr>
              <w:ind w:left="20"/>
              <w:spacing w:after="0"/>
              <w:rPr>
                <w:sz w:val="20"/>
                <w:szCs w:val="20"/>
                <w:color w:val="auto"/>
              </w:rPr>
            </w:pPr>
            <w:r>
              <w:rPr>
                <w:rFonts w:ascii="Arial" w:cs="Arial" w:eastAsia="Arial" w:hAnsi="Arial"/>
                <w:sz w:val="18"/>
                <w:szCs w:val="18"/>
                <w:color w:val="auto"/>
              </w:rPr>
              <w:t>Comprehensive income (loss)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2"/>
                <w:szCs w:val="22"/>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2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500"/>
        <w:spacing w:after="0"/>
        <w:rPr>
          <w:sz w:val="20"/>
          <w:szCs w:val="20"/>
          <w:color w:val="auto"/>
        </w:rPr>
      </w:pPr>
      <w:r>
        <w:rPr>
          <w:rFonts w:ascii="Arial" w:cs="Arial" w:eastAsia="Arial" w:hAnsi="Arial"/>
          <w:sz w:val="14"/>
          <w:szCs w:val="14"/>
          <w:color w:val="auto"/>
        </w:rPr>
        <w:t>Currency translation adjustments exclude income taxes related to indefinite investments in foreign subsidiaries.</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225" w:lineRule="exact"/>
        <w:rPr>
          <w:sz w:val="20"/>
          <w:szCs w:val="20"/>
          <w:color w:val="auto"/>
        </w:rPr>
      </w:pPr>
    </w:p>
    <w:p>
      <w:pPr>
        <w:jc w:val="center"/>
        <w:ind w:left="120"/>
        <w:spacing w:after="0"/>
        <w:rPr>
          <w:sz w:val="20"/>
          <w:szCs w:val="20"/>
          <w:color w:val="auto"/>
        </w:rPr>
      </w:pPr>
      <w:r>
        <w:rPr>
          <w:rFonts w:ascii="Arial" w:cs="Arial" w:eastAsia="Arial" w:hAnsi="Arial"/>
          <w:sz w:val="17"/>
          <w:szCs w:val="17"/>
          <w:color w:val="auto"/>
        </w:rPr>
        <w:t>The components of accumulated other comprehensive income (loss) were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Six Months Ended</w:t>
      </w:r>
    </w:p>
    <w:p>
      <w:pPr>
        <w:spacing w:after="0" w:line="20"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14605</wp:posOffset>
            </wp:positionV>
            <wp:extent cx="18865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33" w:lineRule="exact"/>
        <w:rPr>
          <w:sz w:val="20"/>
          <w:szCs w:val="20"/>
          <w:color w:val="auto"/>
        </w:rPr>
      </w:pPr>
    </w:p>
    <w:p>
      <w:pPr>
        <w:ind w:left="480"/>
        <w:spacing w:after="0"/>
        <w:tabs>
          <w:tab w:leader="none" w:pos="2000" w:val="left"/>
        </w:tabs>
        <w:rPr>
          <w:sz w:val="20"/>
          <w:szCs w:val="20"/>
          <w:color w:val="auto"/>
        </w:rPr>
      </w:pPr>
      <w:r>
        <w:rPr>
          <w:rFonts w:ascii="Arial" w:cs="Arial" w:eastAsia="Arial" w:hAnsi="Arial"/>
          <w:sz w:val="18"/>
          <w:szCs w:val="18"/>
          <w:b w:val="1"/>
          <w:bCs w:val="1"/>
          <w:color w:val="auto"/>
        </w:rPr>
        <w:t>2017</w:t>
      </w:r>
      <w:r>
        <w:rPr>
          <w:sz w:val="20"/>
          <w:szCs w:val="20"/>
          <w:color w:val="auto"/>
        </w:rPr>
        <w:tab/>
      </w:r>
      <w:r>
        <w:rPr>
          <w:rFonts w:ascii="Arial" w:cs="Arial" w:eastAsia="Arial" w:hAnsi="Arial"/>
          <w:sz w:val="18"/>
          <w:szCs w:val="18"/>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29845</wp:posOffset>
            </wp:positionV>
            <wp:extent cx="18865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45" w:lineRule="exact"/>
        <w:rPr>
          <w:sz w:val="20"/>
          <w:szCs w:val="20"/>
          <w:color w:val="auto"/>
        </w:rPr>
      </w:pPr>
    </w:p>
    <w:p>
      <w:pPr>
        <w:spacing w:after="0"/>
        <w:tabs>
          <w:tab w:leader="none" w:pos="940" w:val="left"/>
          <w:tab w:leader="none" w:pos="25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(104) $</w:t>
      </w:r>
      <w:r>
        <w:rPr>
          <w:sz w:val="20"/>
          <w:szCs w:val="20"/>
          <w:color w:val="auto"/>
        </w:rPr>
        <w:tab/>
      </w:r>
      <w:r>
        <w:rPr>
          <w:rFonts w:ascii="Arial" w:cs="Arial" w:eastAsia="Arial" w:hAnsi="Arial"/>
          <w:sz w:val="17"/>
          <w:szCs w:val="17"/>
          <w:color w:val="auto"/>
        </w:rPr>
        <w:t>(15)</w:t>
      </w:r>
    </w:p>
    <w:p>
      <w:pPr>
        <w:spacing w:after="0" w:line="200" w:lineRule="exact"/>
        <w:rPr>
          <w:sz w:val="20"/>
          <w:szCs w:val="20"/>
          <w:color w:val="auto"/>
        </w:rPr>
      </w:pPr>
    </w:p>
    <w:p>
      <w:pPr>
        <w:spacing w:after="0" w:line="322" w:lineRule="exact"/>
        <w:rPr>
          <w:sz w:val="20"/>
          <w:szCs w:val="20"/>
          <w:color w:val="auto"/>
        </w:rPr>
      </w:pPr>
    </w:p>
    <w:p>
      <w:pPr>
        <w:ind w:left="1120"/>
        <w:spacing w:after="0"/>
        <w:tabs>
          <w:tab w:leader="none" w:pos="26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color w:val="auto"/>
        </w:rPr>
        <w:t>80</w:t>
      </w:r>
    </w:p>
    <w:p>
      <w:pPr>
        <w:spacing w:after="0" w:line="252" w:lineRule="exact"/>
        <w:rPr>
          <w:sz w:val="20"/>
          <w:szCs w:val="20"/>
          <w:color w:val="auto"/>
        </w:rPr>
      </w:pPr>
    </w:p>
    <w:p>
      <w:pPr>
        <w:ind w:left="2680" w:hanging="1469"/>
        <w:spacing w:after="0"/>
        <w:tabs>
          <w:tab w:leader="none" w:pos="2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t>
      </w:r>
    </w:p>
    <w:p>
      <w:pPr>
        <w:spacing w:after="0" w:line="252" w:lineRule="exact"/>
        <w:rPr>
          <w:sz w:val="20"/>
          <w:szCs w:val="20"/>
          <w:color w:val="auto"/>
        </w:rPr>
      </w:pPr>
    </w:p>
    <w:p>
      <w:pPr>
        <w:ind w:left="2700" w:hanging="1549"/>
        <w:spacing w:after="0"/>
        <w:tabs>
          <w:tab w:leader="none" w:pos="2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(8)</w:t>
      </w:r>
    </w:p>
    <w:p>
      <w:pPr>
        <w:spacing w:after="0" w:line="252" w:lineRule="exact"/>
        <w:rPr>
          <w:sz w:val="20"/>
          <w:szCs w:val="20"/>
          <w:color w:val="auto"/>
        </w:rPr>
      </w:pPr>
    </w:p>
    <w:p>
      <w:pPr>
        <w:ind w:left="2760" w:hanging="1549"/>
        <w:spacing w:after="0"/>
        <w:tabs>
          <w:tab w:leader="none" w:pos="2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28575</wp:posOffset>
            </wp:positionV>
            <wp:extent cx="18865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43" w:lineRule="exact"/>
        <w:rPr>
          <w:sz w:val="20"/>
          <w:szCs w:val="20"/>
          <w:color w:val="auto"/>
        </w:rPr>
      </w:pPr>
    </w:p>
    <w:p>
      <w:pPr>
        <w:ind w:left="1120"/>
        <w:spacing w:after="0"/>
        <w:tabs>
          <w:tab w:leader="none" w:pos="264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28575</wp:posOffset>
            </wp:positionV>
            <wp:extent cx="18865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43" w:lineRule="exact"/>
        <w:rPr>
          <w:sz w:val="20"/>
          <w:szCs w:val="20"/>
          <w:color w:val="auto"/>
        </w:rPr>
      </w:pPr>
    </w:p>
    <w:p>
      <w:pPr>
        <w:spacing w:after="0"/>
        <w:tabs>
          <w:tab w:leader="none" w:pos="1040" w:val="left"/>
          <w:tab w:leader="none" w:pos="2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(28) $</w:t>
      </w:r>
      <w:r>
        <w:rPr>
          <w:sz w:val="20"/>
          <w:szCs w:val="20"/>
          <w:color w:val="auto"/>
        </w:rPr>
        <w:tab/>
      </w: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28575</wp:posOffset>
            </wp:positionV>
            <wp:extent cx="188658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86585" cy="26035"/>
                    </a:xfrm>
                    <a:prstGeom prst="rect">
                      <a:avLst/>
                    </a:prstGeom>
                    <a:noFill/>
                  </pic:spPr>
                </pic:pic>
              </a:graphicData>
            </a:graphic>
          </wp:anchor>
        </w:drawing>
      </w:r>
    </w:p>
    <w:p>
      <w:pPr>
        <w:spacing w:after="0" w:line="1451" w:lineRule="exact"/>
        <w:rPr>
          <w:sz w:val="20"/>
          <w:szCs w:val="20"/>
          <w:color w:val="auto"/>
        </w:rPr>
      </w:pPr>
    </w:p>
    <w:p>
      <w:pPr>
        <w:sectPr>
          <w:pgSz w:w="11900" w:h="16838" w:orient="portrait"/>
          <w:cols w:equalWidth="0" w:num="2">
            <w:col w:w="7660" w:space="140"/>
            <w:col w:w="3600"/>
          </w:cols>
          <w:pgMar w:left="240" w:top="116" w:right="259" w:bottom="1440" w:gutter="0" w:footer="0" w:header="0"/>
          <w:type w:val="continuous"/>
        </w:sectPr>
      </w:pPr>
    </w:p>
    <w:tbl>
      <w:tblPr>
        <w:tblLayout w:type="fixed"/>
        <w:tblInd w:w="500" w:type="dxa"/>
        <w:tblCellMar>
          <w:top w:w="0" w:type="dxa"/>
          <w:left w:w="0" w:type="dxa"/>
          <w:bottom w:w="0" w:type="dxa"/>
          <w:right w:w="0" w:type="dxa"/>
        </w:tblCellMar>
      </w:tblPr>
      <w:tr>
        <w:trPr>
          <w:trHeight w:val="149"/>
        </w:trPr>
        <w:tc>
          <w:tcPr>
            <w:tcW w:w="2660" w:type="dxa"/>
            <w:vAlign w:val="bottom"/>
          </w:tcPr>
          <w:p>
            <w:pPr>
              <w:spacing w:after="0"/>
              <w:rPr>
                <w:sz w:val="12"/>
                <w:szCs w:val="12"/>
                <w:color w:val="auto"/>
              </w:rPr>
            </w:pPr>
          </w:p>
        </w:tc>
        <w:tc>
          <w:tcPr>
            <w:tcW w:w="1120" w:type="dxa"/>
            <w:vAlign w:val="bottom"/>
            <w:vMerge w:val="restart"/>
          </w:tcPr>
          <w:p>
            <w:pPr>
              <w:jc w:val="center"/>
              <w:ind w:left="237"/>
              <w:spacing w:after="0"/>
              <w:rPr>
                <w:sz w:val="20"/>
                <w:szCs w:val="20"/>
                <w:color w:val="auto"/>
              </w:rPr>
            </w:pPr>
            <w:r>
              <w:rPr>
                <w:rFonts w:ascii="Arial" w:cs="Arial" w:eastAsia="Arial" w:hAnsi="Arial"/>
                <w:sz w:val="13"/>
                <w:szCs w:val="13"/>
                <w:b w:val="1"/>
                <w:bCs w:val="1"/>
                <w:color w:val="auto"/>
                <w:w w:val="94"/>
              </w:rPr>
              <w:t>Currency</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5"/>
              </w:rPr>
              <w:t>Net Unrealized</w:t>
            </w:r>
          </w:p>
        </w:tc>
        <w:tc>
          <w:tcPr>
            <w:tcW w:w="120" w:type="dxa"/>
            <w:vAlign w:val="bottom"/>
          </w:tcPr>
          <w:p>
            <w:pPr>
              <w:spacing w:after="0"/>
              <w:rPr>
                <w:sz w:val="12"/>
                <w:szCs w:val="12"/>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Net Unrealized</w:t>
            </w:r>
          </w:p>
        </w:tc>
        <w:tc>
          <w:tcPr>
            <w:tcW w:w="200" w:type="dxa"/>
            <w:vAlign w:val="bottom"/>
          </w:tcPr>
          <w:p>
            <w:pPr>
              <w:spacing w:after="0"/>
              <w:rPr>
                <w:sz w:val="12"/>
                <w:szCs w:val="12"/>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4"/>
              </w:rPr>
              <w:t>Minimum</w:t>
            </w:r>
          </w:p>
        </w:tc>
        <w:tc>
          <w:tcPr>
            <w:tcW w:w="160" w:type="dxa"/>
            <w:vAlign w:val="bottom"/>
          </w:tcPr>
          <w:p>
            <w:pPr>
              <w:spacing w:after="0"/>
              <w:rPr>
                <w:sz w:val="12"/>
                <w:szCs w:val="12"/>
                <w:color w:val="auto"/>
              </w:rPr>
            </w:pPr>
          </w:p>
        </w:tc>
        <w:tc>
          <w:tcPr>
            <w:tcW w:w="1260" w:type="dxa"/>
            <w:vAlign w:val="bottom"/>
          </w:tcPr>
          <w:p>
            <w:pPr>
              <w:jc w:val="center"/>
              <w:ind w:right="97"/>
              <w:spacing w:after="0"/>
              <w:rPr>
                <w:sz w:val="20"/>
                <w:szCs w:val="20"/>
                <w:color w:val="auto"/>
              </w:rPr>
            </w:pPr>
            <w:r>
              <w:rPr>
                <w:rFonts w:ascii="Arial" w:cs="Arial" w:eastAsia="Arial" w:hAnsi="Arial"/>
                <w:sz w:val="13"/>
                <w:szCs w:val="13"/>
                <w:b w:val="1"/>
                <w:bCs w:val="1"/>
                <w:color w:val="auto"/>
                <w:w w:val="95"/>
              </w:rPr>
              <w:t>Accumulated</w:t>
            </w:r>
          </w:p>
        </w:tc>
        <w:tc>
          <w:tcPr>
            <w:tcW w:w="0" w:type="dxa"/>
            <w:vAlign w:val="bottom"/>
          </w:tcPr>
          <w:p>
            <w:pPr>
              <w:spacing w:after="0"/>
              <w:rPr>
                <w:sz w:val="1"/>
                <w:szCs w:val="1"/>
                <w:color w:val="auto"/>
              </w:rPr>
            </w:pPr>
          </w:p>
        </w:tc>
      </w:tr>
      <w:tr>
        <w:trPr>
          <w:trHeight w:val="135"/>
        </w:trPr>
        <w:tc>
          <w:tcPr>
            <w:tcW w:w="266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6"/>
              </w:rPr>
              <w:t>Gains (Losses)</w:t>
            </w:r>
          </w:p>
        </w:tc>
        <w:tc>
          <w:tcPr>
            <w:tcW w:w="120" w:type="dxa"/>
            <w:vAlign w:val="bottom"/>
          </w:tcPr>
          <w:p>
            <w:pPr>
              <w:spacing w:after="0"/>
              <w:rPr>
                <w:sz w:val="11"/>
                <w:szCs w:val="11"/>
                <w:color w:val="auto"/>
              </w:rPr>
            </w:pPr>
          </w:p>
        </w:tc>
        <w:tc>
          <w:tcPr>
            <w:tcW w:w="14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7"/>
              </w:rPr>
              <w:t>Gains (Losses) on</w:t>
            </w:r>
          </w:p>
        </w:tc>
        <w:tc>
          <w:tcPr>
            <w:tcW w:w="200" w:type="dxa"/>
            <w:vAlign w:val="bottom"/>
          </w:tcPr>
          <w:p>
            <w:pPr>
              <w:spacing w:after="0"/>
              <w:rPr>
                <w:sz w:val="11"/>
                <w:szCs w:val="11"/>
                <w:color w:val="auto"/>
              </w:rPr>
            </w:pPr>
          </w:p>
        </w:tc>
        <w:tc>
          <w:tcPr>
            <w:tcW w:w="134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8"/>
              </w:rPr>
              <w:t>Pension</w:t>
            </w:r>
          </w:p>
        </w:tc>
        <w:tc>
          <w:tcPr>
            <w:tcW w:w="160" w:type="dxa"/>
            <w:vAlign w:val="bottom"/>
          </w:tcPr>
          <w:p>
            <w:pPr>
              <w:spacing w:after="0"/>
              <w:rPr>
                <w:sz w:val="11"/>
                <w:szCs w:val="11"/>
                <w:color w:val="auto"/>
              </w:rPr>
            </w:pPr>
          </w:p>
        </w:tc>
        <w:tc>
          <w:tcPr>
            <w:tcW w:w="126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97"/>
              </w:rPr>
              <w:t>Other</w:t>
            </w:r>
          </w:p>
        </w:tc>
        <w:tc>
          <w:tcPr>
            <w:tcW w:w="0" w:type="dxa"/>
            <w:vAlign w:val="bottom"/>
          </w:tcPr>
          <w:p>
            <w:pPr>
              <w:spacing w:after="0"/>
              <w:rPr>
                <w:sz w:val="1"/>
                <w:szCs w:val="1"/>
                <w:color w:val="auto"/>
              </w:rPr>
            </w:pPr>
          </w:p>
        </w:tc>
      </w:tr>
      <w:tr>
        <w:trPr>
          <w:trHeight w:val="135"/>
        </w:trPr>
        <w:tc>
          <w:tcPr>
            <w:tcW w:w="2660" w:type="dxa"/>
            <w:vAlign w:val="bottom"/>
          </w:tcPr>
          <w:p>
            <w:pPr>
              <w:spacing w:after="0"/>
              <w:rPr>
                <w:sz w:val="11"/>
                <w:szCs w:val="11"/>
                <w:color w:val="auto"/>
              </w:rPr>
            </w:pPr>
          </w:p>
        </w:tc>
        <w:tc>
          <w:tcPr>
            <w:tcW w:w="1120" w:type="dxa"/>
            <w:vAlign w:val="bottom"/>
          </w:tcPr>
          <w:p>
            <w:pPr>
              <w:jc w:val="center"/>
              <w:ind w:left="237"/>
              <w:spacing w:after="0" w:line="135" w:lineRule="exact"/>
              <w:rPr>
                <w:sz w:val="20"/>
                <w:szCs w:val="20"/>
                <w:color w:val="auto"/>
              </w:rPr>
            </w:pPr>
            <w:r>
              <w:rPr>
                <w:rFonts w:ascii="Arial" w:cs="Arial" w:eastAsia="Arial" w:hAnsi="Arial"/>
                <w:sz w:val="13"/>
                <w:szCs w:val="13"/>
                <w:b w:val="1"/>
                <w:bCs w:val="1"/>
                <w:color w:val="auto"/>
                <w:w w:val="94"/>
              </w:rPr>
              <w:t>Translation</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6"/>
              </w:rPr>
              <w:t>on Cash Flow</w:t>
            </w:r>
          </w:p>
        </w:tc>
        <w:tc>
          <w:tcPr>
            <w:tcW w:w="120" w:type="dxa"/>
            <w:vAlign w:val="bottom"/>
          </w:tcPr>
          <w:p>
            <w:pPr>
              <w:spacing w:after="0"/>
              <w:rPr>
                <w:sz w:val="11"/>
                <w:szCs w:val="11"/>
                <w:color w:val="auto"/>
              </w:rPr>
            </w:pPr>
          </w:p>
        </w:tc>
        <w:tc>
          <w:tcPr>
            <w:tcW w:w="14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3"/>
              </w:rPr>
              <w:t>Available-for</w:t>
            </w:r>
          </w:p>
        </w:tc>
        <w:tc>
          <w:tcPr>
            <w:tcW w:w="200" w:type="dxa"/>
            <w:vAlign w:val="bottom"/>
          </w:tcPr>
          <w:p>
            <w:pPr>
              <w:spacing w:after="0"/>
              <w:rPr>
                <w:sz w:val="11"/>
                <w:szCs w:val="11"/>
                <w:color w:val="auto"/>
              </w:rPr>
            </w:pPr>
          </w:p>
        </w:tc>
        <w:tc>
          <w:tcPr>
            <w:tcW w:w="134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3"/>
              </w:rPr>
              <w:t>Liability</w:t>
            </w:r>
          </w:p>
        </w:tc>
        <w:tc>
          <w:tcPr>
            <w:tcW w:w="160" w:type="dxa"/>
            <w:vAlign w:val="bottom"/>
          </w:tcPr>
          <w:p>
            <w:pPr>
              <w:spacing w:after="0"/>
              <w:rPr>
                <w:sz w:val="11"/>
                <w:szCs w:val="11"/>
                <w:color w:val="auto"/>
              </w:rPr>
            </w:pPr>
          </w:p>
        </w:tc>
        <w:tc>
          <w:tcPr>
            <w:tcW w:w="126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96"/>
              </w:rPr>
              <w:t>Comprehensive</w:t>
            </w:r>
          </w:p>
        </w:tc>
        <w:tc>
          <w:tcPr>
            <w:tcW w:w="0" w:type="dxa"/>
            <w:vAlign w:val="bottom"/>
          </w:tcPr>
          <w:p>
            <w:pPr>
              <w:spacing w:after="0"/>
              <w:rPr>
                <w:sz w:val="1"/>
                <w:szCs w:val="1"/>
                <w:color w:val="auto"/>
              </w:rPr>
            </w:pPr>
          </w:p>
        </w:tc>
      </w:tr>
      <w:tr>
        <w:trPr>
          <w:trHeight w:val="182"/>
        </w:trPr>
        <w:tc>
          <w:tcPr>
            <w:tcW w:w="2660" w:type="dxa"/>
            <w:vAlign w:val="bottom"/>
          </w:tcPr>
          <w:p>
            <w:pPr>
              <w:spacing w:after="0"/>
              <w:rPr>
                <w:sz w:val="15"/>
                <w:szCs w:val="15"/>
                <w:color w:val="auto"/>
              </w:rPr>
            </w:pPr>
          </w:p>
        </w:tc>
        <w:tc>
          <w:tcPr>
            <w:tcW w:w="1120" w:type="dxa"/>
            <w:vAlign w:val="bottom"/>
          </w:tcPr>
          <w:p>
            <w:pPr>
              <w:jc w:val="center"/>
              <w:ind w:left="237"/>
              <w:spacing w:after="0"/>
              <w:rPr>
                <w:sz w:val="20"/>
                <w:szCs w:val="20"/>
                <w:color w:val="auto"/>
              </w:rPr>
            </w:pPr>
            <w:r>
              <w:rPr>
                <w:rFonts w:ascii="Arial" w:cs="Arial" w:eastAsia="Arial" w:hAnsi="Arial"/>
                <w:sz w:val="13"/>
                <w:szCs w:val="13"/>
                <w:b w:val="1"/>
                <w:bCs w:val="1"/>
                <w:color w:val="auto"/>
                <w:w w:val="99"/>
              </w:rPr>
              <w:t>Adjustments</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rPr>
              <w:t>Hedges</w:t>
            </w:r>
            <w:r>
              <w:rPr>
                <w:rFonts w:ascii="Arial" w:cs="Arial" w:eastAsia="Arial" w:hAnsi="Arial"/>
                <w:sz w:val="8"/>
                <w:szCs w:val="8"/>
                <w:b w:val="1"/>
                <w:bCs w:val="1"/>
                <w:color w:val="auto"/>
              </w:rPr>
              <w:t>(a)</w:t>
            </w:r>
          </w:p>
        </w:tc>
        <w:tc>
          <w:tcPr>
            <w:tcW w:w="120" w:type="dxa"/>
            <w:vAlign w:val="bottom"/>
          </w:tcPr>
          <w:p>
            <w:pPr>
              <w:spacing w:after="0"/>
              <w:rPr>
                <w:sz w:val="15"/>
                <w:szCs w:val="15"/>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Sale Securities</w:t>
            </w:r>
          </w:p>
        </w:tc>
        <w:tc>
          <w:tcPr>
            <w:tcW w:w="200" w:type="dxa"/>
            <w:vAlign w:val="bottom"/>
          </w:tcPr>
          <w:p>
            <w:pPr>
              <w:spacing w:after="0"/>
              <w:rPr>
                <w:sz w:val="15"/>
                <w:szCs w:val="15"/>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rPr>
              <w:t>Adjustment</w:t>
            </w:r>
            <w:r>
              <w:rPr>
                <w:rFonts w:ascii="Arial" w:cs="Arial" w:eastAsia="Arial" w:hAnsi="Arial"/>
                <w:sz w:val="8"/>
                <w:szCs w:val="8"/>
                <w:b w:val="1"/>
                <w:bCs w:val="1"/>
                <w:color w:val="auto"/>
              </w:rPr>
              <w:t>(b)</w:t>
            </w:r>
          </w:p>
        </w:tc>
        <w:tc>
          <w:tcPr>
            <w:tcW w:w="160" w:type="dxa"/>
            <w:vAlign w:val="bottom"/>
          </w:tcPr>
          <w:p>
            <w:pPr>
              <w:spacing w:after="0"/>
              <w:rPr>
                <w:sz w:val="15"/>
                <w:szCs w:val="15"/>
                <w:color w:val="auto"/>
              </w:rPr>
            </w:pPr>
          </w:p>
        </w:tc>
        <w:tc>
          <w:tcPr>
            <w:tcW w:w="1260" w:type="dxa"/>
            <w:vAlign w:val="bottom"/>
          </w:tcPr>
          <w:p>
            <w:pPr>
              <w:jc w:val="center"/>
              <w:ind w:right="97"/>
              <w:spacing w:after="0"/>
              <w:rPr>
                <w:sz w:val="20"/>
                <w:szCs w:val="20"/>
                <w:color w:val="auto"/>
              </w:rPr>
            </w:pPr>
            <w:r>
              <w:rPr>
                <w:rFonts w:ascii="Arial" w:cs="Arial" w:eastAsia="Arial" w:hAnsi="Arial"/>
                <w:sz w:val="13"/>
                <w:szCs w:val="13"/>
                <w:b w:val="1"/>
                <w:bCs w:val="1"/>
                <w:color w:val="auto"/>
                <w:w w:val="97"/>
              </w:rPr>
              <w:t>Income (Loss)</w:t>
            </w:r>
          </w:p>
        </w:tc>
        <w:tc>
          <w:tcPr>
            <w:tcW w:w="0" w:type="dxa"/>
            <w:vAlign w:val="bottom"/>
          </w:tcPr>
          <w:p>
            <w:pPr>
              <w:spacing w:after="0"/>
              <w:rPr>
                <w:sz w:val="1"/>
                <w:szCs w:val="1"/>
                <w:color w:val="auto"/>
              </w:rPr>
            </w:pPr>
          </w:p>
        </w:tc>
      </w:tr>
      <w:tr>
        <w:trPr>
          <w:trHeight w:val="248"/>
        </w:trPr>
        <w:tc>
          <w:tcPr>
            <w:tcW w:w="2660" w:type="dxa"/>
            <w:vAlign w:val="bottom"/>
          </w:tcPr>
          <w:p>
            <w:pPr>
              <w:ind w:left="20"/>
              <w:spacing w:after="0"/>
              <w:rPr>
                <w:sz w:val="20"/>
                <w:szCs w:val="20"/>
                <w:color w:val="auto"/>
              </w:rPr>
            </w:pPr>
            <w:r>
              <w:rPr>
                <w:rFonts w:ascii="Arial" w:cs="Arial" w:eastAsia="Arial" w:hAnsi="Arial"/>
                <w:sz w:val="13"/>
                <w:szCs w:val="13"/>
                <w:color w:val="auto"/>
              </w:rPr>
              <w:t>Balance, January 1, 2017</w:t>
            </w:r>
          </w:p>
        </w:tc>
        <w:tc>
          <w:tcPr>
            <w:tcW w:w="1120" w:type="dxa"/>
            <w:vAlign w:val="bottom"/>
            <w:tcBorders>
              <w:top w:val="single" w:sz="8" w:color="auto"/>
              <w:bottom w:val="single" w:sz="8" w:color="auto"/>
            </w:tcBorders>
          </w:tcPr>
          <w:p>
            <w:pPr>
              <w:jc w:val="right"/>
              <w:ind w:right="957"/>
              <w:spacing w:after="0"/>
              <w:rPr>
                <w:sz w:val="20"/>
                <w:szCs w:val="20"/>
                <w:color w:val="auto"/>
              </w:rPr>
            </w:pPr>
            <w:r>
              <w:rPr>
                <w:rFonts w:ascii="Arial" w:cs="Arial" w:eastAsia="Arial" w:hAnsi="Arial"/>
                <w:sz w:val="13"/>
                <w:szCs w:val="13"/>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(39)</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2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3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(118)</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(154)</w:t>
            </w:r>
          </w:p>
        </w:tc>
        <w:tc>
          <w:tcPr>
            <w:tcW w:w="0" w:type="dxa"/>
            <w:vAlign w:val="bottom"/>
          </w:tcPr>
          <w:p>
            <w:pPr>
              <w:spacing w:after="0"/>
              <w:rPr>
                <w:sz w:val="1"/>
                <w:szCs w:val="1"/>
                <w:color w:val="auto"/>
              </w:rPr>
            </w:pPr>
          </w:p>
        </w:tc>
      </w:tr>
      <w:tr>
        <w:trPr>
          <w:trHeight w:val="127"/>
        </w:trPr>
        <w:tc>
          <w:tcPr>
            <w:tcW w:w="2660" w:type="dxa"/>
            <w:vAlign w:val="bottom"/>
          </w:tcPr>
          <w:p>
            <w:pPr>
              <w:ind w:left="120"/>
              <w:spacing w:after="0" w:line="127" w:lineRule="exact"/>
              <w:rPr>
                <w:sz w:val="20"/>
                <w:szCs w:val="20"/>
                <w:color w:val="auto"/>
              </w:rPr>
            </w:pPr>
            <w:r>
              <w:rPr>
                <w:rFonts w:ascii="Arial" w:cs="Arial" w:eastAsia="Arial" w:hAnsi="Arial"/>
                <w:sz w:val="13"/>
                <w:szCs w:val="13"/>
                <w:color w:val="auto"/>
              </w:rPr>
              <w:t>Other comprehensive income (loss) before</w:t>
            </w:r>
          </w:p>
        </w:tc>
        <w:tc>
          <w:tcPr>
            <w:tcW w:w="1120" w:type="dxa"/>
            <w:vAlign w:val="bottom"/>
          </w:tcPr>
          <w:p>
            <w:pPr>
              <w:spacing w:after="0"/>
              <w:rPr>
                <w:sz w:val="11"/>
                <w:szCs w:val="11"/>
                <w:color w:val="auto"/>
              </w:rPr>
            </w:pPr>
          </w:p>
        </w:tc>
        <w:tc>
          <w:tcPr>
            <w:tcW w:w="300" w:type="dxa"/>
            <w:vAlign w:val="bottom"/>
            <w:vMerge w:val="restart"/>
          </w:tcPr>
          <w:p>
            <w:pPr>
              <w:jc w:val="right"/>
              <w:ind w:right="17"/>
              <w:spacing w:after="0"/>
              <w:rPr>
                <w:sz w:val="20"/>
                <w:szCs w:val="20"/>
                <w:color w:val="auto"/>
              </w:rPr>
            </w:pPr>
            <w:r>
              <w:rPr>
                <w:rFonts w:ascii="Arial" w:cs="Arial" w:eastAsia="Arial" w:hAnsi="Arial"/>
                <w:sz w:val="13"/>
                <w:szCs w:val="13"/>
                <w:color w:val="auto"/>
              </w:rPr>
              <w:t>73</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vMerge w:val="restart"/>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vMerge w:val="restart"/>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260" w:type="dxa"/>
            <w:vAlign w:val="bottom"/>
            <w:vMerge w:val="restart"/>
          </w:tcPr>
          <w:p>
            <w:pPr>
              <w:jc w:val="right"/>
              <w:ind w:right="17"/>
              <w:spacing w:after="0"/>
              <w:rPr>
                <w:sz w:val="20"/>
                <w:szCs w:val="20"/>
                <w:color w:val="auto"/>
              </w:rPr>
            </w:pPr>
            <w:r>
              <w:rPr>
                <w:rFonts w:ascii="Arial" w:cs="Arial" w:eastAsia="Arial" w:hAnsi="Arial"/>
                <w:sz w:val="13"/>
                <w:szCs w:val="13"/>
                <w:color w:val="auto"/>
              </w:rPr>
              <w:t>72</w:t>
            </w:r>
          </w:p>
        </w:tc>
        <w:tc>
          <w:tcPr>
            <w:tcW w:w="0" w:type="dxa"/>
            <w:vAlign w:val="bottom"/>
          </w:tcPr>
          <w:p>
            <w:pPr>
              <w:spacing w:after="0"/>
              <w:rPr>
                <w:sz w:val="1"/>
                <w:szCs w:val="1"/>
                <w:color w:val="auto"/>
              </w:rPr>
            </w:pPr>
          </w:p>
        </w:tc>
      </w:tr>
      <w:tr>
        <w:trPr>
          <w:trHeight w:val="170"/>
        </w:trPr>
        <w:tc>
          <w:tcPr>
            <w:tcW w:w="2660" w:type="dxa"/>
            <w:vAlign w:val="bottom"/>
          </w:tcPr>
          <w:p>
            <w:pPr>
              <w:ind w:left="300"/>
              <w:spacing w:after="0"/>
              <w:rPr>
                <w:sz w:val="20"/>
                <w:szCs w:val="20"/>
                <w:color w:val="auto"/>
              </w:rPr>
            </w:pPr>
            <w:r>
              <w:rPr>
                <w:rFonts w:ascii="Arial" w:cs="Arial" w:eastAsia="Arial" w:hAnsi="Arial"/>
                <w:sz w:val="13"/>
                <w:szCs w:val="13"/>
                <w:color w:val="auto"/>
              </w:rPr>
              <w:t>reclassifications</w:t>
            </w:r>
          </w:p>
        </w:tc>
        <w:tc>
          <w:tcPr>
            <w:tcW w:w="112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660" w:type="dxa"/>
            <w:vAlign w:val="bottom"/>
          </w:tcPr>
          <w:p>
            <w:pPr>
              <w:ind w:left="120"/>
              <w:spacing w:after="0"/>
              <w:rPr>
                <w:sz w:val="20"/>
                <w:szCs w:val="20"/>
                <w:color w:val="auto"/>
              </w:rPr>
            </w:pPr>
            <w:r>
              <w:rPr>
                <w:rFonts w:ascii="Arial" w:cs="Arial" w:eastAsia="Arial" w:hAnsi="Arial"/>
                <w:sz w:val="13"/>
                <w:szCs w:val="13"/>
                <w:color w:val="auto"/>
              </w:rPr>
              <w:t>Amounts reclassified from accumulated</w:t>
            </w:r>
          </w:p>
        </w:tc>
        <w:tc>
          <w:tcPr>
            <w:tcW w:w="1120" w:type="dxa"/>
            <w:vAlign w:val="bottom"/>
          </w:tcPr>
          <w:p>
            <w:pPr>
              <w:spacing w:after="0"/>
              <w:rPr>
                <w:sz w:val="13"/>
                <w:szCs w:val="13"/>
                <w:color w:val="auto"/>
              </w:rPr>
            </w:pPr>
          </w:p>
        </w:tc>
        <w:tc>
          <w:tcPr>
            <w:tcW w:w="42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1240" w:type="dxa"/>
            <w:vAlign w:val="bottom"/>
            <w:vMerge w:val="restart"/>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220" w:type="dxa"/>
            <w:vAlign w:val="bottom"/>
            <w:vMerge w:val="restart"/>
          </w:tcPr>
          <w:p>
            <w:pPr>
              <w:jc w:val="right"/>
              <w:ind w:right="1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vMerge w:val="restart"/>
          </w:tcPr>
          <w:p>
            <w:pPr>
              <w:jc w:val="right"/>
              <w:ind w:right="17"/>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78"/>
        </w:trPr>
        <w:tc>
          <w:tcPr>
            <w:tcW w:w="2660" w:type="dxa"/>
            <w:vAlign w:val="bottom"/>
          </w:tcPr>
          <w:p>
            <w:pPr>
              <w:ind w:left="300"/>
              <w:spacing w:after="0"/>
              <w:rPr>
                <w:sz w:val="20"/>
                <w:szCs w:val="20"/>
                <w:color w:val="auto"/>
              </w:rPr>
            </w:pPr>
            <w:r>
              <w:rPr>
                <w:rFonts w:ascii="Arial" w:cs="Arial" w:eastAsia="Arial" w:hAnsi="Arial"/>
                <w:sz w:val="13"/>
                <w:szCs w:val="13"/>
                <w:color w:val="auto"/>
              </w:rPr>
              <w:t>other comprehensive income (loss)</w:t>
            </w:r>
          </w:p>
        </w:tc>
        <w:tc>
          <w:tcPr>
            <w:tcW w:w="1120" w:type="dxa"/>
            <w:vAlign w:val="bottom"/>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660" w:type="dxa"/>
            <w:vAlign w:val="bottom"/>
          </w:tcPr>
          <w:p>
            <w:pPr>
              <w:ind w:left="20"/>
              <w:spacing w:after="0" w:line="127" w:lineRule="exact"/>
              <w:rPr>
                <w:sz w:val="20"/>
                <w:szCs w:val="20"/>
                <w:color w:val="auto"/>
              </w:rPr>
            </w:pPr>
            <w:r>
              <w:rPr>
                <w:rFonts w:ascii="Arial" w:cs="Arial" w:eastAsia="Arial" w:hAnsi="Arial"/>
                <w:sz w:val="13"/>
                <w:szCs w:val="13"/>
                <w:color w:val="auto"/>
              </w:rPr>
              <w:t>Net current-period other comprehensive</w:t>
            </w:r>
          </w:p>
        </w:tc>
        <w:tc>
          <w:tcPr>
            <w:tcW w:w="11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vMerge w:val="restart"/>
          </w:tcPr>
          <w:p>
            <w:pPr>
              <w:jc w:val="right"/>
              <w:ind w:right="17"/>
              <w:spacing w:after="0"/>
              <w:rPr>
                <w:sz w:val="20"/>
                <w:szCs w:val="20"/>
                <w:color w:val="auto"/>
              </w:rPr>
            </w:pPr>
            <w:r>
              <w:rPr>
                <w:rFonts w:ascii="Arial" w:cs="Arial" w:eastAsia="Arial" w:hAnsi="Arial"/>
                <w:sz w:val="13"/>
                <w:szCs w:val="13"/>
                <w:color w:val="auto"/>
              </w:rPr>
              <w:t>73</w:t>
            </w: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vMerge w:val="restart"/>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vMerge w:val="restart"/>
          </w:tcPr>
          <w:p>
            <w:pPr>
              <w:jc w:val="right"/>
              <w:ind w:right="1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vMerge w:val="restart"/>
          </w:tcPr>
          <w:p>
            <w:pPr>
              <w:jc w:val="right"/>
              <w:ind w:right="17"/>
              <w:spacing w:after="0"/>
              <w:rPr>
                <w:sz w:val="20"/>
                <w:szCs w:val="20"/>
                <w:color w:val="auto"/>
              </w:rPr>
            </w:pPr>
            <w:r>
              <w:rPr>
                <w:rFonts w:ascii="Arial" w:cs="Arial" w:eastAsia="Arial" w:hAnsi="Arial"/>
                <w:sz w:val="13"/>
                <w:szCs w:val="13"/>
                <w:color w:val="auto"/>
              </w:rPr>
              <w:t>76</w:t>
            </w:r>
          </w:p>
        </w:tc>
        <w:tc>
          <w:tcPr>
            <w:tcW w:w="0" w:type="dxa"/>
            <w:vAlign w:val="bottom"/>
          </w:tcPr>
          <w:p>
            <w:pPr>
              <w:spacing w:after="0"/>
              <w:rPr>
                <w:sz w:val="1"/>
                <w:szCs w:val="1"/>
                <w:color w:val="auto"/>
              </w:rPr>
            </w:pPr>
          </w:p>
        </w:tc>
      </w:tr>
      <w:tr>
        <w:trPr>
          <w:trHeight w:val="178"/>
        </w:trPr>
        <w:tc>
          <w:tcPr>
            <w:tcW w:w="2660" w:type="dxa"/>
            <w:vAlign w:val="bottom"/>
          </w:tcPr>
          <w:p>
            <w:pPr>
              <w:ind w:left="180"/>
              <w:spacing w:after="0"/>
              <w:rPr>
                <w:sz w:val="20"/>
                <w:szCs w:val="20"/>
                <w:color w:val="auto"/>
              </w:rPr>
            </w:pPr>
            <w:r>
              <w:rPr>
                <w:rFonts w:ascii="Arial" w:cs="Arial" w:eastAsia="Arial" w:hAnsi="Arial"/>
                <w:sz w:val="13"/>
                <w:szCs w:val="13"/>
                <w:color w:val="auto"/>
              </w:rPr>
              <w:t>income (loss)</w:t>
            </w:r>
          </w:p>
        </w:tc>
        <w:tc>
          <w:tcPr>
            <w:tcW w:w="1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60" w:type="dxa"/>
            <w:vAlign w:val="bottom"/>
          </w:tcPr>
          <w:p>
            <w:pPr>
              <w:ind w:left="20"/>
              <w:spacing w:after="0"/>
              <w:rPr>
                <w:sz w:val="20"/>
                <w:szCs w:val="20"/>
                <w:color w:val="auto"/>
              </w:rPr>
            </w:pPr>
            <w:r>
              <w:rPr>
                <w:rFonts w:ascii="Arial" w:cs="Arial" w:eastAsia="Arial" w:hAnsi="Arial"/>
                <w:sz w:val="13"/>
                <w:szCs w:val="13"/>
                <w:color w:val="auto"/>
              </w:rPr>
              <w:t>Balance, June 30, 2017</w:t>
            </w:r>
          </w:p>
        </w:tc>
        <w:tc>
          <w:tcPr>
            <w:tcW w:w="1120" w:type="dxa"/>
            <w:vAlign w:val="bottom"/>
            <w:tcBorders>
              <w:bottom w:val="single" w:sz="8" w:color="auto"/>
            </w:tcBorders>
          </w:tcPr>
          <w:p>
            <w:pPr>
              <w:jc w:val="right"/>
              <w:ind w:right="957"/>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34</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(115)</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2660" w:type="dxa"/>
            <w:vAlign w:val="bottom"/>
          </w:tcPr>
          <w:p>
            <w:pPr>
              <w:ind w:left="20"/>
              <w:spacing w:after="0"/>
              <w:rPr>
                <w:sz w:val="20"/>
                <w:szCs w:val="20"/>
                <w:color w:val="auto"/>
              </w:rPr>
            </w:pPr>
            <w:r>
              <w:rPr>
                <w:rFonts w:ascii="Arial" w:cs="Arial" w:eastAsia="Arial" w:hAnsi="Arial"/>
                <w:sz w:val="13"/>
                <w:szCs w:val="13"/>
                <w:color w:val="auto"/>
              </w:rPr>
              <w:t>Balance, January 1, 2016</w:t>
            </w:r>
          </w:p>
        </w:tc>
        <w:tc>
          <w:tcPr>
            <w:tcW w:w="1120" w:type="dxa"/>
            <w:vAlign w:val="bottom"/>
            <w:tcBorders>
              <w:bottom w:val="single" w:sz="8" w:color="auto"/>
            </w:tcBorders>
          </w:tcPr>
          <w:p>
            <w:pPr>
              <w:jc w:val="right"/>
              <w:ind w:right="957"/>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w:t>
            </w:r>
          </w:p>
        </w:tc>
        <w:tc>
          <w:tcPr>
            <w:tcW w:w="120" w:type="dxa"/>
            <w:vAlign w:val="bottom"/>
          </w:tcPr>
          <w:p>
            <w:pPr>
              <w:spacing w:after="0"/>
              <w:rPr>
                <w:sz w:val="24"/>
                <w:szCs w:val="24"/>
                <w:color w:val="auto"/>
              </w:rPr>
            </w:pP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2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w:t>
            </w:r>
          </w:p>
        </w:tc>
        <w:tc>
          <w:tcPr>
            <w:tcW w:w="12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(147)</w:t>
            </w:r>
          </w:p>
        </w:tc>
        <w:tc>
          <w:tcPr>
            <w:tcW w:w="0" w:type="dxa"/>
            <w:vAlign w:val="bottom"/>
          </w:tcPr>
          <w:p>
            <w:pPr>
              <w:spacing w:after="0"/>
              <w:rPr>
                <w:sz w:val="1"/>
                <w:szCs w:val="1"/>
                <w:color w:val="auto"/>
              </w:rPr>
            </w:pPr>
          </w:p>
        </w:tc>
      </w:tr>
      <w:tr>
        <w:trPr>
          <w:trHeight w:val="127"/>
        </w:trPr>
        <w:tc>
          <w:tcPr>
            <w:tcW w:w="2660" w:type="dxa"/>
            <w:vAlign w:val="bottom"/>
          </w:tcPr>
          <w:p>
            <w:pPr>
              <w:ind w:left="120"/>
              <w:spacing w:after="0" w:line="127" w:lineRule="exact"/>
              <w:rPr>
                <w:sz w:val="20"/>
                <w:szCs w:val="20"/>
                <w:color w:val="auto"/>
              </w:rPr>
            </w:pPr>
            <w:r>
              <w:rPr>
                <w:rFonts w:ascii="Arial" w:cs="Arial" w:eastAsia="Arial" w:hAnsi="Arial"/>
                <w:sz w:val="13"/>
                <w:szCs w:val="13"/>
                <w:color w:val="auto"/>
              </w:rPr>
              <w:t>Other comprehensive income (loss) before</w:t>
            </w:r>
          </w:p>
        </w:tc>
        <w:tc>
          <w:tcPr>
            <w:tcW w:w="1120" w:type="dxa"/>
            <w:vAlign w:val="bottom"/>
          </w:tcPr>
          <w:p>
            <w:pPr>
              <w:spacing w:after="0"/>
              <w:rPr>
                <w:sz w:val="11"/>
                <w:szCs w:val="11"/>
                <w:color w:val="auto"/>
              </w:rPr>
            </w:pPr>
          </w:p>
        </w:tc>
        <w:tc>
          <w:tcPr>
            <w:tcW w:w="300" w:type="dxa"/>
            <w:vAlign w:val="bottom"/>
            <w:vMerge w:val="restart"/>
          </w:tcPr>
          <w:p>
            <w:pPr>
              <w:jc w:val="right"/>
              <w:ind w:right="17"/>
              <w:spacing w:after="0"/>
              <w:rPr>
                <w:sz w:val="20"/>
                <w:szCs w:val="20"/>
                <w:color w:val="auto"/>
              </w:rPr>
            </w:pPr>
            <w:r>
              <w:rPr>
                <w:rFonts w:ascii="Arial" w:cs="Arial" w:eastAsia="Arial" w:hAnsi="Arial"/>
                <w:sz w:val="13"/>
                <w:szCs w:val="13"/>
                <w:color w:val="auto"/>
              </w:rPr>
              <w:t>80</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vMerge w:val="restart"/>
          </w:tcPr>
          <w:p>
            <w:pPr>
              <w:jc w:val="right"/>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134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260" w:type="dxa"/>
            <w:vAlign w:val="bottom"/>
            <w:vMerge w:val="restart"/>
          </w:tcPr>
          <w:p>
            <w:pPr>
              <w:jc w:val="right"/>
              <w:ind w:right="17"/>
              <w:spacing w:after="0"/>
              <w:rPr>
                <w:sz w:val="20"/>
                <w:szCs w:val="20"/>
                <w:color w:val="auto"/>
              </w:rPr>
            </w:pPr>
            <w:r>
              <w:rPr>
                <w:rFonts w:ascii="Arial" w:cs="Arial" w:eastAsia="Arial" w:hAnsi="Arial"/>
                <w:sz w:val="13"/>
                <w:szCs w:val="13"/>
                <w:color w:val="auto"/>
              </w:rPr>
              <w:t>70</w:t>
            </w:r>
          </w:p>
        </w:tc>
        <w:tc>
          <w:tcPr>
            <w:tcW w:w="0" w:type="dxa"/>
            <w:vAlign w:val="bottom"/>
          </w:tcPr>
          <w:p>
            <w:pPr>
              <w:spacing w:after="0"/>
              <w:rPr>
                <w:sz w:val="1"/>
                <w:szCs w:val="1"/>
                <w:color w:val="auto"/>
              </w:rPr>
            </w:pPr>
          </w:p>
        </w:tc>
      </w:tr>
      <w:tr>
        <w:trPr>
          <w:trHeight w:val="170"/>
        </w:trPr>
        <w:tc>
          <w:tcPr>
            <w:tcW w:w="2660" w:type="dxa"/>
            <w:vAlign w:val="bottom"/>
          </w:tcPr>
          <w:p>
            <w:pPr>
              <w:ind w:left="300"/>
              <w:spacing w:after="0"/>
              <w:rPr>
                <w:sz w:val="20"/>
                <w:szCs w:val="20"/>
                <w:color w:val="auto"/>
              </w:rPr>
            </w:pPr>
            <w:r>
              <w:rPr>
                <w:rFonts w:ascii="Arial" w:cs="Arial" w:eastAsia="Arial" w:hAnsi="Arial"/>
                <w:sz w:val="13"/>
                <w:szCs w:val="13"/>
                <w:color w:val="auto"/>
              </w:rPr>
              <w:t>reclassifications</w:t>
            </w:r>
          </w:p>
        </w:tc>
        <w:tc>
          <w:tcPr>
            <w:tcW w:w="112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660" w:type="dxa"/>
            <w:vAlign w:val="bottom"/>
          </w:tcPr>
          <w:p>
            <w:pPr>
              <w:ind w:left="120"/>
              <w:spacing w:after="0"/>
              <w:rPr>
                <w:sz w:val="20"/>
                <w:szCs w:val="20"/>
                <w:color w:val="auto"/>
              </w:rPr>
            </w:pPr>
            <w:r>
              <w:rPr>
                <w:rFonts w:ascii="Arial" w:cs="Arial" w:eastAsia="Arial" w:hAnsi="Arial"/>
                <w:sz w:val="13"/>
                <w:szCs w:val="13"/>
                <w:color w:val="auto"/>
              </w:rPr>
              <w:t>Amounts reclassified from accumulated</w:t>
            </w:r>
          </w:p>
        </w:tc>
        <w:tc>
          <w:tcPr>
            <w:tcW w:w="1120" w:type="dxa"/>
            <w:vAlign w:val="bottom"/>
          </w:tcPr>
          <w:p>
            <w:pPr>
              <w:spacing w:after="0"/>
              <w:rPr>
                <w:sz w:val="13"/>
                <w:szCs w:val="13"/>
                <w:color w:val="auto"/>
              </w:rPr>
            </w:pPr>
          </w:p>
        </w:tc>
        <w:tc>
          <w:tcPr>
            <w:tcW w:w="30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vMerge w:val="restart"/>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vMerge w:val="restart"/>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vMerge w:val="restart"/>
          </w:tcPr>
          <w:p>
            <w:pPr>
              <w:jc w:val="right"/>
              <w:ind w:right="17"/>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78"/>
        </w:trPr>
        <w:tc>
          <w:tcPr>
            <w:tcW w:w="2660" w:type="dxa"/>
            <w:vAlign w:val="bottom"/>
          </w:tcPr>
          <w:p>
            <w:pPr>
              <w:ind w:left="300"/>
              <w:spacing w:after="0"/>
              <w:rPr>
                <w:sz w:val="20"/>
                <w:szCs w:val="20"/>
                <w:color w:val="auto"/>
              </w:rPr>
            </w:pPr>
            <w:r>
              <w:rPr>
                <w:rFonts w:ascii="Arial" w:cs="Arial" w:eastAsia="Arial" w:hAnsi="Arial"/>
                <w:sz w:val="13"/>
                <w:szCs w:val="13"/>
                <w:color w:val="auto"/>
              </w:rPr>
              <w:t>other comprehensive income (loss)</w:t>
            </w:r>
          </w:p>
        </w:tc>
        <w:tc>
          <w:tcPr>
            <w:tcW w:w="1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660" w:type="dxa"/>
            <w:vAlign w:val="bottom"/>
          </w:tcPr>
          <w:p>
            <w:pPr>
              <w:ind w:left="20"/>
              <w:spacing w:after="0" w:line="127" w:lineRule="exact"/>
              <w:rPr>
                <w:sz w:val="20"/>
                <w:szCs w:val="20"/>
                <w:color w:val="auto"/>
              </w:rPr>
            </w:pPr>
            <w:r>
              <w:rPr>
                <w:rFonts w:ascii="Arial" w:cs="Arial" w:eastAsia="Arial" w:hAnsi="Arial"/>
                <w:sz w:val="13"/>
                <w:szCs w:val="13"/>
                <w:color w:val="auto"/>
              </w:rPr>
              <w:t>Net current-period other comprehensive</w:t>
            </w:r>
          </w:p>
        </w:tc>
        <w:tc>
          <w:tcPr>
            <w:tcW w:w="1120" w:type="dxa"/>
            <w:vAlign w:val="bottom"/>
          </w:tcPr>
          <w:p>
            <w:pPr>
              <w:spacing w:after="0"/>
              <w:rPr>
                <w:sz w:val="11"/>
                <w:szCs w:val="11"/>
                <w:color w:val="auto"/>
              </w:rPr>
            </w:pPr>
          </w:p>
        </w:tc>
        <w:tc>
          <w:tcPr>
            <w:tcW w:w="300" w:type="dxa"/>
            <w:vAlign w:val="bottom"/>
            <w:vMerge w:val="restart"/>
          </w:tcPr>
          <w:p>
            <w:pPr>
              <w:jc w:val="right"/>
              <w:ind w:right="17"/>
              <w:spacing w:after="0"/>
              <w:rPr>
                <w:sz w:val="20"/>
                <w:szCs w:val="20"/>
                <w:color w:val="auto"/>
              </w:rPr>
            </w:pPr>
            <w:r>
              <w:rPr>
                <w:rFonts w:ascii="Arial" w:cs="Arial" w:eastAsia="Arial" w:hAnsi="Arial"/>
                <w:sz w:val="13"/>
                <w:szCs w:val="13"/>
                <w:color w:val="auto"/>
              </w:rPr>
              <w:t>80</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vMerge w:val="restart"/>
          </w:tcPr>
          <w:p>
            <w:pPr>
              <w:jc w:val="right"/>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vMerge w:val="restart"/>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vMerge w:val="restart"/>
          </w:tcPr>
          <w:p>
            <w:pPr>
              <w:jc w:val="right"/>
              <w:ind w:right="17"/>
              <w:spacing w:after="0"/>
              <w:rPr>
                <w:sz w:val="20"/>
                <w:szCs w:val="20"/>
                <w:color w:val="auto"/>
              </w:rPr>
            </w:pPr>
            <w:r>
              <w:rPr>
                <w:rFonts w:ascii="Arial" w:cs="Arial" w:eastAsia="Arial" w:hAnsi="Arial"/>
                <w:sz w:val="13"/>
                <w:szCs w:val="13"/>
                <w:color w:val="auto"/>
              </w:rPr>
              <w:t>74</w:t>
            </w:r>
          </w:p>
        </w:tc>
        <w:tc>
          <w:tcPr>
            <w:tcW w:w="0" w:type="dxa"/>
            <w:vAlign w:val="bottom"/>
          </w:tcPr>
          <w:p>
            <w:pPr>
              <w:spacing w:after="0"/>
              <w:rPr>
                <w:sz w:val="1"/>
                <w:szCs w:val="1"/>
                <w:color w:val="auto"/>
              </w:rPr>
            </w:pPr>
          </w:p>
        </w:tc>
      </w:tr>
      <w:tr>
        <w:trPr>
          <w:trHeight w:val="178"/>
        </w:trPr>
        <w:tc>
          <w:tcPr>
            <w:tcW w:w="2660" w:type="dxa"/>
            <w:vAlign w:val="bottom"/>
          </w:tcPr>
          <w:p>
            <w:pPr>
              <w:ind w:left="180"/>
              <w:spacing w:after="0"/>
              <w:rPr>
                <w:sz w:val="20"/>
                <w:szCs w:val="20"/>
                <w:color w:val="auto"/>
              </w:rPr>
            </w:pPr>
            <w:r>
              <w:rPr>
                <w:rFonts w:ascii="Arial" w:cs="Arial" w:eastAsia="Arial" w:hAnsi="Arial"/>
                <w:sz w:val="13"/>
                <w:szCs w:val="13"/>
                <w:color w:val="auto"/>
              </w:rPr>
              <w:t>income (loss)</w:t>
            </w:r>
          </w:p>
        </w:tc>
        <w:tc>
          <w:tcPr>
            <w:tcW w:w="1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60" w:type="dxa"/>
            <w:vAlign w:val="bottom"/>
          </w:tcPr>
          <w:p>
            <w:pPr>
              <w:ind w:left="20"/>
              <w:spacing w:after="0"/>
              <w:rPr>
                <w:sz w:val="20"/>
                <w:szCs w:val="20"/>
                <w:color w:val="auto"/>
              </w:rPr>
            </w:pPr>
            <w:r>
              <w:rPr>
                <w:rFonts w:ascii="Arial" w:cs="Arial" w:eastAsia="Arial" w:hAnsi="Arial"/>
                <w:sz w:val="13"/>
                <w:szCs w:val="13"/>
                <w:color w:val="auto"/>
              </w:rPr>
              <w:t>Balance, June 30, 2016</w:t>
            </w:r>
          </w:p>
        </w:tc>
        <w:tc>
          <w:tcPr>
            <w:tcW w:w="1120" w:type="dxa"/>
            <w:vAlign w:val="bottom"/>
          </w:tcPr>
          <w:p>
            <w:pPr>
              <w:jc w:val="right"/>
              <w:ind w:right="957"/>
              <w:spacing w:after="0"/>
              <w:rPr>
                <w:sz w:val="20"/>
                <w:szCs w:val="20"/>
                <w:color w:val="auto"/>
              </w:rPr>
            </w:pPr>
            <w:r>
              <w:rPr>
                <w:rFonts w:ascii="Arial" w:cs="Arial" w:eastAsia="Arial" w:hAnsi="Arial"/>
                <w:sz w:val="13"/>
                <w:szCs w:val="13"/>
                <w:color w:val="auto"/>
              </w:rPr>
              <w:t>$</w:t>
            </w:r>
          </w:p>
        </w:tc>
        <w:tc>
          <w:tcPr>
            <w:tcW w:w="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(63)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(73)</w:t>
            </w:r>
          </w:p>
        </w:tc>
        <w:tc>
          <w:tcPr>
            <w:tcW w:w="0" w:type="dxa"/>
            <w:vAlign w:val="bottom"/>
          </w:tcPr>
          <w:p>
            <w:pPr>
              <w:spacing w:after="0"/>
              <w:rPr>
                <w:sz w:val="1"/>
                <w:szCs w:val="1"/>
                <w:color w:val="auto"/>
              </w:rPr>
            </w:pPr>
          </w:p>
        </w:tc>
      </w:tr>
      <w:tr>
        <w:trPr>
          <w:trHeight w:val="20"/>
        </w:trPr>
        <w:tc>
          <w:tcPr>
            <w:tcW w:w="266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660" w:type="dxa"/>
            <w:vAlign w:val="bottom"/>
            <w:vMerge w:val="continue"/>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left="500"/>
        <w:spacing w:after="0" w:line="239" w:lineRule="auto"/>
        <w:rPr>
          <w:sz w:val="20"/>
          <w:szCs w:val="20"/>
          <w:color w:val="auto"/>
        </w:rPr>
      </w:pPr>
      <w:r>
        <w:rPr>
          <w:rFonts w:ascii="Arial" w:cs="Arial" w:eastAsia="Arial" w:hAnsi="Arial"/>
          <w:sz w:val="14"/>
          <w:szCs w:val="14"/>
          <w:color w:val="auto"/>
        </w:rPr>
        <w:t>All components of accumulated other comprehensive income (loss) are net of tax, except currency translation adjustments, which exclude income taxes related to indefinite investments in foreign subsidiaries and include a $52 million gain, net of tax, as of June 30, 2017 related to the Company’s hedge of its net investment in euro-denominated foreign operations (see Note 14 - Financial Instruments).</w:t>
      </w:r>
    </w:p>
    <w:p>
      <w:pPr>
        <w:spacing w:after="0" w:line="1" w:lineRule="exact"/>
        <w:rPr>
          <w:sz w:val="20"/>
          <w:szCs w:val="20"/>
          <w:color w:val="auto"/>
        </w:rPr>
      </w:pPr>
    </w:p>
    <w:p>
      <w:pPr>
        <w:ind w:left="820" w:right="140" w:hanging="326"/>
        <w:spacing w:after="0" w:line="232" w:lineRule="auto"/>
        <w:tabs>
          <w:tab w:leader="none" w:pos="820" w:val="left"/>
        </w:tabs>
        <w:numPr>
          <w:ilvl w:val="0"/>
          <w:numId w:val="26"/>
        </w:numPr>
        <w:rPr>
          <w:rFonts w:ascii="Arial" w:cs="Arial" w:eastAsia="Arial" w:hAnsi="Arial"/>
          <w:sz w:val="18"/>
          <w:szCs w:val="18"/>
          <w:color w:val="auto"/>
          <w:vertAlign w:val="superscript"/>
        </w:rPr>
      </w:pPr>
      <w:r>
        <w:rPr>
          <w:rFonts w:ascii="Arial" w:cs="Arial" w:eastAsia="Arial" w:hAnsi="Arial"/>
          <w:sz w:val="14"/>
          <w:szCs w:val="14"/>
          <w:color w:val="auto"/>
        </w:rPr>
        <w:t>For the three and six months ended June 30, 2017, amounts reclassified from accumulated other comprehensive income (loss) into corporate interest expense were $1 million ($0 million, net of tax) and $2 million ($1 million, net of tax), respectively. For the three and six months ended June 30, 2016, amounts reclassified from accumulated other comprehensive income (loss) into corporate interest expense were $2 million ($1 million, net of tax) and $4 million ($2 million, net of tax), respectively.</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16" w:right="25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63" w:lineRule="exact"/>
        <w:rPr>
          <w:sz w:val="20"/>
          <w:szCs w:val="20"/>
          <w:color w:val="auto"/>
        </w:rPr>
      </w:pPr>
    </w:p>
    <w:p>
      <w:pPr>
        <w:ind w:left="820" w:hanging="326"/>
        <w:spacing w:after="0" w:line="236" w:lineRule="auto"/>
        <w:tabs>
          <w:tab w:leader="none" w:pos="820" w:val="left"/>
        </w:tabs>
        <w:numPr>
          <w:ilvl w:val="1"/>
          <w:numId w:val="27"/>
        </w:numPr>
        <w:rPr>
          <w:rFonts w:ascii="Arial" w:cs="Arial" w:eastAsia="Arial" w:hAnsi="Arial"/>
          <w:sz w:val="18"/>
          <w:szCs w:val="18"/>
          <w:color w:val="auto"/>
          <w:vertAlign w:val="superscript"/>
        </w:rPr>
      </w:pPr>
      <w:r>
        <w:rPr>
          <w:rFonts w:ascii="Arial" w:cs="Arial" w:eastAsia="Arial" w:hAnsi="Arial"/>
          <w:sz w:val="14"/>
          <w:szCs w:val="14"/>
          <w:color w:val="auto"/>
        </w:rPr>
        <w:t>For the three and six months ended June 30, 2017, amounts reclassified from accumulated other comprehensive income (loss) into selling, general and administrative expenses were $2 million ($2 million, net of tax) and $4 million ($3 million, net of tax), respectively. For the three and six months ended June 30, 2016, amounts reclassified from accumulated other comprehensive income (loss) into selling, general and administrative expenses were $2 million ($1 million, net of tax) and $3 million ($2 million, net of tax), respectively.</w:t>
      </w:r>
    </w:p>
    <w:p>
      <w:pPr>
        <w:spacing w:after="0" w:line="120" w:lineRule="exact"/>
        <w:rPr>
          <w:rFonts w:ascii="Arial" w:cs="Arial" w:eastAsia="Arial" w:hAnsi="Arial"/>
          <w:sz w:val="18"/>
          <w:szCs w:val="18"/>
          <w:color w:val="auto"/>
          <w:vertAlign w:val="superscript"/>
        </w:rPr>
      </w:pPr>
    </w:p>
    <w:p>
      <w:pPr>
        <w:ind w:left="500" w:hanging="492"/>
        <w:spacing w:after="0"/>
        <w:tabs>
          <w:tab w:leader="none" w:pos="50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7" w:lineRule="exact"/>
        <w:rPr>
          <w:rFonts w:ascii="Arial" w:cs="Arial" w:eastAsia="Arial" w:hAnsi="Arial"/>
          <w:sz w:val="18"/>
          <w:szCs w:val="18"/>
          <w:b w:val="1"/>
          <w:bCs w:val="1"/>
          <w:color w:val="auto"/>
        </w:rPr>
      </w:pPr>
    </w:p>
    <w:p>
      <w:pPr>
        <w:ind w:left="50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The Company recorded stock-based compensation expense of $4 million and $6 million ($3 million and $4 million, net of tax) during the three months ended June 30, 2017 and 2016, respectively, and $5 million and $14 million ($3 million and $9 million, net of tax) during the six months ended June 30, 2017 and 2016, respectively.</w:t>
      </w:r>
    </w:p>
    <w:p>
      <w:pPr>
        <w:spacing w:after="0" w:line="163" w:lineRule="exact"/>
        <w:rPr>
          <w:rFonts w:ascii="Arial" w:cs="Arial" w:eastAsia="Arial" w:hAnsi="Arial"/>
          <w:sz w:val="18"/>
          <w:szCs w:val="18"/>
          <w:b w:val="1"/>
          <w:bCs w:val="1"/>
          <w:color w:val="auto"/>
        </w:rPr>
      </w:pPr>
    </w:p>
    <w:p>
      <w:pPr>
        <w:ind w:left="5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uses a Monte Carlo simulation model to calculate the fair value of stock unit awards containing a market condition. For the six months ended June 30, 2017, the Company did not issue any stock unit awards containing a market condition. For the six months ended June 30, 2016, the Company’s weighted average assumptions for expected stock price volatility, risk-free interest rate, valuation period and dividend yield were 46%, 0.99%, 3 years, and 0.0%, respectively.</w:t>
      </w:r>
    </w:p>
    <w:p>
      <w:pPr>
        <w:spacing w:after="0" w:line="169"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activity related to the Company’s restricted stock units (“RSUs”) consisted of (in thousands of shares):</w:t>
      </w:r>
    </w:p>
    <w:p>
      <w:pPr>
        <w:spacing w:after="0" w:line="174" w:lineRule="exact"/>
        <w:rPr>
          <w:sz w:val="20"/>
          <w:szCs w:val="20"/>
          <w:color w:val="auto"/>
        </w:rPr>
      </w:pPr>
    </w:p>
    <w:tbl>
      <w:tblPr>
        <w:tblLayout w:type="fixed"/>
        <w:tblInd w:w="500" w:type="dxa"/>
        <w:tblCellMar>
          <w:top w:w="0" w:type="dxa"/>
          <w:left w:w="0" w:type="dxa"/>
          <w:bottom w:w="0" w:type="dxa"/>
          <w:right w:w="0" w:type="dxa"/>
        </w:tblCellMar>
      </w:tblPr>
      <w:tr>
        <w:trPr>
          <w:trHeight w:val="189"/>
        </w:trPr>
        <w:tc>
          <w:tcPr>
            <w:tcW w:w="46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80" w:type="dxa"/>
            <w:vAlign w:val="bottom"/>
            <w:gridSpan w:val="4"/>
          </w:tcPr>
          <w:p>
            <w:pPr>
              <w:jc w:val="right"/>
              <w:ind w:right="39"/>
              <w:spacing w:after="0"/>
              <w:rPr>
                <w:sz w:val="20"/>
                <w:szCs w:val="20"/>
                <w:color w:val="auto"/>
              </w:rPr>
            </w:pPr>
            <w:r>
              <w:rPr>
                <w:rFonts w:ascii="Arial" w:cs="Arial" w:eastAsia="Arial" w:hAnsi="Arial"/>
                <w:sz w:val="16"/>
                <w:szCs w:val="16"/>
                <w:b w:val="1"/>
                <w:bCs w:val="1"/>
                <w:color w:val="auto"/>
              </w:rPr>
              <w:t>Performance-Based and Market-</w:t>
            </w:r>
          </w:p>
        </w:tc>
        <w:tc>
          <w:tcPr>
            <w:tcW w:w="0" w:type="dxa"/>
            <w:vAlign w:val="bottom"/>
          </w:tcPr>
          <w:p>
            <w:pPr>
              <w:spacing w:after="0"/>
              <w:rPr>
                <w:sz w:val="1"/>
                <w:szCs w:val="1"/>
                <w:color w:val="auto"/>
              </w:rPr>
            </w:pPr>
          </w:p>
        </w:tc>
      </w:tr>
      <w:tr>
        <w:trPr>
          <w:trHeight w:val="232"/>
        </w:trPr>
        <w:tc>
          <w:tcPr>
            <w:tcW w:w="4660" w:type="dxa"/>
            <w:vAlign w:val="bottom"/>
          </w:tcPr>
          <w:p>
            <w:pPr>
              <w:spacing w:after="0"/>
              <w:rPr>
                <w:sz w:val="20"/>
                <w:szCs w:val="20"/>
                <w:color w:val="auto"/>
              </w:rPr>
            </w:pPr>
          </w:p>
        </w:tc>
        <w:tc>
          <w:tcPr>
            <w:tcW w:w="2780" w:type="dxa"/>
            <w:vAlign w:val="bottom"/>
            <w:tcBorders>
              <w:bottom w:val="single" w:sz="8" w:color="auto"/>
            </w:tcBorders>
            <w:gridSpan w:val="4"/>
          </w:tcPr>
          <w:p>
            <w:pPr>
              <w:jc w:val="right"/>
              <w:ind w:right="599"/>
              <w:spacing w:after="0"/>
              <w:rPr>
                <w:sz w:val="20"/>
                <w:szCs w:val="20"/>
                <w:color w:val="auto"/>
              </w:rPr>
            </w:pPr>
            <w:r>
              <w:rPr>
                <w:rFonts w:ascii="Arial" w:cs="Arial" w:eastAsia="Arial" w:hAnsi="Arial"/>
                <w:sz w:val="16"/>
                <w:szCs w:val="16"/>
                <w:b w:val="1"/>
                <w:bCs w:val="1"/>
                <w:color w:val="auto"/>
              </w:rPr>
              <w:t>Time-Based RSUs</w:t>
            </w:r>
          </w:p>
        </w:tc>
        <w:tc>
          <w:tcPr>
            <w:tcW w:w="100" w:type="dxa"/>
            <w:vAlign w:val="bottom"/>
          </w:tcPr>
          <w:p>
            <w:pPr>
              <w:spacing w:after="0"/>
              <w:rPr>
                <w:sz w:val="20"/>
                <w:szCs w:val="20"/>
                <w:color w:val="auto"/>
              </w:rPr>
            </w:pPr>
          </w:p>
        </w:tc>
        <w:tc>
          <w:tcPr>
            <w:tcW w:w="2780" w:type="dxa"/>
            <w:vAlign w:val="bottom"/>
            <w:tcBorders>
              <w:bottom w:val="single" w:sz="8" w:color="auto"/>
            </w:tcBorders>
            <w:gridSpan w:val="4"/>
          </w:tcPr>
          <w:p>
            <w:pPr>
              <w:jc w:val="right"/>
              <w:ind w:right="819"/>
              <w:spacing w:after="0"/>
              <w:rPr>
                <w:sz w:val="20"/>
                <w:szCs w:val="20"/>
                <w:color w:val="auto"/>
              </w:rPr>
            </w:pPr>
            <w:r>
              <w:rPr>
                <w:rFonts w:ascii="Arial" w:cs="Arial" w:eastAsia="Arial" w:hAnsi="Arial"/>
                <w:sz w:val="16"/>
                <w:szCs w:val="16"/>
                <w:b w:val="1"/>
                <w:bCs w:val="1"/>
                <w:color w:val="auto"/>
              </w:rPr>
              <w:t>Based RSUs</w:t>
            </w:r>
          </w:p>
        </w:tc>
        <w:tc>
          <w:tcPr>
            <w:tcW w:w="0" w:type="dxa"/>
            <w:vAlign w:val="bottom"/>
          </w:tcPr>
          <w:p>
            <w:pPr>
              <w:spacing w:after="0"/>
              <w:rPr>
                <w:sz w:val="1"/>
                <w:szCs w:val="1"/>
                <w:color w:val="auto"/>
              </w:rPr>
            </w:pPr>
          </w:p>
        </w:tc>
      </w:tr>
      <w:tr>
        <w:trPr>
          <w:trHeight w:val="193"/>
        </w:trPr>
        <w:tc>
          <w:tcPr>
            <w:tcW w:w="46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Weighted</w:t>
            </w: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center"/>
              <w:ind w:right="39"/>
              <w:spacing w:after="0"/>
              <w:rPr>
                <w:sz w:val="20"/>
                <w:szCs w:val="20"/>
                <w:color w:val="auto"/>
              </w:rPr>
            </w:pPr>
            <w:r>
              <w:rPr>
                <w:rFonts w:ascii="Arial" w:cs="Arial" w:eastAsia="Arial" w:hAnsi="Arial"/>
                <w:sz w:val="16"/>
                <w:szCs w:val="16"/>
                <w:b w:val="1"/>
                <w:bCs w:val="1"/>
                <w:color w:val="auto"/>
              </w:rPr>
              <w:t>Weighted</w:t>
            </w:r>
          </w:p>
        </w:tc>
        <w:tc>
          <w:tcPr>
            <w:tcW w:w="0" w:type="dxa"/>
            <w:vAlign w:val="bottom"/>
          </w:tcPr>
          <w:p>
            <w:pPr>
              <w:spacing w:after="0"/>
              <w:rPr>
                <w:sz w:val="1"/>
                <w:szCs w:val="1"/>
                <w:color w:val="auto"/>
              </w:rPr>
            </w:pPr>
          </w:p>
        </w:tc>
      </w:tr>
      <w:tr>
        <w:trPr>
          <w:trHeight w:val="189"/>
        </w:trPr>
        <w:tc>
          <w:tcPr>
            <w:tcW w:w="46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Average Grant</w:t>
            </w: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center"/>
              <w:ind w:right="39"/>
              <w:spacing w:after="0"/>
              <w:rPr>
                <w:sz w:val="20"/>
                <w:szCs w:val="20"/>
                <w:color w:val="auto"/>
              </w:rPr>
            </w:pPr>
            <w:r>
              <w:rPr>
                <w:rFonts w:ascii="Arial" w:cs="Arial" w:eastAsia="Arial" w:hAnsi="Arial"/>
                <w:sz w:val="16"/>
                <w:szCs w:val="16"/>
                <w:b w:val="1"/>
                <w:bCs w:val="1"/>
                <w:color w:val="auto"/>
                <w:w w:val="99"/>
              </w:rPr>
              <w:t>Average Grant</w:t>
            </w:r>
          </w:p>
        </w:tc>
        <w:tc>
          <w:tcPr>
            <w:tcW w:w="0" w:type="dxa"/>
            <w:vAlign w:val="bottom"/>
          </w:tcPr>
          <w:p>
            <w:pPr>
              <w:spacing w:after="0"/>
              <w:rPr>
                <w:sz w:val="1"/>
                <w:szCs w:val="1"/>
                <w:color w:val="auto"/>
              </w:rPr>
            </w:pPr>
          </w:p>
        </w:tc>
      </w:tr>
      <w:tr>
        <w:trPr>
          <w:trHeight w:val="189"/>
        </w:trPr>
        <w:tc>
          <w:tcPr>
            <w:tcW w:w="4660" w:type="dxa"/>
            <w:vAlign w:val="bottom"/>
          </w:tcPr>
          <w:p>
            <w:pPr>
              <w:spacing w:after="0"/>
              <w:rPr>
                <w:sz w:val="16"/>
                <w:szCs w:val="16"/>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Date</w:t>
            </w:r>
          </w:p>
        </w:tc>
        <w:tc>
          <w:tcPr>
            <w:tcW w:w="1320" w:type="dxa"/>
            <w:vAlign w:val="bottom"/>
          </w:tcPr>
          <w:p>
            <w:pPr>
              <w:jc w:val="right"/>
              <w:ind w:right="159"/>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center"/>
              <w:ind w:right="39"/>
              <w:spacing w:after="0"/>
              <w:rPr>
                <w:sz w:val="20"/>
                <w:szCs w:val="20"/>
                <w:color w:val="auto"/>
              </w:rPr>
            </w:pPr>
            <w:r>
              <w:rPr>
                <w:rFonts w:ascii="Arial" w:cs="Arial" w:eastAsia="Arial" w:hAnsi="Arial"/>
                <w:sz w:val="16"/>
                <w:szCs w:val="16"/>
                <w:b w:val="1"/>
                <w:bCs w:val="1"/>
                <w:color w:val="auto"/>
                <w:w w:val="97"/>
              </w:rPr>
              <w:t>Date</w:t>
            </w:r>
          </w:p>
        </w:tc>
        <w:tc>
          <w:tcPr>
            <w:tcW w:w="0" w:type="dxa"/>
            <w:vAlign w:val="bottom"/>
          </w:tcPr>
          <w:p>
            <w:pPr>
              <w:spacing w:after="0"/>
              <w:rPr>
                <w:sz w:val="1"/>
                <w:szCs w:val="1"/>
                <w:color w:val="auto"/>
              </w:rPr>
            </w:pPr>
          </w:p>
        </w:tc>
      </w:tr>
      <w:tr>
        <w:trPr>
          <w:trHeight w:val="232"/>
        </w:trPr>
        <w:tc>
          <w:tcPr>
            <w:tcW w:w="4660" w:type="dxa"/>
            <w:vAlign w:val="bottom"/>
          </w:tcPr>
          <w:p>
            <w:pPr>
              <w:spacing w:after="0"/>
              <w:rPr>
                <w:sz w:val="20"/>
                <w:szCs w:val="20"/>
                <w:color w:val="auto"/>
              </w:rPr>
            </w:pPr>
          </w:p>
        </w:tc>
        <w:tc>
          <w:tcPr>
            <w:tcW w:w="13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9"/>
              </w:rPr>
              <w:t>Fair Value</w:t>
            </w:r>
          </w:p>
        </w:tc>
        <w:tc>
          <w:tcPr>
            <w:tcW w:w="100" w:type="dxa"/>
            <w:vAlign w:val="bottom"/>
          </w:tcPr>
          <w:p>
            <w:pPr>
              <w:spacing w:after="0"/>
              <w:rPr>
                <w:sz w:val="20"/>
                <w:szCs w:val="20"/>
                <w:color w:val="auto"/>
              </w:rPr>
            </w:pPr>
          </w:p>
        </w:tc>
        <w:tc>
          <w:tcPr>
            <w:tcW w:w="13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90"/>
        </w:trPr>
        <w:tc>
          <w:tcPr>
            <w:tcW w:w="4660" w:type="dxa"/>
            <w:vAlign w:val="bottom"/>
          </w:tcPr>
          <w:p>
            <w:pPr>
              <w:ind w:left="20"/>
              <w:spacing w:after="0"/>
              <w:rPr>
                <w:sz w:val="20"/>
                <w:szCs w:val="20"/>
                <w:color w:val="auto"/>
              </w:rPr>
            </w:pPr>
            <w:r>
              <w:rPr>
                <w:rFonts w:ascii="Arial" w:cs="Arial" w:eastAsia="Arial" w:hAnsi="Arial"/>
                <w:sz w:val="16"/>
                <w:szCs w:val="16"/>
                <w:color w:val="auto"/>
              </w:rPr>
              <w:t xml:space="preserve">Outstanding at January 1, 2017 </w:t>
            </w:r>
            <w:r>
              <w:rPr>
                <w:rFonts w:ascii="Arial" w:cs="Arial" w:eastAsia="Arial" w:hAnsi="Arial"/>
                <w:sz w:val="21"/>
                <w:szCs w:val="21"/>
                <w:color w:val="auto"/>
                <w:vertAlign w:val="superscript"/>
              </w:rPr>
              <w:t>(a)</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878</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34.83</w:t>
            </w:r>
          </w:p>
        </w:tc>
        <w:tc>
          <w:tcPr>
            <w:tcW w:w="1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923</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34.11</w:t>
            </w:r>
          </w:p>
        </w:tc>
        <w:tc>
          <w:tcPr>
            <w:tcW w:w="0" w:type="dxa"/>
            <w:vAlign w:val="bottom"/>
          </w:tcPr>
          <w:p>
            <w:pPr>
              <w:spacing w:after="0"/>
              <w:rPr>
                <w:sz w:val="1"/>
                <w:szCs w:val="1"/>
                <w:color w:val="auto"/>
              </w:rPr>
            </w:pPr>
          </w:p>
        </w:tc>
      </w:tr>
      <w:tr>
        <w:trPr>
          <w:trHeight w:val="219"/>
        </w:trPr>
        <w:tc>
          <w:tcPr>
            <w:tcW w:w="4660" w:type="dxa"/>
            <w:vAlign w:val="bottom"/>
          </w:tcPr>
          <w:p>
            <w:pPr>
              <w:ind w:left="140"/>
              <w:spacing w:after="0"/>
              <w:rPr>
                <w:sz w:val="20"/>
                <w:szCs w:val="20"/>
                <w:color w:val="auto"/>
              </w:rPr>
            </w:pPr>
            <w:r>
              <w:rPr>
                <w:rFonts w:ascii="Arial" w:cs="Arial" w:eastAsia="Arial" w:hAnsi="Arial"/>
                <w:sz w:val="16"/>
                <w:szCs w:val="16"/>
                <w:color w:val="auto"/>
              </w:rPr>
              <w:t>Granted</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528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34.41</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572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34.41</w:t>
            </w:r>
          </w:p>
        </w:tc>
        <w:tc>
          <w:tcPr>
            <w:tcW w:w="0" w:type="dxa"/>
            <w:vAlign w:val="bottom"/>
          </w:tcPr>
          <w:p>
            <w:pPr>
              <w:spacing w:after="0"/>
              <w:rPr>
                <w:sz w:val="1"/>
                <w:szCs w:val="1"/>
                <w:color w:val="auto"/>
              </w:rPr>
            </w:pPr>
          </w:p>
        </w:tc>
      </w:tr>
      <w:tr>
        <w:trPr>
          <w:trHeight w:val="322"/>
        </w:trPr>
        <w:tc>
          <w:tcPr>
            <w:tcW w:w="4660" w:type="dxa"/>
            <w:vAlign w:val="bottom"/>
          </w:tcPr>
          <w:p>
            <w:pPr>
              <w:ind w:left="140"/>
              <w:spacing w:after="0"/>
              <w:rPr>
                <w:sz w:val="20"/>
                <w:szCs w:val="20"/>
                <w:color w:val="auto"/>
              </w:rPr>
            </w:pPr>
            <w:r>
              <w:rPr>
                <w:rFonts w:ascii="Arial" w:cs="Arial" w:eastAsia="Arial" w:hAnsi="Arial"/>
                <w:sz w:val="16"/>
                <w:szCs w:val="16"/>
                <w:color w:val="auto"/>
              </w:rPr>
              <w:t xml:space="preserve">Vested </w:t>
            </w:r>
            <w:r>
              <w:rPr>
                <w:rFonts w:ascii="Arial" w:cs="Arial" w:eastAsia="Arial" w:hAnsi="Arial"/>
                <w:sz w:val="21"/>
                <w:szCs w:val="21"/>
                <w:color w:val="auto"/>
                <w:vertAlign w:val="superscript"/>
              </w:rPr>
              <w:t>(b)</w:t>
            </w:r>
          </w:p>
        </w:tc>
        <w:tc>
          <w:tcPr>
            <w:tcW w:w="1320" w:type="dxa"/>
            <w:vAlign w:val="bottom"/>
          </w:tcPr>
          <w:p>
            <w:pPr>
              <w:jc w:val="right"/>
              <w:spacing w:after="0"/>
              <w:rPr>
                <w:sz w:val="20"/>
                <w:szCs w:val="20"/>
                <w:color w:val="auto"/>
              </w:rPr>
            </w:pPr>
            <w:r>
              <w:rPr>
                <w:rFonts w:ascii="Arial" w:cs="Arial" w:eastAsia="Arial" w:hAnsi="Arial"/>
                <w:sz w:val="16"/>
                <w:szCs w:val="16"/>
                <w:color w:val="auto"/>
              </w:rPr>
              <w:t>(447)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36.69</w:t>
            </w:r>
          </w:p>
        </w:tc>
        <w:tc>
          <w:tcPr>
            <w:tcW w:w="1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36.55</w:t>
            </w:r>
          </w:p>
        </w:tc>
        <w:tc>
          <w:tcPr>
            <w:tcW w:w="0" w:type="dxa"/>
            <w:vAlign w:val="bottom"/>
          </w:tcPr>
          <w:p>
            <w:pPr>
              <w:spacing w:after="0"/>
              <w:rPr>
                <w:sz w:val="1"/>
                <w:szCs w:val="1"/>
                <w:color w:val="auto"/>
              </w:rPr>
            </w:pPr>
          </w:p>
        </w:tc>
      </w:tr>
      <w:tr>
        <w:trPr>
          <w:trHeight w:val="228"/>
        </w:trPr>
        <w:tc>
          <w:tcPr>
            <w:tcW w:w="4660" w:type="dxa"/>
            <w:vAlign w:val="bottom"/>
          </w:tcPr>
          <w:p>
            <w:pPr>
              <w:ind w:left="140"/>
              <w:spacing w:after="0"/>
              <w:rPr>
                <w:sz w:val="20"/>
                <w:szCs w:val="20"/>
                <w:color w:val="auto"/>
              </w:rPr>
            </w:pPr>
            <w:r>
              <w:rPr>
                <w:rFonts w:ascii="Arial" w:cs="Arial" w:eastAsia="Arial" w:hAnsi="Arial"/>
                <w:sz w:val="16"/>
                <w:szCs w:val="16"/>
                <w:color w:val="auto"/>
              </w:rPr>
              <w:t>Forfeited/expired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32.49</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39.51</w:t>
            </w: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Arial" w:cs="Arial" w:eastAsia="Arial" w:hAnsi="Arial"/>
                <w:sz w:val="16"/>
                <w:szCs w:val="16"/>
                <w:color w:val="auto"/>
              </w:rPr>
              <w:t xml:space="preserve">Outstanding at June 30, 2017 </w:t>
            </w:r>
            <w:r>
              <w:rPr>
                <w:rFonts w:ascii="Arial" w:cs="Arial" w:eastAsia="Arial" w:hAnsi="Arial"/>
                <w:sz w:val="21"/>
                <w:szCs w:val="21"/>
                <w:color w:val="auto"/>
                <w:vertAlign w:val="superscript"/>
              </w:rPr>
              <w:t>(c)</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909</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33.80</w:t>
            </w:r>
          </w:p>
        </w:tc>
        <w:tc>
          <w:tcPr>
            <w:tcW w:w="100" w:type="dxa"/>
            <w:vAlign w:val="bottom"/>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1,073</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32.55</w:t>
            </w: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660" w:type="dxa"/>
            <w:vAlign w:val="bottom"/>
            <w:vMerge w:val="continue"/>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820" w:right="280" w:hanging="326"/>
        <w:spacing w:after="0" w:line="222" w:lineRule="auto"/>
        <w:tabs>
          <w:tab w:leader="none" w:pos="820" w:val="left"/>
        </w:tabs>
        <w:numPr>
          <w:ilvl w:val="0"/>
          <w:numId w:val="29"/>
        </w:numPr>
        <w:rPr>
          <w:rFonts w:ascii="Arial" w:cs="Arial" w:eastAsia="Arial" w:hAnsi="Arial"/>
          <w:sz w:val="18"/>
          <w:szCs w:val="18"/>
          <w:color w:val="auto"/>
          <w:vertAlign w:val="superscript"/>
        </w:rPr>
      </w:pPr>
      <w:r>
        <w:rPr>
          <w:rFonts w:ascii="Arial" w:cs="Arial" w:eastAsia="Arial" w:hAnsi="Arial"/>
          <w:sz w:val="14"/>
          <w:szCs w:val="14"/>
          <w:color w:val="auto"/>
        </w:rPr>
        <w:t>Reflects the maximum number of stock units assuming achievement of all time-, performance- and market-vesting criteria and does not include those for non-employee directors. The weighted-average fair value of time-based RSUs, and performance-based and market-based RSUs granted during the six months ended June 30, 2016 was $25.86 and $23.29, respectively.</w:t>
      </w:r>
    </w:p>
    <w:p>
      <w:pPr>
        <w:spacing w:after="0" w:line="2" w:lineRule="exact"/>
        <w:rPr>
          <w:rFonts w:ascii="Arial" w:cs="Arial" w:eastAsia="Arial" w:hAnsi="Arial"/>
          <w:sz w:val="18"/>
          <w:szCs w:val="18"/>
          <w:color w:val="auto"/>
          <w:vertAlign w:val="superscript"/>
        </w:rPr>
      </w:pPr>
    </w:p>
    <w:p>
      <w:pPr>
        <w:ind w:left="820" w:hanging="326"/>
        <w:spacing w:after="0" w:line="187" w:lineRule="auto"/>
        <w:tabs>
          <w:tab w:leader="none" w:pos="820" w:val="left"/>
        </w:tabs>
        <w:numPr>
          <w:ilvl w:val="0"/>
          <w:numId w:val="29"/>
        </w:numPr>
        <w:rPr>
          <w:rFonts w:ascii="Arial" w:cs="Arial" w:eastAsia="Arial" w:hAnsi="Arial"/>
          <w:sz w:val="18"/>
          <w:szCs w:val="18"/>
          <w:color w:val="auto"/>
          <w:vertAlign w:val="superscript"/>
        </w:rPr>
      </w:pPr>
      <w:r>
        <w:rPr>
          <w:rFonts w:ascii="Arial" w:cs="Arial" w:eastAsia="Arial" w:hAnsi="Arial"/>
          <w:sz w:val="14"/>
          <w:szCs w:val="14"/>
          <w:color w:val="auto"/>
        </w:rPr>
        <w:t>The total grant date fair value of RSUs vested during the six months ended June 30, 2017 and 2016 was $22 million and $25 million, respectively.</w:t>
      </w:r>
    </w:p>
    <w:p>
      <w:pPr>
        <w:ind w:left="820" w:right="20" w:hanging="326"/>
        <w:spacing w:after="0"/>
        <w:tabs>
          <w:tab w:leader="none" w:pos="820" w:val="left"/>
        </w:tabs>
        <w:numPr>
          <w:ilvl w:val="0"/>
          <w:numId w:val="29"/>
        </w:numPr>
        <w:rPr>
          <w:rFonts w:ascii="Arial" w:cs="Arial" w:eastAsia="Arial" w:hAnsi="Arial"/>
          <w:sz w:val="18"/>
          <w:szCs w:val="18"/>
          <w:color w:val="auto"/>
          <w:vertAlign w:val="superscript"/>
        </w:rPr>
      </w:pPr>
      <w:r>
        <w:rPr>
          <w:rFonts w:ascii="Arial" w:cs="Arial" w:eastAsia="Arial" w:hAnsi="Arial"/>
          <w:sz w:val="14"/>
          <w:szCs w:val="14"/>
          <w:color w:val="auto"/>
        </w:rPr>
        <w:t>The Company’s outstanding time-based RSUs, and performance-based and market-based RSUs had aggregate intrinsic values of $25 million and $29 million, respectively. Aggregate unrecognized compensation expense related to time-based RSUs, and performance-based and market-based RSUs, at target, amounted to $45 million and will be recognized over a weighted average vesting period of 1.5 years. The Company assumes that substantially all outstanding awards will vest over time.</w:t>
      </w:r>
    </w:p>
    <w:p>
      <w:pPr>
        <w:spacing w:after="0" w:line="30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stock option activity consisted of (in thousands of shares):</w:t>
      </w:r>
    </w:p>
    <w:p>
      <w:pPr>
        <w:spacing w:after="0" w:line="174" w:lineRule="exact"/>
        <w:rPr>
          <w:sz w:val="20"/>
          <w:szCs w:val="20"/>
          <w:color w:val="auto"/>
        </w:rPr>
      </w:pPr>
    </w:p>
    <w:tbl>
      <w:tblPr>
        <w:tblLayout w:type="fixed"/>
        <w:tblInd w:w="520" w:type="dxa"/>
        <w:tblCellMar>
          <w:top w:w="0" w:type="dxa"/>
          <w:left w:w="0" w:type="dxa"/>
          <w:bottom w:w="0" w:type="dxa"/>
          <w:right w:w="0" w:type="dxa"/>
        </w:tblCellMar>
      </w:tblPr>
      <w:tr>
        <w:trPr>
          <w:trHeight w:val="189"/>
        </w:trPr>
        <w:tc>
          <w:tcPr>
            <w:tcW w:w="4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99"/>
              </w:rPr>
              <w:t>Weighted</w:t>
            </w:r>
          </w:p>
        </w:tc>
      </w:tr>
      <w:tr>
        <w:trPr>
          <w:trHeight w:val="189"/>
        </w:trPr>
        <w:tc>
          <w:tcPr>
            <w:tcW w:w="4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Average</w:t>
            </w:r>
          </w:p>
        </w:tc>
      </w:tr>
      <w:tr>
        <w:trPr>
          <w:trHeight w:val="189"/>
        </w:trPr>
        <w:tc>
          <w:tcPr>
            <w:tcW w:w="4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Weighted</w:t>
            </w:r>
          </w:p>
        </w:tc>
        <w:tc>
          <w:tcPr>
            <w:tcW w:w="12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Aggregate</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Remaining</w:t>
            </w:r>
          </w:p>
        </w:tc>
      </w:tr>
      <w:tr>
        <w:trPr>
          <w:trHeight w:val="189"/>
        </w:trPr>
        <w:tc>
          <w:tcPr>
            <w:tcW w:w="4620" w:type="dxa"/>
            <w:vAlign w:val="bottom"/>
          </w:tcPr>
          <w:p>
            <w:pPr>
              <w:spacing w:after="0"/>
              <w:rPr>
                <w:sz w:val="16"/>
                <w:szCs w:val="16"/>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Average</w:t>
            </w:r>
          </w:p>
        </w:tc>
        <w:tc>
          <w:tcPr>
            <w:tcW w:w="12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Intrinsic Value</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Contractual</w:t>
            </w:r>
          </w:p>
        </w:tc>
      </w:tr>
      <w:tr>
        <w:trPr>
          <w:trHeight w:val="232"/>
        </w:trPr>
        <w:tc>
          <w:tcPr>
            <w:tcW w:w="4620" w:type="dxa"/>
            <w:vAlign w:val="bottom"/>
          </w:tcPr>
          <w:p>
            <w:pPr>
              <w:spacing w:after="0"/>
              <w:rPr>
                <w:sz w:val="20"/>
                <w:szCs w:val="20"/>
                <w:color w:val="auto"/>
              </w:rPr>
            </w:pPr>
          </w:p>
        </w:tc>
        <w:tc>
          <w:tcPr>
            <w:tcW w:w="13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Options</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Exercise Price</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(in millions)</w:t>
            </w:r>
          </w:p>
        </w:tc>
        <w:tc>
          <w:tcPr>
            <w:tcW w:w="10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Term (years)</w:t>
            </w:r>
          </w:p>
        </w:tc>
      </w:tr>
      <w:tr>
        <w:trPr>
          <w:trHeight w:val="238"/>
        </w:trPr>
        <w:tc>
          <w:tcPr>
            <w:tcW w:w="4620" w:type="dxa"/>
            <w:vAlign w:val="bottom"/>
          </w:tcPr>
          <w:p>
            <w:pPr>
              <w:spacing w:after="0"/>
              <w:rPr>
                <w:sz w:val="20"/>
                <w:szCs w:val="20"/>
                <w:color w:val="auto"/>
              </w:rPr>
            </w:pPr>
            <w:r>
              <w:rPr>
                <w:rFonts w:ascii="Arial" w:cs="Arial" w:eastAsia="Arial" w:hAnsi="Arial"/>
                <w:sz w:val="16"/>
                <w:szCs w:val="16"/>
                <w:color w:val="auto"/>
              </w:rPr>
              <w:t>Outstanding at January 1, 2017</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810</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2.91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70"/>
        </w:trPr>
        <w:tc>
          <w:tcPr>
            <w:tcW w:w="4620" w:type="dxa"/>
            <w:vAlign w:val="bottom"/>
          </w:tcPr>
          <w:p>
            <w:pPr>
              <w:ind w:left="100"/>
              <w:spacing w:after="0"/>
              <w:rPr>
                <w:sz w:val="20"/>
                <w:szCs w:val="20"/>
                <w:color w:val="auto"/>
              </w:rPr>
            </w:pPr>
            <w:r>
              <w:rPr>
                <w:rFonts w:ascii="Arial" w:cs="Arial" w:eastAsia="Arial" w:hAnsi="Arial"/>
                <w:sz w:val="16"/>
                <w:szCs w:val="16"/>
                <w:color w:val="auto"/>
              </w:rPr>
              <w:t>Granted</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40" w:type="dxa"/>
            <w:vAlign w:val="bottom"/>
          </w:tcPr>
          <w:p>
            <w:pPr>
              <w:spacing w:after="0"/>
              <w:rPr>
                <w:sz w:val="23"/>
                <w:szCs w:val="23"/>
                <w:color w:val="auto"/>
              </w:rPr>
            </w:pPr>
          </w:p>
        </w:tc>
      </w:tr>
      <w:tr>
        <w:trPr>
          <w:trHeight w:val="270"/>
        </w:trPr>
        <w:tc>
          <w:tcPr>
            <w:tcW w:w="4620" w:type="dxa"/>
            <w:vAlign w:val="bottom"/>
          </w:tcPr>
          <w:p>
            <w:pPr>
              <w:ind w:left="100"/>
              <w:spacing w:after="0"/>
              <w:rPr>
                <w:sz w:val="20"/>
                <w:szCs w:val="20"/>
                <w:color w:val="auto"/>
              </w:rPr>
            </w:pPr>
            <w:r>
              <w:rPr>
                <w:rFonts w:ascii="Arial" w:cs="Arial" w:eastAsia="Arial" w:hAnsi="Arial"/>
                <w:sz w:val="16"/>
                <w:szCs w:val="16"/>
                <w:color w:val="auto"/>
              </w:rPr>
              <w:t>Exercised</w:t>
            </w:r>
          </w:p>
        </w:tc>
        <w:tc>
          <w:tcPr>
            <w:tcW w:w="132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0.79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40" w:type="dxa"/>
            <w:vAlign w:val="bottom"/>
          </w:tcPr>
          <w:p>
            <w:pPr>
              <w:spacing w:after="0"/>
              <w:rPr>
                <w:sz w:val="23"/>
                <w:szCs w:val="23"/>
                <w:color w:val="auto"/>
              </w:rPr>
            </w:pPr>
          </w:p>
        </w:tc>
      </w:tr>
      <w:tr>
        <w:trPr>
          <w:trHeight w:val="279"/>
        </w:trPr>
        <w:tc>
          <w:tcPr>
            <w:tcW w:w="4620" w:type="dxa"/>
            <w:vAlign w:val="bottom"/>
          </w:tcPr>
          <w:p>
            <w:pPr>
              <w:ind w:left="100"/>
              <w:spacing w:after="0"/>
              <w:rPr>
                <w:sz w:val="20"/>
                <w:szCs w:val="20"/>
                <w:color w:val="auto"/>
              </w:rPr>
            </w:pPr>
            <w:r>
              <w:rPr>
                <w:rFonts w:ascii="Arial" w:cs="Arial" w:eastAsia="Arial" w:hAnsi="Arial"/>
                <w:sz w:val="16"/>
                <w:szCs w:val="16"/>
                <w:color w:val="auto"/>
              </w:rPr>
              <w:t>Forfeited/expired</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40" w:type="dxa"/>
            <w:vAlign w:val="bottom"/>
          </w:tcPr>
          <w:p>
            <w:pPr>
              <w:spacing w:after="0"/>
              <w:rPr>
                <w:sz w:val="24"/>
                <w:szCs w:val="24"/>
                <w:color w:val="auto"/>
              </w:rPr>
            </w:pPr>
          </w:p>
        </w:tc>
      </w:tr>
      <w:tr>
        <w:trPr>
          <w:trHeight w:val="242"/>
        </w:trPr>
        <w:tc>
          <w:tcPr>
            <w:tcW w:w="4620" w:type="dxa"/>
            <w:vAlign w:val="bottom"/>
          </w:tcPr>
          <w:p>
            <w:pPr>
              <w:spacing w:after="0"/>
              <w:rPr>
                <w:sz w:val="20"/>
                <w:szCs w:val="20"/>
                <w:color w:val="auto"/>
              </w:rPr>
            </w:pPr>
            <w:r>
              <w:rPr>
                <w:rFonts w:ascii="Arial" w:cs="Arial" w:eastAsia="Arial" w:hAnsi="Arial"/>
                <w:sz w:val="16"/>
                <w:szCs w:val="16"/>
                <w:color w:val="auto"/>
              </w:rPr>
              <w:t>Outstanding and exercisable at June 30, 2017</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801</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2.94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0"/>
        </w:trPr>
        <w:tc>
          <w:tcPr>
            <w:tcW w:w="46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115" w:right="27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hanging="492"/>
        <w:spacing w:after="0"/>
        <w:tabs>
          <w:tab w:leader="none" w:pos="50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22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Derivative Instruments and Hedging Activities</w:t>
      </w:r>
    </w:p>
    <w:p>
      <w:pPr>
        <w:spacing w:after="0" w:line="171" w:lineRule="exact"/>
        <w:rPr>
          <w:rFonts w:ascii="Arial" w:cs="Arial" w:eastAsia="Arial" w:hAnsi="Arial"/>
          <w:sz w:val="18"/>
          <w:szCs w:val="18"/>
          <w:b w:val="1"/>
          <w:bCs w:val="1"/>
          <w:color w:val="auto"/>
        </w:rPr>
      </w:pPr>
    </w:p>
    <w:p>
      <w:pPr>
        <w:ind w:left="500"/>
        <w:spacing w:after="0" w:line="256" w:lineRule="auto"/>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Currency Risk. </w:t>
      </w:r>
      <w:r>
        <w:rPr>
          <w:rFonts w:ascii="Arial" w:cs="Arial" w:eastAsia="Arial" w:hAnsi="Arial"/>
          <w:sz w:val="18"/>
          <w:szCs w:val="18"/>
          <w:color w:val="auto"/>
        </w:rPr>
        <w:t>The Company uses currency exchange contracts to manage its exposure to changes in currency exchange rates</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its non-U.S.-dollar denominated receivables and forecasted royalties, forecasted earnings of non-U.S. subsidiaries and forecasted non-U.S.-dollar denominated acquisitions. The Company primarily hedges a portion of its current-year currency exposure to the Australian, Canadian and New Zealand dollars, the euro and the British pound sterling. The majority of forward contracts do not qualify for hedge accounting treatment. The fluctuations in the value of these forward contracts do, however, largely offset the impact of changes in the value of the underlying risk they economically hedge. Forward contracts used to hedge forecasted third-party receipts and disbursements up to 12 months are designated and do qualify as cash flow hedges. The Company has designated its euro-denominated notes as a hedge of its investment in euro-denominated foreign operations.</w:t>
      </w:r>
    </w:p>
    <w:p>
      <w:pPr>
        <w:spacing w:after="0" w:line="124" w:lineRule="exact"/>
        <w:rPr>
          <w:rFonts w:ascii="Arial" w:cs="Arial" w:eastAsia="Arial" w:hAnsi="Arial"/>
          <w:sz w:val="18"/>
          <w:szCs w:val="18"/>
          <w:b w:val="1"/>
          <w:bCs w:val="1"/>
          <w:color w:val="auto"/>
        </w:rPr>
      </w:pPr>
    </w:p>
    <w:p>
      <w:pPr>
        <w:ind w:left="500" w:right="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amount of gains or losses reclassified from other comprehensive income (loss) to earnings resulting from ineffectiveness or from excluding a component of the hedges’ gain or loss from the effectiveness calculation for cash flow and net investment hedges during the three and six months ended June 30, 2017 and 2016 was not material, nor is the amount of gains or losses the Company expects to reclassify from accumulated other comprehensive income (loss) to earnings over the next 12 months.</w:t>
      </w:r>
    </w:p>
    <w:p>
      <w:pPr>
        <w:spacing w:after="0" w:line="169" w:lineRule="exact"/>
        <w:rPr>
          <w:rFonts w:ascii="Arial" w:cs="Arial" w:eastAsia="Arial" w:hAnsi="Arial"/>
          <w:sz w:val="18"/>
          <w:szCs w:val="18"/>
          <w:b w:val="1"/>
          <w:bCs w:val="1"/>
          <w:color w:val="auto"/>
        </w:rPr>
      </w:pPr>
    </w:p>
    <w:p>
      <w:pPr>
        <w:ind w:left="500"/>
        <w:spacing w:after="0" w:line="254" w:lineRule="auto"/>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The Company uses various hedging strategies including interest rate swaps and interest rate caps to create an</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 mix of fixed and floating rate assets and liabilities. The Company uses interest rate swaps and interest rate caps to manage the risk related to its floating rate corporate debt and its floating rate vehicle-backed debt. The Company records the effective portion of changes in the fair value of its cash flow hedges to other comprehensive income (loss), net of tax, and subsequently reclassifies these amounts into earnings in the period during which the hedged transaction is recognized. The Company records the gains or losses related to freestanding derivatives, which are not designated as a hedge for accounting purposes, in its consolidated results of operations. The changes in fair values of hedges that are determined to be ineffective are immediately reclassified from accumulated other comprehensive income (loss) into earnings. The amount of gains or losses reclassified from other comprehensive income (loss) to earnings resulting from ineffectiveness related to the Company’s cash flow hedges was not material during the three and six months ended June 30, 2017 and 2016. The Company estimates that $2 million of losses currently recorded in accumulated other comprehensive income (loss) will be recognized in earnings over the next 12 months.</w:t>
      </w:r>
    </w:p>
    <w:p>
      <w:pPr>
        <w:spacing w:after="0" w:line="183" w:lineRule="exact"/>
        <w:rPr>
          <w:rFonts w:ascii="Arial" w:cs="Arial" w:eastAsia="Arial" w:hAnsi="Arial"/>
          <w:sz w:val="18"/>
          <w:szCs w:val="18"/>
          <w:b w:val="1"/>
          <w:bCs w:val="1"/>
          <w:color w:val="auto"/>
        </w:rPr>
      </w:pPr>
    </w:p>
    <w:p>
      <w:pPr>
        <w:ind w:left="500" w:right="40"/>
        <w:spacing w:after="0" w:line="292" w:lineRule="auto"/>
        <w:rPr>
          <w:rFonts w:ascii="Arial" w:cs="Arial" w:eastAsia="Arial" w:hAnsi="Arial"/>
          <w:sz w:val="18"/>
          <w:szCs w:val="18"/>
          <w:b w:val="1"/>
          <w:bCs w:val="1"/>
          <w:color w:val="auto"/>
        </w:rPr>
      </w:pPr>
      <w:r>
        <w:rPr>
          <w:rFonts w:ascii="Arial" w:cs="Arial" w:eastAsia="Arial" w:hAnsi="Arial"/>
          <w:sz w:val="18"/>
          <w:szCs w:val="18"/>
          <w:color w:val="auto"/>
        </w:rPr>
        <w:t>The Company enters into derivative commodity contracts to manage its exposure to changes in the price of unleaded gasoline. Changes in the fair value of these derivatives are recorded within operating expenses.</w:t>
      </w:r>
    </w:p>
    <w:p>
      <w:pPr>
        <w:spacing w:after="0" w:line="144"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Company held derivative instruments with absolute notional values as follows:</w:t>
      </w:r>
    </w:p>
    <w:p>
      <w:pPr>
        <w:spacing w:after="0" w:line="174" w:lineRule="exact"/>
        <w:rPr>
          <w:sz w:val="20"/>
          <w:szCs w:val="20"/>
          <w:color w:val="auto"/>
        </w:rPr>
      </w:pPr>
    </w:p>
    <w:tbl>
      <w:tblPr>
        <w:tblLayout w:type="fixed"/>
        <w:tblInd w:w="500" w:type="dxa"/>
        <w:tblCellMar>
          <w:top w:w="0" w:type="dxa"/>
          <w:left w:w="0" w:type="dxa"/>
          <w:bottom w:w="0" w:type="dxa"/>
          <w:right w:w="0" w:type="dxa"/>
        </w:tblCellMar>
      </w:tblPr>
      <w:tr>
        <w:trPr>
          <w:trHeight w:val="229"/>
        </w:trPr>
        <w:tc>
          <w:tcPr>
            <w:tcW w:w="8660" w:type="dxa"/>
            <w:vAlign w:val="bottom"/>
          </w:tcPr>
          <w:p>
            <w:pPr>
              <w:spacing w:after="0"/>
              <w:rPr>
                <w:sz w:val="19"/>
                <w:szCs w:val="19"/>
                <w:color w:val="auto"/>
              </w:rPr>
            </w:pPr>
          </w:p>
        </w:tc>
        <w:tc>
          <w:tcPr>
            <w:tcW w:w="1660" w:type="dxa"/>
            <w:vAlign w:val="bottom"/>
            <w:gridSpan w:val="2"/>
          </w:tcPr>
          <w:p>
            <w:pPr>
              <w:jc w:val="right"/>
              <w:spacing w:after="0"/>
              <w:rPr>
                <w:sz w:val="20"/>
                <w:szCs w:val="20"/>
                <w:color w:val="auto"/>
              </w:rPr>
            </w:pPr>
            <w:r>
              <w:rPr>
                <w:rFonts w:ascii="Arial" w:cs="Arial" w:eastAsia="Arial" w:hAnsi="Arial"/>
                <w:sz w:val="16"/>
                <w:szCs w:val="16"/>
                <w:b w:val="1"/>
                <w:bCs w:val="1"/>
                <w:color w:val="auto"/>
              </w:rPr>
              <w:t>As of June 30, 2017</w:t>
            </w:r>
          </w:p>
        </w:tc>
      </w:tr>
      <w:tr>
        <w:trPr>
          <w:trHeight w:val="35"/>
        </w:trPr>
        <w:tc>
          <w:tcPr>
            <w:tcW w:w="866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46"/>
        </w:trPr>
        <w:tc>
          <w:tcPr>
            <w:tcW w:w="8660" w:type="dxa"/>
            <w:vAlign w:val="bottom"/>
          </w:tcPr>
          <w:p>
            <w:pPr>
              <w:ind w:left="20"/>
              <w:spacing w:after="0"/>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(a)</w:t>
            </w:r>
          </w:p>
        </w:tc>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10,855</w:t>
            </w:r>
          </w:p>
        </w:tc>
      </w:tr>
      <w:tr>
        <w:trPr>
          <w:trHeight w:val="219"/>
        </w:trPr>
        <w:tc>
          <w:tcPr>
            <w:tcW w:w="8660" w:type="dxa"/>
            <w:vAlign w:val="bottom"/>
          </w:tcPr>
          <w:p>
            <w:pPr>
              <w:ind w:left="20"/>
              <w:spacing w:after="0"/>
              <w:rPr>
                <w:sz w:val="20"/>
                <w:szCs w:val="20"/>
                <w:color w:val="auto"/>
              </w:rPr>
            </w:pPr>
            <w:r>
              <w:rPr>
                <w:rFonts w:ascii="Arial" w:cs="Arial" w:eastAsia="Arial" w:hAnsi="Arial"/>
                <w:sz w:val="16"/>
                <w:szCs w:val="16"/>
                <w:color w:val="auto"/>
              </w:rPr>
              <w:t>Interest rate swaps</w:t>
            </w: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1,800</w:t>
            </w:r>
          </w:p>
        </w:tc>
      </w:tr>
      <w:tr>
        <w:trPr>
          <w:trHeight w:val="243"/>
        </w:trPr>
        <w:tc>
          <w:tcPr>
            <w:tcW w:w="8660" w:type="dxa"/>
            <w:vAlign w:val="bottom"/>
          </w:tcPr>
          <w:p>
            <w:pPr>
              <w:ind w:left="20"/>
              <w:spacing w:after="0"/>
              <w:rPr>
                <w:sz w:val="20"/>
                <w:szCs w:val="20"/>
                <w:color w:val="auto"/>
              </w:rPr>
            </w:pPr>
            <w:r>
              <w:rPr>
                <w:rFonts w:ascii="Arial" w:cs="Arial" w:eastAsia="Arial" w:hAnsi="Arial"/>
                <w:sz w:val="16"/>
                <w:szCs w:val="16"/>
                <w:color w:val="auto"/>
              </w:rPr>
              <w:t>Foreign exchange contracts</w:t>
            </w:r>
          </w:p>
        </w:tc>
        <w:tc>
          <w:tcPr>
            <w:tcW w:w="6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1,176</w:t>
            </w:r>
          </w:p>
        </w:tc>
      </w:tr>
      <w:tr>
        <w:trPr>
          <w:trHeight w:val="465"/>
        </w:trPr>
        <w:tc>
          <w:tcPr>
            <w:tcW w:w="8660" w:type="dxa"/>
            <w:vAlign w:val="bottom"/>
          </w:tcPr>
          <w:p>
            <w:pPr>
              <w:ind w:left="20"/>
              <w:spacing w:after="0"/>
              <w:rPr>
                <w:sz w:val="20"/>
                <w:szCs w:val="20"/>
                <w:color w:val="auto"/>
              </w:rPr>
            </w:pPr>
            <w:r>
              <w:rPr>
                <w:rFonts w:ascii="Arial" w:cs="Arial" w:eastAsia="Arial" w:hAnsi="Arial"/>
                <w:sz w:val="16"/>
                <w:szCs w:val="16"/>
                <w:color w:val="auto"/>
              </w:rPr>
              <w:t>Commodity contracts (millions of gallons of unleaded gasoline)</w:t>
            </w:r>
          </w:p>
        </w:tc>
        <w:tc>
          <w:tcPr>
            <w:tcW w:w="6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39"/>
        </w:trPr>
        <w:tc>
          <w:tcPr>
            <w:tcW w:w="8660" w:type="dxa"/>
            <w:vAlign w:val="bottom"/>
          </w:tcPr>
          <w:p>
            <w:pPr>
              <w:spacing w:after="0"/>
              <w:rPr>
                <w:sz w:val="20"/>
                <w:szCs w:val="20"/>
                <w:color w:val="auto"/>
              </w:rPr>
            </w:pPr>
            <w:r>
              <w:rPr>
                <w:rFonts w:ascii="Arial" w:cs="Arial" w:eastAsia="Arial" w:hAnsi="Arial"/>
                <w:sz w:val="18"/>
                <w:szCs w:val="18"/>
                <w:color w:val="auto"/>
              </w:rPr>
              <w:t>__________</w:t>
            </w:r>
          </w:p>
        </w:tc>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r>
    </w:tbl>
    <w:p>
      <w:pPr>
        <w:ind w:left="820" w:right="180" w:hanging="326"/>
        <w:spacing w:after="0" w:line="224" w:lineRule="auto"/>
        <w:tabs>
          <w:tab w:leader="none" w:pos="820"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Represents $8.0 billion of interest rate caps sold, partially offset by approximately $2.9 billion of interest rate caps purchased. These amounts exclude $5.1 billion of interest rate caps purchased by the Company’s Avis Budget Rental Car Funding subsidiary as it is not consolidated by the Company.</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15"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Estimated fair values (Level 2) of derivative instruments were as follows:</w:t>
      </w:r>
    </w:p>
    <w:p>
      <w:pPr>
        <w:spacing w:after="0" w:line="201" w:lineRule="exact"/>
        <w:rPr>
          <w:sz w:val="20"/>
          <w:szCs w:val="20"/>
          <w:color w:val="auto"/>
        </w:rPr>
      </w:pPr>
    </w:p>
    <w:tbl>
      <w:tblPr>
        <w:tblLayout w:type="fixed"/>
        <w:tblInd w:w="500" w:type="dxa"/>
        <w:tblCellMar>
          <w:top w:w="0" w:type="dxa"/>
          <w:left w:w="0" w:type="dxa"/>
          <w:bottom w:w="0" w:type="dxa"/>
          <w:right w:w="0" w:type="dxa"/>
        </w:tblCellMar>
      </w:tblPr>
      <w:tr>
        <w:trPr>
          <w:trHeight w:val="232"/>
        </w:trPr>
        <w:tc>
          <w:tcPr>
            <w:tcW w:w="4220" w:type="dxa"/>
            <w:vAlign w:val="bottom"/>
          </w:tcPr>
          <w:p>
            <w:pPr>
              <w:spacing w:after="0"/>
              <w:rPr>
                <w:sz w:val="20"/>
                <w:szCs w:val="20"/>
                <w:color w:val="auto"/>
              </w:rPr>
            </w:pPr>
          </w:p>
        </w:tc>
        <w:tc>
          <w:tcPr>
            <w:tcW w:w="2720" w:type="dxa"/>
            <w:vAlign w:val="bottom"/>
            <w:tcBorders>
              <w:bottom w:val="single" w:sz="8" w:color="auto"/>
            </w:tcBorders>
            <w:gridSpan w:val="4"/>
          </w:tcPr>
          <w:p>
            <w:pPr>
              <w:jc w:val="right"/>
              <w:ind w:right="379"/>
              <w:spacing w:after="0"/>
              <w:rPr>
                <w:sz w:val="20"/>
                <w:szCs w:val="20"/>
                <w:color w:val="auto"/>
              </w:rPr>
            </w:pPr>
            <w:r>
              <w:rPr>
                <w:rFonts w:ascii="Arial" w:cs="Arial" w:eastAsia="Arial" w:hAnsi="Arial"/>
                <w:sz w:val="16"/>
                <w:szCs w:val="16"/>
                <w:b w:val="1"/>
                <w:bCs w:val="1"/>
                <w:color w:val="auto"/>
              </w:rPr>
              <w:t>As of June 30, 2017</w:t>
            </w:r>
          </w:p>
        </w:tc>
        <w:tc>
          <w:tcPr>
            <w:tcW w:w="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6"/>
                <w:szCs w:val="16"/>
                <w:b w:val="1"/>
                <w:bCs w:val="1"/>
                <w:color w:val="auto"/>
              </w:rPr>
              <w:t>As of December 31, 2016</w:t>
            </w:r>
          </w:p>
        </w:tc>
        <w:tc>
          <w:tcPr>
            <w:tcW w:w="0" w:type="dxa"/>
            <w:vAlign w:val="bottom"/>
          </w:tcPr>
          <w:p>
            <w:pPr>
              <w:spacing w:after="0"/>
              <w:rPr>
                <w:sz w:val="1"/>
                <w:szCs w:val="1"/>
                <w:color w:val="auto"/>
              </w:rPr>
            </w:pPr>
          </w:p>
        </w:tc>
      </w:tr>
      <w:tr>
        <w:trPr>
          <w:trHeight w:val="193"/>
        </w:trPr>
        <w:tc>
          <w:tcPr>
            <w:tcW w:w="4220" w:type="dxa"/>
            <w:vAlign w:val="bottom"/>
          </w:tcPr>
          <w:p>
            <w:pPr>
              <w:spacing w:after="0"/>
              <w:rPr>
                <w:sz w:val="16"/>
                <w:szCs w:val="16"/>
                <w:color w:val="auto"/>
              </w:rPr>
            </w:pPr>
          </w:p>
        </w:tc>
        <w:tc>
          <w:tcPr>
            <w:tcW w:w="1180" w:type="dxa"/>
            <w:vAlign w:val="bottom"/>
          </w:tcPr>
          <w:p>
            <w:pPr>
              <w:jc w:val="center"/>
              <w:ind w:left="179"/>
              <w:spacing w:after="0"/>
              <w:rPr>
                <w:sz w:val="20"/>
                <w:szCs w:val="20"/>
                <w:color w:val="auto"/>
              </w:rPr>
            </w:pPr>
            <w:r>
              <w:rPr>
                <w:rFonts w:ascii="Arial" w:cs="Arial" w:eastAsia="Arial" w:hAnsi="Arial"/>
                <w:sz w:val="16"/>
                <w:szCs w:val="16"/>
                <w:b w:val="1"/>
                <w:bCs w:val="1"/>
                <w:color w:val="auto"/>
                <w:w w:val="98"/>
              </w:rPr>
              <w:t>Fair Value,</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center"/>
              <w:ind w:left="199"/>
              <w:spacing w:after="0"/>
              <w:rPr>
                <w:sz w:val="20"/>
                <w:szCs w:val="20"/>
                <w:color w:val="auto"/>
              </w:rPr>
            </w:pPr>
            <w:r>
              <w:rPr>
                <w:rFonts w:ascii="Arial" w:cs="Arial" w:eastAsia="Arial" w:hAnsi="Arial"/>
                <w:sz w:val="16"/>
                <w:szCs w:val="16"/>
                <w:b w:val="1"/>
                <w:bCs w:val="1"/>
                <w:color w:val="auto"/>
                <w:w w:val="98"/>
              </w:rPr>
              <w:t>Fair Value,</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Fair Value,</w:t>
            </w:r>
          </w:p>
        </w:tc>
        <w:tc>
          <w:tcPr>
            <w:tcW w:w="200" w:type="dxa"/>
            <w:vAlign w:val="bottom"/>
          </w:tcPr>
          <w:p>
            <w:pPr>
              <w:spacing w:after="0"/>
              <w:rPr>
                <w:sz w:val="16"/>
                <w:szCs w:val="16"/>
                <w:color w:val="auto"/>
              </w:rPr>
            </w:pPr>
          </w:p>
        </w:tc>
        <w:tc>
          <w:tcPr>
            <w:tcW w:w="1240" w:type="dxa"/>
            <w:vAlign w:val="bottom"/>
          </w:tcPr>
          <w:p>
            <w:pPr>
              <w:jc w:val="center"/>
              <w:ind w:right="119"/>
              <w:spacing w:after="0"/>
              <w:rPr>
                <w:sz w:val="20"/>
                <w:szCs w:val="20"/>
                <w:color w:val="auto"/>
              </w:rPr>
            </w:pPr>
            <w:r>
              <w:rPr>
                <w:rFonts w:ascii="Arial" w:cs="Arial" w:eastAsia="Arial" w:hAnsi="Arial"/>
                <w:sz w:val="16"/>
                <w:szCs w:val="16"/>
                <w:b w:val="1"/>
                <w:bCs w:val="1"/>
                <w:color w:val="auto"/>
                <w:w w:val="98"/>
              </w:rPr>
              <w:t>Fair Value,</w:t>
            </w:r>
          </w:p>
        </w:tc>
        <w:tc>
          <w:tcPr>
            <w:tcW w:w="0" w:type="dxa"/>
            <w:vAlign w:val="bottom"/>
          </w:tcPr>
          <w:p>
            <w:pPr>
              <w:spacing w:after="0"/>
              <w:rPr>
                <w:sz w:val="1"/>
                <w:szCs w:val="1"/>
                <w:color w:val="auto"/>
              </w:rPr>
            </w:pPr>
          </w:p>
        </w:tc>
      </w:tr>
      <w:tr>
        <w:trPr>
          <w:trHeight w:val="189"/>
        </w:trPr>
        <w:tc>
          <w:tcPr>
            <w:tcW w:w="4220" w:type="dxa"/>
            <w:vAlign w:val="bottom"/>
          </w:tcPr>
          <w:p>
            <w:pPr>
              <w:spacing w:after="0"/>
              <w:rPr>
                <w:sz w:val="16"/>
                <w:szCs w:val="16"/>
                <w:color w:val="auto"/>
              </w:rPr>
            </w:pPr>
          </w:p>
        </w:tc>
        <w:tc>
          <w:tcPr>
            <w:tcW w:w="1180" w:type="dxa"/>
            <w:vAlign w:val="bottom"/>
          </w:tcPr>
          <w:p>
            <w:pPr>
              <w:jc w:val="center"/>
              <w:ind w:left="179"/>
              <w:spacing w:after="0"/>
              <w:rPr>
                <w:sz w:val="20"/>
                <w:szCs w:val="20"/>
                <w:color w:val="auto"/>
              </w:rPr>
            </w:pPr>
            <w:r>
              <w:rPr>
                <w:rFonts w:ascii="Arial" w:cs="Arial" w:eastAsia="Arial" w:hAnsi="Arial"/>
                <w:sz w:val="16"/>
                <w:szCs w:val="16"/>
                <w:b w:val="1"/>
                <w:bCs w:val="1"/>
                <w:color w:val="auto"/>
              </w:rPr>
              <w:t>Asset</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center"/>
              <w:ind w:left="199"/>
              <w:spacing w:after="0"/>
              <w:rPr>
                <w:sz w:val="20"/>
                <w:szCs w:val="20"/>
                <w:color w:val="auto"/>
              </w:rPr>
            </w:pPr>
            <w:r>
              <w:rPr>
                <w:rFonts w:ascii="Arial" w:cs="Arial" w:eastAsia="Arial" w:hAnsi="Arial"/>
                <w:sz w:val="16"/>
                <w:szCs w:val="16"/>
                <w:b w:val="1"/>
                <w:bCs w:val="1"/>
                <w:color w:val="auto"/>
                <w:w w:val="99"/>
              </w:rPr>
              <w:t>Liability</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Asset</w:t>
            </w:r>
          </w:p>
        </w:tc>
        <w:tc>
          <w:tcPr>
            <w:tcW w:w="200" w:type="dxa"/>
            <w:vAlign w:val="bottom"/>
          </w:tcPr>
          <w:p>
            <w:pPr>
              <w:spacing w:after="0"/>
              <w:rPr>
                <w:sz w:val="16"/>
                <w:szCs w:val="16"/>
                <w:color w:val="auto"/>
              </w:rPr>
            </w:pPr>
          </w:p>
        </w:tc>
        <w:tc>
          <w:tcPr>
            <w:tcW w:w="1240" w:type="dxa"/>
            <w:vAlign w:val="bottom"/>
          </w:tcPr>
          <w:p>
            <w:pPr>
              <w:jc w:val="center"/>
              <w:ind w:right="119"/>
              <w:spacing w:after="0"/>
              <w:rPr>
                <w:sz w:val="20"/>
                <w:szCs w:val="20"/>
                <w:color w:val="auto"/>
              </w:rPr>
            </w:pPr>
            <w:r>
              <w:rPr>
                <w:rFonts w:ascii="Arial" w:cs="Arial" w:eastAsia="Arial" w:hAnsi="Arial"/>
                <w:sz w:val="16"/>
                <w:szCs w:val="16"/>
                <w:b w:val="1"/>
                <w:bCs w:val="1"/>
                <w:color w:val="auto"/>
                <w:w w:val="99"/>
              </w:rPr>
              <w:t>Liability</w:t>
            </w:r>
          </w:p>
        </w:tc>
        <w:tc>
          <w:tcPr>
            <w:tcW w:w="0" w:type="dxa"/>
            <w:vAlign w:val="bottom"/>
          </w:tcPr>
          <w:p>
            <w:pPr>
              <w:spacing w:after="0"/>
              <w:rPr>
                <w:sz w:val="1"/>
                <w:szCs w:val="1"/>
                <w:color w:val="auto"/>
              </w:rPr>
            </w:pPr>
          </w:p>
        </w:tc>
      </w:tr>
      <w:tr>
        <w:trPr>
          <w:trHeight w:val="230"/>
        </w:trPr>
        <w:tc>
          <w:tcPr>
            <w:tcW w:w="4220" w:type="dxa"/>
            <w:vAlign w:val="bottom"/>
          </w:tcPr>
          <w:p>
            <w:pPr>
              <w:spacing w:after="0"/>
              <w:rPr>
                <w:sz w:val="19"/>
                <w:szCs w:val="19"/>
                <w:color w:val="auto"/>
              </w:rPr>
            </w:pPr>
          </w:p>
        </w:tc>
        <w:tc>
          <w:tcPr>
            <w:tcW w:w="1180" w:type="dxa"/>
            <w:vAlign w:val="bottom"/>
          </w:tcPr>
          <w:p>
            <w:pPr>
              <w:jc w:val="center"/>
              <w:ind w:left="199"/>
              <w:spacing w:after="0"/>
              <w:rPr>
                <w:sz w:val="20"/>
                <w:szCs w:val="20"/>
                <w:color w:val="auto"/>
              </w:rPr>
            </w:pPr>
            <w:r>
              <w:rPr>
                <w:rFonts w:ascii="Arial" w:cs="Arial" w:eastAsia="Arial" w:hAnsi="Arial"/>
                <w:sz w:val="16"/>
                <w:szCs w:val="16"/>
                <w:b w:val="1"/>
                <w:bCs w:val="1"/>
                <w:color w:val="auto"/>
              </w:rPr>
              <w:t>Derivatives</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center"/>
              <w:ind w:left="179"/>
              <w:spacing w:after="0"/>
              <w:rPr>
                <w:sz w:val="20"/>
                <w:szCs w:val="20"/>
                <w:color w:val="auto"/>
              </w:rPr>
            </w:pPr>
            <w:r>
              <w:rPr>
                <w:rFonts w:ascii="Arial" w:cs="Arial" w:eastAsia="Arial" w:hAnsi="Arial"/>
                <w:sz w:val="16"/>
                <w:szCs w:val="16"/>
                <w:b w:val="1"/>
                <w:bCs w:val="1"/>
                <w:color w:val="auto"/>
              </w:rPr>
              <w:t>Derivatives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Derivatives</w:t>
            </w:r>
          </w:p>
        </w:tc>
        <w:tc>
          <w:tcPr>
            <w:tcW w:w="200" w:type="dxa"/>
            <w:vAlign w:val="bottom"/>
          </w:tcPr>
          <w:p>
            <w:pPr>
              <w:spacing w:after="0"/>
              <w:rPr>
                <w:sz w:val="19"/>
                <w:szCs w:val="19"/>
                <w:color w:val="auto"/>
              </w:rPr>
            </w:pPr>
          </w:p>
        </w:tc>
        <w:tc>
          <w:tcPr>
            <w:tcW w:w="1240" w:type="dxa"/>
            <w:vAlign w:val="bottom"/>
          </w:tcPr>
          <w:p>
            <w:pPr>
              <w:jc w:val="center"/>
              <w:ind w:right="99"/>
              <w:spacing w:after="0"/>
              <w:rPr>
                <w:sz w:val="20"/>
                <w:szCs w:val="20"/>
                <w:color w:val="auto"/>
              </w:rPr>
            </w:pPr>
            <w:r>
              <w:rPr>
                <w:rFonts w:ascii="Arial" w:cs="Arial" w:eastAsia="Arial" w:hAnsi="Arial"/>
                <w:sz w:val="16"/>
                <w:szCs w:val="16"/>
                <w:b w:val="1"/>
                <w:bCs w:val="1"/>
                <w:color w:val="auto"/>
              </w:rPr>
              <w:t>Derivatives</w:t>
            </w:r>
          </w:p>
        </w:tc>
        <w:tc>
          <w:tcPr>
            <w:tcW w:w="0" w:type="dxa"/>
            <w:vAlign w:val="bottom"/>
          </w:tcPr>
          <w:p>
            <w:pPr>
              <w:spacing w:after="0"/>
              <w:rPr>
                <w:sz w:val="1"/>
                <w:szCs w:val="1"/>
                <w:color w:val="auto"/>
              </w:rPr>
            </w:pPr>
          </w:p>
        </w:tc>
      </w:tr>
      <w:tr>
        <w:trPr>
          <w:trHeight w:val="263"/>
        </w:trPr>
        <w:tc>
          <w:tcPr>
            <w:tcW w:w="4220" w:type="dxa"/>
            <w:vAlign w:val="bottom"/>
          </w:tcPr>
          <w:p>
            <w:pPr>
              <w:ind w:left="2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118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37"/>
        </w:trPr>
        <w:tc>
          <w:tcPr>
            <w:tcW w:w="4220" w:type="dxa"/>
            <w:vAlign w:val="bottom"/>
          </w:tcPr>
          <w:p>
            <w:pPr>
              <w:ind w:left="120"/>
              <w:spacing w:after="0"/>
              <w:rPr>
                <w:sz w:val="20"/>
                <w:szCs w:val="20"/>
                <w:color w:val="auto"/>
              </w:rPr>
            </w:pPr>
            <w:r>
              <w:rPr>
                <w:rFonts w:ascii="Arial" w:cs="Arial" w:eastAsia="Arial" w:hAnsi="Arial"/>
                <w:sz w:val="16"/>
                <w:szCs w:val="16"/>
                <w:color w:val="auto"/>
              </w:rPr>
              <w:t xml:space="preserve">Interest rate swaps </w:t>
            </w:r>
            <w:r>
              <w:rPr>
                <w:rFonts w:ascii="Arial" w:cs="Arial" w:eastAsia="Arial" w:hAnsi="Arial"/>
                <w:sz w:val="21"/>
                <w:szCs w:val="21"/>
                <w:color w:val="auto"/>
                <w:vertAlign w:val="superscript"/>
              </w:rPr>
              <w:t>(a)</w:t>
            </w:r>
          </w:p>
        </w:tc>
        <w:tc>
          <w:tcPr>
            <w:tcW w:w="1180" w:type="dxa"/>
            <w:vAlign w:val="bottom"/>
          </w:tcPr>
          <w:p>
            <w:pPr>
              <w:jc w:val="right"/>
              <w:ind w:right="979"/>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4"/>
                <w:szCs w:val="24"/>
                <w:color w:val="auto"/>
              </w:rPr>
            </w:pPr>
          </w:p>
        </w:tc>
        <w:tc>
          <w:tcPr>
            <w:tcW w:w="1160" w:type="dxa"/>
            <w:vAlign w:val="bottom"/>
          </w:tcPr>
          <w:p>
            <w:pPr>
              <w:jc w:val="right"/>
              <w:ind w:right="959"/>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433"/>
        </w:trPr>
        <w:tc>
          <w:tcPr>
            <w:tcW w:w="4220" w:type="dxa"/>
            <w:vAlign w:val="bottom"/>
          </w:tcPr>
          <w:p>
            <w:pPr>
              <w:ind w:left="20"/>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4220" w:type="dxa"/>
            <w:vAlign w:val="bottom"/>
          </w:tcPr>
          <w:p>
            <w:pPr>
              <w:ind w:left="120"/>
              <w:spacing w:after="0"/>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(b)</w:t>
            </w:r>
          </w:p>
        </w:tc>
        <w:tc>
          <w:tcPr>
            <w:tcW w:w="11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70"/>
        </w:trPr>
        <w:tc>
          <w:tcPr>
            <w:tcW w:w="4220" w:type="dxa"/>
            <w:vAlign w:val="bottom"/>
          </w:tcPr>
          <w:p>
            <w:pPr>
              <w:ind w:left="120"/>
              <w:spacing w:after="0"/>
              <w:rPr>
                <w:sz w:val="20"/>
                <w:szCs w:val="20"/>
                <w:color w:val="auto"/>
              </w:rPr>
            </w:pPr>
            <w:r>
              <w:rPr>
                <w:rFonts w:ascii="Arial" w:cs="Arial" w:eastAsia="Arial" w:hAnsi="Arial"/>
                <w:sz w:val="16"/>
                <w:szCs w:val="16"/>
                <w:color w:val="auto"/>
              </w:rPr>
              <w:t xml:space="preserve">Foreign exchange contracts </w:t>
            </w:r>
            <w:r>
              <w:rPr>
                <w:rFonts w:ascii="Arial" w:cs="Arial" w:eastAsia="Arial" w:hAnsi="Arial"/>
                <w:sz w:val="21"/>
                <w:szCs w:val="21"/>
                <w:color w:val="auto"/>
                <w:vertAlign w:val="superscript"/>
              </w:rPr>
              <w:t>(c)</w:t>
            </w:r>
          </w:p>
        </w:tc>
        <w:tc>
          <w:tcPr>
            <w:tcW w:w="1180" w:type="dxa"/>
            <w:vAlign w:val="bottom"/>
          </w:tcPr>
          <w:p>
            <w:pPr>
              <w:spacing w:after="0"/>
              <w:rPr>
                <w:sz w:val="23"/>
                <w:szCs w:val="23"/>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80" w:type="dxa"/>
            <w:vAlign w:val="bottom"/>
          </w:tcPr>
          <w:p>
            <w:pPr>
              <w:jc w:val="right"/>
              <w:ind w:right="19"/>
              <w:spacing w:after="0"/>
              <w:rPr>
                <w:sz w:val="20"/>
                <w:szCs w:val="20"/>
                <w:color w:val="auto"/>
              </w:rPr>
            </w:pPr>
            <w:r>
              <w:rPr>
                <w:rFonts w:ascii="Arial" w:cs="Arial" w:eastAsia="Arial" w:hAnsi="Arial"/>
                <w:sz w:val="16"/>
                <w:szCs w:val="16"/>
                <w:color w:val="auto"/>
                <w:w w:val="89"/>
              </w:rPr>
              <w:t>26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4"/>
        </w:trPr>
        <w:tc>
          <w:tcPr>
            <w:tcW w:w="4220" w:type="dxa"/>
            <w:vAlign w:val="bottom"/>
          </w:tcPr>
          <w:p>
            <w:pPr>
              <w:ind w:left="120"/>
              <w:spacing w:after="0" w:line="234" w:lineRule="exact"/>
              <w:rPr>
                <w:sz w:val="20"/>
                <w:szCs w:val="20"/>
                <w:color w:val="auto"/>
              </w:rPr>
            </w:pPr>
            <w:r>
              <w:rPr>
                <w:rFonts w:ascii="Arial" w:cs="Arial" w:eastAsia="Arial" w:hAnsi="Arial"/>
                <w:sz w:val="16"/>
                <w:szCs w:val="16"/>
                <w:color w:val="auto"/>
              </w:rPr>
              <w:t xml:space="preserve">Commodity contracts </w:t>
            </w:r>
            <w:r>
              <w:rPr>
                <w:rFonts w:ascii="Arial" w:cs="Arial" w:eastAsia="Arial" w:hAnsi="Arial"/>
                <w:sz w:val="21"/>
                <w:szCs w:val="21"/>
                <w:color w:val="auto"/>
                <w:vertAlign w:val="superscript"/>
              </w:rPr>
              <w:t>(c)</w:t>
            </w:r>
          </w:p>
        </w:tc>
        <w:tc>
          <w:tcPr>
            <w:tcW w:w="1180" w:type="dxa"/>
            <w:vAlign w:val="bottom"/>
          </w:tcPr>
          <w:p>
            <w:pPr>
              <w:spacing w:after="0"/>
              <w:rPr>
                <w:sz w:val="20"/>
                <w:szCs w:val="20"/>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6"/>
                <w:szCs w:val="16"/>
                <w:color w:val="auto"/>
                <w:w w:val="99"/>
              </w:rPr>
              <w:t>—</w:t>
            </w:r>
          </w:p>
        </w:tc>
        <w:tc>
          <w:tcPr>
            <w:tcW w:w="1160" w:type="dxa"/>
            <w:vAlign w:val="bottom"/>
          </w:tcPr>
          <w:p>
            <w:pPr>
              <w:spacing w:after="0"/>
              <w:rPr>
                <w:sz w:val="20"/>
                <w:szCs w:val="20"/>
                <w:color w:val="auto"/>
              </w:rPr>
            </w:pP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4220" w:type="dxa"/>
            <w:vAlign w:val="bottom"/>
          </w:tcPr>
          <w:p>
            <w:pPr>
              <w:ind w:left="120"/>
              <w:spacing w:after="0"/>
              <w:rPr>
                <w:sz w:val="20"/>
                <w:szCs w:val="20"/>
                <w:color w:val="auto"/>
              </w:rPr>
            </w:pPr>
            <w:r>
              <w:rPr>
                <w:rFonts w:ascii="Arial" w:cs="Arial" w:eastAsia="Arial" w:hAnsi="Arial"/>
                <w:sz w:val="16"/>
                <w:szCs w:val="16"/>
                <w:color w:val="auto"/>
              </w:rPr>
              <w:t>Total</w:t>
            </w:r>
          </w:p>
        </w:tc>
        <w:tc>
          <w:tcPr>
            <w:tcW w:w="1180" w:type="dxa"/>
            <w:vAlign w:val="bottom"/>
            <w:tcBorders>
              <w:top w:val="single" w:sz="8" w:color="auto"/>
              <w:bottom w:val="single" w:sz="8" w:color="auto"/>
            </w:tcBorders>
          </w:tcPr>
          <w:p>
            <w:pPr>
              <w:jc w:val="right"/>
              <w:ind w:right="979"/>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1160" w:type="dxa"/>
            <w:vAlign w:val="bottom"/>
            <w:tcBorders>
              <w:top w:val="single" w:sz="8" w:color="auto"/>
              <w:bottom w:val="single" w:sz="8" w:color="auto"/>
            </w:tcBorders>
          </w:tcPr>
          <w:p>
            <w:pPr>
              <w:jc w:val="right"/>
              <w:ind w:right="959"/>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32</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220" w:type="dxa"/>
            <w:vAlign w:val="bottom"/>
            <w:vMerge w:val="continue"/>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500" w:right="180"/>
        <w:spacing w:after="0" w:line="237" w:lineRule="auto"/>
        <w:rPr>
          <w:sz w:val="20"/>
          <w:szCs w:val="20"/>
          <w:color w:val="auto"/>
        </w:rPr>
      </w:pPr>
      <w:r>
        <w:rPr>
          <w:rFonts w:ascii="Arial" w:cs="Arial" w:eastAsia="Arial" w:hAnsi="Arial"/>
          <w:sz w:val="14"/>
          <w:szCs w:val="14"/>
          <w:color w:val="auto"/>
        </w:rPr>
        <w:t>Amounts in this table exclude derivatives issued by Avis Budget Rental Car Funding; however, certain amounts related to the derivatives held by Avis Budget Rental Car Funding are included within accumulated other comprehensive income (loss).</w:t>
      </w:r>
    </w:p>
    <w:p>
      <w:pPr>
        <w:ind w:left="820" w:hanging="326"/>
        <w:spacing w:after="0" w:line="195" w:lineRule="auto"/>
        <w:tabs>
          <w:tab w:leader="none" w:pos="820" w:val="left"/>
        </w:tabs>
        <w:numPr>
          <w:ilvl w:val="0"/>
          <w:numId w:val="32"/>
        </w:numPr>
        <w:rPr>
          <w:rFonts w:ascii="Arial" w:cs="Arial" w:eastAsia="Arial" w:hAnsi="Arial"/>
          <w:sz w:val="18"/>
          <w:szCs w:val="18"/>
          <w:color w:val="auto"/>
          <w:vertAlign w:val="superscript"/>
        </w:rPr>
      </w:pPr>
      <w:r>
        <w:rPr>
          <w:rFonts w:ascii="Arial" w:cs="Arial" w:eastAsia="Arial" w:hAnsi="Arial"/>
          <w:sz w:val="14"/>
          <w:szCs w:val="14"/>
          <w:color w:val="auto"/>
        </w:rPr>
        <w:t>Included in other non-current assets or other non-current liabilities.</w:t>
      </w:r>
    </w:p>
    <w:p>
      <w:pPr>
        <w:ind w:left="820" w:hanging="326"/>
        <w:spacing w:after="0" w:line="187" w:lineRule="auto"/>
        <w:tabs>
          <w:tab w:leader="none" w:pos="820" w:val="left"/>
        </w:tabs>
        <w:numPr>
          <w:ilvl w:val="0"/>
          <w:numId w:val="32"/>
        </w:numPr>
        <w:rPr>
          <w:rFonts w:ascii="Arial" w:cs="Arial" w:eastAsia="Arial" w:hAnsi="Arial"/>
          <w:sz w:val="18"/>
          <w:szCs w:val="18"/>
          <w:color w:val="auto"/>
          <w:vertAlign w:val="superscript"/>
        </w:rPr>
      </w:pPr>
      <w:r>
        <w:rPr>
          <w:rFonts w:ascii="Arial" w:cs="Arial" w:eastAsia="Arial" w:hAnsi="Arial"/>
          <w:sz w:val="14"/>
          <w:szCs w:val="14"/>
          <w:color w:val="auto"/>
        </w:rPr>
        <w:t>Included in assets under vehicle programs or liabilities under vehicle programs.</w:t>
      </w:r>
    </w:p>
    <w:p>
      <w:pPr>
        <w:ind w:left="820" w:hanging="326"/>
        <w:spacing w:after="0" w:line="204" w:lineRule="auto"/>
        <w:tabs>
          <w:tab w:leader="none" w:pos="820" w:val="left"/>
        </w:tabs>
        <w:numPr>
          <w:ilvl w:val="0"/>
          <w:numId w:val="32"/>
        </w:numPr>
        <w:rPr>
          <w:rFonts w:ascii="Arial" w:cs="Arial" w:eastAsia="Arial" w:hAnsi="Arial"/>
          <w:sz w:val="18"/>
          <w:szCs w:val="18"/>
          <w:color w:val="auto"/>
          <w:vertAlign w:val="superscript"/>
        </w:rPr>
      </w:pPr>
      <w:r>
        <w:rPr>
          <w:rFonts w:ascii="Arial" w:cs="Arial" w:eastAsia="Arial" w:hAnsi="Arial"/>
          <w:sz w:val="14"/>
          <w:szCs w:val="14"/>
          <w:color w:val="auto"/>
        </w:rPr>
        <w:t>Included in other current assets or other current liabilities.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effects of derivatives recognized in the Company’s Consolidated Condensed Financial Statements were as follows:</w:t>
      </w:r>
    </w:p>
    <w:p>
      <w:pPr>
        <w:spacing w:after="0" w:line="174" w:lineRule="exact"/>
        <w:rPr>
          <w:sz w:val="20"/>
          <w:szCs w:val="20"/>
          <w:color w:val="auto"/>
        </w:rPr>
      </w:pPr>
    </w:p>
    <w:tbl>
      <w:tblPr>
        <w:tblLayout w:type="fixed"/>
        <w:tblInd w:w="520" w:type="dxa"/>
        <w:tblCellMar>
          <w:top w:w="0" w:type="dxa"/>
          <w:left w:w="0" w:type="dxa"/>
          <w:bottom w:w="0" w:type="dxa"/>
          <w:right w:w="0" w:type="dxa"/>
        </w:tblCellMar>
      </w:tblPr>
      <w:tr>
        <w:trPr>
          <w:trHeight w:val="189"/>
        </w:trPr>
        <w:tc>
          <w:tcPr>
            <w:tcW w:w="4260" w:type="dxa"/>
            <w:vAlign w:val="bottom"/>
          </w:tcPr>
          <w:p>
            <w:pPr>
              <w:spacing w:after="0"/>
              <w:rPr>
                <w:sz w:val="16"/>
                <w:szCs w:val="16"/>
                <w:color w:val="auto"/>
              </w:rPr>
            </w:pPr>
          </w:p>
        </w:tc>
        <w:tc>
          <w:tcPr>
            <w:tcW w:w="2580" w:type="dxa"/>
            <w:vAlign w:val="bottom"/>
            <w:gridSpan w:val="4"/>
          </w:tcPr>
          <w:p>
            <w:pPr>
              <w:jc w:val="right"/>
              <w:ind w:right="219"/>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4"/>
          </w:tcPr>
          <w:p>
            <w:pPr>
              <w:jc w:val="center"/>
              <w:ind w:right="199"/>
              <w:spacing w:after="0"/>
              <w:rPr>
                <w:sz w:val="20"/>
                <w:szCs w:val="20"/>
                <w:color w:val="auto"/>
              </w:rPr>
            </w:pPr>
            <w:r>
              <w:rPr>
                <w:rFonts w:ascii="Arial" w:cs="Arial" w:eastAsia="Arial" w:hAnsi="Arial"/>
                <w:sz w:val="16"/>
                <w:szCs w:val="16"/>
                <w:b w:val="1"/>
                <w:bCs w:val="1"/>
                <w:color w:val="auto"/>
              </w:rPr>
              <w:t>Six Months Ended</w:t>
            </w:r>
          </w:p>
        </w:tc>
      </w:tr>
      <w:tr>
        <w:trPr>
          <w:trHeight w:val="232"/>
        </w:trPr>
        <w:tc>
          <w:tcPr>
            <w:tcW w:w="426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659"/>
              <w:spacing w:after="0"/>
              <w:rPr>
                <w:sz w:val="20"/>
                <w:szCs w:val="20"/>
                <w:color w:val="auto"/>
              </w:rPr>
            </w:pPr>
            <w:r>
              <w:rPr>
                <w:rFonts w:ascii="Arial" w:cs="Arial" w:eastAsia="Arial" w:hAnsi="Arial"/>
                <w:sz w:val="16"/>
                <w:szCs w:val="16"/>
                <w:b w:val="1"/>
                <w:bCs w:val="1"/>
                <w:color w:val="auto"/>
              </w:rPr>
              <w:t>June 30,</w:t>
            </w:r>
          </w:p>
        </w:tc>
        <w:tc>
          <w:tcPr>
            <w:tcW w:w="3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center"/>
              <w:ind w:left="639"/>
              <w:spacing w:after="0"/>
              <w:rPr>
                <w:sz w:val="20"/>
                <w:szCs w:val="20"/>
                <w:color w:val="auto"/>
              </w:rPr>
            </w:pPr>
            <w:r>
              <w:rPr>
                <w:rFonts w:ascii="Arial" w:cs="Arial" w:eastAsia="Arial" w:hAnsi="Arial"/>
                <w:sz w:val="16"/>
                <w:szCs w:val="16"/>
                <w:b w:val="1"/>
                <w:bCs w:val="1"/>
                <w:color w:val="auto"/>
              </w:rPr>
              <w:t>June 30,</w:t>
            </w:r>
          </w:p>
        </w:tc>
        <w:tc>
          <w:tcPr>
            <w:tcW w:w="1020" w:type="dxa"/>
            <w:vAlign w:val="bottom"/>
            <w:tcBorders>
              <w:bottom w:val="single" w:sz="8" w:color="auto"/>
            </w:tcBorders>
          </w:tcPr>
          <w:p>
            <w:pPr>
              <w:spacing w:after="0"/>
              <w:rPr>
                <w:sz w:val="20"/>
                <w:szCs w:val="20"/>
                <w:color w:val="auto"/>
              </w:rPr>
            </w:pPr>
          </w:p>
        </w:tc>
      </w:tr>
      <w:tr>
        <w:trPr>
          <w:trHeight w:val="247"/>
        </w:trPr>
        <w:tc>
          <w:tcPr>
            <w:tcW w:w="4260" w:type="dxa"/>
            <w:vAlign w:val="bottom"/>
          </w:tcPr>
          <w:p>
            <w:pPr>
              <w:spacing w:after="0"/>
              <w:rPr>
                <w:sz w:val="21"/>
                <w:szCs w:val="21"/>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c>
          <w:tcPr>
            <w:tcW w:w="4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2016</w:t>
            </w:r>
          </w:p>
        </w:tc>
        <w:tc>
          <w:tcPr>
            <w:tcW w:w="3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2016</w:t>
            </w:r>
          </w:p>
        </w:tc>
      </w:tr>
      <w:tr>
        <w:trPr>
          <w:trHeight w:val="306"/>
        </w:trPr>
        <w:tc>
          <w:tcPr>
            <w:tcW w:w="4260" w:type="dxa"/>
            <w:vAlign w:val="bottom"/>
          </w:tcPr>
          <w:p>
            <w:pPr>
              <w:spacing w:after="0"/>
              <w:rPr>
                <w:sz w:val="20"/>
                <w:szCs w:val="20"/>
                <w:color w:val="auto"/>
              </w:rPr>
            </w:pPr>
            <w:r>
              <w:rPr>
                <w:rFonts w:ascii="Arial" w:cs="Arial" w:eastAsia="Arial" w:hAnsi="Arial"/>
                <w:sz w:val="16"/>
                <w:szCs w:val="16"/>
                <w:b w:val="1"/>
                <w:bCs w:val="1"/>
                <w:color w:val="auto"/>
              </w:rPr>
              <w:t xml:space="preserve">Derivatives designated as hedging instruments </w:t>
            </w:r>
            <w:r>
              <w:rPr>
                <w:rFonts w:ascii="Arial" w:cs="Arial" w:eastAsia="Arial" w:hAnsi="Arial"/>
                <w:sz w:val="21"/>
                <w:szCs w:val="21"/>
                <w:b w:val="1"/>
                <w:bCs w:val="1"/>
                <w:color w:val="auto"/>
                <w:vertAlign w:val="superscript"/>
              </w:rPr>
              <w:t>(a)</w:t>
            </w: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9"/>
        </w:trPr>
        <w:tc>
          <w:tcPr>
            <w:tcW w:w="4260" w:type="dxa"/>
            <w:vAlign w:val="bottom"/>
          </w:tcPr>
          <w:p>
            <w:pPr>
              <w:ind w:left="100"/>
              <w:spacing w:after="0"/>
              <w:rPr>
                <w:sz w:val="20"/>
                <w:szCs w:val="20"/>
                <w:color w:val="auto"/>
              </w:rPr>
            </w:pPr>
            <w:r>
              <w:rPr>
                <w:rFonts w:ascii="Arial" w:cs="Arial" w:eastAsia="Arial" w:hAnsi="Arial"/>
                <w:sz w:val="16"/>
                <w:szCs w:val="16"/>
                <w:color w:val="auto"/>
              </w:rPr>
              <w:t>Interest rate swaps</w:t>
            </w:r>
          </w:p>
        </w:tc>
        <w:tc>
          <w:tcPr>
            <w:tcW w:w="1000" w:type="dxa"/>
            <w:vAlign w:val="bottom"/>
          </w:tcPr>
          <w:p>
            <w:pPr>
              <w:jc w:val="right"/>
              <w:ind w:right="799"/>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9"/>
                <w:szCs w:val="19"/>
                <w:color w:val="auto"/>
              </w:rPr>
            </w:pPr>
          </w:p>
        </w:tc>
        <w:tc>
          <w:tcPr>
            <w:tcW w:w="1040" w:type="dxa"/>
            <w:vAlign w:val="bottom"/>
          </w:tcPr>
          <w:p>
            <w:pPr>
              <w:jc w:val="right"/>
              <w:ind w:right="839"/>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9"/>
                <w:szCs w:val="19"/>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9"/>
                <w:szCs w:val="19"/>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70"/>
        </w:trPr>
        <w:tc>
          <w:tcPr>
            <w:tcW w:w="4260" w:type="dxa"/>
            <w:vAlign w:val="bottom"/>
          </w:tcPr>
          <w:p>
            <w:pPr>
              <w:ind w:left="100"/>
              <w:spacing w:after="0"/>
              <w:rPr>
                <w:sz w:val="20"/>
                <w:szCs w:val="20"/>
                <w:color w:val="auto"/>
              </w:rPr>
            </w:pPr>
            <w:r>
              <w:rPr>
                <w:rFonts w:ascii="Arial" w:cs="Arial" w:eastAsia="Arial" w:hAnsi="Arial"/>
                <w:sz w:val="16"/>
                <w:szCs w:val="16"/>
                <w:color w:val="auto"/>
              </w:rPr>
              <w:t>Euro-denominated notes</w:t>
            </w:r>
          </w:p>
        </w:tc>
        <w:tc>
          <w:tcPr>
            <w:tcW w:w="100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w:t>
            </w:r>
          </w:p>
        </w:tc>
      </w:tr>
    </w:tbl>
    <w:p>
      <w:pPr>
        <w:spacing w:after="0" w:line="49"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 xml:space="preserve">Derivatives not designated as hedging instruments </w:t>
      </w:r>
      <w:r>
        <w:rPr>
          <w:rFonts w:ascii="Arial" w:cs="Arial" w:eastAsia="Arial" w:hAnsi="Arial"/>
          <w:sz w:val="21"/>
          <w:szCs w:val="21"/>
          <w:b w:val="1"/>
          <w:bCs w:val="1"/>
          <w:color w:val="auto"/>
          <w:vertAlign w:val="superscript"/>
        </w:rPr>
        <w:t>(b)</w:t>
      </w:r>
    </w:p>
    <w:p>
      <w:pPr>
        <w:spacing w:after="0" w:line="45" w:lineRule="exact"/>
        <w:rPr>
          <w:sz w:val="20"/>
          <w:szCs w:val="20"/>
          <w:color w:val="auto"/>
        </w:rPr>
      </w:pPr>
    </w:p>
    <w:tbl>
      <w:tblPr>
        <w:tblLayout w:type="fixed"/>
        <w:tblInd w:w="500" w:type="dxa"/>
        <w:tblCellMar>
          <w:top w:w="0" w:type="dxa"/>
          <w:left w:w="0" w:type="dxa"/>
          <w:bottom w:w="0" w:type="dxa"/>
          <w:right w:w="0" w:type="dxa"/>
        </w:tblCellMar>
      </w:tblPr>
      <w:tr>
        <w:trPr>
          <w:trHeight w:val="255"/>
        </w:trPr>
        <w:tc>
          <w:tcPr>
            <w:tcW w:w="4280" w:type="dxa"/>
            <w:vAlign w:val="bottom"/>
          </w:tcPr>
          <w:p>
            <w:pPr>
              <w:ind w:left="120"/>
              <w:spacing w:after="0"/>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(c)</w:t>
            </w:r>
          </w:p>
        </w:tc>
        <w:tc>
          <w:tcPr>
            <w:tcW w:w="60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70"/>
        </w:trPr>
        <w:tc>
          <w:tcPr>
            <w:tcW w:w="4280" w:type="dxa"/>
            <w:vAlign w:val="bottom"/>
          </w:tcPr>
          <w:p>
            <w:pPr>
              <w:ind w:left="120"/>
              <w:spacing w:after="0"/>
              <w:rPr>
                <w:sz w:val="20"/>
                <w:szCs w:val="20"/>
                <w:color w:val="auto"/>
              </w:rPr>
            </w:pPr>
            <w:r>
              <w:rPr>
                <w:rFonts w:ascii="Arial" w:cs="Arial" w:eastAsia="Arial" w:hAnsi="Arial"/>
                <w:sz w:val="16"/>
                <w:szCs w:val="16"/>
                <w:color w:val="auto"/>
              </w:rPr>
              <w:t xml:space="preserve">Foreign exchange contracts </w:t>
            </w:r>
            <w:r>
              <w:rPr>
                <w:rFonts w:ascii="Arial" w:cs="Arial" w:eastAsia="Arial" w:hAnsi="Arial"/>
                <w:sz w:val="21"/>
                <w:szCs w:val="21"/>
                <w:color w:val="auto"/>
                <w:vertAlign w:val="superscript"/>
              </w:rPr>
              <w:t>(d)</w:t>
            </w:r>
          </w:p>
        </w:tc>
        <w:tc>
          <w:tcPr>
            <w:tcW w:w="6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34"/>
        </w:trPr>
        <w:tc>
          <w:tcPr>
            <w:tcW w:w="4280" w:type="dxa"/>
            <w:vAlign w:val="bottom"/>
          </w:tcPr>
          <w:p>
            <w:pPr>
              <w:ind w:left="120"/>
              <w:spacing w:after="0" w:line="234" w:lineRule="exact"/>
              <w:rPr>
                <w:sz w:val="20"/>
                <w:szCs w:val="20"/>
                <w:color w:val="auto"/>
              </w:rPr>
            </w:pPr>
            <w:r>
              <w:rPr>
                <w:rFonts w:ascii="Arial" w:cs="Arial" w:eastAsia="Arial" w:hAnsi="Arial"/>
                <w:sz w:val="16"/>
                <w:szCs w:val="16"/>
                <w:color w:val="auto"/>
              </w:rPr>
              <w:t xml:space="preserve">Commodity contracts </w:t>
            </w:r>
            <w:r>
              <w:rPr>
                <w:rFonts w:ascii="Arial" w:cs="Arial" w:eastAsia="Arial" w:hAnsi="Arial"/>
                <w:sz w:val="21"/>
                <w:szCs w:val="21"/>
                <w:color w:val="auto"/>
                <w:vertAlign w:val="superscript"/>
              </w:rPr>
              <w:t>(e)</w:t>
            </w:r>
          </w:p>
        </w:tc>
        <w:tc>
          <w:tcPr>
            <w:tcW w:w="6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4280" w:type="dxa"/>
            <w:vAlign w:val="bottom"/>
          </w:tcPr>
          <w:p>
            <w:pPr>
              <w:ind w:left="120"/>
              <w:spacing w:after="0"/>
              <w:rPr>
                <w:sz w:val="20"/>
                <w:szCs w:val="20"/>
                <w:color w:val="auto"/>
              </w:rPr>
            </w:pPr>
            <w:r>
              <w:rPr>
                <w:rFonts w:ascii="Arial" w:cs="Arial" w:eastAsia="Arial" w:hAnsi="Arial"/>
                <w:sz w:val="16"/>
                <w:szCs w:val="16"/>
                <w:color w:val="auto"/>
              </w:rPr>
              <w:t>Total</w:t>
            </w:r>
          </w:p>
        </w:tc>
        <w:tc>
          <w:tcPr>
            <w:tcW w:w="6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0"/>
                <w:szCs w:val="20"/>
                <w:color w:val="auto"/>
              </w:rPr>
            </w:pPr>
          </w:p>
        </w:tc>
        <w:tc>
          <w:tcPr>
            <w:tcW w:w="6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6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20"/>
                <w:szCs w:val="20"/>
                <w:color w:val="auto"/>
              </w:rPr>
            </w:pPr>
          </w:p>
        </w:tc>
        <w:tc>
          <w:tcPr>
            <w:tcW w:w="6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6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280" w:type="dxa"/>
            <w:vAlign w:val="bottom"/>
            <w:vMerge w:val="continue"/>
          </w:tcPr>
          <w:p>
            <w:pPr>
              <w:spacing w:after="0"/>
              <w:rPr>
                <w:sz w:val="17"/>
                <w:szCs w:val="17"/>
                <w:color w:val="auto"/>
              </w:rPr>
            </w:pPr>
          </w:p>
        </w:tc>
        <w:tc>
          <w:tcPr>
            <w:tcW w:w="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820" w:hanging="326"/>
        <w:spacing w:after="0" w:line="193" w:lineRule="auto"/>
        <w:tabs>
          <w:tab w:leader="none" w:pos="820" w:val="left"/>
        </w:tabs>
        <w:numPr>
          <w:ilvl w:val="0"/>
          <w:numId w:val="33"/>
        </w:numPr>
        <w:rPr>
          <w:rFonts w:ascii="Arial" w:cs="Arial" w:eastAsia="Arial" w:hAnsi="Arial"/>
          <w:sz w:val="18"/>
          <w:szCs w:val="18"/>
          <w:color w:val="auto"/>
          <w:vertAlign w:val="superscript"/>
        </w:rPr>
      </w:pPr>
      <w:r>
        <w:rPr>
          <w:rFonts w:ascii="Arial" w:cs="Arial" w:eastAsia="Arial" w:hAnsi="Arial"/>
          <w:sz w:val="14"/>
          <w:szCs w:val="14"/>
          <w:color w:val="auto"/>
        </w:rPr>
        <w:t>Recognized, net of tax, as a component of other comprehensive income (loss) within stockholders’ equity.</w:t>
      </w:r>
    </w:p>
    <w:p>
      <w:pPr>
        <w:ind w:left="820" w:hanging="326"/>
        <w:spacing w:after="0" w:line="187" w:lineRule="auto"/>
        <w:tabs>
          <w:tab w:leader="none" w:pos="820" w:val="left"/>
        </w:tabs>
        <w:numPr>
          <w:ilvl w:val="0"/>
          <w:numId w:val="33"/>
        </w:numPr>
        <w:rPr>
          <w:rFonts w:ascii="Arial" w:cs="Arial" w:eastAsia="Arial" w:hAnsi="Arial"/>
          <w:sz w:val="18"/>
          <w:szCs w:val="18"/>
          <w:color w:val="auto"/>
          <w:vertAlign w:val="superscript"/>
        </w:rPr>
      </w:pPr>
      <w:r>
        <w:rPr>
          <w:rFonts w:ascii="Arial" w:cs="Arial" w:eastAsia="Arial" w:hAnsi="Arial"/>
          <w:sz w:val="14"/>
          <w:szCs w:val="14"/>
          <w:color w:val="auto"/>
        </w:rPr>
        <w:t>Gains (losses) related to derivative instruments are expected to be largely offset by (losses) gains on the underlying exposures being hedged.</w:t>
      </w:r>
    </w:p>
    <w:p>
      <w:pPr>
        <w:ind w:left="820" w:hanging="326"/>
        <w:spacing w:after="0" w:line="187" w:lineRule="auto"/>
        <w:tabs>
          <w:tab w:leader="none" w:pos="820" w:val="left"/>
        </w:tabs>
        <w:numPr>
          <w:ilvl w:val="0"/>
          <w:numId w:val="33"/>
        </w:numPr>
        <w:rPr>
          <w:rFonts w:ascii="Arial" w:cs="Arial" w:eastAsia="Arial" w:hAnsi="Arial"/>
          <w:sz w:val="18"/>
          <w:szCs w:val="18"/>
          <w:color w:val="auto"/>
          <w:vertAlign w:val="superscript"/>
        </w:rPr>
      </w:pPr>
      <w:r>
        <w:rPr>
          <w:rFonts w:ascii="Arial" w:cs="Arial" w:eastAsia="Arial" w:hAnsi="Arial"/>
          <w:sz w:val="14"/>
          <w:szCs w:val="14"/>
          <w:color w:val="auto"/>
        </w:rPr>
        <w:t>For the three and six months ended June 30, 2016, included in operating expense.</w:t>
      </w:r>
    </w:p>
    <w:p>
      <w:pPr>
        <w:ind w:left="820" w:hanging="326"/>
        <w:spacing w:after="0" w:line="225" w:lineRule="auto"/>
        <w:tabs>
          <w:tab w:leader="none" w:pos="820" w:val="left"/>
        </w:tabs>
        <w:numPr>
          <w:ilvl w:val="0"/>
          <w:numId w:val="33"/>
        </w:numPr>
        <w:rPr>
          <w:rFonts w:ascii="Arial" w:cs="Arial" w:eastAsia="Arial" w:hAnsi="Arial"/>
          <w:sz w:val="18"/>
          <w:szCs w:val="18"/>
          <w:color w:val="auto"/>
          <w:vertAlign w:val="superscript"/>
        </w:rPr>
      </w:pPr>
      <w:r>
        <w:rPr>
          <w:rFonts w:ascii="Arial" w:cs="Arial" w:eastAsia="Arial" w:hAnsi="Arial"/>
          <w:sz w:val="14"/>
          <w:szCs w:val="14"/>
          <w:color w:val="auto"/>
        </w:rPr>
        <w:t>For the three months ended June 30, 2017, included a $11 million loss in interest expense and a $10 million loss in operating expense and for the six months ended June 30, 2017, included a $18 million loss in interest expense and a $15 million loss in operating expense. For the three months ended June 30, 2016, included a $26 million gain in interest expense and a $4 million loss in operating expense and for the six months ended June 30, 2016, included a $35 million gain in interest expense and a $23 million loss in operating expense.</w:t>
      </w:r>
    </w:p>
    <w:p>
      <w:pPr>
        <w:spacing w:after="0" w:line="1" w:lineRule="exact"/>
        <w:rPr>
          <w:rFonts w:ascii="Arial" w:cs="Arial" w:eastAsia="Arial" w:hAnsi="Arial"/>
          <w:sz w:val="18"/>
          <w:szCs w:val="18"/>
          <w:color w:val="auto"/>
          <w:vertAlign w:val="superscript"/>
        </w:rPr>
      </w:pPr>
    </w:p>
    <w:p>
      <w:pPr>
        <w:ind w:left="820" w:hanging="326"/>
        <w:spacing w:after="0" w:line="204" w:lineRule="auto"/>
        <w:tabs>
          <w:tab w:leader="none" w:pos="820" w:val="left"/>
        </w:tabs>
        <w:numPr>
          <w:ilvl w:val="0"/>
          <w:numId w:val="33"/>
        </w:numPr>
        <w:rPr>
          <w:rFonts w:ascii="Arial" w:cs="Arial" w:eastAsia="Arial" w:hAnsi="Arial"/>
          <w:sz w:val="18"/>
          <w:szCs w:val="18"/>
          <w:color w:val="auto"/>
          <w:vertAlign w:val="superscript"/>
        </w:rPr>
      </w:pPr>
      <w:r>
        <w:rPr>
          <w:rFonts w:ascii="Arial" w:cs="Arial" w:eastAsia="Arial" w:hAnsi="Arial"/>
          <w:sz w:val="14"/>
          <w:szCs w:val="14"/>
          <w:color w:val="auto"/>
        </w:rPr>
        <w:t>Included in operating expense.</w:t>
      </w:r>
    </w:p>
    <w:p>
      <w:pPr>
        <w:spacing w:after="0" w:line="3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115" w:right="27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Debt Instruments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carrying amounts and estimated fair values (Level 2) of debt instruments were as follows:</w:t>
      </w:r>
    </w:p>
    <w:p>
      <w:pPr>
        <w:spacing w:after="0" w:line="201" w:lineRule="exact"/>
        <w:rPr>
          <w:sz w:val="20"/>
          <w:szCs w:val="20"/>
          <w:color w:val="auto"/>
        </w:rPr>
      </w:pPr>
    </w:p>
    <w:tbl>
      <w:tblPr>
        <w:tblLayout w:type="fixed"/>
        <w:tblInd w:w="500" w:type="dxa"/>
        <w:tblCellMar>
          <w:top w:w="0" w:type="dxa"/>
          <w:left w:w="0" w:type="dxa"/>
          <w:bottom w:w="0" w:type="dxa"/>
          <w:right w:w="0" w:type="dxa"/>
        </w:tblCellMar>
      </w:tblPr>
      <w:tr>
        <w:trPr>
          <w:trHeight w:val="232"/>
        </w:trPr>
        <w:tc>
          <w:tcPr>
            <w:tcW w:w="4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4"/>
          </w:tcPr>
          <w:p>
            <w:pPr>
              <w:jc w:val="right"/>
              <w:ind w:right="639"/>
              <w:spacing w:after="0"/>
              <w:rPr>
                <w:sz w:val="20"/>
                <w:szCs w:val="20"/>
                <w:color w:val="auto"/>
              </w:rPr>
            </w:pPr>
            <w:r>
              <w:rPr>
                <w:rFonts w:ascii="Arial" w:cs="Arial" w:eastAsia="Arial" w:hAnsi="Arial"/>
                <w:sz w:val="16"/>
                <w:szCs w:val="16"/>
                <w:b w:val="1"/>
                <w:bCs w:val="1"/>
                <w:color w:val="auto"/>
              </w:rPr>
              <w:t>As of June 30, 2017</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6"/>
                <w:szCs w:val="16"/>
                <w:b w:val="1"/>
                <w:bCs w:val="1"/>
                <w:color w:val="auto"/>
              </w:rPr>
              <w:t>As of December 31, 2016</w:t>
            </w:r>
          </w:p>
        </w:tc>
      </w:tr>
      <w:tr>
        <w:trPr>
          <w:trHeight w:val="193"/>
        </w:trPr>
        <w:tc>
          <w:tcPr>
            <w:tcW w:w="4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Estimated</w:t>
            </w: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center"/>
              <w:ind w:right="119"/>
              <w:spacing w:after="0"/>
              <w:rPr>
                <w:sz w:val="20"/>
                <w:szCs w:val="20"/>
                <w:color w:val="auto"/>
              </w:rPr>
            </w:pPr>
            <w:r>
              <w:rPr>
                <w:rFonts w:ascii="Arial" w:cs="Arial" w:eastAsia="Arial" w:hAnsi="Arial"/>
                <w:sz w:val="16"/>
                <w:szCs w:val="16"/>
                <w:b w:val="1"/>
                <w:bCs w:val="1"/>
                <w:color w:val="auto"/>
              </w:rPr>
              <w:t>Estimated</w:t>
            </w:r>
          </w:p>
        </w:tc>
      </w:tr>
      <w:tr>
        <w:trPr>
          <w:trHeight w:val="189"/>
        </w:trPr>
        <w:tc>
          <w:tcPr>
            <w:tcW w:w="4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Carrying</w:t>
            </w:r>
          </w:p>
        </w:tc>
        <w:tc>
          <w:tcPr>
            <w:tcW w:w="22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Fair</w:t>
            </w:r>
          </w:p>
        </w:tc>
        <w:tc>
          <w:tcPr>
            <w:tcW w:w="26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Carrying</w:t>
            </w:r>
          </w:p>
        </w:tc>
        <w:tc>
          <w:tcPr>
            <w:tcW w:w="220" w:type="dxa"/>
            <w:vAlign w:val="bottom"/>
          </w:tcPr>
          <w:p>
            <w:pPr>
              <w:spacing w:after="0"/>
              <w:rPr>
                <w:sz w:val="16"/>
                <w:szCs w:val="16"/>
                <w:color w:val="auto"/>
              </w:rPr>
            </w:pPr>
          </w:p>
        </w:tc>
        <w:tc>
          <w:tcPr>
            <w:tcW w:w="1220" w:type="dxa"/>
            <w:vAlign w:val="bottom"/>
          </w:tcPr>
          <w:p>
            <w:pPr>
              <w:jc w:val="center"/>
              <w:ind w:right="119"/>
              <w:spacing w:after="0"/>
              <w:rPr>
                <w:sz w:val="20"/>
                <w:szCs w:val="20"/>
                <w:color w:val="auto"/>
              </w:rPr>
            </w:pPr>
            <w:r>
              <w:rPr>
                <w:rFonts w:ascii="Arial" w:cs="Arial" w:eastAsia="Arial" w:hAnsi="Arial"/>
                <w:sz w:val="16"/>
                <w:szCs w:val="16"/>
                <w:b w:val="1"/>
                <w:bCs w:val="1"/>
                <w:color w:val="auto"/>
              </w:rPr>
              <w:t>Fair</w:t>
            </w:r>
          </w:p>
        </w:tc>
      </w:tr>
      <w:tr>
        <w:trPr>
          <w:trHeight w:val="230"/>
        </w:trPr>
        <w:tc>
          <w:tcPr>
            <w:tcW w:w="4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Amount</w:t>
            </w:r>
          </w:p>
        </w:tc>
        <w:tc>
          <w:tcPr>
            <w:tcW w:w="220" w:type="dxa"/>
            <w:vAlign w:val="bottom"/>
          </w:tcPr>
          <w:p>
            <w:pPr>
              <w:spacing w:after="0"/>
              <w:rPr>
                <w:sz w:val="19"/>
                <w:szCs w:val="19"/>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8"/>
              </w:rPr>
              <w:t>Value</w:t>
            </w:r>
          </w:p>
        </w:tc>
        <w:tc>
          <w:tcPr>
            <w:tcW w:w="260" w:type="dxa"/>
            <w:vAlign w:val="bottom"/>
          </w:tcPr>
          <w:p>
            <w:pPr>
              <w:spacing w:after="0"/>
              <w:rPr>
                <w:sz w:val="19"/>
                <w:szCs w:val="19"/>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Amount</w:t>
            </w:r>
          </w:p>
        </w:tc>
        <w:tc>
          <w:tcPr>
            <w:tcW w:w="220" w:type="dxa"/>
            <w:vAlign w:val="bottom"/>
          </w:tcPr>
          <w:p>
            <w:pPr>
              <w:spacing w:after="0"/>
              <w:rPr>
                <w:sz w:val="19"/>
                <w:szCs w:val="19"/>
                <w:color w:val="auto"/>
              </w:rPr>
            </w:pPr>
          </w:p>
        </w:tc>
        <w:tc>
          <w:tcPr>
            <w:tcW w:w="1220" w:type="dxa"/>
            <w:vAlign w:val="bottom"/>
          </w:tcPr>
          <w:p>
            <w:pPr>
              <w:jc w:val="center"/>
              <w:ind w:right="119"/>
              <w:spacing w:after="0"/>
              <w:rPr>
                <w:sz w:val="20"/>
                <w:szCs w:val="20"/>
                <w:color w:val="auto"/>
              </w:rPr>
            </w:pPr>
            <w:r>
              <w:rPr>
                <w:rFonts w:ascii="Arial" w:cs="Arial" w:eastAsia="Arial" w:hAnsi="Arial"/>
                <w:sz w:val="16"/>
                <w:szCs w:val="16"/>
                <w:b w:val="1"/>
                <w:bCs w:val="1"/>
                <w:color w:val="auto"/>
                <w:w w:val="98"/>
              </w:rPr>
              <w:t>Value</w:t>
            </w:r>
          </w:p>
        </w:tc>
      </w:tr>
      <w:tr>
        <w:trPr>
          <w:trHeight w:val="263"/>
        </w:trPr>
        <w:tc>
          <w:tcPr>
            <w:tcW w:w="4240" w:type="dxa"/>
            <w:vAlign w:val="bottom"/>
          </w:tcPr>
          <w:p>
            <w:pPr>
              <w:ind w:left="20"/>
              <w:spacing w:after="0"/>
              <w:rPr>
                <w:sz w:val="20"/>
                <w:szCs w:val="20"/>
                <w:color w:val="auto"/>
              </w:rPr>
            </w:pPr>
            <w:r>
              <w:rPr>
                <w:rFonts w:ascii="Arial" w:cs="Arial" w:eastAsia="Arial" w:hAnsi="Arial"/>
                <w:sz w:val="16"/>
                <w:szCs w:val="16"/>
                <w:b w:val="1"/>
                <w:bCs w:val="1"/>
                <w:color w:val="auto"/>
              </w:rPr>
              <w:t>Corporate debt</w:t>
            </w:r>
          </w:p>
        </w:tc>
        <w:tc>
          <w:tcPr>
            <w:tcW w:w="24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r>
      <w:tr>
        <w:trPr>
          <w:trHeight w:val="262"/>
        </w:trPr>
        <w:tc>
          <w:tcPr>
            <w:tcW w:w="4240" w:type="dxa"/>
            <w:vAlign w:val="bottom"/>
          </w:tcPr>
          <w:p>
            <w:pPr>
              <w:ind w:left="120"/>
              <w:spacing w:after="0"/>
              <w:rPr>
                <w:sz w:val="20"/>
                <w:szCs w:val="20"/>
                <w:color w:val="auto"/>
              </w:rPr>
            </w:pPr>
            <w:r>
              <w:rPr>
                <w:rFonts w:ascii="Arial" w:cs="Arial" w:eastAsia="Arial" w:hAnsi="Arial"/>
                <w:sz w:val="16"/>
                <w:szCs w:val="16"/>
                <w:color w:val="auto"/>
              </w:rPr>
              <w:t>Short-term debt and current portion of long-term debt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279</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280</w:t>
            </w:r>
          </w:p>
        </w:tc>
      </w:tr>
      <w:tr>
        <w:trPr>
          <w:trHeight w:val="270"/>
        </w:trPr>
        <w:tc>
          <w:tcPr>
            <w:tcW w:w="4240" w:type="dxa"/>
            <w:vAlign w:val="bottom"/>
          </w:tcPr>
          <w:p>
            <w:pPr>
              <w:ind w:left="120"/>
              <w:spacing w:after="0"/>
              <w:rPr>
                <w:sz w:val="20"/>
                <w:szCs w:val="20"/>
                <w:color w:val="auto"/>
              </w:rPr>
            </w:pPr>
            <w:r>
              <w:rPr>
                <w:rFonts w:ascii="Arial" w:cs="Arial" w:eastAsia="Arial" w:hAnsi="Arial"/>
                <w:sz w:val="16"/>
                <w:szCs w:val="16"/>
                <w:color w:val="auto"/>
              </w:rPr>
              <w:t>Long-term debt</w:t>
            </w:r>
          </w:p>
        </w:tc>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3,546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3,555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3,244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3,265</w:t>
            </w:r>
          </w:p>
        </w:tc>
      </w:tr>
      <w:tr>
        <w:trPr>
          <w:trHeight w:val="508"/>
        </w:trPr>
        <w:tc>
          <w:tcPr>
            <w:tcW w:w="4240" w:type="dxa"/>
            <w:vAlign w:val="bottom"/>
          </w:tcPr>
          <w:p>
            <w:pPr>
              <w:ind w:left="20"/>
              <w:spacing w:after="0"/>
              <w:rPr>
                <w:sz w:val="20"/>
                <w:szCs w:val="20"/>
                <w:color w:val="auto"/>
              </w:rPr>
            </w:pPr>
            <w:r>
              <w:rPr>
                <w:rFonts w:ascii="Arial" w:cs="Arial" w:eastAsia="Arial" w:hAnsi="Arial"/>
                <w:sz w:val="16"/>
                <w:szCs w:val="16"/>
                <w:b w:val="1"/>
                <w:bCs w:val="1"/>
                <w:color w:val="auto"/>
              </w:rPr>
              <w:t>Debt under vehicle programs</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6"/>
        </w:trPr>
        <w:tc>
          <w:tcPr>
            <w:tcW w:w="4240" w:type="dxa"/>
            <w:vAlign w:val="bottom"/>
          </w:tcPr>
          <w:p>
            <w:pPr>
              <w:ind w:left="120"/>
              <w:spacing w:after="0"/>
              <w:rPr>
                <w:sz w:val="20"/>
                <w:szCs w:val="20"/>
                <w:color w:val="auto"/>
              </w:rPr>
            </w:pPr>
            <w:r>
              <w:rPr>
                <w:rFonts w:ascii="Arial" w:cs="Arial" w:eastAsia="Arial" w:hAnsi="Arial"/>
                <w:sz w:val="16"/>
                <w:szCs w:val="16"/>
                <w:color w:val="auto"/>
              </w:rPr>
              <w:t>Vehicle-backed debt due to Avis Budget Rental Car</w:t>
            </w: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9"/>
        </w:trPr>
        <w:tc>
          <w:tcPr>
            <w:tcW w:w="4240" w:type="dxa"/>
            <w:vAlign w:val="bottom"/>
          </w:tcPr>
          <w:p>
            <w:pPr>
              <w:ind w:left="300"/>
              <w:spacing w:after="0"/>
              <w:rPr>
                <w:sz w:val="20"/>
                <w:szCs w:val="20"/>
                <w:color w:val="auto"/>
              </w:rPr>
            </w:pPr>
            <w:r>
              <w:rPr>
                <w:rFonts w:ascii="Arial" w:cs="Arial" w:eastAsia="Arial" w:hAnsi="Arial"/>
                <w:sz w:val="16"/>
                <w:szCs w:val="16"/>
                <w:color w:val="auto"/>
              </w:rPr>
              <w:t>Funding</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7,876</w:t>
            </w:r>
          </w:p>
        </w:tc>
        <w:tc>
          <w:tcPr>
            <w:tcW w:w="120" w:type="dxa"/>
            <w:vAlign w:val="bottom"/>
          </w:tcPr>
          <w:p>
            <w:pPr>
              <w:spacing w:after="0"/>
              <w:rPr>
                <w:sz w:val="19"/>
                <w:szCs w:val="19"/>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7,920</w:t>
            </w:r>
          </w:p>
        </w:tc>
        <w:tc>
          <w:tcPr>
            <w:tcW w:w="100" w:type="dxa"/>
            <w:vAlign w:val="bottom"/>
          </w:tcPr>
          <w:p>
            <w:pPr>
              <w:spacing w:after="0"/>
              <w:rPr>
                <w:sz w:val="19"/>
                <w:szCs w:val="19"/>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6,695</w:t>
            </w:r>
          </w:p>
        </w:tc>
        <w:tc>
          <w:tcPr>
            <w:tcW w:w="100" w:type="dxa"/>
            <w:vAlign w:val="bottom"/>
          </w:tcPr>
          <w:p>
            <w:pPr>
              <w:spacing w:after="0"/>
              <w:rPr>
                <w:sz w:val="19"/>
                <w:szCs w:val="19"/>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6,722</w:t>
            </w:r>
          </w:p>
        </w:tc>
      </w:tr>
      <w:tr>
        <w:trPr>
          <w:trHeight w:val="270"/>
        </w:trPr>
        <w:tc>
          <w:tcPr>
            <w:tcW w:w="4240" w:type="dxa"/>
            <w:vAlign w:val="bottom"/>
          </w:tcPr>
          <w:p>
            <w:pPr>
              <w:ind w:left="120"/>
              <w:spacing w:after="0"/>
              <w:rPr>
                <w:sz w:val="20"/>
                <w:szCs w:val="20"/>
                <w:color w:val="auto"/>
              </w:rPr>
            </w:pPr>
            <w:r>
              <w:rPr>
                <w:rFonts w:ascii="Arial" w:cs="Arial" w:eastAsia="Arial" w:hAnsi="Arial"/>
                <w:sz w:val="16"/>
                <w:szCs w:val="16"/>
                <w:color w:val="auto"/>
              </w:rPr>
              <w:t>Vehicle-backed debt</w:t>
            </w:r>
          </w:p>
        </w:tc>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3,484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3,494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2,176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2,187</w:t>
            </w:r>
          </w:p>
        </w:tc>
      </w:tr>
      <w:tr>
        <w:trPr>
          <w:trHeight w:val="263"/>
        </w:trPr>
        <w:tc>
          <w:tcPr>
            <w:tcW w:w="4240" w:type="dxa"/>
            <w:vAlign w:val="bottom"/>
          </w:tcPr>
          <w:p>
            <w:pPr>
              <w:ind w:left="120"/>
              <w:spacing w:after="0"/>
              <w:rPr>
                <w:sz w:val="20"/>
                <w:szCs w:val="20"/>
                <w:color w:val="auto"/>
              </w:rPr>
            </w:pPr>
            <w:r>
              <w:rPr>
                <w:rFonts w:ascii="Arial" w:cs="Arial" w:eastAsia="Arial" w:hAnsi="Arial"/>
                <w:sz w:val="16"/>
                <w:szCs w:val="16"/>
                <w:color w:val="auto"/>
              </w:rPr>
              <w:t xml:space="preserve">Interest rate swaps and interest rate caps </w:t>
            </w:r>
            <w:r>
              <w:rPr>
                <w:rFonts w:ascii="Arial" w:cs="Arial" w:eastAsia="Arial" w:hAnsi="Arial"/>
                <w:sz w:val="21"/>
                <w:szCs w:val="21"/>
                <w:color w:val="auto"/>
                <w:vertAlign w:val="superscript"/>
              </w:rPr>
              <w:t>(a)</w:t>
            </w:r>
          </w:p>
        </w:tc>
        <w:tc>
          <w:tcPr>
            <w:tcW w:w="2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39"/>
        </w:trPr>
        <w:tc>
          <w:tcPr>
            <w:tcW w:w="4240" w:type="dxa"/>
            <w:vAlign w:val="bottom"/>
          </w:tcPr>
          <w:p>
            <w:pPr>
              <w:spacing w:after="0"/>
              <w:rPr>
                <w:sz w:val="20"/>
                <w:szCs w:val="20"/>
                <w:color w:val="auto"/>
              </w:rPr>
            </w:pPr>
            <w:r>
              <w:rPr>
                <w:rFonts w:ascii="Arial" w:cs="Arial" w:eastAsia="Arial" w:hAnsi="Arial"/>
                <w:sz w:val="18"/>
                <w:szCs w:val="18"/>
                <w:color w:val="auto"/>
              </w:rPr>
              <w:t>__________</w:t>
            </w: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r>
    </w:tbl>
    <w:p>
      <w:pPr>
        <w:ind w:left="820" w:hanging="326"/>
        <w:spacing w:after="0" w:line="210" w:lineRule="auto"/>
        <w:tabs>
          <w:tab w:leader="none" w:pos="820" w:val="left"/>
        </w:tabs>
        <w:numPr>
          <w:ilvl w:val="1"/>
          <w:numId w:val="34"/>
        </w:numPr>
        <w:rPr>
          <w:rFonts w:ascii="Arial" w:cs="Arial" w:eastAsia="Arial" w:hAnsi="Arial"/>
          <w:sz w:val="18"/>
          <w:szCs w:val="18"/>
          <w:color w:val="auto"/>
          <w:vertAlign w:val="superscript"/>
        </w:rPr>
      </w:pPr>
      <w:r>
        <w:rPr>
          <w:rFonts w:ascii="Arial" w:cs="Arial" w:eastAsia="Arial" w:hAnsi="Arial"/>
          <w:sz w:val="14"/>
          <w:szCs w:val="14"/>
          <w:color w:val="auto"/>
        </w:rPr>
        <w:t>Derivatives in a liability position.</w:t>
      </w:r>
    </w:p>
    <w:p>
      <w:pPr>
        <w:spacing w:after="0" w:line="118" w:lineRule="exact"/>
        <w:rPr>
          <w:rFonts w:ascii="Arial" w:cs="Arial" w:eastAsia="Arial" w:hAnsi="Arial"/>
          <w:sz w:val="18"/>
          <w:szCs w:val="18"/>
          <w:color w:val="auto"/>
          <w:vertAlign w:val="superscript"/>
        </w:rPr>
      </w:pPr>
    </w:p>
    <w:p>
      <w:pPr>
        <w:ind w:left="500" w:hanging="492"/>
        <w:spacing w:after="0"/>
        <w:tabs>
          <w:tab w:leader="none" w:pos="50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27" w:lineRule="exact"/>
        <w:rPr>
          <w:rFonts w:ascii="Arial" w:cs="Arial" w:eastAsia="Arial" w:hAnsi="Arial"/>
          <w:sz w:val="18"/>
          <w:szCs w:val="18"/>
          <w:b w:val="1"/>
          <w:bCs w:val="1"/>
          <w:color w:val="auto"/>
        </w:rPr>
      </w:pPr>
    </w:p>
    <w:p>
      <w:pPr>
        <w:ind w:left="500" w:right="1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Company’s chief operating decision maker assesses performance and allocates resources based upon the separate financial information from the Company’s operating segments. In identifying its reportable segments, the Company considered the nature of services provided, the geographical areas in which the segments operated and other relevant factors. The Company aggregates certain of its operating segments into its reportable segments.</w:t>
      </w:r>
    </w:p>
    <w:p>
      <w:pPr>
        <w:spacing w:after="0" w:line="169" w:lineRule="exact"/>
        <w:rPr>
          <w:rFonts w:ascii="Arial" w:cs="Arial" w:eastAsia="Arial" w:hAnsi="Arial"/>
          <w:sz w:val="18"/>
          <w:szCs w:val="18"/>
          <w:b w:val="1"/>
          <w:bCs w:val="1"/>
          <w:color w:val="auto"/>
        </w:rPr>
      </w:pPr>
    </w:p>
    <w:p>
      <w:pPr>
        <w:ind w:left="50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Management evaluates the operating results of each of its reportable segments based upon revenue and “Adjusted EBITDA,” which the Company defines as income from continuing operations before non-vehicle related depreciation and amortization, any impairment charges, restructuring and other related charges, early extinguishment of debt costs, non-vehicle related interest, transaction-related costs, net charges for unprecedented personal-injury legal matters and income taxes. Net charges for unprecedented personal-injury legal matters are recorded within operating expenses in the Company’s Consolidated Condensed Statement of Comprehensive Income. The Company has revised its definition of Adjusted EBITDA to exclude costs associated with the separation of certain officers of the Company and its limited voluntary opportunity plan, which offers certain employees the limited opportunity to elect resignation from employment for enhanced severance benefits. Costs associated with the separation of certain officers and the limited voluntary opportunity plan are recorded as part of restructuring and other related charges in the Company’s Consolidated Condensed Statement of Comprehensive Income. The Company did not revise prior year’s Adjusted EBITDA amounts because there were no costs similar in nature to these costs. The Company’s presentation of Adjusted EBITDA may not be comparable to similarly-titled measures used by other companies.</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115" w:right="27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07"/>
        </w:trPr>
        <w:tc>
          <w:tcPr>
            <w:tcW w:w="50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668"/>
        </w:trPr>
        <w:tc>
          <w:tcPr>
            <w:tcW w:w="1400" w:type="dxa"/>
            <w:vAlign w:val="bottom"/>
            <w:tcBorders>
              <w:top w:val="single" w:sz="8" w:color="0000EE"/>
            </w:tcBorders>
          </w:tcPr>
          <w:p>
            <w:pPr>
              <w:spacing w:after="0"/>
              <w:rPr>
                <w:sz w:val="24"/>
                <w:szCs w:val="24"/>
                <w:color w:val="auto"/>
              </w:rPr>
            </w:pPr>
          </w:p>
        </w:tc>
        <w:tc>
          <w:tcPr>
            <w:tcW w:w="36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Three Months Ended June 30,</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64"/>
        </w:trPr>
        <w:tc>
          <w:tcPr>
            <w:tcW w:w="140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640" w:type="dxa"/>
            <w:vAlign w:val="bottom"/>
            <w:tcBorders>
              <w:bottom w:val="single" w:sz="8" w:color="auto"/>
            </w:tcBorders>
            <w:gridSpan w:val="4"/>
          </w:tcPr>
          <w:p>
            <w:pPr>
              <w:jc w:val="right"/>
              <w:ind w:right="11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2016</w:t>
            </w:r>
          </w:p>
        </w:tc>
        <w:tc>
          <w:tcPr>
            <w:tcW w:w="1120" w:type="dxa"/>
            <w:vAlign w:val="bottom"/>
            <w:tcBorders>
              <w:bottom w:val="single" w:sz="8" w:color="auto"/>
            </w:tcBorders>
          </w:tcPr>
          <w:p>
            <w:pPr>
              <w:spacing w:after="0"/>
              <w:rPr>
                <w:sz w:val="22"/>
                <w:szCs w:val="22"/>
                <w:color w:val="auto"/>
              </w:rPr>
            </w:pPr>
          </w:p>
        </w:tc>
      </w:tr>
      <w:tr>
        <w:trPr>
          <w:trHeight w:val="199"/>
        </w:trPr>
        <w:tc>
          <w:tcPr>
            <w:tcW w:w="140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center"/>
              <w:ind w:right="240"/>
              <w:spacing w:after="0" w:line="199" w:lineRule="exact"/>
              <w:rPr>
                <w:sz w:val="20"/>
                <w:szCs w:val="20"/>
                <w:color w:val="auto"/>
              </w:rPr>
            </w:pPr>
            <w:r>
              <w:rPr>
                <w:rFonts w:ascii="Arial" w:cs="Arial" w:eastAsia="Arial" w:hAnsi="Arial"/>
                <w:sz w:val="18"/>
                <w:szCs w:val="18"/>
                <w:b w:val="1"/>
                <w:bCs w:val="1"/>
                <w:color w:val="auto"/>
                <w:w w:val="98"/>
              </w:rPr>
              <w:t>Adjusted</w:t>
            </w: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210"/>
              <w:spacing w:after="0" w:line="199" w:lineRule="exact"/>
              <w:rPr>
                <w:sz w:val="20"/>
                <w:szCs w:val="20"/>
                <w:color w:val="auto"/>
              </w:rPr>
            </w:pPr>
            <w:r>
              <w:rPr>
                <w:rFonts w:ascii="Arial" w:cs="Arial" w:eastAsia="Arial" w:hAnsi="Arial"/>
                <w:sz w:val="18"/>
                <w:szCs w:val="18"/>
                <w:b w:val="1"/>
                <w:bCs w:val="1"/>
                <w:color w:val="auto"/>
              </w:rPr>
              <w:t>Adjusted</w:t>
            </w:r>
          </w:p>
        </w:tc>
      </w:tr>
      <w:tr>
        <w:trPr>
          <w:trHeight w:val="253"/>
        </w:trPr>
        <w:tc>
          <w:tcPr>
            <w:tcW w:w="14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Revenues</w:t>
            </w:r>
          </w:p>
        </w:tc>
        <w:tc>
          <w:tcPr>
            <w:tcW w:w="140" w:type="dxa"/>
            <w:vAlign w:val="bottom"/>
          </w:tcPr>
          <w:p>
            <w:pPr>
              <w:spacing w:after="0"/>
              <w:rPr>
                <w:sz w:val="21"/>
                <w:szCs w:val="21"/>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EBITDA</w:t>
            </w:r>
          </w:p>
        </w:tc>
        <w:tc>
          <w:tcPr>
            <w:tcW w:w="200" w:type="dxa"/>
            <w:vAlign w:val="bottom"/>
          </w:tcPr>
          <w:p>
            <w:pPr>
              <w:spacing w:after="0"/>
              <w:rPr>
                <w:sz w:val="21"/>
                <w:szCs w:val="21"/>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Revenues</w:t>
            </w:r>
          </w:p>
        </w:tc>
        <w:tc>
          <w:tcPr>
            <w:tcW w:w="240" w:type="dxa"/>
            <w:vAlign w:val="bottom"/>
          </w:tcPr>
          <w:p>
            <w:pPr>
              <w:spacing w:after="0"/>
              <w:rPr>
                <w:sz w:val="21"/>
                <w:szCs w:val="21"/>
                <w:color w:val="auto"/>
              </w:rPr>
            </w:pPr>
          </w:p>
        </w:tc>
        <w:tc>
          <w:tcPr>
            <w:tcW w:w="1120" w:type="dxa"/>
            <w:vAlign w:val="bottom"/>
          </w:tcPr>
          <w:p>
            <w:pPr>
              <w:jc w:val="right"/>
              <w:ind w:right="250"/>
              <w:spacing w:after="0"/>
              <w:rPr>
                <w:sz w:val="20"/>
                <w:szCs w:val="20"/>
                <w:color w:val="auto"/>
              </w:rPr>
            </w:pPr>
            <w:r>
              <w:rPr>
                <w:rFonts w:ascii="Arial" w:cs="Arial" w:eastAsia="Arial" w:hAnsi="Arial"/>
                <w:sz w:val="18"/>
                <w:szCs w:val="18"/>
                <w:b w:val="1"/>
                <w:bCs w:val="1"/>
                <w:color w:val="auto"/>
              </w:rPr>
              <w:t>EBITDA</w:t>
            </w:r>
          </w:p>
        </w:tc>
      </w:tr>
      <w:tr>
        <w:trPr>
          <w:trHeight w:val="242"/>
        </w:trPr>
        <w:tc>
          <w:tcPr>
            <w:tcW w:w="5040" w:type="dxa"/>
            <w:vAlign w:val="bottom"/>
            <w:gridSpan w:val="2"/>
          </w:tcPr>
          <w:p>
            <w:pPr>
              <w:ind w:left="520"/>
              <w:spacing w:after="0"/>
              <w:rPr>
                <w:sz w:val="20"/>
                <w:szCs w:val="20"/>
                <w:color w:val="auto"/>
              </w:rPr>
            </w:pPr>
            <w:r>
              <w:rPr>
                <w:rFonts w:ascii="Arial" w:cs="Arial" w:eastAsia="Arial" w:hAnsi="Arial"/>
                <w:sz w:val="18"/>
                <w:szCs w:val="18"/>
                <w:color w:val="auto"/>
              </w:rPr>
              <w:t>Americas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1,565</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1,593</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w:t>
            </w:r>
          </w:p>
        </w:tc>
      </w:tr>
      <w:tr>
        <w:trPr>
          <w:trHeight w:val="270"/>
        </w:trPr>
        <w:tc>
          <w:tcPr>
            <w:tcW w:w="5040" w:type="dxa"/>
            <w:vAlign w:val="bottom"/>
            <w:gridSpan w:val="2"/>
          </w:tcPr>
          <w:p>
            <w:pPr>
              <w:ind w:left="520"/>
              <w:spacing w:after="0"/>
              <w:rPr>
                <w:sz w:val="20"/>
                <w:szCs w:val="20"/>
                <w:color w:val="auto"/>
              </w:rPr>
            </w:pPr>
            <w:r>
              <w:rPr>
                <w:rFonts w:ascii="Arial" w:cs="Arial" w:eastAsia="Arial" w:hAnsi="Arial"/>
                <w:sz w:val="18"/>
                <w:szCs w:val="18"/>
                <w:color w:val="auto"/>
              </w:rPr>
              <w:t>International</w:t>
            </w: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80"/>
        </w:trPr>
        <w:tc>
          <w:tcPr>
            <w:tcW w:w="5040" w:type="dxa"/>
            <w:vAlign w:val="bottom"/>
            <w:gridSpan w:val="2"/>
          </w:tcPr>
          <w:p>
            <w:pPr>
              <w:ind w:left="520"/>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18"/>
                <w:szCs w:val="18"/>
                <w:color w:val="auto"/>
                <w:vertAlign w:val="superscript"/>
              </w:rPr>
              <w:t>(a)</w:t>
            </w:r>
          </w:p>
        </w:tc>
        <w:tc>
          <w:tcPr>
            <w:tcW w:w="200" w:type="dxa"/>
            <w:vAlign w:val="bottom"/>
          </w:tcPr>
          <w:p>
            <w:pPr>
              <w:spacing w:after="0"/>
              <w:rPr>
                <w:sz w:val="24"/>
                <w:szCs w:val="2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50"/>
        </w:trPr>
        <w:tc>
          <w:tcPr>
            <w:tcW w:w="5040" w:type="dxa"/>
            <w:vAlign w:val="bottom"/>
            <w:gridSpan w:val="2"/>
          </w:tcPr>
          <w:p>
            <w:pPr>
              <w:ind w:left="920"/>
              <w:spacing w:after="0"/>
              <w:rPr>
                <w:sz w:val="20"/>
                <w:szCs w:val="20"/>
                <w:color w:val="auto"/>
              </w:rPr>
            </w:pPr>
            <w:r>
              <w:rPr>
                <w:rFonts w:ascii="Arial" w:cs="Arial" w:eastAsia="Arial" w:hAnsi="Arial"/>
                <w:sz w:val="18"/>
                <w:szCs w:val="18"/>
                <w:color w:val="auto"/>
              </w:rPr>
              <w:t>Total Company</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2,238</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2,243</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w:t>
            </w:r>
          </w:p>
        </w:tc>
      </w:tr>
      <w:tr>
        <w:trPr>
          <w:trHeight w:val="20"/>
        </w:trPr>
        <w:tc>
          <w:tcPr>
            <w:tcW w:w="14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08" w:right="259" w:bottom="1440" w:gutter="0" w:footer="0" w:header="0"/>
        </w:sectPr>
      </w:pPr>
    </w:p>
    <w:p>
      <w:pPr>
        <w:spacing w:after="0" w:line="45" w:lineRule="exact"/>
        <w:rPr>
          <w:sz w:val="20"/>
          <w:szCs w:val="20"/>
          <w:color w:val="auto"/>
        </w:rPr>
      </w:pPr>
    </w:p>
    <w:tbl>
      <w:tblPr>
        <w:tblLayout w:type="fixed"/>
        <w:tblInd w:w="500" w:type="dxa"/>
        <w:tblCellMar>
          <w:top w:w="0" w:type="dxa"/>
          <w:left w:w="0" w:type="dxa"/>
          <w:bottom w:w="0" w:type="dxa"/>
          <w:right w:w="0" w:type="dxa"/>
        </w:tblCellMar>
      </w:tblPr>
      <w:tr>
        <w:trPr>
          <w:trHeight w:val="253"/>
        </w:trPr>
        <w:tc>
          <w:tcPr>
            <w:tcW w:w="6020" w:type="dxa"/>
            <w:vAlign w:val="bottom"/>
            <w:gridSpan w:val="2"/>
          </w:tcPr>
          <w:p>
            <w:pPr>
              <w:ind w:left="20"/>
              <w:spacing w:after="0"/>
              <w:rPr>
                <w:sz w:val="20"/>
                <w:szCs w:val="20"/>
                <w:color w:val="auto"/>
              </w:rPr>
            </w:pPr>
            <w:r>
              <w:rPr>
                <w:rFonts w:ascii="Arial" w:cs="Arial" w:eastAsia="Arial" w:hAnsi="Arial"/>
                <w:sz w:val="18"/>
                <w:szCs w:val="18"/>
                <w:b w:val="1"/>
                <w:bCs w:val="1"/>
                <w:color w:val="auto"/>
              </w:rPr>
              <w:t>Reconciliation of Adjusted EBITDA to income before income taxes</w:t>
            </w:r>
          </w:p>
        </w:tc>
        <w:tc>
          <w:tcPr>
            <w:tcW w:w="5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Adjusted EBITDA</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0"/>
        </w:trPr>
        <w:tc>
          <w:tcPr>
            <w:tcW w:w="800" w:type="dxa"/>
            <w:vAlign w:val="bottom"/>
          </w:tcPr>
          <w:p>
            <w:pPr>
              <w:ind w:left="20"/>
              <w:spacing w:after="0"/>
              <w:rPr>
                <w:sz w:val="20"/>
                <w:szCs w:val="20"/>
                <w:color w:val="auto"/>
              </w:rPr>
            </w:pPr>
            <w:r>
              <w:rPr>
                <w:rFonts w:ascii="Arial" w:cs="Arial" w:eastAsia="Arial" w:hAnsi="Arial"/>
                <w:sz w:val="18"/>
                <w:szCs w:val="18"/>
                <w:color w:val="auto"/>
              </w:rPr>
              <w:t>Less:</w:t>
            </w:r>
          </w:p>
        </w:tc>
        <w:tc>
          <w:tcPr>
            <w:tcW w:w="5220" w:type="dxa"/>
            <w:vAlign w:val="bottom"/>
          </w:tcPr>
          <w:p>
            <w:pPr>
              <w:ind w:left="20"/>
              <w:spacing w:after="0"/>
              <w:rPr>
                <w:sz w:val="20"/>
                <w:szCs w:val="20"/>
                <w:color w:val="auto"/>
              </w:rPr>
            </w:pPr>
            <w:r>
              <w:rPr>
                <w:rFonts w:ascii="Arial" w:cs="Arial" w:eastAsia="Arial" w:hAnsi="Arial"/>
                <w:sz w:val="18"/>
                <w:szCs w:val="18"/>
                <w:color w:val="auto"/>
              </w:rPr>
              <w:t>Non-vehicle related depreciation and amortization</w:t>
            </w:r>
          </w:p>
        </w:tc>
        <w:tc>
          <w:tcPr>
            <w:tcW w:w="54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0"/>
        </w:trPr>
        <w:tc>
          <w:tcPr>
            <w:tcW w:w="800" w:type="dxa"/>
            <w:vAlign w:val="bottom"/>
          </w:tcPr>
          <w:p>
            <w:pPr>
              <w:spacing w:after="0"/>
              <w:rPr>
                <w:sz w:val="23"/>
                <w:szCs w:val="23"/>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Interest expense related to corporate debt, net</w:t>
            </w:r>
          </w:p>
        </w:tc>
        <w:tc>
          <w:tcPr>
            <w:tcW w:w="54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0"/>
        </w:trPr>
        <w:tc>
          <w:tcPr>
            <w:tcW w:w="800" w:type="dxa"/>
            <w:vAlign w:val="bottom"/>
          </w:tcPr>
          <w:p>
            <w:pPr>
              <w:spacing w:after="0"/>
              <w:rPr>
                <w:sz w:val="23"/>
                <w:szCs w:val="23"/>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Early extinguishment of corporate debt</w:t>
            </w:r>
          </w:p>
        </w:tc>
        <w:tc>
          <w:tcPr>
            <w:tcW w:w="54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00" w:type="dxa"/>
            <w:vAlign w:val="bottom"/>
          </w:tcPr>
          <w:p>
            <w:pPr>
              <w:spacing w:after="0"/>
              <w:rPr>
                <w:sz w:val="23"/>
                <w:szCs w:val="23"/>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Restructuring and other related charges</w:t>
            </w:r>
          </w:p>
        </w:tc>
        <w:tc>
          <w:tcPr>
            <w:tcW w:w="54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0"/>
        </w:trPr>
        <w:tc>
          <w:tcPr>
            <w:tcW w:w="800" w:type="dxa"/>
            <w:vAlign w:val="bottom"/>
          </w:tcPr>
          <w:p>
            <w:pPr>
              <w:spacing w:after="0"/>
              <w:rPr>
                <w:sz w:val="23"/>
                <w:szCs w:val="23"/>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Transaction-related costs, net</w:t>
            </w:r>
          </w:p>
        </w:tc>
        <w:tc>
          <w:tcPr>
            <w:tcW w:w="54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80"/>
        </w:trPr>
        <w:tc>
          <w:tcPr>
            <w:tcW w:w="800" w:type="dxa"/>
            <w:vAlign w:val="bottom"/>
          </w:tcPr>
          <w:p>
            <w:pPr>
              <w:spacing w:after="0"/>
              <w:rPr>
                <w:sz w:val="24"/>
                <w:szCs w:val="24"/>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 xml:space="preserve">Charges for legal matter, net </w:t>
            </w:r>
            <w:r>
              <w:rPr>
                <w:rFonts w:ascii="Arial" w:cs="Arial" w:eastAsia="Arial" w:hAnsi="Arial"/>
                <w:sz w:val="18"/>
                <w:szCs w:val="18"/>
                <w:color w:val="auto"/>
                <w:vertAlign w:val="superscript"/>
              </w:rPr>
              <w:t>(b)</w:t>
            </w:r>
          </w:p>
        </w:tc>
        <w:tc>
          <w:tcPr>
            <w:tcW w:w="5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50"/>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Income before income taxes</w:t>
            </w: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800" w:type="dxa"/>
            <w:vAlign w:val="bottom"/>
            <w:vMerge w:val="restart"/>
          </w:tcPr>
          <w:p>
            <w:pPr>
              <w:spacing w:after="0"/>
              <w:rPr>
                <w:sz w:val="20"/>
                <w:szCs w:val="20"/>
                <w:color w:val="auto"/>
              </w:rPr>
            </w:pPr>
            <w:r>
              <w:rPr>
                <w:rFonts w:ascii="Arial" w:cs="Arial" w:eastAsia="Arial" w:hAnsi="Arial"/>
                <w:sz w:val="14"/>
                <w:szCs w:val="14"/>
                <w:color w:val="auto"/>
              </w:rPr>
              <w:t>__________</w:t>
            </w:r>
          </w:p>
        </w:tc>
        <w:tc>
          <w:tcPr>
            <w:tcW w:w="5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00" w:type="dxa"/>
            <w:vAlign w:val="bottom"/>
            <w:vMerge w:val="continue"/>
          </w:tcPr>
          <w:p>
            <w:pPr>
              <w:spacing w:after="0"/>
              <w:rPr>
                <w:sz w:val="12"/>
                <w:szCs w:val="12"/>
                <w:color w:val="auto"/>
              </w:rPr>
            </w:pPr>
          </w:p>
        </w:tc>
        <w:tc>
          <w:tcPr>
            <w:tcW w:w="5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820" w:hanging="326"/>
        <w:spacing w:after="0" w:line="193" w:lineRule="auto"/>
        <w:tabs>
          <w:tab w:leader="none" w:pos="820" w:val="left"/>
        </w:tabs>
        <w:numPr>
          <w:ilvl w:val="0"/>
          <w:numId w:val="36"/>
        </w:numPr>
        <w:rPr>
          <w:rFonts w:ascii="Arial" w:cs="Arial" w:eastAsia="Arial" w:hAnsi="Arial"/>
          <w:sz w:val="18"/>
          <w:szCs w:val="18"/>
          <w:color w:val="auto"/>
          <w:vertAlign w:val="superscript"/>
        </w:rPr>
      </w:pPr>
      <w:r>
        <w:rPr>
          <w:rFonts w:ascii="Arial" w:cs="Arial" w:eastAsia="Arial" w:hAnsi="Arial"/>
          <w:sz w:val="14"/>
          <w:szCs w:val="14"/>
          <w:color w:val="auto"/>
        </w:rPr>
        <w:t>Includes unallocated corporate overhead which is not attributable to a particular segment.</w:t>
      </w:r>
    </w:p>
    <w:p>
      <w:pPr>
        <w:ind w:left="820" w:hanging="326"/>
        <w:spacing w:after="0" w:line="204" w:lineRule="auto"/>
        <w:tabs>
          <w:tab w:leader="none" w:pos="820" w:val="left"/>
        </w:tabs>
        <w:numPr>
          <w:ilvl w:val="0"/>
          <w:numId w:val="36"/>
        </w:numPr>
        <w:rPr>
          <w:rFonts w:ascii="Arial" w:cs="Arial" w:eastAsia="Arial" w:hAnsi="Arial"/>
          <w:sz w:val="18"/>
          <w:szCs w:val="18"/>
          <w:color w:val="auto"/>
          <w:vertAlign w:val="superscript"/>
        </w:rPr>
      </w:pPr>
      <w:r>
        <w:rPr>
          <w:rFonts w:ascii="Arial" w:cs="Arial" w:eastAsia="Arial" w:hAnsi="Arial"/>
          <w:sz w:val="14"/>
          <w:szCs w:val="14"/>
          <w:color w:val="auto"/>
        </w:rPr>
        <w:t>Reported within operating expenses in our Consolidated Condensed Statements of Comprehensive Income.</w:t>
      </w:r>
    </w:p>
    <w:p>
      <w:pPr>
        <w:spacing w:after="0" w:line="20" w:lineRule="exact"/>
        <w:rPr>
          <w:sz w:val="20"/>
          <w:szCs w:val="20"/>
          <w:color w:val="auto"/>
        </w:rPr>
      </w:pPr>
      <w:r>
        <w:rPr>
          <w:sz w:val="20"/>
          <w:szCs w:val="20"/>
          <w:color w:val="auto"/>
        </w:rPr>
        <w:br w:type="column"/>
      </w:r>
    </w:p>
    <w:p>
      <w:pPr>
        <w:spacing w:after="0" w:line="297" w:lineRule="exact"/>
        <w:rPr>
          <w:sz w:val="20"/>
          <w:szCs w:val="20"/>
          <w:color w:val="auto"/>
        </w:rPr>
      </w:pPr>
    </w:p>
    <w:p>
      <w:pPr>
        <w:ind w:left="951" w:hanging="951"/>
        <w:spacing w:after="0"/>
        <w:tabs>
          <w:tab w:leader="none" w:pos="951" w:val="left"/>
        </w:tabs>
        <w:numPr>
          <w:ilvl w:val="0"/>
          <w:numId w:val="37"/>
        </w:numPr>
        <w:rPr>
          <w:rFonts w:ascii="Arial" w:cs="Arial" w:eastAsia="Arial" w:hAnsi="Arial"/>
          <w:sz w:val="17"/>
          <w:szCs w:val="17"/>
          <w:color w:val="auto"/>
        </w:rPr>
      </w:pPr>
      <w:r>
        <w:rPr>
          <w:rFonts w:ascii="Arial" w:cs="Arial" w:eastAsia="Arial" w:hAnsi="Arial"/>
          <w:sz w:val="17"/>
          <w:szCs w:val="17"/>
          <w:color w:val="auto"/>
        </w:rPr>
        <w:t>204</w:t>
      </w:r>
    </w:p>
    <w:p>
      <w:pPr>
        <w:spacing w:after="0" w:line="74" w:lineRule="exact"/>
        <w:rPr>
          <w:rFonts w:ascii="Arial" w:cs="Arial" w:eastAsia="Arial" w:hAnsi="Arial"/>
          <w:sz w:val="17"/>
          <w:szCs w:val="17"/>
          <w:color w:val="auto"/>
        </w:rPr>
      </w:pPr>
    </w:p>
    <w:p>
      <w:pPr>
        <w:ind w:left="1051"/>
        <w:spacing w:after="0"/>
        <w:rPr>
          <w:rFonts w:ascii="Arial" w:cs="Arial" w:eastAsia="Arial" w:hAnsi="Arial"/>
          <w:sz w:val="17"/>
          <w:szCs w:val="17"/>
          <w:color w:val="auto"/>
        </w:rPr>
      </w:pPr>
      <w:r>
        <w:rPr>
          <w:rFonts w:ascii="Arial" w:cs="Arial" w:eastAsia="Arial" w:hAnsi="Arial"/>
          <w:sz w:val="17"/>
          <w:szCs w:val="17"/>
          <w:color w:val="auto"/>
        </w:rPr>
        <w:t>65</w:t>
      </w:r>
    </w:p>
    <w:p>
      <w:pPr>
        <w:spacing w:after="0" w:line="74" w:lineRule="exact"/>
        <w:rPr>
          <w:rFonts w:ascii="Arial" w:cs="Arial" w:eastAsia="Arial" w:hAnsi="Arial"/>
          <w:sz w:val="17"/>
          <w:szCs w:val="17"/>
          <w:color w:val="auto"/>
        </w:rPr>
      </w:pPr>
    </w:p>
    <w:p>
      <w:pPr>
        <w:ind w:left="1051"/>
        <w:spacing w:after="0"/>
        <w:rPr>
          <w:rFonts w:ascii="Arial" w:cs="Arial" w:eastAsia="Arial" w:hAnsi="Arial"/>
          <w:sz w:val="17"/>
          <w:szCs w:val="17"/>
          <w:color w:val="auto"/>
        </w:rPr>
      </w:pPr>
      <w:r>
        <w:rPr>
          <w:rFonts w:ascii="Arial" w:cs="Arial" w:eastAsia="Arial" w:hAnsi="Arial"/>
          <w:sz w:val="17"/>
          <w:szCs w:val="17"/>
          <w:color w:val="auto"/>
        </w:rPr>
        <w:t>56</w:t>
      </w:r>
    </w:p>
    <w:p>
      <w:pPr>
        <w:spacing w:after="0" w:line="74" w:lineRule="exact"/>
        <w:rPr>
          <w:rFonts w:ascii="Arial" w:cs="Arial" w:eastAsia="Arial" w:hAnsi="Arial"/>
          <w:sz w:val="17"/>
          <w:szCs w:val="17"/>
          <w:color w:val="auto"/>
        </w:rPr>
      </w:pPr>
    </w:p>
    <w:p>
      <w:pPr>
        <w:ind w:left="1051"/>
        <w:spacing w:after="0"/>
        <w:rPr>
          <w:rFonts w:ascii="Arial" w:cs="Arial" w:eastAsia="Arial" w:hAnsi="Arial"/>
          <w:sz w:val="17"/>
          <w:szCs w:val="17"/>
          <w:color w:val="auto"/>
        </w:rPr>
      </w:pPr>
      <w:r>
        <w:rPr>
          <w:rFonts w:ascii="Arial" w:cs="Arial" w:eastAsia="Arial" w:hAnsi="Arial"/>
          <w:sz w:val="17"/>
          <w:szCs w:val="17"/>
          <w:color w:val="auto"/>
        </w:rPr>
        <w:t>10</w:t>
      </w:r>
    </w:p>
    <w:p>
      <w:pPr>
        <w:spacing w:after="0" w:line="74" w:lineRule="exact"/>
        <w:rPr>
          <w:rFonts w:ascii="Arial" w:cs="Arial" w:eastAsia="Arial" w:hAnsi="Arial"/>
          <w:sz w:val="17"/>
          <w:szCs w:val="17"/>
          <w:color w:val="auto"/>
        </w:rPr>
      </w:pPr>
    </w:p>
    <w:p>
      <w:pPr>
        <w:ind w:left="1151"/>
        <w:spacing w:after="0"/>
        <w:rPr>
          <w:rFonts w:ascii="Arial" w:cs="Arial" w:eastAsia="Arial" w:hAnsi="Arial"/>
          <w:sz w:val="17"/>
          <w:szCs w:val="17"/>
          <w:color w:val="auto"/>
        </w:rPr>
      </w:pPr>
      <w:r>
        <w:rPr>
          <w:rFonts w:ascii="Arial" w:cs="Arial" w:eastAsia="Arial" w:hAnsi="Arial"/>
          <w:sz w:val="17"/>
          <w:szCs w:val="17"/>
          <w:color w:val="auto"/>
        </w:rPr>
        <w:t>5</w:t>
      </w:r>
    </w:p>
    <w:p>
      <w:pPr>
        <w:spacing w:after="0" w:line="74" w:lineRule="exact"/>
        <w:rPr>
          <w:rFonts w:ascii="Arial" w:cs="Arial" w:eastAsia="Arial" w:hAnsi="Arial"/>
          <w:sz w:val="17"/>
          <w:szCs w:val="17"/>
          <w:color w:val="auto"/>
        </w:rPr>
      </w:pPr>
    </w:p>
    <w:p>
      <w:pPr>
        <w:ind w:left="1151"/>
        <w:spacing w:after="0"/>
        <w:rPr>
          <w:rFonts w:ascii="Arial" w:cs="Arial" w:eastAsia="Arial" w:hAnsi="Arial"/>
          <w:sz w:val="17"/>
          <w:szCs w:val="17"/>
          <w:color w:val="auto"/>
        </w:rPr>
      </w:pPr>
      <w:r>
        <w:rPr>
          <w:rFonts w:ascii="Arial" w:cs="Arial" w:eastAsia="Arial" w:hAnsi="Arial"/>
          <w:sz w:val="17"/>
          <w:szCs w:val="17"/>
          <w:color w:val="auto"/>
        </w:rPr>
        <w:t>5</w:t>
      </w:r>
    </w:p>
    <w:p>
      <w:pPr>
        <w:spacing w:after="0" w:line="74" w:lineRule="exact"/>
        <w:rPr>
          <w:rFonts w:ascii="Arial" w:cs="Arial" w:eastAsia="Arial" w:hAnsi="Arial"/>
          <w:sz w:val="17"/>
          <w:szCs w:val="17"/>
          <w:color w:val="auto"/>
        </w:rPr>
      </w:pPr>
    </w:p>
    <w:p>
      <w:pPr>
        <w:ind w:left="1071"/>
        <w:spacing w:after="0"/>
        <w:rPr>
          <w:rFonts w:ascii="Arial" w:cs="Arial" w:eastAsia="Arial" w:hAnsi="Arial"/>
          <w:sz w:val="17"/>
          <w:szCs w:val="17"/>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28575</wp:posOffset>
            </wp:positionV>
            <wp:extent cx="86614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43" w:lineRule="exact"/>
        <w:rPr>
          <w:sz w:val="20"/>
          <w:szCs w:val="20"/>
          <w:color w:val="auto"/>
        </w:rPr>
      </w:pPr>
    </w:p>
    <w:p>
      <w:pPr>
        <w:ind w:left="1051" w:hanging="1051"/>
        <w:spacing w:after="0"/>
        <w:tabs>
          <w:tab w:leader="none" w:pos="1051" w:val="left"/>
        </w:tabs>
        <w:numPr>
          <w:ilvl w:val="0"/>
          <w:numId w:val="38"/>
        </w:numPr>
        <w:rPr>
          <w:rFonts w:ascii="Arial" w:cs="Arial" w:eastAsia="Arial" w:hAnsi="Arial"/>
          <w:sz w:val="17"/>
          <w:szCs w:val="17"/>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36195</wp:posOffset>
            </wp:positionV>
            <wp:extent cx="8661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53340</wp:posOffset>
            </wp:positionV>
            <wp:extent cx="8661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802" w:lineRule="exact"/>
        <w:rPr>
          <w:sz w:val="20"/>
          <w:szCs w:val="20"/>
          <w:color w:val="auto"/>
        </w:rPr>
      </w:pPr>
    </w:p>
    <w:p>
      <w:pPr>
        <w:sectPr>
          <w:pgSz w:w="11900" w:h="16838" w:orient="portrait"/>
          <w:cols w:equalWidth="0" w:num="2">
            <w:col w:w="8769" w:space="720"/>
            <w:col w:w="1911"/>
          </w:cols>
          <w:pgMar w:left="240" w:top="108" w:right="259" w:bottom="1440" w:gutter="0" w:footer="0" w:header="0"/>
          <w:type w:val="continuous"/>
        </w:sectPr>
      </w:pPr>
    </w:p>
    <w:p>
      <w:pPr>
        <w:spacing w:after="0" w:line="94" w:lineRule="exact"/>
        <w:rPr>
          <w:sz w:val="20"/>
          <w:szCs w:val="20"/>
          <w:color w:val="auto"/>
        </w:rPr>
      </w:pPr>
    </w:p>
    <w:tbl>
      <w:tblPr>
        <w:tblLayout w:type="fixed"/>
        <w:tblInd w:w="400" w:type="dxa"/>
        <w:tblCellMar>
          <w:top w:w="0" w:type="dxa"/>
          <w:left w:w="0" w:type="dxa"/>
          <w:bottom w:w="0" w:type="dxa"/>
          <w:right w:w="0" w:type="dxa"/>
        </w:tblCellMar>
      </w:tblPr>
      <w:tr>
        <w:trPr>
          <w:trHeight w:val="254"/>
        </w:trPr>
        <w:tc>
          <w:tcPr>
            <w:tcW w:w="47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780" w:type="dxa"/>
            <w:vAlign w:val="bottom"/>
            <w:tcBorders>
              <w:bottom w:val="single" w:sz="8" w:color="auto"/>
            </w:tcBorders>
            <w:gridSpan w:val="5"/>
          </w:tcPr>
          <w:p>
            <w:pPr>
              <w:jc w:val="right"/>
              <w:ind w:right="380"/>
              <w:spacing w:after="0"/>
              <w:rPr>
                <w:sz w:val="20"/>
                <w:szCs w:val="20"/>
                <w:color w:val="auto"/>
              </w:rPr>
            </w:pPr>
            <w:r>
              <w:rPr>
                <w:rFonts w:ascii="Arial" w:cs="Arial" w:eastAsia="Arial" w:hAnsi="Arial"/>
                <w:sz w:val="18"/>
                <w:szCs w:val="18"/>
                <w:b w:val="1"/>
                <w:bCs w:val="1"/>
                <w:color w:val="auto"/>
              </w:rPr>
              <w:t>Six Months Ended June 30,</w:t>
            </w: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r>
      <w:tr>
        <w:trPr>
          <w:trHeight w:val="250"/>
        </w:trPr>
        <w:tc>
          <w:tcPr>
            <w:tcW w:w="47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2017</w:t>
            </w:r>
          </w:p>
        </w:tc>
        <w:tc>
          <w:tcPr>
            <w:tcW w:w="11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2016</w:t>
            </w:r>
          </w:p>
        </w:tc>
        <w:tc>
          <w:tcPr>
            <w:tcW w:w="1160" w:type="dxa"/>
            <w:vAlign w:val="bottom"/>
            <w:tcBorders>
              <w:bottom w:val="single" w:sz="8" w:color="auto"/>
            </w:tcBorders>
          </w:tcPr>
          <w:p>
            <w:pPr>
              <w:spacing w:after="0"/>
              <w:rPr>
                <w:sz w:val="21"/>
                <w:szCs w:val="21"/>
                <w:color w:val="auto"/>
              </w:rPr>
            </w:pPr>
          </w:p>
        </w:tc>
      </w:tr>
      <w:tr>
        <w:trPr>
          <w:trHeight w:val="199"/>
        </w:trPr>
        <w:tc>
          <w:tcPr>
            <w:tcW w:w="4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2"/>
          </w:tcPr>
          <w:p>
            <w:pPr>
              <w:jc w:val="center"/>
              <w:ind w:right="360"/>
              <w:spacing w:after="0" w:line="199" w:lineRule="exact"/>
              <w:rPr>
                <w:sz w:val="20"/>
                <w:szCs w:val="20"/>
                <w:color w:val="auto"/>
              </w:rPr>
            </w:pPr>
            <w:r>
              <w:rPr>
                <w:rFonts w:ascii="Arial" w:cs="Arial" w:eastAsia="Arial" w:hAnsi="Arial"/>
                <w:sz w:val="18"/>
                <w:szCs w:val="18"/>
                <w:b w:val="1"/>
                <w:bCs w:val="1"/>
                <w:color w:val="auto"/>
                <w:w w:val="98"/>
              </w:rPr>
              <w:t>Adjusted</w:t>
            </w: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right"/>
              <w:ind w:right="210"/>
              <w:spacing w:after="0" w:line="199" w:lineRule="exact"/>
              <w:rPr>
                <w:sz w:val="20"/>
                <w:szCs w:val="20"/>
                <w:color w:val="auto"/>
              </w:rPr>
            </w:pPr>
            <w:r>
              <w:rPr>
                <w:rFonts w:ascii="Arial" w:cs="Arial" w:eastAsia="Arial" w:hAnsi="Arial"/>
                <w:sz w:val="18"/>
                <w:szCs w:val="18"/>
                <w:b w:val="1"/>
                <w:bCs w:val="1"/>
                <w:color w:val="auto"/>
              </w:rPr>
              <w:t>Adjusted</w:t>
            </w:r>
          </w:p>
        </w:tc>
      </w:tr>
      <w:tr>
        <w:trPr>
          <w:trHeight w:val="253"/>
        </w:trPr>
        <w:tc>
          <w:tcPr>
            <w:tcW w:w="4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tcPr>
          <w:p>
            <w:pPr>
              <w:ind w:left="80"/>
              <w:spacing w:after="0"/>
              <w:rPr>
                <w:sz w:val="20"/>
                <w:szCs w:val="20"/>
                <w:color w:val="auto"/>
              </w:rPr>
            </w:pPr>
            <w:r>
              <w:rPr>
                <w:rFonts w:ascii="Arial" w:cs="Arial" w:eastAsia="Arial" w:hAnsi="Arial"/>
                <w:sz w:val="18"/>
                <w:szCs w:val="18"/>
                <w:b w:val="1"/>
                <w:bCs w:val="1"/>
                <w:color w:val="auto"/>
              </w:rPr>
              <w:t>Revenues</w:t>
            </w:r>
          </w:p>
        </w:tc>
        <w:tc>
          <w:tcPr>
            <w:tcW w:w="240" w:type="dxa"/>
            <w:vAlign w:val="bottom"/>
          </w:tcPr>
          <w:p>
            <w:pPr>
              <w:spacing w:after="0"/>
              <w:rPr>
                <w:sz w:val="21"/>
                <w:szCs w:val="21"/>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rPr>
              <w:t>EBITDA</w:t>
            </w:r>
          </w:p>
        </w:tc>
        <w:tc>
          <w:tcPr>
            <w:tcW w:w="200" w:type="dxa"/>
            <w:vAlign w:val="bottom"/>
          </w:tcPr>
          <w:p>
            <w:pPr>
              <w:spacing w:after="0"/>
              <w:rPr>
                <w:sz w:val="21"/>
                <w:szCs w:val="21"/>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Revenues</w:t>
            </w:r>
          </w:p>
        </w:tc>
        <w:tc>
          <w:tcPr>
            <w:tcW w:w="240" w:type="dxa"/>
            <w:vAlign w:val="bottom"/>
          </w:tcPr>
          <w:p>
            <w:pPr>
              <w:spacing w:after="0"/>
              <w:rPr>
                <w:sz w:val="21"/>
                <w:szCs w:val="21"/>
                <w:color w:val="auto"/>
              </w:rPr>
            </w:pPr>
          </w:p>
        </w:tc>
        <w:tc>
          <w:tcPr>
            <w:tcW w:w="1160" w:type="dxa"/>
            <w:vAlign w:val="bottom"/>
          </w:tcPr>
          <w:p>
            <w:pPr>
              <w:jc w:val="right"/>
              <w:ind w:right="270"/>
              <w:spacing w:after="0"/>
              <w:rPr>
                <w:sz w:val="20"/>
                <w:szCs w:val="20"/>
                <w:color w:val="auto"/>
              </w:rPr>
            </w:pPr>
            <w:r>
              <w:rPr>
                <w:rFonts w:ascii="Arial" w:cs="Arial" w:eastAsia="Arial" w:hAnsi="Arial"/>
                <w:sz w:val="18"/>
                <w:szCs w:val="18"/>
                <w:b w:val="1"/>
                <w:bCs w:val="1"/>
                <w:color w:val="auto"/>
              </w:rPr>
              <w:t>EBITDA</w:t>
            </w:r>
          </w:p>
        </w:tc>
      </w:tr>
      <w:tr>
        <w:trPr>
          <w:trHeight w:val="242"/>
        </w:trPr>
        <w:tc>
          <w:tcPr>
            <w:tcW w:w="4760" w:type="dxa"/>
            <w:vAlign w:val="bottom"/>
          </w:tcPr>
          <w:p>
            <w:pPr>
              <w:spacing w:after="0"/>
              <w:rPr>
                <w:sz w:val="20"/>
                <w:szCs w:val="20"/>
                <w:color w:val="auto"/>
              </w:rPr>
            </w:pPr>
            <w:r>
              <w:rPr>
                <w:rFonts w:ascii="Arial" w:cs="Arial" w:eastAsia="Arial" w:hAnsi="Arial"/>
                <w:sz w:val="18"/>
                <w:szCs w:val="18"/>
                <w:color w:val="auto"/>
              </w:rPr>
              <w:t>Americas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2,879</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2,957</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w:t>
            </w:r>
          </w:p>
        </w:tc>
      </w:tr>
      <w:tr>
        <w:trPr>
          <w:trHeight w:val="270"/>
        </w:trPr>
        <w:tc>
          <w:tcPr>
            <w:tcW w:w="4760" w:type="dxa"/>
            <w:vAlign w:val="bottom"/>
          </w:tcPr>
          <w:p>
            <w:pPr>
              <w:spacing w:after="0"/>
              <w:rPr>
                <w:sz w:val="20"/>
                <w:szCs w:val="20"/>
                <w:color w:val="auto"/>
              </w:rPr>
            </w:pPr>
            <w:r>
              <w:rPr>
                <w:rFonts w:ascii="Arial" w:cs="Arial" w:eastAsia="Arial" w:hAnsi="Arial"/>
                <w:sz w:val="18"/>
                <w:szCs w:val="18"/>
                <w:color w:val="auto"/>
              </w:rPr>
              <w:t>International</w:t>
            </w:r>
          </w:p>
        </w:tc>
        <w:tc>
          <w:tcPr>
            <w:tcW w:w="20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1,198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1,167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80"/>
        </w:trPr>
        <w:tc>
          <w:tcPr>
            <w:tcW w:w="4760" w:type="dxa"/>
            <w:vAlign w:val="bottom"/>
          </w:tcPr>
          <w:p>
            <w:pPr>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21"/>
                <w:szCs w:val="21"/>
                <w:color w:val="auto"/>
                <w:vertAlign w:val="superscript"/>
              </w:rPr>
              <w:t>(a)</w:t>
            </w:r>
          </w:p>
        </w:tc>
        <w:tc>
          <w:tcPr>
            <w:tcW w:w="200" w:type="dxa"/>
            <w:vAlign w:val="bottom"/>
          </w:tcPr>
          <w:p>
            <w:pPr>
              <w:spacing w:after="0"/>
              <w:rPr>
                <w:sz w:val="24"/>
                <w:szCs w:val="24"/>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50"/>
        </w:trPr>
        <w:tc>
          <w:tcPr>
            <w:tcW w:w="4760" w:type="dxa"/>
            <w:vAlign w:val="bottom"/>
          </w:tcPr>
          <w:p>
            <w:pPr>
              <w:ind w:left="420"/>
              <w:spacing w:after="0"/>
              <w:rPr>
                <w:sz w:val="20"/>
                <w:szCs w:val="20"/>
                <w:color w:val="auto"/>
              </w:rPr>
            </w:pPr>
            <w:r>
              <w:rPr>
                <w:rFonts w:ascii="Arial" w:cs="Arial" w:eastAsia="Arial" w:hAnsi="Arial"/>
                <w:sz w:val="18"/>
                <w:szCs w:val="18"/>
                <w:color w:val="auto"/>
              </w:rPr>
              <w:t>Total Company</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4,077</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4,124</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w:t>
            </w:r>
          </w:p>
        </w:tc>
      </w:tr>
      <w:tr>
        <w:trPr>
          <w:trHeight w:val="20"/>
        </w:trPr>
        <w:tc>
          <w:tcPr>
            <w:tcW w:w="4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08" w:right="259" w:bottom="1440" w:gutter="0" w:footer="0" w:header="0"/>
          <w:type w:val="continuous"/>
        </w:sectPr>
      </w:pPr>
    </w:p>
    <w:p>
      <w:pPr>
        <w:spacing w:after="0" w:line="45" w:lineRule="exact"/>
        <w:rPr>
          <w:sz w:val="20"/>
          <w:szCs w:val="20"/>
          <w:color w:val="auto"/>
        </w:rPr>
      </w:pPr>
    </w:p>
    <w:tbl>
      <w:tblPr>
        <w:tblLayout w:type="fixed"/>
        <w:tblInd w:w="400" w:type="dxa"/>
        <w:tblCellMar>
          <w:top w:w="0" w:type="dxa"/>
          <w:left w:w="0" w:type="dxa"/>
          <w:bottom w:w="0" w:type="dxa"/>
          <w:right w:w="0" w:type="dxa"/>
        </w:tblCellMar>
      </w:tblPr>
      <w:tr>
        <w:trPr>
          <w:trHeight w:val="253"/>
        </w:trPr>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Reconciliation of Adjusted EBITDA to loss before income taxes</w:t>
            </w:r>
          </w:p>
        </w:tc>
        <w:tc>
          <w:tcPr>
            <w:tcW w:w="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628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Less:</w:t>
            </w:r>
          </w:p>
        </w:tc>
        <w:tc>
          <w:tcPr>
            <w:tcW w:w="5640" w:type="dxa"/>
            <w:vAlign w:val="bottom"/>
          </w:tcPr>
          <w:p>
            <w:pPr>
              <w:ind w:left="200"/>
              <w:spacing w:after="0"/>
              <w:rPr>
                <w:sz w:val="20"/>
                <w:szCs w:val="20"/>
                <w:color w:val="auto"/>
              </w:rPr>
            </w:pPr>
            <w:r>
              <w:rPr>
                <w:rFonts w:ascii="Arial" w:cs="Arial" w:eastAsia="Arial" w:hAnsi="Arial"/>
                <w:sz w:val="18"/>
                <w:szCs w:val="18"/>
                <w:color w:val="auto"/>
              </w:rPr>
              <w:t>Non-vehicle related depreciation and amortization</w:t>
            </w:r>
          </w:p>
        </w:tc>
        <w:tc>
          <w:tcPr>
            <w:tcW w:w="54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0"/>
        </w:trPr>
        <w:tc>
          <w:tcPr>
            <w:tcW w:w="640" w:type="dxa"/>
            <w:vAlign w:val="bottom"/>
          </w:tcPr>
          <w:p>
            <w:pPr>
              <w:spacing w:after="0"/>
              <w:rPr>
                <w:sz w:val="23"/>
                <w:szCs w:val="23"/>
                <w:color w:val="auto"/>
              </w:rPr>
            </w:pPr>
          </w:p>
        </w:tc>
        <w:tc>
          <w:tcPr>
            <w:tcW w:w="5640" w:type="dxa"/>
            <w:vAlign w:val="bottom"/>
          </w:tcPr>
          <w:p>
            <w:pPr>
              <w:ind w:left="200"/>
              <w:spacing w:after="0"/>
              <w:rPr>
                <w:sz w:val="20"/>
                <w:szCs w:val="20"/>
                <w:color w:val="auto"/>
              </w:rPr>
            </w:pPr>
            <w:r>
              <w:rPr>
                <w:rFonts w:ascii="Arial" w:cs="Arial" w:eastAsia="Arial" w:hAnsi="Arial"/>
                <w:sz w:val="18"/>
                <w:szCs w:val="18"/>
                <w:color w:val="auto"/>
              </w:rPr>
              <w:t>Interest expense related to corporate debt, net</w:t>
            </w:r>
          </w:p>
        </w:tc>
        <w:tc>
          <w:tcPr>
            <w:tcW w:w="54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0"/>
        </w:trPr>
        <w:tc>
          <w:tcPr>
            <w:tcW w:w="640" w:type="dxa"/>
            <w:vAlign w:val="bottom"/>
          </w:tcPr>
          <w:p>
            <w:pPr>
              <w:spacing w:after="0"/>
              <w:rPr>
                <w:sz w:val="23"/>
                <w:szCs w:val="23"/>
                <w:color w:val="auto"/>
              </w:rPr>
            </w:pPr>
          </w:p>
        </w:tc>
        <w:tc>
          <w:tcPr>
            <w:tcW w:w="5640" w:type="dxa"/>
            <w:vAlign w:val="bottom"/>
          </w:tcPr>
          <w:p>
            <w:pPr>
              <w:ind w:left="200"/>
              <w:spacing w:after="0"/>
              <w:rPr>
                <w:sz w:val="20"/>
                <w:szCs w:val="20"/>
                <w:color w:val="auto"/>
              </w:rPr>
            </w:pPr>
            <w:r>
              <w:rPr>
                <w:rFonts w:ascii="Arial" w:cs="Arial" w:eastAsia="Arial" w:hAnsi="Arial"/>
                <w:sz w:val="18"/>
                <w:szCs w:val="18"/>
                <w:color w:val="auto"/>
              </w:rPr>
              <w:t>Early extinguishment of corporate debt</w:t>
            </w:r>
          </w:p>
        </w:tc>
        <w:tc>
          <w:tcPr>
            <w:tcW w:w="54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0"/>
        </w:trPr>
        <w:tc>
          <w:tcPr>
            <w:tcW w:w="640" w:type="dxa"/>
            <w:vAlign w:val="bottom"/>
          </w:tcPr>
          <w:p>
            <w:pPr>
              <w:spacing w:after="0"/>
              <w:rPr>
                <w:sz w:val="23"/>
                <w:szCs w:val="23"/>
                <w:color w:val="auto"/>
              </w:rPr>
            </w:pPr>
          </w:p>
        </w:tc>
        <w:tc>
          <w:tcPr>
            <w:tcW w:w="5640" w:type="dxa"/>
            <w:vAlign w:val="bottom"/>
          </w:tcPr>
          <w:p>
            <w:pPr>
              <w:ind w:left="200"/>
              <w:spacing w:after="0"/>
              <w:rPr>
                <w:sz w:val="20"/>
                <w:szCs w:val="20"/>
                <w:color w:val="auto"/>
              </w:rPr>
            </w:pPr>
            <w:r>
              <w:rPr>
                <w:rFonts w:ascii="Arial" w:cs="Arial" w:eastAsia="Arial" w:hAnsi="Arial"/>
                <w:sz w:val="18"/>
                <w:szCs w:val="18"/>
                <w:color w:val="auto"/>
              </w:rPr>
              <w:t>Restructuring and other related charges</w:t>
            </w:r>
          </w:p>
        </w:tc>
        <w:tc>
          <w:tcPr>
            <w:tcW w:w="54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0"/>
        </w:trPr>
        <w:tc>
          <w:tcPr>
            <w:tcW w:w="640" w:type="dxa"/>
            <w:vAlign w:val="bottom"/>
          </w:tcPr>
          <w:p>
            <w:pPr>
              <w:spacing w:after="0"/>
              <w:rPr>
                <w:sz w:val="23"/>
                <w:szCs w:val="23"/>
                <w:color w:val="auto"/>
              </w:rPr>
            </w:pPr>
          </w:p>
        </w:tc>
        <w:tc>
          <w:tcPr>
            <w:tcW w:w="5640" w:type="dxa"/>
            <w:vAlign w:val="bottom"/>
          </w:tcPr>
          <w:p>
            <w:pPr>
              <w:ind w:left="200"/>
              <w:spacing w:after="0"/>
              <w:rPr>
                <w:sz w:val="20"/>
                <w:szCs w:val="20"/>
                <w:color w:val="auto"/>
              </w:rPr>
            </w:pPr>
            <w:r>
              <w:rPr>
                <w:rFonts w:ascii="Arial" w:cs="Arial" w:eastAsia="Arial" w:hAnsi="Arial"/>
                <w:sz w:val="18"/>
                <w:szCs w:val="18"/>
                <w:color w:val="auto"/>
              </w:rPr>
              <w:t>Transaction-related costs, net</w:t>
            </w:r>
          </w:p>
        </w:tc>
        <w:tc>
          <w:tcPr>
            <w:tcW w:w="54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80"/>
        </w:trPr>
        <w:tc>
          <w:tcPr>
            <w:tcW w:w="640" w:type="dxa"/>
            <w:vAlign w:val="bottom"/>
          </w:tcPr>
          <w:p>
            <w:pPr>
              <w:spacing w:after="0"/>
              <w:rPr>
                <w:sz w:val="24"/>
                <w:szCs w:val="24"/>
                <w:color w:val="auto"/>
              </w:rPr>
            </w:pPr>
          </w:p>
        </w:tc>
        <w:tc>
          <w:tcPr>
            <w:tcW w:w="5640" w:type="dxa"/>
            <w:vAlign w:val="bottom"/>
          </w:tcPr>
          <w:p>
            <w:pPr>
              <w:ind w:left="200"/>
              <w:spacing w:after="0"/>
              <w:rPr>
                <w:sz w:val="20"/>
                <w:szCs w:val="20"/>
                <w:color w:val="auto"/>
              </w:rPr>
            </w:pPr>
            <w:r>
              <w:rPr>
                <w:rFonts w:ascii="Arial" w:cs="Arial" w:eastAsia="Arial" w:hAnsi="Arial"/>
                <w:sz w:val="18"/>
                <w:szCs w:val="18"/>
                <w:color w:val="auto"/>
              </w:rPr>
              <w:t xml:space="preserve">Charges for legal matter, net </w:t>
            </w:r>
            <w:r>
              <w:rPr>
                <w:rFonts w:ascii="Arial" w:cs="Arial" w:eastAsia="Arial" w:hAnsi="Arial"/>
                <w:sz w:val="18"/>
                <w:szCs w:val="18"/>
                <w:color w:val="auto"/>
                <w:vertAlign w:val="superscript"/>
              </w:rPr>
              <w:t>(b)</w:t>
            </w:r>
          </w:p>
        </w:tc>
        <w:tc>
          <w:tcPr>
            <w:tcW w:w="5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50"/>
        </w:trPr>
        <w:tc>
          <w:tcPr>
            <w:tcW w:w="6280" w:type="dxa"/>
            <w:vAlign w:val="bottom"/>
            <w:gridSpan w:val="2"/>
          </w:tcPr>
          <w:p>
            <w:pPr>
              <w:spacing w:after="0"/>
              <w:rPr>
                <w:sz w:val="20"/>
                <w:szCs w:val="20"/>
                <w:color w:val="auto"/>
              </w:rPr>
            </w:pPr>
            <w:r>
              <w:rPr>
                <w:rFonts w:ascii="Arial" w:cs="Arial" w:eastAsia="Arial" w:hAnsi="Arial"/>
                <w:sz w:val="18"/>
                <w:szCs w:val="18"/>
                <w:color w:val="auto"/>
              </w:rPr>
              <w:t>Loss before income taxes</w:t>
            </w: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ind w:left="100"/>
              <w:spacing w:after="0"/>
              <w:rPr>
                <w:sz w:val="20"/>
                <w:szCs w:val="20"/>
                <w:color w:val="auto"/>
              </w:rPr>
            </w:pPr>
            <w:r>
              <w:rPr>
                <w:rFonts w:ascii="Arial" w:cs="Arial" w:eastAsia="Arial" w:hAnsi="Arial"/>
                <w:sz w:val="14"/>
                <w:szCs w:val="14"/>
                <w:color w:val="auto"/>
              </w:rPr>
              <w:t>__________</w:t>
            </w: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8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820" w:hanging="326"/>
        <w:spacing w:after="0" w:line="193" w:lineRule="auto"/>
        <w:tabs>
          <w:tab w:leader="none" w:pos="820" w:val="left"/>
        </w:tabs>
        <w:numPr>
          <w:ilvl w:val="0"/>
          <w:numId w:val="39"/>
        </w:numPr>
        <w:rPr>
          <w:rFonts w:ascii="Arial" w:cs="Arial" w:eastAsia="Arial" w:hAnsi="Arial"/>
          <w:sz w:val="18"/>
          <w:szCs w:val="18"/>
          <w:color w:val="auto"/>
          <w:vertAlign w:val="superscript"/>
        </w:rPr>
      </w:pPr>
      <w:r>
        <w:rPr>
          <w:rFonts w:ascii="Arial" w:cs="Arial" w:eastAsia="Arial" w:hAnsi="Arial"/>
          <w:sz w:val="14"/>
          <w:szCs w:val="14"/>
          <w:color w:val="auto"/>
        </w:rPr>
        <w:t>Includes unallocated corporate overhead which is not attributable to a particular segment.</w:t>
      </w:r>
    </w:p>
    <w:p>
      <w:pPr>
        <w:ind w:left="820" w:hanging="326"/>
        <w:spacing w:after="0" w:line="204" w:lineRule="auto"/>
        <w:tabs>
          <w:tab w:leader="none" w:pos="820" w:val="left"/>
        </w:tabs>
        <w:numPr>
          <w:ilvl w:val="0"/>
          <w:numId w:val="39"/>
        </w:numPr>
        <w:rPr>
          <w:rFonts w:ascii="Arial" w:cs="Arial" w:eastAsia="Arial" w:hAnsi="Arial"/>
          <w:sz w:val="18"/>
          <w:szCs w:val="18"/>
          <w:color w:val="auto"/>
          <w:vertAlign w:val="superscript"/>
        </w:rPr>
      </w:pPr>
      <w:r>
        <w:rPr>
          <w:rFonts w:ascii="Arial" w:cs="Arial" w:eastAsia="Arial" w:hAnsi="Arial"/>
          <w:sz w:val="14"/>
          <w:szCs w:val="14"/>
          <w:color w:val="auto"/>
        </w:rPr>
        <w:t>Reported within operating expenses in our Consolidated Condensed Statements of Comprehensive Income.</w:t>
      </w:r>
    </w:p>
    <w:p>
      <w:pPr>
        <w:spacing w:after="0" w:line="20" w:lineRule="exact"/>
        <w:rPr>
          <w:sz w:val="20"/>
          <w:szCs w:val="20"/>
          <w:color w:val="auto"/>
        </w:rPr>
      </w:pPr>
      <w:r>
        <w:rPr>
          <w:sz w:val="20"/>
          <w:szCs w:val="20"/>
          <w:color w:val="auto"/>
        </w:rPr>
        <w:br w:type="column"/>
      </w:r>
    </w:p>
    <w:p>
      <w:pPr>
        <w:spacing w:after="0" w:line="297" w:lineRule="exact"/>
        <w:rPr>
          <w:sz w:val="20"/>
          <w:szCs w:val="20"/>
          <w:color w:val="auto"/>
        </w:rPr>
      </w:pPr>
    </w:p>
    <w:p>
      <w:pPr>
        <w:ind w:left="988" w:hanging="988"/>
        <w:spacing w:after="0"/>
        <w:tabs>
          <w:tab w:leader="none" w:pos="988" w:val="left"/>
        </w:tabs>
        <w:numPr>
          <w:ilvl w:val="0"/>
          <w:numId w:val="40"/>
        </w:numPr>
        <w:rPr>
          <w:rFonts w:ascii="Arial" w:cs="Arial" w:eastAsia="Arial" w:hAnsi="Arial"/>
          <w:sz w:val="18"/>
          <w:szCs w:val="18"/>
          <w:color w:val="auto"/>
        </w:rPr>
      </w:pPr>
      <w:r>
        <w:rPr>
          <w:rFonts w:ascii="Arial" w:cs="Arial" w:eastAsia="Arial" w:hAnsi="Arial"/>
          <w:sz w:val="18"/>
          <w:szCs w:val="18"/>
          <w:color w:val="auto"/>
        </w:rPr>
        <w:t>248</w:t>
      </w:r>
    </w:p>
    <w:p>
      <w:pPr>
        <w:spacing w:after="0" w:line="63" w:lineRule="exact"/>
        <w:rPr>
          <w:rFonts w:ascii="Arial" w:cs="Arial" w:eastAsia="Arial" w:hAnsi="Arial"/>
          <w:sz w:val="18"/>
          <w:szCs w:val="18"/>
          <w:color w:val="auto"/>
        </w:rPr>
      </w:pPr>
    </w:p>
    <w:p>
      <w:pPr>
        <w:ind w:left="988"/>
        <w:spacing w:after="0"/>
        <w:rPr>
          <w:rFonts w:ascii="Arial" w:cs="Arial" w:eastAsia="Arial" w:hAnsi="Arial"/>
          <w:sz w:val="18"/>
          <w:szCs w:val="18"/>
          <w:color w:val="auto"/>
        </w:rPr>
      </w:pPr>
      <w:r>
        <w:rPr>
          <w:rFonts w:ascii="Arial" w:cs="Arial" w:eastAsia="Arial" w:hAnsi="Arial"/>
          <w:sz w:val="18"/>
          <w:szCs w:val="18"/>
          <w:color w:val="auto"/>
        </w:rPr>
        <w:t>126</w:t>
      </w:r>
    </w:p>
    <w:p>
      <w:pPr>
        <w:spacing w:after="0" w:line="63" w:lineRule="exact"/>
        <w:rPr>
          <w:rFonts w:ascii="Arial" w:cs="Arial" w:eastAsia="Arial" w:hAnsi="Arial"/>
          <w:sz w:val="18"/>
          <w:szCs w:val="18"/>
          <w:color w:val="auto"/>
        </w:rPr>
      </w:pPr>
    </w:p>
    <w:p>
      <w:pPr>
        <w:ind w:left="988"/>
        <w:spacing w:after="0"/>
        <w:rPr>
          <w:rFonts w:ascii="Arial" w:cs="Arial" w:eastAsia="Arial" w:hAnsi="Arial"/>
          <w:sz w:val="18"/>
          <w:szCs w:val="18"/>
          <w:color w:val="auto"/>
        </w:rPr>
      </w:pPr>
      <w:r>
        <w:rPr>
          <w:rFonts w:ascii="Arial" w:cs="Arial" w:eastAsia="Arial" w:hAnsi="Arial"/>
          <w:sz w:val="18"/>
          <w:szCs w:val="18"/>
          <w:color w:val="auto"/>
        </w:rPr>
        <w:t>106</w:t>
      </w:r>
    </w:p>
    <w:p>
      <w:pPr>
        <w:spacing w:after="0" w:line="63" w:lineRule="exact"/>
        <w:rPr>
          <w:rFonts w:ascii="Arial" w:cs="Arial" w:eastAsia="Arial" w:hAnsi="Arial"/>
          <w:sz w:val="18"/>
          <w:szCs w:val="18"/>
          <w:color w:val="auto"/>
        </w:rPr>
      </w:pPr>
    </w:p>
    <w:p>
      <w:pPr>
        <w:ind w:left="1088"/>
        <w:spacing w:after="0"/>
        <w:rPr>
          <w:rFonts w:ascii="Arial" w:cs="Arial" w:eastAsia="Arial" w:hAnsi="Arial"/>
          <w:sz w:val="18"/>
          <w:szCs w:val="18"/>
          <w:color w:val="auto"/>
        </w:rPr>
      </w:pPr>
      <w:r>
        <w:rPr>
          <w:rFonts w:ascii="Arial" w:cs="Arial" w:eastAsia="Arial" w:hAnsi="Arial"/>
          <w:sz w:val="18"/>
          <w:szCs w:val="18"/>
          <w:color w:val="auto"/>
        </w:rPr>
        <w:t>10</w:t>
      </w:r>
    </w:p>
    <w:p>
      <w:pPr>
        <w:spacing w:after="0" w:line="63" w:lineRule="exact"/>
        <w:rPr>
          <w:rFonts w:ascii="Arial" w:cs="Arial" w:eastAsia="Arial" w:hAnsi="Arial"/>
          <w:sz w:val="18"/>
          <w:szCs w:val="18"/>
          <w:color w:val="auto"/>
        </w:rPr>
      </w:pPr>
    </w:p>
    <w:p>
      <w:pPr>
        <w:ind w:left="1088"/>
        <w:spacing w:after="0"/>
        <w:rPr>
          <w:rFonts w:ascii="Arial" w:cs="Arial" w:eastAsia="Arial" w:hAnsi="Arial"/>
          <w:sz w:val="18"/>
          <w:szCs w:val="18"/>
          <w:color w:val="auto"/>
        </w:rPr>
      </w:pPr>
      <w:r>
        <w:rPr>
          <w:rFonts w:ascii="Arial" w:cs="Arial" w:eastAsia="Arial" w:hAnsi="Arial"/>
          <w:sz w:val="18"/>
          <w:szCs w:val="18"/>
          <w:color w:val="auto"/>
        </w:rPr>
        <w:t>20</w:t>
      </w:r>
    </w:p>
    <w:p>
      <w:pPr>
        <w:spacing w:after="0" w:line="63" w:lineRule="exact"/>
        <w:rPr>
          <w:rFonts w:ascii="Arial" w:cs="Arial" w:eastAsia="Arial" w:hAnsi="Arial"/>
          <w:sz w:val="18"/>
          <w:szCs w:val="18"/>
          <w:color w:val="auto"/>
        </w:rPr>
      </w:pPr>
    </w:p>
    <w:p>
      <w:pPr>
        <w:ind w:left="1188"/>
        <w:spacing w:after="0"/>
        <w:rPr>
          <w:rFonts w:ascii="Arial" w:cs="Arial" w:eastAsia="Arial" w:hAnsi="Arial"/>
          <w:sz w:val="18"/>
          <w:szCs w:val="18"/>
          <w:color w:val="auto"/>
        </w:rPr>
      </w:pPr>
      <w:r>
        <w:rPr>
          <w:rFonts w:ascii="Arial" w:cs="Arial" w:eastAsia="Arial" w:hAnsi="Arial"/>
          <w:sz w:val="18"/>
          <w:szCs w:val="18"/>
          <w:color w:val="auto"/>
        </w:rPr>
        <w:t>9</w:t>
      </w:r>
    </w:p>
    <w:p>
      <w:pPr>
        <w:spacing w:after="0" w:line="63" w:lineRule="exact"/>
        <w:rPr>
          <w:rFonts w:ascii="Arial" w:cs="Arial" w:eastAsia="Arial" w:hAnsi="Arial"/>
          <w:sz w:val="18"/>
          <w:szCs w:val="18"/>
          <w:color w:val="auto"/>
        </w:rPr>
      </w:pPr>
    </w:p>
    <w:p>
      <w:pPr>
        <w:ind w:left="1108"/>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28575</wp:posOffset>
            </wp:positionV>
            <wp:extent cx="8921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p>
      <w:pPr>
        <w:spacing w:after="0" w:line="43" w:lineRule="exact"/>
        <w:rPr>
          <w:sz w:val="20"/>
          <w:szCs w:val="20"/>
          <w:color w:val="auto"/>
        </w:rPr>
      </w:pPr>
    </w:p>
    <w:p>
      <w:pPr>
        <w:ind w:left="1028" w:hanging="1028"/>
        <w:spacing w:after="0"/>
        <w:tabs>
          <w:tab w:leader="none" w:pos="1028" w:val="left"/>
        </w:tabs>
        <w:numPr>
          <w:ilvl w:val="0"/>
          <w:numId w:val="41"/>
        </w:numPr>
        <w:rPr>
          <w:rFonts w:ascii="Arial" w:cs="Arial" w:eastAsia="Arial" w:hAnsi="Arial"/>
          <w:sz w:val="17"/>
          <w:szCs w:val="17"/>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36195</wp:posOffset>
            </wp:positionV>
            <wp:extent cx="8921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92175"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53340</wp:posOffset>
            </wp:positionV>
            <wp:extent cx="8921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p>
      <w:pPr>
        <w:spacing w:after="0" w:line="723" w:lineRule="exact"/>
        <w:rPr>
          <w:sz w:val="20"/>
          <w:szCs w:val="20"/>
          <w:color w:val="auto"/>
        </w:rPr>
      </w:pPr>
    </w:p>
    <w:p>
      <w:pPr>
        <w:sectPr>
          <w:pgSz w:w="11900" w:h="16838" w:orient="portrait"/>
          <w:cols w:equalWidth="0" w:num="2">
            <w:col w:w="9012" w:space="720"/>
            <w:col w:w="1668"/>
          </w:cols>
          <w:pgMar w:left="240" w:top="108" w:right="259" w:bottom="1440" w:gutter="0" w:footer="0" w:header="0"/>
          <w:type w:val="continuous"/>
        </w:sectPr>
      </w:pPr>
    </w:p>
    <w:p>
      <w:pPr>
        <w:ind w:left="500"/>
        <w:spacing w:after="0"/>
        <w:rPr>
          <w:sz w:val="20"/>
          <w:szCs w:val="20"/>
          <w:color w:val="auto"/>
        </w:rPr>
      </w:pPr>
      <w:r>
        <w:rPr>
          <w:rFonts w:ascii="Arial" w:cs="Arial" w:eastAsia="Arial" w:hAnsi="Arial"/>
          <w:sz w:val="18"/>
          <w:szCs w:val="18"/>
          <w:color w:val="auto"/>
        </w:rPr>
        <w:t>Since December 31, 2016, there have been no significant changes in Americas segment assets exclusive of assets under vehicle</w:t>
      </w:r>
    </w:p>
    <w:p>
      <w:pPr>
        <w:spacing w:after="0" w:line="3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programs, and as of June 30, 2017 and December 31, 2016, Americas segment assets under vehicle programs were approximately</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$10.6 billion and $9.2 billion, respectively. As of June 30, 2017 and December 31, 2016, International segment assets exclusive of assets</w:t>
      </w:r>
    </w:p>
    <w:p>
      <w:pPr>
        <w:spacing w:after="0" w:line="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under vehicle programs were approximately $2.6 billion and $2.0 billion, respectively, and International segment assets under vehicle</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programs were approximately $3.3 billion and $2.4 billion, respectively.</w:t>
      </w:r>
    </w:p>
    <w:p>
      <w:pPr>
        <w:sectPr>
          <w:pgSz w:w="11900" w:h="16838" w:orient="portrait"/>
          <w:cols w:equalWidth="0" w:num="1">
            <w:col w:w="11400"/>
          </w:cols>
          <w:pgMar w:left="240" w:top="108" w:right="259" w:bottom="1440" w:gutter="0" w:footer="0" w:header="0"/>
          <w:type w:val="continuous"/>
        </w:sect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00"/>
          </w:cols>
          <w:pgMar w:left="240" w:top="108" w:right="25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hanging="492"/>
        <w:spacing w:after="0"/>
        <w:tabs>
          <w:tab w:leader="none" w:pos="50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Guarantor and Non-Guarantor Consolidating Condensed Financial Statements</w:t>
      </w:r>
    </w:p>
    <w:p>
      <w:pPr>
        <w:spacing w:after="0" w:line="227" w:lineRule="exact"/>
        <w:rPr>
          <w:rFonts w:ascii="Arial" w:cs="Arial" w:eastAsia="Arial" w:hAnsi="Arial"/>
          <w:sz w:val="18"/>
          <w:szCs w:val="18"/>
          <w:b w:val="1"/>
          <w:bCs w:val="1"/>
          <w:color w:val="auto"/>
        </w:rPr>
      </w:pPr>
    </w:p>
    <w:p>
      <w:pPr>
        <w:ind w:left="500" w:right="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following consolidating financial information presents Consolidating Condensed Statements of Comprehensive Income for the three and six months ended June 30, 2017 and 2016, Consolidating Condensed Balance Sheets as of June 30, 2017 and December 31, 2016, and Consolidating Condensed Statements of Cash Flows for the six months ended June 30, 2017 and 2016 for: (i) Avis Budget Group, Inc. (the “Parent”); (ii) ABCR and Avis Budget Finance, Inc. (the “Subsidiary Issuers”); (iii) the guarantor subsidiaries; (iv) the non-guarantor subsidiaries; (v) elimination entries necessary to consolidate the Parent with the Subsidiary Issuers, and the guarantor and non-guarantor subsidiaries; and (vi) the Company on a consolidated basis. The Subsidiary Issuers and the guarantor and non-guarantor subsidiaries are 100% owned by the Parent, either directly or indirectly. All guarantees are full and unconditional and joint and several. This financial information is being presented in relation to the Company’s guarantee of the payment of principal, premium (if any) and interest on the notes issued by the Subsidiary Issuers. See Note 9 - Long-term Debt and Borrowing Arrangements for additional description of these guaranteed notes. The Senior Notes are guaranteed by the Parent and certain subsidiaries.</w:t>
      </w:r>
    </w:p>
    <w:p>
      <w:pPr>
        <w:spacing w:after="0" w:line="177" w:lineRule="exact"/>
        <w:rPr>
          <w:rFonts w:ascii="Arial" w:cs="Arial" w:eastAsia="Arial" w:hAnsi="Arial"/>
          <w:sz w:val="18"/>
          <w:szCs w:val="18"/>
          <w:b w:val="1"/>
          <w:bCs w:val="1"/>
          <w:color w:val="auto"/>
        </w:rPr>
      </w:pPr>
    </w:p>
    <w:p>
      <w:pPr>
        <w:ind w:left="5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Investments in subsidiaries are accounted for using the equity method of accounting for purposes of the consolidating presentation. The principal elimination entries relate to investments in subsidiaries and intercompany balances and transactions. For purposes of the accompanying Consolidating Condensed Statements of Comprehensive Income, certain expenses incurred by the Subsidiary Issuers are allocated to the guarantor and non-guarantor subsidiaries.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1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Consolidating Condensed Statements of Comprehensive Income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Three Months Ended June 30, 2017</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Subsidiary</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5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Parent</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Issuers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4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4"/>
        </w:trPr>
        <w:tc>
          <w:tcPr>
            <w:tcW w:w="354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90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540" w:type="dxa"/>
            <w:vAlign w:val="bottom"/>
          </w:tcPr>
          <w:p>
            <w:pPr>
              <w:ind w:left="180"/>
              <w:spacing w:after="0"/>
              <w:rPr>
                <w:sz w:val="20"/>
                <w:szCs w:val="20"/>
                <w:color w:val="auto"/>
              </w:rPr>
            </w:pPr>
            <w:r>
              <w:rPr>
                <w:rFonts w:ascii="Arial" w:cs="Arial" w:eastAsia="Arial" w:hAnsi="Arial"/>
                <w:sz w:val="14"/>
                <w:szCs w:val="14"/>
                <w:color w:val="auto"/>
              </w:rPr>
              <w:t>Vehicle rental</w:t>
            </w:r>
          </w:p>
        </w:tc>
        <w:tc>
          <w:tcPr>
            <w:tcW w:w="900" w:type="dxa"/>
            <w:vAlign w:val="bottom"/>
          </w:tcPr>
          <w:p>
            <w:pPr>
              <w:jc w:val="right"/>
              <w:ind w:right="708"/>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1,055</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508</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1,563</w:t>
            </w:r>
          </w:p>
        </w:tc>
        <w:tc>
          <w:tcPr>
            <w:tcW w:w="0" w:type="dxa"/>
            <w:vAlign w:val="bottom"/>
          </w:tcPr>
          <w:p>
            <w:pPr>
              <w:spacing w:after="0"/>
              <w:rPr>
                <w:sz w:val="1"/>
                <w:szCs w:val="1"/>
                <w:color w:val="auto"/>
              </w:rPr>
            </w:pPr>
          </w:p>
        </w:tc>
      </w:tr>
      <w:tr>
        <w:trPr>
          <w:trHeight w:val="274"/>
        </w:trPr>
        <w:tc>
          <w:tcPr>
            <w:tcW w:w="3540" w:type="dxa"/>
            <w:vAlign w:val="bottom"/>
          </w:tcPr>
          <w:p>
            <w:pPr>
              <w:ind w:left="180"/>
              <w:spacing w:after="0"/>
              <w:rPr>
                <w:sz w:val="20"/>
                <w:szCs w:val="20"/>
                <w:color w:val="auto"/>
              </w:rPr>
            </w:pPr>
            <w:r>
              <w:rPr>
                <w:rFonts w:ascii="Arial" w:cs="Arial" w:eastAsia="Arial" w:hAnsi="Arial"/>
                <w:sz w:val="14"/>
                <w:szCs w:val="14"/>
                <w:color w:val="auto"/>
              </w:rPr>
              <w:t>Other</w:t>
            </w:r>
          </w:p>
        </w:tc>
        <w:tc>
          <w:tcPr>
            <w:tcW w:w="90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316</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1,022</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(663)</w:t>
            </w:r>
          </w:p>
        </w:tc>
        <w:tc>
          <w:tcPr>
            <w:tcW w:w="1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675</w:t>
            </w:r>
          </w:p>
        </w:tc>
        <w:tc>
          <w:tcPr>
            <w:tcW w:w="0" w:type="dxa"/>
            <w:vAlign w:val="bottom"/>
          </w:tcPr>
          <w:p>
            <w:pPr>
              <w:spacing w:after="0"/>
              <w:rPr>
                <w:sz w:val="1"/>
                <w:szCs w:val="1"/>
                <w:color w:val="auto"/>
              </w:rPr>
            </w:pPr>
          </w:p>
        </w:tc>
      </w:tr>
      <w:tr>
        <w:trPr>
          <w:trHeight w:val="248"/>
        </w:trPr>
        <w:tc>
          <w:tcPr>
            <w:tcW w:w="3540" w:type="dxa"/>
            <w:vAlign w:val="bottom"/>
          </w:tcPr>
          <w:p>
            <w:pPr>
              <w:spacing w:after="0"/>
              <w:rPr>
                <w:sz w:val="20"/>
                <w:szCs w:val="20"/>
                <w:color w:val="auto"/>
              </w:rPr>
            </w:pPr>
            <w:r>
              <w:rPr>
                <w:rFonts w:ascii="Arial" w:cs="Arial" w:eastAsia="Arial" w:hAnsi="Arial"/>
                <w:sz w:val="14"/>
                <w:szCs w:val="14"/>
                <w:color w:val="auto"/>
              </w:rPr>
              <w:t>Net revenues</w:t>
            </w:r>
          </w:p>
        </w:tc>
        <w:tc>
          <w:tcPr>
            <w:tcW w:w="9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1,371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1,530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(663)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2,238</w:t>
            </w:r>
          </w:p>
        </w:tc>
        <w:tc>
          <w:tcPr>
            <w:tcW w:w="0" w:type="dxa"/>
            <w:vAlign w:val="bottom"/>
          </w:tcPr>
          <w:p>
            <w:pPr>
              <w:spacing w:after="0"/>
              <w:rPr>
                <w:sz w:val="1"/>
                <w:szCs w:val="1"/>
                <w:color w:val="auto"/>
              </w:rPr>
            </w:pPr>
          </w:p>
        </w:tc>
      </w:tr>
      <w:tr>
        <w:trPr>
          <w:trHeight w:val="498"/>
        </w:trPr>
        <w:tc>
          <w:tcPr>
            <w:tcW w:w="3540" w:type="dxa"/>
            <w:vAlign w:val="bottom"/>
          </w:tcPr>
          <w:p>
            <w:pPr>
              <w:spacing w:after="0"/>
              <w:rPr>
                <w:sz w:val="20"/>
                <w:szCs w:val="20"/>
                <w:color w:val="auto"/>
              </w:rPr>
            </w:pPr>
            <w:r>
              <w:rPr>
                <w:rFonts w:ascii="Arial" w:cs="Arial" w:eastAsia="Arial" w:hAnsi="Arial"/>
                <w:sz w:val="14"/>
                <w:szCs w:val="14"/>
                <w:b w:val="1"/>
                <w:bCs w:val="1"/>
                <w:color w:val="auto"/>
              </w:rPr>
              <w:t>Expenses</w:t>
            </w:r>
          </w:p>
        </w:tc>
        <w:tc>
          <w:tcPr>
            <w:tcW w:w="9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540" w:type="dxa"/>
            <w:vAlign w:val="bottom"/>
          </w:tcPr>
          <w:p>
            <w:pPr>
              <w:ind w:left="180"/>
              <w:spacing w:after="0"/>
              <w:rPr>
                <w:sz w:val="20"/>
                <w:szCs w:val="20"/>
                <w:color w:val="auto"/>
              </w:rPr>
            </w:pPr>
            <w:r>
              <w:rPr>
                <w:rFonts w:ascii="Arial" w:cs="Arial" w:eastAsia="Arial" w:hAnsi="Arial"/>
                <w:sz w:val="14"/>
                <w:szCs w:val="14"/>
                <w:color w:val="auto"/>
              </w:rPr>
              <w:t>Operating</w:t>
            </w:r>
          </w:p>
        </w:tc>
        <w:tc>
          <w:tcPr>
            <w:tcW w:w="900" w:type="dxa"/>
            <w:vAlign w:val="bottom"/>
          </w:tcPr>
          <w:p>
            <w:pPr>
              <w:spacing w:after="0"/>
              <w:rPr>
                <w:sz w:val="22"/>
                <w:szCs w:val="22"/>
                <w:color w:val="auto"/>
              </w:rPr>
            </w:pP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644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454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1,108</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Vehicle depreciation and lease charges, net</w:t>
            </w:r>
          </w:p>
        </w:tc>
        <w:tc>
          <w:tcPr>
            <w:tcW w:w="900" w:type="dxa"/>
            <w:vAlign w:val="bottom"/>
          </w:tcPr>
          <w:p>
            <w:pPr>
              <w:spacing w:after="0"/>
              <w:rPr>
                <w:sz w:val="23"/>
                <w:szCs w:val="23"/>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614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592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(609)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597</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Selling, general and administrative</w:t>
            </w:r>
          </w:p>
        </w:tc>
        <w:tc>
          <w:tcPr>
            <w:tcW w:w="900" w:type="dxa"/>
            <w:vAlign w:val="bottom"/>
          </w:tcPr>
          <w:p>
            <w:pPr>
              <w:spacing w:after="0"/>
              <w:rPr>
                <w:sz w:val="23"/>
                <w:szCs w:val="23"/>
                <w:color w:val="auto"/>
              </w:rPr>
            </w:pP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293</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Vehicle interest, net</w:t>
            </w:r>
          </w:p>
        </w:tc>
        <w:tc>
          <w:tcPr>
            <w:tcW w:w="900" w:type="dxa"/>
            <w:vAlign w:val="bottom"/>
          </w:tcPr>
          <w:p>
            <w:pPr>
              <w:spacing w:after="0"/>
              <w:rPr>
                <w:sz w:val="23"/>
                <w:szCs w:val="23"/>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Non-vehicle related depreciation and amortization</w:t>
            </w:r>
          </w:p>
        </w:tc>
        <w:tc>
          <w:tcPr>
            <w:tcW w:w="900" w:type="dxa"/>
            <w:vAlign w:val="bottom"/>
          </w:tcPr>
          <w:p>
            <w:pPr>
              <w:spacing w:after="0"/>
              <w:rPr>
                <w:sz w:val="23"/>
                <w:szCs w:val="23"/>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Interest expense related to corporate debt, net:</w:t>
            </w:r>
          </w:p>
        </w:tc>
        <w:tc>
          <w:tcPr>
            <w:tcW w:w="9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380"/>
              <w:spacing w:after="0"/>
              <w:rPr>
                <w:sz w:val="20"/>
                <w:szCs w:val="20"/>
                <w:color w:val="auto"/>
              </w:rPr>
            </w:pPr>
            <w:r>
              <w:rPr>
                <w:rFonts w:ascii="Arial" w:cs="Arial" w:eastAsia="Arial" w:hAnsi="Arial"/>
                <w:sz w:val="14"/>
                <w:szCs w:val="14"/>
                <w:color w:val="auto"/>
              </w:rPr>
              <w:t>Interest expense (income)</w:t>
            </w:r>
          </w:p>
        </w:tc>
        <w:tc>
          <w:tcPr>
            <w:tcW w:w="900" w:type="dxa"/>
            <w:vAlign w:val="bottom"/>
          </w:tcPr>
          <w:p>
            <w:pPr>
              <w:spacing w:after="0"/>
              <w:rPr>
                <w:sz w:val="23"/>
                <w:szCs w:val="23"/>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270"/>
        </w:trPr>
        <w:tc>
          <w:tcPr>
            <w:tcW w:w="3540" w:type="dxa"/>
            <w:vAlign w:val="bottom"/>
          </w:tcPr>
          <w:p>
            <w:pPr>
              <w:ind w:left="380"/>
              <w:spacing w:after="0"/>
              <w:rPr>
                <w:sz w:val="20"/>
                <w:szCs w:val="20"/>
                <w:color w:val="auto"/>
              </w:rPr>
            </w:pPr>
            <w:r>
              <w:rPr>
                <w:rFonts w:ascii="Arial" w:cs="Arial" w:eastAsia="Arial" w:hAnsi="Arial"/>
                <w:sz w:val="14"/>
                <w:szCs w:val="14"/>
                <w:color w:val="auto"/>
              </w:rPr>
              <w:t>Intercompany interest expense (income)</w:t>
            </w:r>
          </w:p>
        </w:tc>
        <w:tc>
          <w:tcPr>
            <w:tcW w:w="90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540" w:type="dxa"/>
            <w:vAlign w:val="bottom"/>
          </w:tcPr>
          <w:p>
            <w:pPr>
              <w:ind w:left="380"/>
              <w:spacing w:after="0"/>
              <w:rPr>
                <w:sz w:val="20"/>
                <w:szCs w:val="20"/>
                <w:color w:val="auto"/>
              </w:rPr>
            </w:pPr>
            <w:r>
              <w:rPr>
                <w:rFonts w:ascii="Arial" w:cs="Arial" w:eastAsia="Arial" w:hAnsi="Arial"/>
                <w:sz w:val="14"/>
                <w:szCs w:val="14"/>
                <w:color w:val="auto"/>
              </w:rPr>
              <w:t>Early extinguishment of debt</w:t>
            </w:r>
          </w:p>
        </w:tc>
        <w:tc>
          <w:tcPr>
            <w:tcW w:w="900" w:type="dxa"/>
            <w:vAlign w:val="bottom"/>
          </w:tcPr>
          <w:p>
            <w:pPr>
              <w:spacing w:after="0"/>
              <w:rPr>
                <w:sz w:val="23"/>
                <w:szCs w:val="23"/>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Restructuring and other related charges</w:t>
            </w:r>
          </w:p>
        </w:tc>
        <w:tc>
          <w:tcPr>
            <w:tcW w:w="900" w:type="dxa"/>
            <w:vAlign w:val="bottom"/>
          </w:tcPr>
          <w:p>
            <w:pPr>
              <w:spacing w:after="0"/>
              <w:rPr>
                <w:sz w:val="23"/>
                <w:szCs w:val="23"/>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74"/>
        </w:trPr>
        <w:tc>
          <w:tcPr>
            <w:tcW w:w="3540" w:type="dxa"/>
            <w:vAlign w:val="bottom"/>
          </w:tcPr>
          <w:p>
            <w:pPr>
              <w:ind w:left="180"/>
              <w:spacing w:after="0"/>
              <w:rPr>
                <w:sz w:val="20"/>
                <w:szCs w:val="20"/>
                <w:color w:val="auto"/>
              </w:rPr>
            </w:pPr>
            <w:r>
              <w:rPr>
                <w:rFonts w:ascii="Arial" w:cs="Arial" w:eastAsia="Arial" w:hAnsi="Arial"/>
                <w:sz w:val="14"/>
                <w:szCs w:val="14"/>
                <w:color w:val="auto"/>
              </w:rPr>
              <w:t>Transaction-related costs, net</w:t>
            </w:r>
          </w:p>
        </w:tc>
        <w:tc>
          <w:tcPr>
            <w:tcW w:w="900" w:type="dxa"/>
            <w:vAlign w:val="bottom"/>
          </w:tcPr>
          <w:p>
            <w:pPr>
              <w:spacing w:after="0"/>
              <w:rPr>
                <w:sz w:val="23"/>
                <w:szCs w:val="23"/>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48"/>
        </w:trPr>
        <w:tc>
          <w:tcPr>
            <w:tcW w:w="3540" w:type="dxa"/>
            <w:vAlign w:val="bottom"/>
          </w:tcPr>
          <w:p>
            <w:pPr>
              <w:spacing w:after="0"/>
              <w:rPr>
                <w:sz w:val="20"/>
                <w:szCs w:val="20"/>
                <w:color w:val="auto"/>
              </w:rPr>
            </w:pPr>
            <w:r>
              <w:rPr>
                <w:rFonts w:ascii="Arial" w:cs="Arial" w:eastAsia="Arial" w:hAnsi="Arial"/>
                <w:sz w:val="14"/>
                <w:szCs w:val="14"/>
                <w:color w:val="auto"/>
              </w:rPr>
              <w:t>Total expenses</w:t>
            </w:r>
          </w:p>
        </w:tc>
        <w:tc>
          <w:tcPr>
            <w:tcW w:w="90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1,546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1,233</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(663)</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2,227</w:t>
            </w:r>
          </w:p>
        </w:tc>
        <w:tc>
          <w:tcPr>
            <w:tcW w:w="0" w:type="dxa"/>
            <w:vAlign w:val="bottom"/>
          </w:tcPr>
          <w:p>
            <w:pPr>
              <w:spacing w:after="0"/>
              <w:rPr>
                <w:sz w:val="1"/>
                <w:szCs w:val="1"/>
                <w:color w:val="auto"/>
              </w:rPr>
            </w:pPr>
          </w:p>
        </w:tc>
      </w:tr>
      <w:tr>
        <w:trPr>
          <w:trHeight w:val="160"/>
        </w:trPr>
        <w:tc>
          <w:tcPr>
            <w:tcW w:w="3540" w:type="dxa"/>
            <w:vAlign w:val="bottom"/>
          </w:tcPr>
          <w:p>
            <w:pPr>
              <w:spacing w:after="0"/>
              <w:rPr>
                <w:sz w:val="20"/>
                <w:szCs w:val="20"/>
                <w:color w:val="auto"/>
              </w:rPr>
            </w:pPr>
            <w:r>
              <w:rPr>
                <w:rFonts w:ascii="Arial" w:cs="Arial" w:eastAsia="Arial" w:hAnsi="Arial"/>
                <w:sz w:val="14"/>
                <w:szCs w:val="14"/>
                <w:b w:val="1"/>
                <w:bCs w:val="1"/>
                <w:color w:val="auto"/>
              </w:rPr>
              <w:t>Income (loss) before income taxes and equity in</w:t>
            </w: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540" w:type="dxa"/>
            <w:vAlign w:val="bottom"/>
          </w:tcPr>
          <w:p>
            <w:pPr>
              <w:ind w:left="160"/>
              <w:spacing w:after="0"/>
              <w:rPr>
                <w:sz w:val="20"/>
                <w:szCs w:val="20"/>
                <w:color w:val="auto"/>
              </w:rPr>
            </w:pPr>
            <w:r>
              <w:rPr>
                <w:rFonts w:ascii="Arial" w:cs="Arial" w:eastAsia="Arial" w:hAnsi="Arial"/>
                <w:sz w:val="14"/>
                <w:szCs w:val="14"/>
                <w:b w:val="1"/>
                <w:bCs w:val="1"/>
                <w:color w:val="auto"/>
              </w:rPr>
              <w:t>earnings of subsidiaries</w:t>
            </w:r>
          </w:p>
        </w:tc>
        <w:tc>
          <w:tcPr>
            <w:tcW w:w="9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297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64"/>
        </w:trPr>
        <w:tc>
          <w:tcPr>
            <w:tcW w:w="3540" w:type="dxa"/>
            <w:vAlign w:val="bottom"/>
          </w:tcPr>
          <w:p>
            <w:pPr>
              <w:spacing w:after="0"/>
              <w:rPr>
                <w:sz w:val="20"/>
                <w:szCs w:val="20"/>
                <w:color w:val="auto"/>
              </w:rPr>
            </w:pPr>
            <w:r>
              <w:rPr>
                <w:rFonts w:ascii="Arial" w:cs="Arial" w:eastAsia="Arial" w:hAnsi="Arial"/>
                <w:sz w:val="14"/>
                <w:szCs w:val="14"/>
                <w:color w:val="auto"/>
              </w:rPr>
              <w:t>Provision for (benefit from) income taxes</w:t>
            </w:r>
          </w:p>
        </w:tc>
        <w:tc>
          <w:tcPr>
            <w:tcW w:w="90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74"/>
        </w:trPr>
        <w:tc>
          <w:tcPr>
            <w:tcW w:w="3540" w:type="dxa"/>
            <w:vAlign w:val="bottom"/>
          </w:tcPr>
          <w:p>
            <w:pPr>
              <w:spacing w:after="0"/>
              <w:rPr>
                <w:sz w:val="20"/>
                <w:szCs w:val="20"/>
                <w:color w:val="auto"/>
              </w:rPr>
            </w:pPr>
            <w:r>
              <w:rPr>
                <w:rFonts w:ascii="Arial" w:cs="Arial" w:eastAsia="Arial" w:hAnsi="Arial"/>
                <w:sz w:val="14"/>
                <w:szCs w:val="14"/>
                <w:color w:val="auto"/>
              </w:rPr>
              <w:t>Equity in earnings of subsidiaries</w:t>
            </w:r>
          </w:p>
        </w:tc>
        <w:tc>
          <w:tcPr>
            <w:tcW w:w="900" w:type="dxa"/>
            <w:vAlign w:val="bottom"/>
          </w:tcPr>
          <w:p>
            <w:pPr>
              <w:spacing w:after="0"/>
              <w:rPr>
                <w:sz w:val="23"/>
                <w:szCs w:val="23"/>
                <w:color w:val="auto"/>
              </w:rPr>
            </w:pP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259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(341)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1"/>
        </w:trPr>
        <w:tc>
          <w:tcPr>
            <w:tcW w:w="354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900" w:type="dxa"/>
            <w:vAlign w:val="bottom"/>
            <w:tcBorders>
              <w:top w:val="single" w:sz="8" w:color="auto"/>
              <w:bottom w:val="single" w:sz="8" w:color="auto"/>
            </w:tcBorders>
          </w:tcPr>
          <w:p>
            <w:pPr>
              <w:jc w:val="right"/>
              <w:ind w:right="708"/>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73</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259</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(341)</w:t>
            </w:r>
          </w:p>
        </w:tc>
        <w:tc>
          <w:tcPr>
            <w:tcW w:w="12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rPr>
              <w:t>Comprehensive income</w:t>
            </w: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3540" w:type="dxa"/>
            <w:vAlign w:val="bottom"/>
            <w:vMerge w:val="continue"/>
          </w:tcPr>
          <w:p>
            <w:pPr>
              <w:spacing w:after="0"/>
              <w:rPr>
                <w:sz w:val="24"/>
                <w:szCs w:val="24"/>
                <w:color w:val="auto"/>
              </w:rPr>
            </w:pPr>
          </w:p>
        </w:tc>
        <w:tc>
          <w:tcPr>
            <w:tcW w:w="90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123</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309</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(490)</w:t>
            </w:r>
          </w:p>
        </w:tc>
        <w:tc>
          <w:tcPr>
            <w:tcW w:w="120" w:type="dxa"/>
            <w:vAlign w:val="bottom"/>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15"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Six Months Ended June 30, 2017</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Subsidiary</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Issuers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7"/>
                <w:szCs w:val="17"/>
                <w:color w:val="auto"/>
              </w:rPr>
            </w:pPr>
          </w:p>
        </w:tc>
        <w:tc>
          <w:tcPr>
            <w:tcW w:w="940" w:type="dxa"/>
            <w:vAlign w:val="bottom"/>
          </w:tcPr>
          <w:p>
            <w:pPr>
              <w:jc w:val="right"/>
              <w:ind w:right="3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4"/>
        </w:trPr>
        <w:tc>
          <w:tcPr>
            <w:tcW w:w="346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26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460" w:type="dxa"/>
            <w:vAlign w:val="bottom"/>
          </w:tcPr>
          <w:p>
            <w:pPr>
              <w:ind w:left="100"/>
              <w:spacing w:after="0"/>
              <w:rPr>
                <w:sz w:val="20"/>
                <w:szCs w:val="20"/>
                <w:color w:val="auto"/>
              </w:rPr>
            </w:pPr>
            <w:r>
              <w:rPr>
                <w:rFonts w:ascii="Arial" w:cs="Arial" w:eastAsia="Arial" w:hAnsi="Arial"/>
                <w:sz w:val="14"/>
                <w:szCs w:val="14"/>
                <w:color w:val="auto"/>
              </w:rPr>
              <w:t>Vehicle rental</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1,941</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908</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2,849</w:t>
            </w:r>
          </w:p>
        </w:tc>
        <w:tc>
          <w:tcPr>
            <w:tcW w:w="0" w:type="dxa"/>
            <w:vAlign w:val="bottom"/>
          </w:tcPr>
          <w:p>
            <w:pPr>
              <w:spacing w:after="0"/>
              <w:rPr>
                <w:sz w:val="1"/>
                <w:szCs w:val="1"/>
                <w:color w:val="auto"/>
              </w:rPr>
            </w:pPr>
          </w:p>
        </w:tc>
      </w:tr>
      <w:tr>
        <w:trPr>
          <w:trHeight w:val="274"/>
        </w:trPr>
        <w:tc>
          <w:tcPr>
            <w:tcW w:w="3460" w:type="dxa"/>
            <w:vAlign w:val="bottom"/>
          </w:tcPr>
          <w:p>
            <w:pPr>
              <w:ind w:left="100"/>
              <w:spacing w:after="0"/>
              <w:rPr>
                <w:sz w:val="20"/>
                <w:szCs w:val="20"/>
                <w:color w:val="auto"/>
              </w:rPr>
            </w:pPr>
            <w:r>
              <w:rPr>
                <w:rFonts w:ascii="Arial" w:cs="Arial" w:eastAsia="Arial" w:hAnsi="Arial"/>
                <w:sz w:val="14"/>
                <w:szCs w:val="14"/>
                <w:color w:val="auto"/>
              </w:rPr>
              <w:t>Other</w:t>
            </w: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583</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1,893</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(1,248)</w:t>
            </w:r>
          </w:p>
        </w:tc>
        <w:tc>
          <w:tcPr>
            <w:tcW w:w="1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1,228</w:t>
            </w:r>
          </w:p>
        </w:tc>
        <w:tc>
          <w:tcPr>
            <w:tcW w:w="0" w:type="dxa"/>
            <w:vAlign w:val="bottom"/>
          </w:tcPr>
          <w:p>
            <w:pPr>
              <w:spacing w:after="0"/>
              <w:rPr>
                <w:sz w:val="1"/>
                <w:szCs w:val="1"/>
                <w:color w:val="auto"/>
              </w:rPr>
            </w:pPr>
          </w:p>
        </w:tc>
      </w:tr>
      <w:tr>
        <w:trPr>
          <w:trHeight w:val="248"/>
        </w:trPr>
        <w:tc>
          <w:tcPr>
            <w:tcW w:w="3460" w:type="dxa"/>
            <w:vAlign w:val="bottom"/>
          </w:tcPr>
          <w:p>
            <w:pPr>
              <w:spacing w:after="0"/>
              <w:rPr>
                <w:sz w:val="20"/>
                <w:szCs w:val="20"/>
                <w:color w:val="auto"/>
              </w:rPr>
            </w:pPr>
            <w:r>
              <w:rPr>
                <w:rFonts w:ascii="Arial" w:cs="Arial" w:eastAsia="Arial" w:hAnsi="Arial"/>
                <w:sz w:val="14"/>
                <w:szCs w:val="14"/>
                <w:color w:val="auto"/>
              </w:rPr>
              <w:t>Net revenues</w:t>
            </w: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2,524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2,801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(1,248)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4,077</w:t>
            </w:r>
          </w:p>
        </w:tc>
        <w:tc>
          <w:tcPr>
            <w:tcW w:w="0" w:type="dxa"/>
            <w:vAlign w:val="bottom"/>
          </w:tcPr>
          <w:p>
            <w:pPr>
              <w:spacing w:after="0"/>
              <w:rPr>
                <w:sz w:val="1"/>
                <w:szCs w:val="1"/>
                <w:color w:val="auto"/>
              </w:rPr>
            </w:pPr>
          </w:p>
        </w:tc>
      </w:tr>
      <w:tr>
        <w:trPr>
          <w:trHeight w:val="498"/>
        </w:trPr>
        <w:tc>
          <w:tcPr>
            <w:tcW w:w="3460" w:type="dxa"/>
            <w:vAlign w:val="bottom"/>
          </w:tcPr>
          <w:p>
            <w:pPr>
              <w:spacing w:after="0"/>
              <w:rPr>
                <w:sz w:val="20"/>
                <w:szCs w:val="20"/>
                <w:color w:val="auto"/>
              </w:rPr>
            </w:pPr>
            <w:r>
              <w:rPr>
                <w:rFonts w:ascii="Arial" w:cs="Arial" w:eastAsia="Arial" w:hAnsi="Arial"/>
                <w:sz w:val="14"/>
                <w:szCs w:val="14"/>
                <w:b w:val="1"/>
                <w:bCs w:val="1"/>
                <w:color w:val="auto"/>
              </w:rPr>
              <w:t>Expenses</w:t>
            </w:r>
          </w:p>
        </w:tc>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460" w:type="dxa"/>
            <w:vAlign w:val="bottom"/>
          </w:tcPr>
          <w:p>
            <w:pPr>
              <w:ind w:left="100"/>
              <w:spacing w:after="0"/>
              <w:rPr>
                <w:sz w:val="20"/>
                <w:szCs w:val="20"/>
                <w:color w:val="auto"/>
              </w:rPr>
            </w:pPr>
            <w:r>
              <w:rPr>
                <w:rFonts w:ascii="Arial" w:cs="Arial" w:eastAsia="Arial" w:hAnsi="Arial"/>
                <w:sz w:val="14"/>
                <w:szCs w:val="14"/>
                <w:color w:val="auto"/>
              </w:rPr>
              <w:t>Operating</w:t>
            </w:r>
          </w:p>
        </w:tc>
        <w:tc>
          <w:tcPr>
            <w:tcW w:w="26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1,284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858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2,157</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Vehicle depreciation and lease charges,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1,160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1,085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(1,144)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1,101</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Selling, general and administrative</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311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220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555</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Vehicle interest,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Non-vehicle related depreciation and amortization</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Interest expense related to corporate debt, net:</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460" w:type="dxa"/>
            <w:vAlign w:val="bottom"/>
          </w:tcPr>
          <w:p>
            <w:pPr>
              <w:ind w:left="300"/>
              <w:spacing w:after="0"/>
              <w:rPr>
                <w:sz w:val="20"/>
                <w:szCs w:val="20"/>
                <w:color w:val="auto"/>
              </w:rPr>
            </w:pPr>
            <w:r>
              <w:rPr>
                <w:rFonts w:ascii="Arial" w:cs="Arial" w:eastAsia="Arial" w:hAnsi="Arial"/>
                <w:sz w:val="14"/>
                <w:szCs w:val="14"/>
                <w:color w:val="auto"/>
              </w:rPr>
              <w:t>Interest expense (income)</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270"/>
        </w:trPr>
        <w:tc>
          <w:tcPr>
            <w:tcW w:w="3460" w:type="dxa"/>
            <w:vAlign w:val="bottom"/>
          </w:tcPr>
          <w:p>
            <w:pPr>
              <w:ind w:left="300"/>
              <w:spacing w:after="0"/>
              <w:rPr>
                <w:sz w:val="20"/>
                <w:szCs w:val="20"/>
                <w:color w:val="auto"/>
              </w:rPr>
            </w:pPr>
            <w:r>
              <w:rPr>
                <w:rFonts w:ascii="Arial" w:cs="Arial" w:eastAsia="Arial" w:hAnsi="Arial"/>
                <w:sz w:val="14"/>
                <w:szCs w:val="14"/>
                <w:color w:val="auto"/>
              </w:rPr>
              <w:t>Intercompany interest expense (income)</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460" w:type="dxa"/>
            <w:vAlign w:val="bottom"/>
          </w:tcPr>
          <w:p>
            <w:pPr>
              <w:ind w:left="300"/>
              <w:spacing w:after="0"/>
              <w:rPr>
                <w:sz w:val="20"/>
                <w:szCs w:val="20"/>
                <w:color w:val="auto"/>
              </w:rPr>
            </w:pPr>
            <w:r>
              <w:rPr>
                <w:rFonts w:ascii="Arial" w:cs="Arial" w:eastAsia="Arial" w:hAnsi="Arial"/>
                <w:sz w:val="14"/>
                <w:szCs w:val="14"/>
                <w:color w:val="auto"/>
              </w:rPr>
              <w:t>Early extinguishment of debt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Restructuring and other related charges</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74"/>
        </w:trPr>
        <w:tc>
          <w:tcPr>
            <w:tcW w:w="3460" w:type="dxa"/>
            <w:vAlign w:val="bottom"/>
          </w:tcPr>
          <w:p>
            <w:pPr>
              <w:ind w:left="100"/>
              <w:spacing w:after="0"/>
              <w:rPr>
                <w:sz w:val="20"/>
                <w:szCs w:val="20"/>
                <w:color w:val="auto"/>
              </w:rPr>
            </w:pPr>
            <w:r>
              <w:rPr>
                <w:rFonts w:ascii="Arial" w:cs="Arial" w:eastAsia="Arial" w:hAnsi="Arial"/>
                <w:sz w:val="14"/>
                <w:szCs w:val="14"/>
                <w:color w:val="auto"/>
              </w:rPr>
              <w:t>Transaction-related costs,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48"/>
        </w:trPr>
        <w:tc>
          <w:tcPr>
            <w:tcW w:w="3460" w:type="dxa"/>
            <w:vAlign w:val="bottom"/>
          </w:tcPr>
          <w:p>
            <w:pPr>
              <w:spacing w:after="0"/>
              <w:rPr>
                <w:sz w:val="20"/>
                <w:szCs w:val="20"/>
                <w:color w:val="auto"/>
              </w:rPr>
            </w:pPr>
            <w:r>
              <w:rPr>
                <w:rFonts w:ascii="Arial" w:cs="Arial" w:eastAsia="Arial" w:hAnsi="Arial"/>
                <w:sz w:val="14"/>
                <w:szCs w:val="14"/>
                <w:color w:val="auto"/>
              </w:rPr>
              <w:t>Total expenses</w:t>
            </w:r>
          </w:p>
        </w:tc>
        <w:tc>
          <w:tcPr>
            <w:tcW w:w="26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159</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2,983</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2,321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(1,248)</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4,231</w:t>
            </w:r>
          </w:p>
        </w:tc>
        <w:tc>
          <w:tcPr>
            <w:tcW w:w="0" w:type="dxa"/>
            <w:vAlign w:val="bottom"/>
          </w:tcPr>
          <w:p>
            <w:pPr>
              <w:spacing w:after="0"/>
              <w:rPr>
                <w:sz w:val="1"/>
                <w:szCs w:val="1"/>
                <w:color w:val="auto"/>
              </w:rPr>
            </w:pPr>
          </w:p>
        </w:tc>
      </w:tr>
      <w:tr>
        <w:trPr>
          <w:trHeight w:val="160"/>
        </w:trPr>
        <w:tc>
          <w:tcPr>
            <w:tcW w:w="3460" w:type="dxa"/>
            <w:vAlign w:val="bottom"/>
          </w:tcPr>
          <w:p>
            <w:pPr>
              <w:spacing w:after="0"/>
              <w:rPr>
                <w:sz w:val="20"/>
                <w:szCs w:val="20"/>
                <w:color w:val="auto"/>
              </w:rPr>
            </w:pPr>
            <w:r>
              <w:rPr>
                <w:rFonts w:ascii="Arial" w:cs="Arial" w:eastAsia="Arial" w:hAnsi="Arial"/>
                <w:sz w:val="14"/>
                <w:szCs w:val="14"/>
                <w:b w:val="1"/>
                <w:bCs w:val="1"/>
                <w:color w:val="auto"/>
              </w:rPr>
              <w:t>Income (loss) before income taxes and equity in</w:t>
            </w: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460" w:type="dxa"/>
            <w:vAlign w:val="bottom"/>
          </w:tcPr>
          <w:p>
            <w:pPr>
              <w:ind w:left="160"/>
              <w:spacing w:after="0"/>
              <w:rPr>
                <w:sz w:val="20"/>
                <w:szCs w:val="20"/>
                <w:color w:val="auto"/>
              </w:rPr>
            </w:pPr>
            <w:r>
              <w:rPr>
                <w:rFonts w:ascii="Arial" w:cs="Arial" w:eastAsia="Arial" w:hAnsi="Arial"/>
                <w:sz w:val="14"/>
                <w:szCs w:val="14"/>
                <w:b w:val="1"/>
                <w:bCs w:val="1"/>
                <w:color w:val="auto"/>
              </w:rPr>
              <w:t>earnings of subsidiaries</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(459)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480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264"/>
        </w:trPr>
        <w:tc>
          <w:tcPr>
            <w:tcW w:w="3460" w:type="dxa"/>
            <w:vAlign w:val="bottom"/>
          </w:tcPr>
          <w:p>
            <w:pPr>
              <w:spacing w:after="0"/>
              <w:rPr>
                <w:sz w:val="20"/>
                <w:szCs w:val="20"/>
                <w:color w:val="auto"/>
              </w:rPr>
            </w:pPr>
            <w:r>
              <w:rPr>
                <w:rFonts w:ascii="Arial" w:cs="Arial" w:eastAsia="Arial" w:hAnsi="Arial"/>
                <w:sz w:val="14"/>
                <w:szCs w:val="14"/>
                <w:color w:val="auto"/>
              </w:rPr>
              <w:t>Provision for (benefit from) income taxes</w:t>
            </w: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74"/>
        </w:trPr>
        <w:tc>
          <w:tcPr>
            <w:tcW w:w="3460" w:type="dxa"/>
            <w:vAlign w:val="bottom"/>
          </w:tcPr>
          <w:p>
            <w:pPr>
              <w:spacing w:after="0"/>
              <w:rPr>
                <w:sz w:val="20"/>
                <w:szCs w:val="20"/>
                <w:color w:val="auto"/>
              </w:rPr>
            </w:pPr>
            <w:r>
              <w:rPr>
                <w:rFonts w:ascii="Arial" w:cs="Arial" w:eastAsia="Arial" w:hAnsi="Arial"/>
                <w:sz w:val="14"/>
                <w:szCs w:val="14"/>
                <w:color w:val="auto"/>
              </w:rPr>
              <w:t>Equity in earnings (loss) of subsidiaries</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436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(349)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1"/>
        </w:trPr>
        <w:tc>
          <w:tcPr>
            <w:tcW w:w="3460" w:type="dxa"/>
            <w:vAlign w:val="bottom"/>
          </w:tcPr>
          <w:p>
            <w:pPr>
              <w:spacing w:after="0"/>
              <w:rPr>
                <w:sz w:val="20"/>
                <w:szCs w:val="20"/>
                <w:color w:val="auto"/>
              </w:rPr>
            </w:pPr>
            <w:r>
              <w:rPr>
                <w:rFonts w:ascii="Arial" w:cs="Arial" w:eastAsia="Arial" w:hAnsi="Arial"/>
                <w:sz w:val="14"/>
                <w:szCs w:val="14"/>
                <w:b w:val="1"/>
                <w:bCs w:val="1"/>
                <w:color w:val="auto"/>
              </w:rPr>
              <w:t>Net income (loss)</w:t>
            </w:r>
          </w:p>
        </w:tc>
        <w:tc>
          <w:tcPr>
            <w:tcW w:w="2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436</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(349)</w:t>
            </w:r>
          </w:p>
        </w:tc>
        <w:tc>
          <w:tcPr>
            <w:tcW w:w="12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20"/>
        </w:trPr>
        <w:tc>
          <w:tcPr>
            <w:tcW w:w="3460" w:type="dxa"/>
            <w:vAlign w:val="bottom"/>
            <w:vMerge w:val="restart"/>
          </w:tcPr>
          <w:p>
            <w:pPr>
              <w:spacing w:after="0"/>
              <w:rPr>
                <w:sz w:val="20"/>
                <w:szCs w:val="20"/>
                <w:color w:val="auto"/>
              </w:rPr>
            </w:pPr>
            <w:r>
              <w:rPr>
                <w:rFonts w:ascii="Arial" w:cs="Arial" w:eastAsia="Arial" w:hAnsi="Arial"/>
                <w:sz w:val="14"/>
                <w:szCs w:val="14"/>
                <w:b w:val="1"/>
                <w:bCs w:val="1"/>
                <w:color w:val="auto"/>
              </w:rPr>
              <w:t>Comprehensive income (loss)</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3460" w:type="dxa"/>
            <w:vAlign w:val="bottom"/>
            <w:vMerge w:val="continue"/>
          </w:tcPr>
          <w:p>
            <w:pPr>
              <w:spacing w:after="0"/>
              <w:rPr>
                <w:sz w:val="24"/>
                <w:szCs w:val="24"/>
                <w:color w:val="auto"/>
              </w:rPr>
            </w:pP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512</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(578)</w:t>
            </w:r>
          </w:p>
        </w:tc>
        <w:tc>
          <w:tcPr>
            <w:tcW w:w="120" w:type="dxa"/>
            <w:vAlign w:val="bottom"/>
          </w:tcPr>
          <w:p>
            <w:pPr>
              <w:spacing w:after="0"/>
              <w:rPr>
                <w:sz w:val="24"/>
                <w:szCs w:val="2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15"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00"/>
          </w:cols>
          <w:pgMar w:left="240" w:top="115" w:right="25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Three Months Ended June 30, 2016</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Subsidiary</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5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Parent</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Issuers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4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4"/>
        </w:trPr>
        <w:tc>
          <w:tcPr>
            <w:tcW w:w="354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90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540" w:type="dxa"/>
            <w:vAlign w:val="bottom"/>
          </w:tcPr>
          <w:p>
            <w:pPr>
              <w:ind w:left="180"/>
              <w:spacing w:after="0"/>
              <w:rPr>
                <w:sz w:val="20"/>
                <w:szCs w:val="20"/>
                <w:color w:val="auto"/>
              </w:rPr>
            </w:pPr>
            <w:r>
              <w:rPr>
                <w:rFonts w:ascii="Arial" w:cs="Arial" w:eastAsia="Arial" w:hAnsi="Arial"/>
                <w:sz w:val="14"/>
                <w:szCs w:val="14"/>
                <w:color w:val="auto"/>
              </w:rPr>
              <w:t>Vehicle rental</w:t>
            </w:r>
          </w:p>
        </w:tc>
        <w:tc>
          <w:tcPr>
            <w:tcW w:w="900" w:type="dxa"/>
            <w:vAlign w:val="bottom"/>
          </w:tcPr>
          <w:p>
            <w:pPr>
              <w:jc w:val="right"/>
              <w:ind w:right="708"/>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1,084</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489</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1,573</w:t>
            </w:r>
          </w:p>
        </w:tc>
        <w:tc>
          <w:tcPr>
            <w:tcW w:w="0" w:type="dxa"/>
            <w:vAlign w:val="bottom"/>
          </w:tcPr>
          <w:p>
            <w:pPr>
              <w:spacing w:after="0"/>
              <w:rPr>
                <w:sz w:val="1"/>
                <w:szCs w:val="1"/>
                <w:color w:val="auto"/>
              </w:rPr>
            </w:pPr>
          </w:p>
        </w:tc>
      </w:tr>
      <w:tr>
        <w:trPr>
          <w:trHeight w:val="274"/>
        </w:trPr>
        <w:tc>
          <w:tcPr>
            <w:tcW w:w="3540" w:type="dxa"/>
            <w:vAlign w:val="bottom"/>
          </w:tcPr>
          <w:p>
            <w:pPr>
              <w:ind w:left="180"/>
              <w:spacing w:after="0"/>
              <w:rPr>
                <w:sz w:val="20"/>
                <w:szCs w:val="20"/>
                <w:color w:val="auto"/>
              </w:rPr>
            </w:pPr>
            <w:r>
              <w:rPr>
                <w:rFonts w:ascii="Arial" w:cs="Arial" w:eastAsia="Arial" w:hAnsi="Arial"/>
                <w:sz w:val="14"/>
                <w:szCs w:val="14"/>
                <w:color w:val="auto"/>
              </w:rPr>
              <w:t>Other</w:t>
            </w:r>
          </w:p>
        </w:tc>
        <w:tc>
          <w:tcPr>
            <w:tcW w:w="90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316</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931</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(577)</w:t>
            </w:r>
          </w:p>
        </w:tc>
        <w:tc>
          <w:tcPr>
            <w:tcW w:w="1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670</w:t>
            </w:r>
          </w:p>
        </w:tc>
        <w:tc>
          <w:tcPr>
            <w:tcW w:w="0" w:type="dxa"/>
            <w:vAlign w:val="bottom"/>
          </w:tcPr>
          <w:p>
            <w:pPr>
              <w:spacing w:after="0"/>
              <w:rPr>
                <w:sz w:val="1"/>
                <w:szCs w:val="1"/>
                <w:color w:val="auto"/>
              </w:rPr>
            </w:pPr>
          </w:p>
        </w:tc>
      </w:tr>
      <w:tr>
        <w:trPr>
          <w:trHeight w:val="248"/>
        </w:trPr>
        <w:tc>
          <w:tcPr>
            <w:tcW w:w="3540" w:type="dxa"/>
            <w:vAlign w:val="bottom"/>
          </w:tcPr>
          <w:p>
            <w:pPr>
              <w:spacing w:after="0"/>
              <w:rPr>
                <w:sz w:val="20"/>
                <w:szCs w:val="20"/>
                <w:color w:val="auto"/>
              </w:rPr>
            </w:pPr>
            <w:r>
              <w:rPr>
                <w:rFonts w:ascii="Arial" w:cs="Arial" w:eastAsia="Arial" w:hAnsi="Arial"/>
                <w:sz w:val="14"/>
                <w:szCs w:val="14"/>
                <w:color w:val="auto"/>
              </w:rPr>
              <w:t>Net revenues</w:t>
            </w:r>
          </w:p>
        </w:tc>
        <w:tc>
          <w:tcPr>
            <w:tcW w:w="9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(577)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2,243</w:t>
            </w:r>
          </w:p>
        </w:tc>
        <w:tc>
          <w:tcPr>
            <w:tcW w:w="0" w:type="dxa"/>
            <w:vAlign w:val="bottom"/>
          </w:tcPr>
          <w:p>
            <w:pPr>
              <w:spacing w:after="0"/>
              <w:rPr>
                <w:sz w:val="1"/>
                <w:szCs w:val="1"/>
                <w:color w:val="auto"/>
              </w:rPr>
            </w:pPr>
          </w:p>
        </w:tc>
      </w:tr>
      <w:tr>
        <w:trPr>
          <w:trHeight w:val="498"/>
        </w:trPr>
        <w:tc>
          <w:tcPr>
            <w:tcW w:w="3540" w:type="dxa"/>
            <w:vAlign w:val="bottom"/>
          </w:tcPr>
          <w:p>
            <w:pPr>
              <w:spacing w:after="0"/>
              <w:rPr>
                <w:sz w:val="20"/>
                <w:szCs w:val="20"/>
                <w:color w:val="auto"/>
              </w:rPr>
            </w:pPr>
            <w:r>
              <w:rPr>
                <w:rFonts w:ascii="Arial" w:cs="Arial" w:eastAsia="Arial" w:hAnsi="Arial"/>
                <w:sz w:val="14"/>
                <w:szCs w:val="14"/>
                <w:b w:val="1"/>
                <w:bCs w:val="1"/>
                <w:color w:val="auto"/>
              </w:rPr>
              <w:t>Expenses</w:t>
            </w:r>
          </w:p>
        </w:tc>
        <w:tc>
          <w:tcPr>
            <w:tcW w:w="9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540" w:type="dxa"/>
            <w:vAlign w:val="bottom"/>
          </w:tcPr>
          <w:p>
            <w:pPr>
              <w:ind w:left="180"/>
              <w:spacing w:after="0"/>
              <w:rPr>
                <w:sz w:val="20"/>
                <w:szCs w:val="20"/>
                <w:color w:val="auto"/>
              </w:rPr>
            </w:pPr>
            <w:r>
              <w:rPr>
                <w:rFonts w:ascii="Arial" w:cs="Arial" w:eastAsia="Arial" w:hAnsi="Arial"/>
                <w:sz w:val="14"/>
                <w:szCs w:val="14"/>
                <w:color w:val="auto"/>
              </w:rPr>
              <w:t>Operating</w:t>
            </w:r>
          </w:p>
        </w:tc>
        <w:tc>
          <w:tcPr>
            <w:tcW w:w="900" w:type="dxa"/>
            <w:vAlign w:val="bottom"/>
          </w:tcPr>
          <w:p>
            <w:pPr>
              <w:spacing w:after="0"/>
              <w:rPr>
                <w:sz w:val="22"/>
                <w:szCs w:val="22"/>
                <w:color w:val="auto"/>
              </w:rPr>
            </w:pP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666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454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1,122</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Vehicle depreciation and lease charges, net</w:t>
            </w:r>
          </w:p>
        </w:tc>
        <w:tc>
          <w:tcPr>
            <w:tcW w:w="900" w:type="dxa"/>
            <w:vAlign w:val="bottom"/>
          </w:tcPr>
          <w:p>
            <w:pPr>
              <w:spacing w:after="0"/>
              <w:rPr>
                <w:sz w:val="23"/>
                <w:szCs w:val="23"/>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528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529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(525)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532</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Selling, general and administrative</w:t>
            </w:r>
          </w:p>
        </w:tc>
        <w:tc>
          <w:tcPr>
            <w:tcW w:w="900" w:type="dxa"/>
            <w:vAlign w:val="bottom"/>
          </w:tcPr>
          <w:p>
            <w:pPr>
              <w:spacing w:after="0"/>
              <w:rPr>
                <w:sz w:val="23"/>
                <w:szCs w:val="23"/>
                <w:color w:val="auto"/>
              </w:rPr>
            </w:pP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312</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Vehicle interest, net</w:t>
            </w:r>
          </w:p>
        </w:tc>
        <w:tc>
          <w:tcPr>
            <w:tcW w:w="900" w:type="dxa"/>
            <w:vAlign w:val="bottom"/>
          </w:tcPr>
          <w:p>
            <w:pPr>
              <w:spacing w:after="0"/>
              <w:rPr>
                <w:sz w:val="23"/>
                <w:szCs w:val="23"/>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Non-vehicle related depreciation and amortization</w:t>
            </w:r>
          </w:p>
        </w:tc>
        <w:tc>
          <w:tcPr>
            <w:tcW w:w="900" w:type="dxa"/>
            <w:vAlign w:val="bottom"/>
          </w:tcPr>
          <w:p>
            <w:pPr>
              <w:spacing w:after="0"/>
              <w:rPr>
                <w:sz w:val="23"/>
                <w:szCs w:val="23"/>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Interest expense related to corporate debt, net:</w:t>
            </w:r>
          </w:p>
        </w:tc>
        <w:tc>
          <w:tcPr>
            <w:tcW w:w="9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380"/>
              <w:spacing w:after="0"/>
              <w:rPr>
                <w:sz w:val="20"/>
                <w:szCs w:val="20"/>
                <w:color w:val="auto"/>
              </w:rPr>
            </w:pPr>
            <w:r>
              <w:rPr>
                <w:rFonts w:ascii="Arial" w:cs="Arial" w:eastAsia="Arial" w:hAnsi="Arial"/>
                <w:sz w:val="14"/>
                <w:szCs w:val="14"/>
                <w:color w:val="auto"/>
              </w:rPr>
              <w:t>Interest expense</w:t>
            </w:r>
          </w:p>
        </w:tc>
        <w:tc>
          <w:tcPr>
            <w:tcW w:w="900" w:type="dxa"/>
            <w:vAlign w:val="bottom"/>
          </w:tcPr>
          <w:p>
            <w:pPr>
              <w:spacing w:after="0"/>
              <w:rPr>
                <w:sz w:val="23"/>
                <w:szCs w:val="23"/>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70"/>
        </w:trPr>
        <w:tc>
          <w:tcPr>
            <w:tcW w:w="3540" w:type="dxa"/>
            <w:vAlign w:val="bottom"/>
          </w:tcPr>
          <w:p>
            <w:pPr>
              <w:ind w:left="380"/>
              <w:spacing w:after="0"/>
              <w:rPr>
                <w:sz w:val="20"/>
                <w:szCs w:val="20"/>
                <w:color w:val="auto"/>
              </w:rPr>
            </w:pPr>
            <w:r>
              <w:rPr>
                <w:rFonts w:ascii="Arial" w:cs="Arial" w:eastAsia="Arial" w:hAnsi="Arial"/>
                <w:sz w:val="14"/>
                <w:szCs w:val="14"/>
                <w:color w:val="auto"/>
              </w:rPr>
              <w:t>Intercompany interest expense (income)</w:t>
            </w:r>
          </w:p>
        </w:tc>
        <w:tc>
          <w:tcPr>
            <w:tcW w:w="90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540" w:type="dxa"/>
            <w:vAlign w:val="bottom"/>
          </w:tcPr>
          <w:p>
            <w:pPr>
              <w:ind w:left="380"/>
              <w:spacing w:after="0"/>
              <w:rPr>
                <w:sz w:val="20"/>
                <w:szCs w:val="20"/>
                <w:color w:val="auto"/>
              </w:rPr>
            </w:pPr>
            <w:r>
              <w:rPr>
                <w:rFonts w:ascii="Arial" w:cs="Arial" w:eastAsia="Arial" w:hAnsi="Arial"/>
                <w:sz w:val="14"/>
                <w:szCs w:val="14"/>
                <w:color w:val="auto"/>
              </w:rPr>
              <w:t>Early extinguishment of debt</w:t>
            </w:r>
          </w:p>
        </w:tc>
        <w:tc>
          <w:tcPr>
            <w:tcW w:w="900" w:type="dxa"/>
            <w:vAlign w:val="bottom"/>
          </w:tcPr>
          <w:p>
            <w:pPr>
              <w:spacing w:after="0"/>
              <w:rPr>
                <w:sz w:val="23"/>
                <w:szCs w:val="23"/>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Restructuring and other related charges</w:t>
            </w:r>
          </w:p>
        </w:tc>
        <w:tc>
          <w:tcPr>
            <w:tcW w:w="900" w:type="dxa"/>
            <w:vAlign w:val="bottom"/>
          </w:tcPr>
          <w:p>
            <w:pPr>
              <w:spacing w:after="0"/>
              <w:rPr>
                <w:sz w:val="23"/>
                <w:szCs w:val="23"/>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74"/>
        </w:trPr>
        <w:tc>
          <w:tcPr>
            <w:tcW w:w="3540" w:type="dxa"/>
            <w:vAlign w:val="bottom"/>
          </w:tcPr>
          <w:p>
            <w:pPr>
              <w:ind w:left="180"/>
              <w:spacing w:after="0"/>
              <w:rPr>
                <w:sz w:val="20"/>
                <w:szCs w:val="20"/>
                <w:color w:val="auto"/>
              </w:rPr>
            </w:pPr>
            <w:r>
              <w:rPr>
                <w:rFonts w:ascii="Arial" w:cs="Arial" w:eastAsia="Arial" w:hAnsi="Arial"/>
                <w:sz w:val="14"/>
                <w:szCs w:val="14"/>
                <w:color w:val="auto"/>
              </w:rPr>
              <w:t>Transaction-related costs, net</w:t>
            </w:r>
          </w:p>
        </w:tc>
        <w:tc>
          <w:tcPr>
            <w:tcW w:w="900" w:type="dxa"/>
            <w:vAlign w:val="bottom"/>
          </w:tcPr>
          <w:p>
            <w:pPr>
              <w:spacing w:after="0"/>
              <w:rPr>
                <w:sz w:val="23"/>
                <w:szCs w:val="23"/>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48"/>
        </w:trPr>
        <w:tc>
          <w:tcPr>
            <w:tcW w:w="3540" w:type="dxa"/>
            <w:vAlign w:val="bottom"/>
          </w:tcPr>
          <w:p>
            <w:pPr>
              <w:spacing w:after="0"/>
              <w:rPr>
                <w:sz w:val="20"/>
                <w:szCs w:val="20"/>
                <w:color w:val="auto"/>
              </w:rPr>
            </w:pPr>
            <w:r>
              <w:rPr>
                <w:rFonts w:ascii="Arial" w:cs="Arial" w:eastAsia="Arial" w:hAnsi="Arial"/>
                <w:sz w:val="14"/>
                <w:szCs w:val="14"/>
                <w:color w:val="auto"/>
              </w:rPr>
              <w:t>Total expenses</w:t>
            </w:r>
          </w:p>
        </w:tc>
        <w:tc>
          <w:tcPr>
            <w:tcW w:w="90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1,461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1,233</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(577)</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2,180</w:t>
            </w:r>
          </w:p>
        </w:tc>
        <w:tc>
          <w:tcPr>
            <w:tcW w:w="0" w:type="dxa"/>
            <w:vAlign w:val="bottom"/>
          </w:tcPr>
          <w:p>
            <w:pPr>
              <w:spacing w:after="0"/>
              <w:rPr>
                <w:sz w:val="1"/>
                <w:szCs w:val="1"/>
                <w:color w:val="auto"/>
              </w:rPr>
            </w:pPr>
          </w:p>
        </w:tc>
      </w:tr>
      <w:tr>
        <w:trPr>
          <w:trHeight w:val="160"/>
        </w:trPr>
        <w:tc>
          <w:tcPr>
            <w:tcW w:w="3540" w:type="dxa"/>
            <w:vAlign w:val="bottom"/>
          </w:tcPr>
          <w:p>
            <w:pPr>
              <w:spacing w:after="0"/>
              <w:rPr>
                <w:sz w:val="20"/>
                <w:szCs w:val="20"/>
                <w:color w:val="auto"/>
              </w:rPr>
            </w:pPr>
            <w:r>
              <w:rPr>
                <w:rFonts w:ascii="Arial" w:cs="Arial" w:eastAsia="Arial" w:hAnsi="Arial"/>
                <w:sz w:val="14"/>
                <w:szCs w:val="14"/>
                <w:b w:val="1"/>
                <w:bCs w:val="1"/>
                <w:color w:val="auto"/>
              </w:rPr>
              <w:t>Income (loss) before income taxes and equity in</w:t>
            </w: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540" w:type="dxa"/>
            <w:vAlign w:val="bottom"/>
          </w:tcPr>
          <w:p>
            <w:pPr>
              <w:ind w:left="160"/>
              <w:spacing w:after="0"/>
              <w:rPr>
                <w:sz w:val="20"/>
                <w:szCs w:val="20"/>
                <w:color w:val="auto"/>
              </w:rPr>
            </w:pPr>
            <w:r>
              <w:rPr>
                <w:rFonts w:ascii="Arial" w:cs="Arial" w:eastAsia="Arial" w:hAnsi="Arial"/>
                <w:sz w:val="14"/>
                <w:szCs w:val="14"/>
                <w:b w:val="1"/>
                <w:bCs w:val="1"/>
                <w:color w:val="auto"/>
              </w:rPr>
              <w:t>earnings of subsidiaries</w:t>
            </w:r>
          </w:p>
        </w:tc>
        <w:tc>
          <w:tcPr>
            <w:tcW w:w="9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187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264"/>
        </w:trPr>
        <w:tc>
          <w:tcPr>
            <w:tcW w:w="3540" w:type="dxa"/>
            <w:vAlign w:val="bottom"/>
          </w:tcPr>
          <w:p>
            <w:pPr>
              <w:spacing w:after="0"/>
              <w:rPr>
                <w:sz w:val="20"/>
                <w:szCs w:val="20"/>
                <w:color w:val="auto"/>
              </w:rPr>
            </w:pPr>
            <w:r>
              <w:rPr>
                <w:rFonts w:ascii="Arial" w:cs="Arial" w:eastAsia="Arial" w:hAnsi="Arial"/>
                <w:sz w:val="14"/>
                <w:szCs w:val="14"/>
                <w:color w:val="auto"/>
              </w:rPr>
              <w:t>Provision for (benefit from) income taxes</w:t>
            </w:r>
          </w:p>
        </w:tc>
        <w:tc>
          <w:tcPr>
            <w:tcW w:w="90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74"/>
        </w:trPr>
        <w:tc>
          <w:tcPr>
            <w:tcW w:w="3540" w:type="dxa"/>
            <w:vAlign w:val="bottom"/>
          </w:tcPr>
          <w:p>
            <w:pPr>
              <w:spacing w:after="0"/>
              <w:rPr>
                <w:sz w:val="20"/>
                <w:szCs w:val="20"/>
                <w:color w:val="auto"/>
              </w:rPr>
            </w:pPr>
            <w:r>
              <w:rPr>
                <w:rFonts w:ascii="Arial" w:cs="Arial" w:eastAsia="Arial" w:hAnsi="Arial"/>
                <w:sz w:val="14"/>
                <w:szCs w:val="14"/>
                <w:color w:val="auto"/>
              </w:rPr>
              <w:t>Equity in earnings of subsidiaries</w:t>
            </w:r>
          </w:p>
        </w:tc>
        <w:tc>
          <w:tcPr>
            <w:tcW w:w="900" w:type="dxa"/>
            <w:vAlign w:val="bottom"/>
          </w:tcPr>
          <w:p>
            <w:pPr>
              <w:spacing w:after="0"/>
              <w:rPr>
                <w:sz w:val="23"/>
                <w:szCs w:val="23"/>
                <w:color w:val="auto"/>
              </w:rPr>
            </w:pP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(286)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1"/>
        </w:trPr>
        <w:tc>
          <w:tcPr>
            <w:tcW w:w="354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900" w:type="dxa"/>
            <w:vAlign w:val="bottom"/>
            <w:tcBorders>
              <w:top w:val="single" w:sz="8" w:color="auto"/>
              <w:bottom w:val="single" w:sz="8" w:color="auto"/>
            </w:tcBorders>
          </w:tcPr>
          <w:p>
            <w:pPr>
              <w:jc w:val="right"/>
              <w:ind w:right="708"/>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172</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(286)</w:t>
            </w:r>
          </w:p>
        </w:tc>
        <w:tc>
          <w:tcPr>
            <w:tcW w:w="12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rPr>
              <w:t>Comprehensive income</w:t>
            </w: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3540" w:type="dxa"/>
            <w:vAlign w:val="bottom"/>
            <w:vMerge w:val="continue"/>
          </w:tcPr>
          <w:p>
            <w:pPr>
              <w:spacing w:after="0"/>
              <w:rPr>
                <w:sz w:val="24"/>
                <w:szCs w:val="24"/>
                <w:color w:val="auto"/>
              </w:rPr>
            </w:pPr>
          </w:p>
        </w:tc>
        <w:tc>
          <w:tcPr>
            <w:tcW w:w="90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180</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(307)</w:t>
            </w:r>
          </w:p>
        </w:tc>
        <w:tc>
          <w:tcPr>
            <w:tcW w:w="120" w:type="dxa"/>
            <w:vAlign w:val="bottom"/>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15"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Six Months Ended June 30, 2016</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Subsidiary</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4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Parent</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Issuers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7"/>
                <w:szCs w:val="17"/>
                <w:color w:val="auto"/>
              </w:rPr>
            </w:pPr>
          </w:p>
        </w:tc>
        <w:tc>
          <w:tcPr>
            <w:tcW w:w="940" w:type="dxa"/>
            <w:vAlign w:val="bottom"/>
          </w:tcPr>
          <w:p>
            <w:pPr>
              <w:jc w:val="right"/>
              <w:ind w:right="3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4"/>
        </w:trPr>
        <w:tc>
          <w:tcPr>
            <w:tcW w:w="346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88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460" w:type="dxa"/>
            <w:vAlign w:val="bottom"/>
          </w:tcPr>
          <w:p>
            <w:pPr>
              <w:ind w:left="100"/>
              <w:spacing w:after="0"/>
              <w:rPr>
                <w:sz w:val="20"/>
                <w:szCs w:val="20"/>
                <w:color w:val="auto"/>
              </w:rPr>
            </w:pPr>
            <w:r>
              <w:rPr>
                <w:rFonts w:ascii="Arial" w:cs="Arial" w:eastAsia="Arial" w:hAnsi="Arial"/>
                <w:sz w:val="14"/>
                <w:szCs w:val="14"/>
                <w:color w:val="auto"/>
              </w:rPr>
              <w:t>Vehicle rental</w:t>
            </w:r>
          </w:p>
        </w:tc>
        <w:tc>
          <w:tcPr>
            <w:tcW w:w="88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2,013</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888</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2,901</w:t>
            </w:r>
          </w:p>
        </w:tc>
        <w:tc>
          <w:tcPr>
            <w:tcW w:w="0" w:type="dxa"/>
            <w:vAlign w:val="bottom"/>
          </w:tcPr>
          <w:p>
            <w:pPr>
              <w:spacing w:after="0"/>
              <w:rPr>
                <w:sz w:val="1"/>
                <w:szCs w:val="1"/>
                <w:color w:val="auto"/>
              </w:rPr>
            </w:pPr>
          </w:p>
        </w:tc>
      </w:tr>
      <w:tr>
        <w:trPr>
          <w:trHeight w:val="274"/>
        </w:trPr>
        <w:tc>
          <w:tcPr>
            <w:tcW w:w="3460" w:type="dxa"/>
            <w:vAlign w:val="bottom"/>
          </w:tcPr>
          <w:p>
            <w:pPr>
              <w:ind w:left="100"/>
              <w:spacing w:after="0"/>
              <w:rPr>
                <w:sz w:val="20"/>
                <w:szCs w:val="20"/>
                <w:color w:val="auto"/>
              </w:rPr>
            </w:pPr>
            <w:r>
              <w:rPr>
                <w:rFonts w:ascii="Arial" w:cs="Arial" w:eastAsia="Arial" w:hAnsi="Arial"/>
                <w:sz w:val="14"/>
                <w:szCs w:val="14"/>
                <w:color w:val="auto"/>
              </w:rPr>
              <w:t>Other</w:t>
            </w:r>
          </w:p>
        </w:tc>
        <w:tc>
          <w:tcPr>
            <w:tcW w:w="88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587</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1,725</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(1,089)</w:t>
            </w:r>
          </w:p>
        </w:tc>
        <w:tc>
          <w:tcPr>
            <w:tcW w:w="1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1,223</w:t>
            </w:r>
          </w:p>
        </w:tc>
        <w:tc>
          <w:tcPr>
            <w:tcW w:w="0" w:type="dxa"/>
            <w:vAlign w:val="bottom"/>
          </w:tcPr>
          <w:p>
            <w:pPr>
              <w:spacing w:after="0"/>
              <w:rPr>
                <w:sz w:val="1"/>
                <w:szCs w:val="1"/>
                <w:color w:val="auto"/>
              </w:rPr>
            </w:pPr>
          </w:p>
        </w:tc>
      </w:tr>
      <w:tr>
        <w:trPr>
          <w:trHeight w:val="248"/>
        </w:trPr>
        <w:tc>
          <w:tcPr>
            <w:tcW w:w="3460" w:type="dxa"/>
            <w:vAlign w:val="bottom"/>
          </w:tcPr>
          <w:p>
            <w:pPr>
              <w:spacing w:after="0"/>
              <w:rPr>
                <w:sz w:val="20"/>
                <w:szCs w:val="20"/>
                <w:color w:val="auto"/>
              </w:rPr>
            </w:pPr>
            <w:r>
              <w:rPr>
                <w:rFonts w:ascii="Arial" w:cs="Arial" w:eastAsia="Arial" w:hAnsi="Arial"/>
                <w:sz w:val="14"/>
                <w:szCs w:val="14"/>
                <w:color w:val="auto"/>
              </w:rPr>
              <w:t>Net revenues</w:t>
            </w:r>
          </w:p>
        </w:tc>
        <w:tc>
          <w:tcPr>
            <w:tcW w:w="880" w:type="dxa"/>
            <w:vAlign w:val="bottom"/>
          </w:tcPr>
          <w:p>
            <w:pPr>
              <w:spacing w:after="0"/>
              <w:rPr>
                <w:sz w:val="21"/>
                <w:szCs w:val="21"/>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2,600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2,613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(1,089)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4,124</w:t>
            </w:r>
          </w:p>
        </w:tc>
        <w:tc>
          <w:tcPr>
            <w:tcW w:w="0" w:type="dxa"/>
            <w:vAlign w:val="bottom"/>
          </w:tcPr>
          <w:p>
            <w:pPr>
              <w:spacing w:after="0"/>
              <w:rPr>
                <w:sz w:val="1"/>
                <w:szCs w:val="1"/>
                <w:color w:val="auto"/>
              </w:rPr>
            </w:pPr>
          </w:p>
        </w:tc>
      </w:tr>
      <w:tr>
        <w:trPr>
          <w:trHeight w:val="498"/>
        </w:trPr>
        <w:tc>
          <w:tcPr>
            <w:tcW w:w="3460" w:type="dxa"/>
            <w:vAlign w:val="bottom"/>
          </w:tcPr>
          <w:p>
            <w:pPr>
              <w:spacing w:after="0"/>
              <w:rPr>
                <w:sz w:val="20"/>
                <w:szCs w:val="20"/>
                <w:color w:val="auto"/>
              </w:rPr>
            </w:pPr>
            <w:r>
              <w:rPr>
                <w:rFonts w:ascii="Arial" w:cs="Arial" w:eastAsia="Arial" w:hAnsi="Arial"/>
                <w:sz w:val="14"/>
                <w:szCs w:val="14"/>
                <w:b w:val="1"/>
                <w:bCs w:val="1"/>
                <w:color w:val="auto"/>
              </w:rPr>
              <w:t>Expenses</w:t>
            </w:r>
          </w:p>
        </w:tc>
        <w:tc>
          <w:tcPr>
            <w:tcW w:w="8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460" w:type="dxa"/>
            <w:vAlign w:val="bottom"/>
          </w:tcPr>
          <w:p>
            <w:pPr>
              <w:ind w:left="100"/>
              <w:spacing w:after="0"/>
              <w:rPr>
                <w:sz w:val="20"/>
                <w:szCs w:val="20"/>
                <w:color w:val="auto"/>
              </w:rPr>
            </w:pPr>
            <w:r>
              <w:rPr>
                <w:rFonts w:ascii="Arial" w:cs="Arial" w:eastAsia="Arial" w:hAnsi="Arial"/>
                <w:sz w:val="14"/>
                <w:szCs w:val="14"/>
                <w:color w:val="auto"/>
              </w:rPr>
              <w:t>Operating</w:t>
            </w:r>
          </w:p>
        </w:tc>
        <w:tc>
          <w:tcPr>
            <w:tcW w:w="880" w:type="dxa"/>
            <w:vAlign w:val="bottom"/>
          </w:tcPr>
          <w:p>
            <w:pPr>
              <w:spacing w:after="0"/>
              <w:rPr>
                <w:sz w:val="22"/>
                <w:szCs w:val="22"/>
                <w:color w:val="auto"/>
              </w:rPr>
            </w:pPr>
          </w:p>
        </w:tc>
        <w:tc>
          <w:tcPr>
            <w:tcW w:w="36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1,294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855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2,162</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Vehicle depreciation and lease charges, net</w:t>
            </w:r>
          </w:p>
        </w:tc>
        <w:tc>
          <w:tcPr>
            <w:tcW w:w="880" w:type="dxa"/>
            <w:vAlign w:val="bottom"/>
          </w:tcPr>
          <w:p>
            <w:pPr>
              <w:spacing w:after="0"/>
              <w:rPr>
                <w:sz w:val="23"/>
                <w:szCs w:val="23"/>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989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996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(990)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995</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Selling, general and administrative</w:t>
            </w:r>
          </w:p>
        </w:tc>
        <w:tc>
          <w:tcPr>
            <w:tcW w:w="880" w:type="dxa"/>
            <w:vAlign w:val="bottom"/>
          </w:tcPr>
          <w:p>
            <w:pPr>
              <w:spacing w:after="0"/>
              <w:rPr>
                <w:sz w:val="23"/>
                <w:szCs w:val="23"/>
                <w:color w:val="auto"/>
              </w:rPr>
            </w:pPr>
          </w:p>
        </w:tc>
        <w:tc>
          <w:tcPr>
            <w:tcW w:w="36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319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233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581</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Vehicle interest, net</w:t>
            </w:r>
          </w:p>
        </w:tc>
        <w:tc>
          <w:tcPr>
            <w:tcW w:w="880" w:type="dxa"/>
            <w:vAlign w:val="bottom"/>
          </w:tcPr>
          <w:p>
            <w:pPr>
              <w:spacing w:after="0"/>
              <w:rPr>
                <w:sz w:val="23"/>
                <w:szCs w:val="23"/>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Non-vehicle related depreciation and amortization</w:t>
            </w:r>
          </w:p>
        </w:tc>
        <w:tc>
          <w:tcPr>
            <w:tcW w:w="880" w:type="dxa"/>
            <w:vAlign w:val="bottom"/>
          </w:tcPr>
          <w:p>
            <w:pPr>
              <w:spacing w:after="0"/>
              <w:rPr>
                <w:sz w:val="23"/>
                <w:szCs w:val="23"/>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Interest expense related to corporate debt, net:</w:t>
            </w:r>
          </w:p>
        </w:tc>
        <w:tc>
          <w:tcPr>
            <w:tcW w:w="8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460" w:type="dxa"/>
            <w:vAlign w:val="bottom"/>
          </w:tcPr>
          <w:p>
            <w:pPr>
              <w:ind w:left="300"/>
              <w:spacing w:after="0"/>
              <w:rPr>
                <w:sz w:val="20"/>
                <w:szCs w:val="20"/>
                <w:color w:val="auto"/>
              </w:rPr>
            </w:pPr>
            <w:r>
              <w:rPr>
                <w:rFonts w:ascii="Arial" w:cs="Arial" w:eastAsia="Arial" w:hAnsi="Arial"/>
                <w:sz w:val="14"/>
                <w:szCs w:val="14"/>
                <w:color w:val="auto"/>
              </w:rPr>
              <w:t>Interest expense</w:t>
            </w:r>
          </w:p>
        </w:tc>
        <w:tc>
          <w:tcPr>
            <w:tcW w:w="880" w:type="dxa"/>
            <w:vAlign w:val="bottom"/>
          </w:tcPr>
          <w:p>
            <w:pPr>
              <w:spacing w:after="0"/>
              <w:rPr>
                <w:sz w:val="23"/>
                <w:szCs w:val="23"/>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270"/>
        </w:trPr>
        <w:tc>
          <w:tcPr>
            <w:tcW w:w="3460" w:type="dxa"/>
            <w:vAlign w:val="bottom"/>
          </w:tcPr>
          <w:p>
            <w:pPr>
              <w:ind w:left="300"/>
              <w:spacing w:after="0"/>
              <w:rPr>
                <w:sz w:val="20"/>
                <w:szCs w:val="20"/>
                <w:color w:val="auto"/>
              </w:rPr>
            </w:pPr>
            <w:r>
              <w:rPr>
                <w:rFonts w:ascii="Arial" w:cs="Arial" w:eastAsia="Arial" w:hAnsi="Arial"/>
                <w:sz w:val="14"/>
                <w:szCs w:val="14"/>
                <w:color w:val="auto"/>
              </w:rPr>
              <w:t>Intercompany interest expense (income)</w:t>
            </w:r>
          </w:p>
        </w:tc>
        <w:tc>
          <w:tcPr>
            <w:tcW w:w="88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460" w:type="dxa"/>
            <w:vAlign w:val="bottom"/>
          </w:tcPr>
          <w:p>
            <w:pPr>
              <w:ind w:left="300"/>
              <w:spacing w:after="0"/>
              <w:rPr>
                <w:sz w:val="20"/>
                <w:szCs w:val="20"/>
                <w:color w:val="auto"/>
              </w:rPr>
            </w:pPr>
            <w:r>
              <w:rPr>
                <w:rFonts w:ascii="Arial" w:cs="Arial" w:eastAsia="Arial" w:hAnsi="Arial"/>
                <w:sz w:val="14"/>
                <w:szCs w:val="14"/>
                <w:color w:val="auto"/>
              </w:rPr>
              <w:t>Early extinguishment of debt</w:t>
            </w:r>
          </w:p>
        </w:tc>
        <w:tc>
          <w:tcPr>
            <w:tcW w:w="880" w:type="dxa"/>
            <w:vAlign w:val="bottom"/>
          </w:tcPr>
          <w:p>
            <w:pPr>
              <w:spacing w:after="0"/>
              <w:rPr>
                <w:sz w:val="23"/>
                <w:szCs w:val="23"/>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Restructuring and other related charges</w:t>
            </w:r>
          </w:p>
        </w:tc>
        <w:tc>
          <w:tcPr>
            <w:tcW w:w="880" w:type="dxa"/>
            <w:vAlign w:val="bottom"/>
          </w:tcPr>
          <w:p>
            <w:pPr>
              <w:spacing w:after="0"/>
              <w:rPr>
                <w:sz w:val="23"/>
                <w:szCs w:val="23"/>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74"/>
        </w:trPr>
        <w:tc>
          <w:tcPr>
            <w:tcW w:w="3460" w:type="dxa"/>
            <w:vAlign w:val="bottom"/>
          </w:tcPr>
          <w:p>
            <w:pPr>
              <w:ind w:left="100"/>
              <w:spacing w:after="0"/>
              <w:rPr>
                <w:sz w:val="20"/>
                <w:szCs w:val="20"/>
                <w:color w:val="auto"/>
              </w:rPr>
            </w:pPr>
            <w:r>
              <w:rPr>
                <w:rFonts w:ascii="Arial" w:cs="Arial" w:eastAsia="Arial" w:hAnsi="Arial"/>
                <w:sz w:val="14"/>
                <w:szCs w:val="14"/>
                <w:color w:val="auto"/>
              </w:rPr>
              <w:t>Transaction-related costs, net</w:t>
            </w:r>
          </w:p>
        </w:tc>
        <w:tc>
          <w:tcPr>
            <w:tcW w:w="880" w:type="dxa"/>
            <w:vAlign w:val="bottom"/>
          </w:tcPr>
          <w:p>
            <w:pPr>
              <w:spacing w:after="0"/>
              <w:rPr>
                <w:sz w:val="23"/>
                <w:szCs w:val="23"/>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48"/>
        </w:trPr>
        <w:tc>
          <w:tcPr>
            <w:tcW w:w="3460" w:type="dxa"/>
            <w:vAlign w:val="bottom"/>
          </w:tcPr>
          <w:p>
            <w:pPr>
              <w:spacing w:after="0"/>
              <w:rPr>
                <w:sz w:val="20"/>
                <w:szCs w:val="20"/>
                <w:color w:val="auto"/>
              </w:rPr>
            </w:pPr>
            <w:r>
              <w:rPr>
                <w:rFonts w:ascii="Arial" w:cs="Arial" w:eastAsia="Arial" w:hAnsi="Arial"/>
                <w:sz w:val="14"/>
                <w:szCs w:val="14"/>
                <w:color w:val="auto"/>
              </w:rPr>
              <w:t>Total expenses</w:t>
            </w:r>
          </w:p>
        </w:tc>
        <w:tc>
          <w:tcPr>
            <w:tcW w:w="88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2,794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2,318</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(1,089)</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4,147</w:t>
            </w:r>
          </w:p>
        </w:tc>
        <w:tc>
          <w:tcPr>
            <w:tcW w:w="0" w:type="dxa"/>
            <w:vAlign w:val="bottom"/>
          </w:tcPr>
          <w:p>
            <w:pPr>
              <w:spacing w:after="0"/>
              <w:rPr>
                <w:sz w:val="1"/>
                <w:szCs w:val="1"/>
                <w:color w:val="auto"/>
              </w:rPr>
            </w:pPr>
          </w:p>
        </w:tc>
      </w:tr>
      <w:tr>
        <w:trPr>
          <w:trHeight w:val="160"/>
        </w:trPr>
        <w:tc>
          <w:tcPr>
            <w:tcW w:w="3460" w:type="dxa"/>
            <w:vAlign w:val="bottom"/>
          </w:tcPr>
          <w:p>
            <w:pPr>
              <w:spacing w:after="0"/>
              <w:rPr>
                <w:sz w:val="20"/>
                <w:szCs w:val="20"/>
                <w:color w:val="auto"/>
              </w:rPr>
            </w:pPr>
            <w:r>
              <w:rPr>
                <w:rFonts w:ascii="Arial" w:cs="Arial" w:eastAsia="Arial" w:hAnsi="Arial"/>
                <w:sz w:val="14"/>
                <w:szCs w:val="14"/>
                <w:b w:val="1"/>
                <w:bCs w:val="1"/>
                <w:color w:val="auto"/>
              </w:rPr>
              <w:t>Income (loss) before income taxes and equity in</w:t>
            </w:r>
          </w:p>
        </w:tc>
        <w:tc>
          <w:tcPr>
            <w:tcW w:w="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460" w:type="dxa"/>
            <w:vAlign w:val="bottom"/>
          </w:tcPr>
          <w:p>
            <w:pPr>
              <w:ind w:left="160"/>
              <w:spacing w:after="0"/>
              <w:rPr>
                <w:sz w:val="20"/>
                <w:szCs w:val="20"/>
                <w:color w:val="auto"/>
              </w:rPr>
            </w:pPr>
            <w:r>
              <w:rPr>
                <w:rFonts w:ascii="Arial" w:cs="Arial" w:eastAsia="Arial" w:hAnsi="Arial"/>
                <w:sz w:val="14"/>
                <w:szCs w:val="14"/>
                <w:b w:val="1"/>
                <w:bCs w:val="1"/>
                <w:color w:val="auto"/>
              </w:rPr>
              <w:t>earnings of subsidiaries</w:t>
            </w:r>
          </w:p>
        </w:tc>
        <w:tc>
          <w:tcPr>
            <w:tcW w:w="8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295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64"/>
        </w:trPr>
        <w:tc>
          <w:tcPr>
            <w:tcW w:w="3460" w:type="dxa"/>
            <w:vAlign w:val="bottom"/>
          </w:tcPr>
          <w:p>
            <w:pPr>
              <w:spacing w:after="0"/>
              <w:rPr>
                <w:sz w:val="20"/>
                <w:szCs w:val="20"/>
                <w:color w:val="auto"/>
              </w:rPr>
            </w:pPr>
            <w:r>
              <w:rPr>
                <w:rFonts w:ascii="Arial" w:cs="Arial" w:eastAsia="Arial" w:hAnsi="Arial"/>
                <w:sz w:val="14"/>
                <w:szCs w:val="14"/>
                <w:color w:val="auto"/>
              </w:rPr>
              <w:t>Provision for (benefit from) income taxes</w:t>
            </w:r>
          </w:p>
        </w:tc>
        <w:tc>
          <w:tcPr>
            <w:tcW w:w="88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74"/>
        </w:trPr>
        <w:tc>
          <w:tcPr>
            <w:tcW w:w="3460" w:type="dxa"/>
            <w:vAlign w:val="bottom"/>
          </w:tcPr>
          <w:p>
            <w:pPr>
              <w:spacing w:after="0"/>
              <w:rPr>
                <w:sz w:val="20"/>
                <w:szCs w:val="20"/>
                <w:color w:val="auto"/>
              </w:rPr>
            </w:pPr>
            <w:r>
              <w:rPr>
                <w:rFonts w:ascii="Arial" w:cs="Arial" w:eastAsia="Arial" w:hAnsi="Arial"/>
                <w:sz w:val="14"/>
                <w:szCs w:val="14"/>
                <w:color w:val="auto"/>
              </w:rPr>
              <w:t>Equity in earnings (loss) of subsidiaries</w:t>
            </w:r>
          </w:p>
        </w:tc>
        <w:tc>
          <w:tcPr>
            <w:tcW w:w="88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286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(340)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1"/>
        </w:trPr>
        <w:tc>
          <w:tcPr>
            <w:tcW w:w="3460" w:type="dxa"/>
            <w:vAlign w:val="bottom"/>
          </w:tcPr>
          <w:p>
            <w:pPr>
              <w:spacing w:after="0"/>
              <w:rPr>
                <w:sz w:val="20"/>
                <w:szCs w:val="20"/>
                <w:color w:val="auto"/>
              </w:rPr>
            </w:pPr>
            <w:r>
              <w:rPr>
                <w:rFonts w:ascii="Arial" w:cs="Arial" w:eastAsia="Arial" w:hAnsi="Arial"/>
                <w:sz w:val="14"/>
                <w:szCs w:val="14"/>
                <w:b w:val="1"/>
                <w:bCs w:val="1"/>
                <w:color w:val="auto"/>
              </w:rPr>
              <w:t>Net income (loss)</w:t>
            </w:r>
          </w:p>
        </w:tc>
        <w:tc>
          <w:tcPr>
            <w:tcW w:w="880" w:type="dxa"/>
            <w:vAlign w:val="bottom"/>
            <w:tcBorders>
              <w:top w:val="single" w:sz="8" w:color="auto"/>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286</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(340)</w:t>
            </w:r>
          </w:p>
        </w:tc>
        <w:tc>
          <w:tcPr>
            <w:tcW w:w="12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0"/>
        </w:trPr>
        <w:tc>
          <w:tcPr>
            <w:tcW w:w="3460" w:type="dxa"/>
            <w:vAlign w:val="bottom"/>
            <w:vMerge w:val="restart"/>
          </w:tcPr>
          <w:p>
            <w:pPr>
              <w:spacing w:after="0"/>
              <w:rPr>
                <w:sz w:val="20"/>
                <w:szCs w:val="20"/>
                <w:color w:val="auto"/>
              </w:rPr>
            </w:pPr>
            <w:r>
              <w:rPr>
                <w:rFonts w:ascii="Arial" w:cs="Arial" w:eastAsia="Arial" w:hAnsi="Arial"/>
                <w:sz w:val="14"/>
                <w:szCs w:val="14"/>
                <w:b w:val="1"/>
                <w:bCs w:val="1"/>
                <w:color w:val="auto"/>
              </w:rPr>
              <w:t>Comprehensive income</w:t>
            </w: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3460" w:type="dxa"/>
            <w:vAlign w:val="bottom"/>
            <w:vMerge w:val="continue"/>
          </w:tcPr>
          <w:p>
            <w:pPr>
              <w:spacing w:after="0"/>
              <w:rPr>
                <w:sz w:val="24"/>
                <w:szCs w:val="24"/>
                <w:color w:val="auto"/>
              </w:rPr>
            </w:pPr>
          </w:p>
        </w:tc>
        <w:tc>
          <w:tcPr>
            <w:tcW w:w="88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141</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365</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(574)</w:t>
            </w:r>
          </w:p>
        </w:tc>
        <w:tc>
          <w:tcPr>
            <w:tcW w:w="120" w:type="dxa"/>
            <w:vAlign w:val="bottom"/>
          </w:tcPr>
          <w:p>
            <w:pPr>
              <w:spacing w:after="0"/>
              <w:rPr>
                <w:sz w:val="24"/>
                <w:szCs w:val="2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15"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00"/>
          </w:cols>
          <w:pgMar w:left="240" w:top="115" w:right="25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Consolidating Condensed Balance Sheets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2017</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Subsidiary</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Issuers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4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4"/>
        </w:trPr>
        <w:tc>
          <w:tcPr>
            <w:tcW w:w="354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26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540" w:type="dxa"/>
            <w:vAlign w:val="bottom"/>
          </w:tcPr>
          <w:p>
            <w:pPr>
              <w:spacing w:after="0"/>
              <w:rPr>
                <w:sz w:val="20"/>
                <w:szCs w:val="20"/>
                <w:color w:val="auto"/>
              </w:rPr>
            </w:pPr>
            <w:r>
              <w:rPr>
                <w:rFonts w:ascii="Arial" w:cs="Arial" w:eastAsia="Arial" w:hAnsi="Arial"/>
                <w:sz w:val="14"/>
                <w:szCs w:val="14"/>
                <w:color w:val="auto"/>
              </w:rPr>
              <w:t>Current assets:</w:t>
            </w: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Cash and cash equivalents</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652</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776</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Receivables,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225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537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762</w:t>
            </w:r>
          </w:p>
        </w:tc>
        <w:tc>
          <w:tcPr>
            <w:tcW w:w="0" w:type="dxa"/>
            <w:vAlign w:val="bottom"/>
          </w:tcPr>
          <w:p>
            <w:pPr>
              <w:spacing w:after="0"/>
              <w:rPr>
                <w:sz w:val="1"/>
                <w:szCs w:val="1"/>
                <w:color w:val="auto"/>
              </w:rPr>
            </w:pPr>
          </w:p>
        </w:tc>
      </w:tr>
      <w:tr>
        <w:trPr>
          <w:trHeight w:val="274"/>
        </w:trPr>
        <w:tc>
          <w:tcPr>
            <w:tcW w:w="3540" w:type="dxa"/>
            <w:vAlign w:val="bottom"/>
          </w:tcPr>
          <w:p>
            <w:pPr>
              <w:ind w:left="180"/>
              <w:spacing w:after="0"/>
              <w:rPr>
                <w:sz w:val="20"/>
                <w:szCs w:val="20"/>
                <w:color w:val="auto"/>
              </w:rPr>
            </w:pPr>
            <w:r>
              <w:rPr>
                <w:rFonts w:ascii="Arial" w:cs="Arial" w:eastAsia="Arial" w:hAnsi="Arial"/>
                <w:sz w:val="14"/>
                <w:szCs w:val="14"/>
                <w:color w:val="auto"/>
              </w:rPr>
              <w:t>Other current assets</w:t>
            </w: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105</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644</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837</w:t>
            </w:r>
          </w:p>
        </w:tc>
        <w:tc>
          <w:tcPr>
            <w:tcW w:w="0" w:type="dxa"/>
            <w:vAlign w:val="bottom"/>
          </w:tcPr>
          <w:p>
            <w:pPr>
              <w:spacing w:after="0"/>
              <w:rPr>
                <w:sz w:val="1"/>
                <w:szCs w:val="1"/>
                <w:color w:val="auto"/>
              </w:rPr>
            </w:pPr>
          </w:p>
        </w:tc>
      </w:tr>
      <w:tr>
        <w:trPr>
          <w:trHeight w:val="246"/>
        </w:trPr>
        <w:tc>
          <w:tcPr>
            <w:tcW w:w="3540" w:type="dxa"/>
            <w:vAlign w:val="bottom"/>
          </w:tcPr>
          <w:p>
            <w:pPr>
              <w:spacing w:after="0"/>
              <w:rPr>
                <w:sz w:val="20"/>
                <w:szCs w:val="20"/>
                <w:color w:val="auto"/>
              </w:rPr>
            </w:pPr>
            <w:r>
              <w:rPr>
                <w:rFonts w:ascii="Arial" w:cs="Arial" w:eastAsia="Arial" w:hAnsi="Arial"/>
                <w:sz w:val="14"/>
                <w:szCs w:val="14"/>
                <w:color w:val="auto"/>
              </w:rPr>
              <w:t>Total current assets</w:t>
            </w:r>
          </w:p>
        </w:tc>
        <w:tc>
          <w:tcPr>
            <w:tcW w:w="26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330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1,833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2,375</w:t>
            </w:r>
          </w:p>
        </w:tc>
        <w:tc>
          <w:tcPr>
            <w:tcW w:w="0" w:type="dxa"/>
            <w:vAlign w:val="bottom"/>
          </w:tcPr>
          <w:p>
            <w:pPr>
              <w:spacing w:after="0"/>
              <w:rPr>
                <w:sz w:val="1"/>
                <w:szCs w:val="1"/>
                <w:color w:val="auto"/>
              </w:rPr>
            </w:pPr>
          </w:p>
        </w:tc>
      </w:tr>
      <w:tr>
        <w:trPr>
          <w:trHeight w:val="500"/>
        </w:trPr>
        <w:tc>
          <w:tcPr>
            <w:tcW w:w="354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26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157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324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203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684</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1,341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271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1,642</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Goodwill</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488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555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1,043</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Other intangibles,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491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348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867</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Other non-current assets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202</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Intercompany receivables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178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370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1,590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972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(3,110)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2"/>
        </w:trPr>
        <w:tc>
          <w:tcPr>
            <w:tcW w:w="3540" w:type="dxa"/>
            <w:vAlign w:val="bottom"/>
          </w:tcPr>
          <w:p>
            <w:pPr>
              <w:spacing w:after="0"/>
              <w:rPr>
                <w:sz w:val="20"/>
                <w:szCs w:val="20"/>
                <w:color w:val="auto"/>
              </w:rPr>
            </w:pPr>
            <w:r>
              <w:rPr>
                <w:rFonts w:ascii="Arial" w:cs="Arial" w:eastAsia="Arial" w:hAnsi="Arial"/>
                <w:sz w:val="14"/>
                <w:szCs w:val="14"/>
                <w:color w:val="auto"/>
              </w:rPr>
              <w:t>Investment in subsidiaries</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3,799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3,839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(7,596)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540" w:type="dxa"/>
            <w:vAlign w:val="bottom"/>
          </w:tcPr>
          <w:p>
            <w:pPr>
              <w:spacing w:after="0"/>
              <w:rPr>
                <w:sz w:val="20"/>
                <w:szCs w:val="20"/>
                <w:color w:val="auto"/>
              </w:rPr>
            </w:pPr>
            <w:r>
              <w:rPr>
                <w:rFonts w:ascii="Arial" w:cs="Arial" w:eastAsia="Arial" w:hAnsi="Arial"/>
                <w:sz w:val="14"/>
                <w:szCs w:val="14"/>
                <w:color w:val="auto"/>
              </w:rPr>
              <w:t>Total assets exclusive of assets under vehicle</w:t>
            </w:r>
          </w:p>
        </w:tc>
        <w:tc>
          <w:tcPr>
            <w:tcW w:w="2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540" w:type="dxa"/>
            <w:vAlign w:val="bottom"/>
          </w:tcPr>
          <w:p>
            <w:pPr>
              <w:ind w:left="160"/>
              <w:spacing w:after="0"/>
              <w:rPr>
                <w:sz w:val="20"/>
                <w:szCs w:val="20"/>
                <w:color w:val="auto"/>
              </w:rPr>
            </w:pPr>
            <w:r>
              <w:rPr>
                <w:rFonts w:ascii="Arial" w:cs="Arial" w:eastAsia="Arial" w:hAnsi="Arial"/>
                <w:sz w:val="14"/>
                <w:szCs w:val="14"/>
                <w:color w:val="auto"/>
              </w:rPr>
              <w:t>programs</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239</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5,922</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7,350</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4,008</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(10,706)</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6,813</w:t>
            </w:r>
          </w:p>
        </w:tc>
        <w:tc>
          <w:tcPr>
            <w:tcW w:w="0" w:type="dxa"/>
            <w:vAlign w:val="bottom"/>
          </w:tcPr>
          <w:p>
            <w:pPr>
              <w:spacing w:after="0"/>
              <w:rPr>
                <w:sz w:val="1"/>
                <w:szCs w:val="1"/>
                <w:color w:val="auto"/>
              </w:rPr>
            </w:pPr>
          </w:p>
        </w:tc>
      </w:tr>
      <w:tr>
        <w:trPr>
          <w:trHeight w:val="492"/>
        </w:trPr>
        <w:tc>
          <w:tcPr>
            <w:tcW w:w="3540" w:type="dxa"/>
            <w:vAlign w:val="bottom"/>
          </w:tcPr>
          <w:p>
            <w:pPr>
              <w:spacing w:after="0"/>
              <w:rPr>
                <w:sz w:val="20"/>
                <w:szCs w:val="20"/>
                <w:color w:val="auto"/>
              </w:rPr>
            </w:pPr>
            <w:r>
              <w:rPr>
                <w:rFonts w:ascii="Arial" w:cs="Arial" w:eastAsia="Arial" w:hAnsi="Arial"/>
                <w:sz w:val="14"/>
                <w:szCs w:val="14"/>
                <w:color w:val="auto"/>
              </w:rPr>
              <w:t>Assets under vehicle programs: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Program cash</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Vehicles,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13,229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13,322</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Receivables from vehicle manufacturers and other</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235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237</w:t>
            </w:r>
          </w:p>
        </w:tc>
        <w:tc>
          <w:tcPr>
            <w:tcW w:w="0" w:type="dxa"/>
            <w:vAlign w:val="bottom"/>
          </w:tcPr>
          <w:p>
            <w:pPr>
              <w:spacing w:after="0"/>
              <w:rPr>
                <w:sz w:val="1"/>
                <w:szCs w:val="1"/>
                <w:color w:val="auto"/>
              </w:rPr>
            </w:pPr>
          </w:p>
        </w:tc>
      </w:tr>
      <w:tr>
        <w:trPr>
          <w:trHeight w:val="184"/>
        </w:trPr>
        <w:tc>
          <w:tcPr>
            <w:tcW w:w="3540" w:type="dxa"/>
            <w:vAlign w:val="bottom"/>
          </w:tcPr>
          <w:p>
            <w:pPr>
              <w:ind w:left="180"/>
              <w:spacing w:after="0"/>
              <w:rPr>
                <w:sz w:val="20"/>
                <w:szCs w:val="20"/>
                <w:color w:val="auto"/>
              </w:rPr>
            </w:pPr>
            <w:r>
              <w:rPr>
                <w:rFonts w:ascii="Arial" w:cs="Arial" w:eastAsia="Arial" w:hAnsi="Arial"/>
                <w:sz w:val="14"/>
                <w:szCs w:val="14"/>
                <w:color w:val="auto"/>
              </w:rPr>
              <w:t>Investment in Avis Budget Rental Car Funding</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540" w:type="dxa"/>
            <w:vAlign w:val="bottom"/>
          </w:tcPr>
          <w:p>
            <w:pPr>
              <w:ind w:left="340"/>
              <w:spacing w:after="0"/>
              <w:rPr>
                <w:sz w:val="20"/>
                <w:szCs w:val="20"/>
                <w:color w:val="auto"/>
              </w:rPr>
            </w:pPr>
            <w:r>
              <w:rPr>
                <w:rFonts w:ascii="Arial" w:cs="Arial" w:eastAsia="Arial" w:hAnsi="Arial"/>
                <w:sz w:val="14"/>
                <w:szCs w:val="14"/>
                <w:color w:val="auto"/>
              </w:rPr>
              <w:t>(AESOP) LLC-related party</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395</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395</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13,924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14,019</w:t>
            </w:r>
          </w:p>
        </w:tc>
        <w:tc>
          <w:tcPr>
            <w:tcW w:w="0" w:type="dxa"/>
            <w:vAlign w:val="bottom"/>
          </w:tcPr>
          <w:p>
            <w:pPr>
              <w:spacing w:after="0"/>
              <w:rPr>
                <w:sz w:val="1"/>
                <w:szCs w:val="1"/>
                <w:color w:val="auto"/>
              </w:rPr>
            </w:pPr>
          </w:p>
        </w:tc>
      </w:tr>
      <w:tr>
        <w:trPr>
          <w:trHeight w:val="241"/>
        </w:trPr>
        <w:tc>
          <w:tcPr>
            <w:tcW w:w="3540" w:type="dxa"/>
            <w:vAlign w:val="bottom"/>
          </w:tcPr>
          <w:p>
            <w:pPr>
              <w:spacing w:after="0"/>
              <w:rPr>
                <w:sz w:val="20"/>
                <w:szCs w:val="20"/>
                <w:color w:val="auto"/>
              </w:rPr>
            </w:pPr>
            <w:r>
              <w:rPr>
                <w:rFonts w:ascii="Arial" w:cs="Arial" w:eastAsia="Arial" w:hAnsi="Arial"/>
                <w:sz w:val="14"/>
                <w:szCs w:val="14"/>
                <w:b w:val="1"/>
                <w:bCs w:val="1"/>
                <w:color w:val="auto"/>
              </w:rPr>
              <w:t>Total assets</w:t>
            </w:r>
          </w:p>
        </w:tc>
        <w:tc>
          <w:tcPr>
            <w:tcW w:w="2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239</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5,948</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7,419</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17,932</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(10,706)</w:t>
            </w:r>
          </w:p>
        </w:tc>
        <w:tc>
          <w:tcPr>
            <w:tcW w:w="12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20,832</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8"/>
        </w:trPr>
        <w:tc>
          <w:tcPr>
            <w:tcW w:w="35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540" w:type="dxa"/>
            <w:vAlign w:val="bottom"/>
          </w:tcPr>
          <w:p>
            <w:pPr>
              <w:spacing w:after="0"/>
              <w:rPr>
                <w:sz w:val="20"/>
                <w:szCs w:val="20"/>
                <w:color w:val="auto"/>
              </w:rPr>
            </w:pPr>
            <w:r>
              <w:rPr>
                <w:rFonts w:ascii="Arial" w:cs="Arial" w:eastAsia="Arial" w:hAnsi="Arial"/>
                <w:sz w:val="14"/>
                <w:szCs w:val="14"/>
                <w:color w:val="auto"/>
              </w:rPr>
              <w:t>Current liabilities:</w:t>
            </w: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Accounts payable and other current liabilities</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223</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686</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919</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1,849</w:t>
            </w:r>
          </w:p>
        </w:tc>
        <w:tc>
          <w:tcPr>
            <w:tcW w:w="0" w:type="dxa"/>
            <w:vAlign w:val="bottom"/>
          </w:tcPr>
          <w:p>
            <w:pPr>
              <w:spacing w:after="0"/>
              <w:rPr>
                <w:sz w:val="1"/>
                <w:szCs w:val="1"/>
                <w:color w:val="auto"/>
              </w:rPr>
            </w:pPr>
          </w:p>
        </w:tc>
      </w:tr>
      <w:tr>
        <w:trPr>
          <w:trHeight w:val="184"/>
        </w:trPr>
        <w:tc>
          <w:tcPr>
            <w:tcW w:w="3540" w:type="dxa"/>
            <w:vAlign w:val="bottom"/>
          </w:tcPr>
          <w:p>
            <w:pPr>
              <w:ind w:left="180"/>
              <w:spacing w:after="0"/>
              <w:rPr>
                <w:sz w:val="20"/>
                <w:szCs w:val="20"/>
                <w:color w:val="auto"/>
              </w:rPr>
            </w:pPr>
            <w:r>
              <w:rPr>
                <w:rFonts w:ascii="Arial" w:cs="Arial" w:eastAsia="Arial" w:hAnsi="Arial"/>
                <w:sz w:val="14"/>
                <w:szCs w:val="14"/>
                <w:color w:val="auto"/>
              </w:rPr>
              <w:t>Short-term debt and current portion of long-term</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540" w:type="dxa"/>
            <w:vAlign w:val="bottom"/>
          </w:tcPr>
          <w:p>
            <w:pPr>
              <w:ind w:left="340"/>
              <w:spacing w:after="0"/>
              <w:rPr>
                <w:sz w:val="20"/>
                <w:szCs w:val="20"/>
                <w:color w:val="auto"/>
              </w:rPr>
            </w:pPr>
            <w:r>
              <w:rPr>
                <w:rFonts w:ascii="Arial" w:cs="Arial" w:eastAsia="Arial" w:hAnsi="Arial"/>
                <w:sz w:val="14"/>
                <w:szCs w:val="14"/>
                <w:color w:val="auto"/>
              </w:rPr>
              <w:t>debt</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46"/>
        </w:trPr>
        <w:tc>
          <w:tcPr>
            <w:tcW w:w="3540" w:type="dxa"/>
            <w:vAlign w:val="bottom"/>
          </w:tcPr>
          <w:p>
            <w:pPr>
              <w:spacing w:after="0"/>
              <w:rPr>
                <w:sz w:val="20"/>
                <w:szCs w:val="20"/>
                <w:color w:val="auto"/>
              </w:rPr>
            </w:pPr>
            <w:r>
              <w:rPr>
                <w:rFonts w:ascii="Arial" w:cs="Arial" w:eastAsia="Arial" w:hAnsi="Arial"/>
                <w:sz w:val="14"/>
                <w:szCs w:val="14"/>
                <w:color w:val="auto"/>
              </w:rPr>
              <w:t>Total current liabilities</w:t>
            </w:r>
          </w:p>
        </w:tc>
        <w:tc>
          <w:tcPr>
            <w:tcW w:w="26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689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925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1,875</w:t>
            </w:r>
          </w:p>
        </w:tc>
        <w:tc>
          <w:tcPr>
            <w:tcW w:w="0" w:type="dxa"/>
            <w:vAlign w:val="bottom"/>
          </w:tcPr>
          <w:p>
            <w:pPr>
              <w:spacing w:after="0"/>
              <w:rPr>
                <w:sz w:val="1"/>
                <w:szCs w:val="1"/>
                <w:color w:val="auto"/>
              </w:rPr>
            </w:pPr>
          </w:p>
        </w:tc>
      </w:tr>
      <w:tr>
        <w:trPr>
          <w:trHeight w:val="500"/>
        </w:trPr>
        <w:tc>
          <w:tcPr>
            <w:tcW w:w="3540" w:type="dxa"/>
            <w:vAlign w:val="bottom"/>
          </w:tcPr>
          <w:p>
            <w:pPr>
              <w:spacing w:after="0"/>
              <w:rPr>
                <w:sz w:val="20"/>
                <w:szCs w:val="20"/>
                <w:color w:val="auto"/>
              </w:rPr>
            </w:pPr>
            <w:r>
              <w:rPr>
                <w:rFonts w:ascii="Arial" w:cs="Arial" w:eastAsia="Arial" w:hAnsi="Arial"/>
                <w:sz w:val="14"/>
                <w:szCs w:val="14"/>
                <w:color w:val="auto"/>
              </w:rPr>
              <w:t>Long-term debt</w:t>
            </w:r>
          </w:p>
        </w:tc>
        <w:tc>
          <w:tcPr>
            <w:tcW w:w="26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2,916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628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3,546</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Other non-current liabilities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231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380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768</w:t>
            </w:r>
          </w:p>
        </w:tc>
        <w:tc>
          <w:tcPr>
            <w:tcW w:w="0" w:type="dxa"/>
            <w:vAlign w:val="bottom"/>
          </w:tcPr>
          <w:p>
            <w:pPr>
              <w:spacing w:after="0"/>
              <w:rPr>
                <w:sz w:val="1"/>
                <w:szCs w:val="1"/>
                <w:color w:val="auto"/>
              </w:rPr>
            </w:pPr>
          </w:p>
        </w:tc>
      </w:tr>
      <w:tr>
        <w:trPr>
          <w:trHeight w:val="272"/>
        </w:trPr>
        <w:tc>
          <w:tcPr>
            <w:tcW w:w="3540" w:type="dxa"/>
            <w:vAlign w:val="bottom"/>
          </w:tcPr>
          <w:p>
            <w:pPr>
              <w:spacing w:after="0"/>
              <w:rPr>
                <w:sz w:val="20"/>
                <w:szCs w:val="20"/>
                <w:color w:val="auto"/>
              </w:rPr>
            </w:pPr>
            <w:r>
              <w:rPr>
                <w:rFonts w:ascii="Arial" w:cs="Arial" w:eastAsia="Arial" w:hAnsi="Arial"/>
                <w:sz w:val="14"/>
                <w:szCs w:val="14"/>
                <w:color w:val="auto"/>
              </w:rPr>
              <w:t>Intercompany payables</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2,738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370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(3,110)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540" w:type="dxa"/>
            <w:vAlign w:val="bottom"/>
          </w:tcPr>
          <w:p>
            <w:pPr>
              <w:spacing w:after="0"/>
              <w:rPr>
                <w:sz w:val="20"/>
                <w:szCs w:val="20"/>
                <w:color w:val="auto"/>
              </w:rPr>
            </w:pPr>
            <w:r>
              <w:rPr>
                <w:rFonts w:ascii="Arial" w:cs="Arial" w:eastAsia="Arial" w:hAnsi="Arial"/>
                <w:sz w:val="14"/>
                <w:szCs w:val="14"/>
                <w:color w:val="auto"/>
              </w:rPr>
              <w:t>Total liabilities exclusive of liabilities under vehicle</w:t>
            </w:r>
          </w:p>
        </w:tc>
        <w:tc>
          <w:tcPr>
            <w:tcW w:w="2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540" w:type="dxa"/>
            <w:vAlign w:val="bottom"/>
          </w:tcPr>
          <w:p>
            <w:pPr>
              <w:ind w:left="160"/>
              <w:spacing w:after="0"/>
              <w:rPr>
                <w:sz w:val="20"/>
                <w:szCs w:val="20"/>
                <w:color w:val="auto"/>
              </w:rPr>
            </w:pPr>
            <w:r>
              <w:rPr>
                <w:rFonts w:ascii="Arial" w:cs="Arial" w:eastAsia="Arial" w:hAnsi="Arial"/>
                <w:sz w:val="14"/>
                <w:szCs w:val="14"/>
                <w:color w:val="auto"/>
              </w:rPr>
              <w:t>programs</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5,981</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1,292</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1,935</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(3,110)</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6,189</w:t>
            </w:r>
          </w:p>
        </w:tc>
        <w:tc>
          <w:tcPr>
            <w:tcW w:w="0" w:type="dxa"/>
            <w:vAlign w:val="bottom"/>
          </w:tcPr>
          <w:p>
            <w:pPr>
              <w:spacing w:after="0"/>
              <w:rPr>
                <w:sz w:val="1"/>
                <w:szCs w:val="1"/>
                <w:color w:val="auto"/>
              </w:rPr>
            </w:pPr>
          </w:p>
        </w:tc>
      </w:tr>
      <w:tr>
        <w:trPr>
          <w:trHeight w:val="492"/>
        </w:trPr>
        <w:tc>
          <w:tcPr>
            <w:tcW w:w="3540" w:type="dxa"/>
            <w:vAlign w:val="bottom"/>
          </w:tcPr>
          <w:p>
            <w:pPr>
              <w:spacing w:after="0"/>
              <w:rPr>
                <w:sz w:val="20"/>
                <w:szCs w:val="20"/>
                <w:color w:val="auto"/>
              </w:rPr>
            </w:pPr>
            <w:r>
              <w:rPr>
                <w:rFonts w:ascii="Arial" w:cs="Arial" w:eastAsia="Arial" w:hAnsi="Arial"/>
                <w:sz w:val="14"/>
                <w:szCs w:val="14"/>
                <w:color w:val="auto"/>
              </w:rPr>
              <w:t>Liabilities under vehicle programs: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Debt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3,416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3,486</w:t>
            </w:r>
          </w:p>
        </w:tc>
        <w:tc>
          <w:tcPr>
            <w:tcW w:w="0" w:type="dxa"/>
            <w:vAlign w:val="bottom"/>
          </w:tcPr>
          <w:p>
            <w:pPr>
              <w:spacing w:after="0"/>
              <w:rPr>
                <w:sz w:val="1"/>
                <w:szCs w:val="1"/>
                <w:color w:val="auto"/>
              </w:rPr>
            </w:pPr>
          </w:p>
        </w:tc>
      </w:tr>
      <w:tr>
        <w:trPr>
          <w:trHeight w:val="184"/>
        </w:trPr>
        <w:tc>
          <w:tcPr>
            <w:tcW w:w="3540" w:type="dxa"/>
            <w:vAlign w:val="bottom"/>
          </w:tcPr>
          <w:p>
            <w:pPr>
              <w:ind w:left="180"/>
              <w:spacing w:after="0"/>
              <w:rPr>
                <w:sz w:val="20"/>
                <w:szCs w:val="20"/>
                <w:color w:val="auto"/>
              </w:rPr>
            </w:pPr>
            <w:r>
              <w:rPr>
                <w:rFonts w:ascii="Arial" w:cs="Arial" w:eastAsia="Arial" w:hAnsi="Arial"/>
                <w:sz w:val="14"/>
                <w:szCs w:val="14"/>
                <w:color w:val="auto"/>
              </w:rPr>
              <w:t>Due to Avis Budget Rental Car Funding (AESOP)</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540" w:type="dxa"/>
            <w:vAlign w:val="bottom"/>
          </w:tcPr>
          <w:p>
            <w:pPr>
              <w:ind w:left="340"/>
              <w:spacing w:after="0"/>
              <w:rPr>
                <w:sz w:val="20"/>
                <w:szCs w:val="20"/>
                <w:color w:val="auto"/>
              </w:rPr>
            </w:pPr>
            <w:r>
              <w:rPr>
                <w:rFonts w:ascii="Arial" w:cs="Arial" w:eastAsia="Arial" w:hAnsi="Arial"/>
                <w:sz w:val="14"/>
                <w:szCs w:val="14"/>
                <w:color w:val="auto"/>
              </w:rPr>
              <w:t>LLC-related party</w:t>
            </w:r>
          </w:p>
        </w:tc>
        <w:tc>
          <w:tcPr>
            <w:tcW w:w="26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7,876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7,876</w:t>
            </w:r>
          </w:p>
        </w:tc>
        <w:tc>
          <w:tcPr>
            <w:tcW w:w="0" w:type="dxa"/>
            <w:vAlign w:val="bottom"/>
          </w:tcPr>
          <w:p>
            <w:pPr>
              <w:spacing w:after="0"/>
              <w:rPr>
                <w:sz w:val="1"/>
                <w:szCs w:val="1"/>
                <w:color w:val="auto"/>
              </w:rPr>
            </w:pPr>
          </w:p>
        </w:tc>
      </w:tr>
      <w:tr>
        <w:trPr>
          <w:trHeight w:val="270"/>
        </w:trPr>
        <w:tc>
          <w:tcPr>
            <w:tcW w:w="3540" w:type="dxa"/>
            <w:vAlign w:val="bottom"/>
          </w:tcPr>
          <w:p>
            <w:pPr>
              <w:ind w:left="160"/>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2,267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2,437</w:t>
            </w:r>
          </w:p>
        </w:tc>
        <w:tc>
          <w:tcPr>
            <w:tcW w:w="0" w:type="dxa"/>
            <w:vAlign w:val="bottom"/>
          </w:tcPr>
          <w:p>
            <w:pPr>
              <w:spacing w:after="0"/>
              <w:rPr>
                <w:sz w:val="1"/>
                <w:szCs w:val="1"/>
                <w:color w:val="auto"/>
              </w:rPr>
            </w:pPr>
          </w:p>
        </w:tc>
      </w:tr>
      <w:tr>
        <w:trPr>
          <w:trHeight w:val="274"/>
        </w:trPr>
        <w:tc>
          <w:tcPr>
            <w:tcW w:w="3540" w:type="dxa"/>
            <w:vAlign w:val="bottom"/>
          </w:tcPr>
          <w:p>
            <w:pPr>
              <w:ind w:left="160"/>
              <w:spacing w:after="0"/>
              <w:rPr>
                <w:sz w:val="20"/>
                <w:szCs w:val="20"/>
                <w:color w:val="auto"/>
              </w:rPr>
            </w:pPr>
            <w:r>
              <w:rPr>
                <w:rFonts w:ascii="Arial" w:cs="Arial" w:eastAsia="Arial" w:hAnsi="Arial"/>
                <w:sz w:val="14"/>
                <w:szCs w:val="14"/>
                <w:color w:val="auto"/>
              </w:rPr>
              <w:t>Other</w:t>
            </w: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696</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696</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2,328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12,158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14,495</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0"/>
                <w:szCs w:val="20"/>
                <w:color w:val="auto"/>
              </w:rPr>
            </w:pPr>
            <w:r>
              <w:rPr>
                <w:rFonts w:ascii="Arial" w:cs="Arial" w:eastAsia="Arial" w:hAnsi="Arial"/>
                <w:sz w:val="14"/>
                <w:szCs w:val="14"/>
                <w:color w:val="auto"/>
              </w:rPr>
              <w:t>Total stockholders’ equity</w:t>
            </w:r>
          </w:p>
        </w:tc>
        <w:tc>
          <w:tcPr>
            <w:tcW w:w="26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148</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3,799</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3,839</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(7,596)</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241"/>
        </w:trPr>
        <w:tc>
          <w:tcPr>
            <w:tcW w:w="3540" w:type="dxa"/>
            <w:vAlign w:val="bottom"/>
          </w:tcPr>
          <w:p>
            <w:pPr>
              <w:spacing w:after="0"/>
              <w:rPr>
                <w:sz w:val="20"/>
                <w:szCs w:val="20"/>
                <w:color w:val="auto"/>
              </w:rPr>
            </w:pPr>
            <w:r>
              <w:rPr>
                <w:rFonts w:ascii="Arial" w:cs="Arial" w:eastAsia="Arial" w:hAnsi="Arial"/>
                <w:sz w:val="14"/>
                <w:szCs w:val="14"/>
                <w:b w:val="1"/>
                <w:bCs w:val="1"/>
                <w:color w:val="auto"/>
              </w:rPr>
              <w:t>Total liabilities and stockholders’ equity</w:t>
            </w: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239</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5,948</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7,419</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17,932</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(10,706)</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20,832</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15" w:right="259" w:bottom="1440" w:gutter="0" w:footer="0" w:header="0"/>
        </w:sectPr>
      </w:pP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00"/>
          </w:cols>
          <w:pgMar w:left="240" w:top="115" w:right="25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2016</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Subsidiary</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Issuers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4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4"/>
        </w:trPr>
        <w:tc>
          <w:tcPr>
            <w:tcW w:w="354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26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540" w:type="dxa"/>
            <w:vAlign w:val="bottom"/>
          </w:tcPr>
          <w:p>
            <w:pPr>
              <w:spacing w:after="0"/>
              <w:rPr>
                <w:sz w:val="20"/>
                <w:szCs w:val="20"/>
                <w:color w:val="auto"/>
              </w:rPr>
            </w:pPr>
            <w:r>
              <w:rPr>
                <w:rFonts w:ascii="Arial" w:cs="Arial" w:eastAsia="Arial" w:hAnsi="Arial"/>
                <w:sz w:val="14"/>
                <w:szCs w:val="14"/>
                <w:color w:val="auto"/>
              </w:rPr>
              <w:t>Current assets:</w:t>
            </w: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Cash and cash equivalents</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475</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490</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Receivables,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231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577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808</w:t>
            </w:r>
          </w:p>
        </w:tc>
        <w:tc>
          <w:tcPr>
            <w:tcW w:w="0" w:type="dxa"/>
            <w:vAlign w:val="bottom"/>
          </w:tcPr>
          <w:p>
            <w:pPr>
              <w:spacing w:after="0"/>
              <w:rPr>
                <w:sz w:val="1"/>
                <w:szCs w:val="1"/>
                <w:color w:val="auto"/>
              </w:rPr>
            </w:pPr>
          </w:p>
        </w:tc>
      </w:tr>
      <w:tr>
        <w:trPr>
          <w:trHeight w:val="274"/>
        </w:trPr>
        <w:tc>
          <w:tcPr>
            <w:tcW w:w="3540" w:type="dxa"/>
            <w:vAlign w:val="bottom"/>
          </w:tcPr>
          <w:p>
            <w:pPr>
              <w:ind w:left="180"/>
              <w:spacing w:after="0"/>
              <w:rPr>
                <w:sz w:val="20"/>
                <w:szCs w:val="20"/>
                <w:color w:val="auto"/>
              </w:rPr>
            </w:pPr>
            <w:r>
              <w:rPr>
                <w:rFonts w:ascii="Arial" w:cs="Arial" w:eastAsia="Arial" w:hAnsi="Arial"/>
                <w:sz w:val="14"/>
                <w:szCs w:val="14"/>
                <w:color w:val="auto"/>
              </w:rPr>
              <w:t>Other current assets</w:t>
            </w: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326</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519</w:t>
            </w:r>
          </w:p>
        </w:tc>
        <w:tc>
          <w:tcPr>
            <w:tcW w:w="0" w:type="dxa"/>
            <w:vAlign w:val="bottom"/>
          </w:tcPr>
          <w:p>
            <w:pPr>
              <w:spacing w:after="0"/>
              <w:rPr>
                <w:sz w:val="1"/>
                <w:szCs w:val="1"/>
                <w:color w:val="auto"/>
              </w:rPr>
            </w:pPr>
          </w:p>
        </w:tc>
      </w:tr>
      <w:tr>
        <w:trPr>
          <w:trHeight w:val="246"/>
        </w:trPr>
        <w:tc>
          <w:tcPr>
            <w:tcW w:w="3540" w:type="dxa"/>
            <w:vAlign w:val="bottom"/>
          </w:tcPr>
          <w:p>
            <w:pPr>
              <w:spacing w:after="0"/>
              <w:rPr>
                <w:sz w:val="20"/>
                <w:szCs w:val="20"/>
                <w:color w:val="auto"/>
              </w:rPr>
            </w:pPr>
            <w:r>
              <w:rPr>
                <w:rFonts w:ascii="Arial" w:cs="Arial" w:eastAsia="Arial" w:hAnsi="Arial"/>
                <w:sz w:val="14"/>
                <w:szCs w:val="14"/>
                <w:color w:val="auto"/>
              </w:rPr>
              <w:t>Total current assets</w:t>
            </w:r>
          </w:p>
        </w:tc>
        <w:tc>
          <w:tcPr>
            <w:tcW w:w="26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1,378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1,817</w:t>
            </w:r>
          </w:p>
        </w:tc>
        <w:tc>
          <w:tcPr>
            <w:tcW w:w="0" w:type="dxa"/>
            <w:vAlign w:val="bottom"/>
          </w:tcPr>
          <w:p>
            <w:pPr>
              <w:spacing w:after="0"/>
              <w:rPr>
                <w:sz w:val="1"/>
                <w:szCs w:val="1"/>
                <w:color w:val="auto"/>
              </w:rPr>
            </w:pPr>
          </w:p>
        </w:tc>
      </w:tr>
      <w:tr>
        <w:trPr>
          <w:trHeight w:val="500"/>
        </w:trPr>
        <w:tc>
          <w:tcPr>
            <w:tcW w:w="354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26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148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341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685</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1,219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268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1,493</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Goodwill</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489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518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1,007</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Other intangibles,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502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340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870</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Other non-current assets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193</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Intercompany receivables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171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359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1,466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670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(2,666)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2"/>
        </w:trPr>
        <w:tc>
          <w:tcPr>
            <w:tcW w:w="3540" w:type="dxa"/>
            <w:vAlign w:val="bottom"/>
          </w:tcPr>
          <w:p>
            <w:pPr>
              <w:spacing w:after="0"/>
              <w:rPr>
                <w:sz w:val="20"/>
                <w:szCs w:val="20"/>
                <w:color w:val="auto"/>
              </w:rPr>
            </w:pPr>
            <w:r>
              <w:rPr>
                <w:rFonts w:ascii="Arial" w:cs="Arial" w:eastAsia="Arial" w:hAnsi="Arial"/>
                <w:sz w:val="14"/>
                <w:szCs w:val="14"/>
                <w:color w:val="auto"/>
              </w:rPr>
              <w:t>Investment in subsidiaries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3,717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3,698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(7,457)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540" w:type="dxa"/>
            <w:vAlign w:val="bottom"/>
          </w:tcPr>
          <w:p>
            <w:pPr>
              <w:spacing w:after="0"/>
              <w:rPr>
                <w:sz w:val="20"/>
                <w:szCs w:val="20"/>
                <w:color w:val="auto"/>
              </w:rPr>
            </w:pPr>
            <w:r>
              <w:rPr>
                <w:rFonts w:ascii="Arial" w:cs="Arial" w:eastAsia="Arial" w:hAnsi="Arial"/>
                <w:sz w:val="14"/>
                <w:szCs w:val="14"/>
                <w:color w:val="auto"/>
              </w:rPr>
              <w:t>Total assets exclusive of assets under vehicle</w:t>
            </w:r>
          </w:p>
        </w:tc>
        <w:tc>
          <w:tcPr>
            <w:tcW w:w="2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540" w:type="dxa"/>
            <w:vAlign w:val="bottom"/>
          </w:tcPr>
          <w:p>
            <w:pPr>
              <w:ind w:left="160"/>
              <w:spacing w:after="0"/>
              <w:rPr>
                <w:sz w:val="20"/>
                <w:szCs w:val="20"/>
                <w:color w:val="auto"/>
              </w:rPr>
            </w:pPr>
            <w:r>
              <w:rPr>
                <w:rFonts w:ascii="Arial" w:cs="Arial" w:eastAsia="Arial" w:hAnsi="Arial"/>
                <w:sz w:val="14"/>
                <w:szCs w:val="14"/>
                <w:color w:val="auto"/>
              </w:rPr>
              <w:t>programs</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313</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5,608</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7,101</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3,180</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(10,137)</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6,065</w:t>
            </w:r>
          </w:p>
        </w:tc>
        <w:tc>
          <w:tcPr>
            <w:tcW w:w="0" w:type="dxa"/>
            <w:vAlign w:val="bottom"/>
          </w:tcPr>
          <w:p>
            <w:pPr>
              <w:spacing w:after="0"/>
              <w:rPr>
                <w:sz w:val="1"/>
                <w:szCs w:val="1"/>
                <w:color w:val="auto"/>
              </w:rPr>
            </w:pPr>
          </w:p>
        </w:tc>
      </w:tr>
      <w:tr>
        <w:trPr>
          <w:trHeight w:val="492"/>
        </w:trPr>
        <w:tc>
          <w:tcPr>
            <w:tcW w:w="3540" w:type="dxa"/>
            <w:vAlign w:val="bottom"/>
          </w:tcPr>
          <w:p>
            <w:pPr>
              <w:spacing w:after="0"/>
              <w:rPr>
                <w:sz w:val="20"/>
                <w:szCs w:val="20"/>
                <w:color w:val="auto"/>
              </w:rPr>
            </w:pPr>
            <w:r>
              <w:rPr>
                <w:rFonts w:ascii="Arial" w:cs="Arial" w:eastAsia="Arial" w:hAnsi="Arial"/>
                <w:sz w:val="14"/>
                <w:szCs w:val="14"/>
                <w:color w:val="auto"/>
              </w:rPr>
              <w:t>Assets under vehicle programs: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Program cash</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225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225</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Vehicles,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10,370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10,464</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Receivables from vehicle manufacturers and other</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526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527</w:t>
            </w:r>
          </w:p>
        </w:tc>
        <w:tc>
          <w:tcPr>
            <w:tcW w:w="0" w:type="dxa"/>
            <w:vAlign w:val="bottom"/>
          </w:tcPr>
          <w:p>
            <w:pPr>
              <w:spacing w:after="0"/>
              <w:rPr>
                <w:sz w:val="1"/>
                <w:szCs w:val="1"/>
                <w:color w:val="auto"/>
              </w:rPr>
            </w:pPr>
          </w:p>
        </w:tc>
      </w:tr>
      <w:tr>
        <w:trPr>
          <w:trHeight w:val="184"/>
        </w:trPr>
        <w:tc>
          <w:tcPr>
            <w:tcW w:w="3540" w:type="dxa"/>
            <w:vAlign w:val="bottom"/>
          </w:tcPr>
          <w:p>
            <w:pPr>
              <w:ind w:left="180"/>
              <w:spacing w:after="0"/>
              <w:rPr>
                <w:sz w:val="20"/>
                <w:szCs w:val="20"/>
                <w:color w:val="auto"/>
              </w:rPr>
            </w:pPr>
            <w:r>
              <w:rPr>
                <w:rFonts w:ascii="Arial" w:cs="Arial" w:eastAsia="Arial" w:hAnsi="Arial"/>
                <w:sz w:val="14"/>
                <w:szCs w:val="14"/>
                <w:color w:val="auto"/>
              </w:rPr>
              <w:t>Investment in Avis Budget Rental Car Funding</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540" w:type="dxa"/>
            <w:vAlign w:val="bottom"/>
          </w:tcPr>
          <w:p>
            <w:pPr>
              <w:ind w:left="340"/>
              <w:spacing w:after="0"/>
              <w:rPr>
                <w:sz w:val="20"/>
                <w:szCs w:val="20"/>
                <w:color w:val="auto"/>
              </w:rPr>
            </w:pPr>
            <w:r>
              <w:rPr>
                <w:rFonts w:ascii="Arial" w:cs="Arial" w:eastAsia="Arial" w:hAnsi="Arial"/>
                <w:sz w:val="14"/>
                <w:szCs w:val="14"/>
                <w:color w:val="auto"/>
              </w:rPr>
              <w:t>(AESOP) LLC-related party</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362</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362</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11,483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11,578</w:t>
            </w:r>
          </w:p>
        </w:tc>
        <w:tc>
          <w:tcPr>
            <w:tcW w:w="0" w:type="dxa"/>
            <w:vAlign w:val="bottom"/>
          </w:tcPr>
          <w:p>
            <w:pPr>
              <w:spacing w:after="0"/>
              <w:rPr>
                <w:sz w:val="1"/>
                <w:szCs w:val="1"/>
                <w:color w:val="auto"/>
              </w:rPr>
            </w:pPr>
          </w:p>
        </w:tc>
      </w:tr>
      <w:tr>
        <w:trPr>
          <w:trHeight w:val="241"/>
        </w:trPr>
        <w:tc>
          <w:tcPr>
            <w:tcW w:w="3540" w:type="dxa"/>
            <w:vAlign w:val="bottom"/>
          </w:tcPr>
          <w:p>
            <w:pPr>
              <w:spacing w:after="0"/>
              <w:rPr>
                <w:sz w:val="20"/>
                <w:szCs w:val="20"/>
                <w:color w:val="auto"/>
              </w:rPr>
            </w:pPr>
            <w:r>
              <w:rPr>
                <w:rFonts w:ascii="Arial" w:cs="Arial" w:eastAsia="Arial" w:hAnsi="Arial"/>
                <w:sz w:val="14"/>
                <w:szCs w:val="14"/>
                <w:b w:val="1"/>
                <w:bCs w:val="1"/>
                <w:color w:val="auto"/>
              </w:rPr>
              <w:t>Total assets</w:t>
            </w:r>
          </w:p>
        </w:tc>
        <w:tc>
          <w:tcPr>
            <w:tcW w:w="2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313</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5,633</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7,171</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14,663</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(10,137)</w:t>
            </w:r>
          </w:p>
        </w:tc>
        <w:tc>
          <w:tcPr>
            <w:tcW w:w="12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17,643</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8"/>
        </w:trPr>
        <w:tc>
          <w:tcPr>
            <w:tcW w:w="35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540" w:type="dxa"/>
            <w:vAlign w:val="bottom"/>
          </w:tcPr>
          <w:p>
            <w:pPr>
              <w:spacing w:after="0"/>
              <w:rPr>
                <w:sz w:val="20"/>
                <w:szCs w:val="20"/>
                <w:color w:val="auto"/>
              </w:rPr>
            </w:pPr>
            <w:r>
              <w:rPr>
                <w:rFonts w:ascii="Arial" w:cs="Arial" w:eastAsia="Arial" w:hAnsi="Arial"/>
                <w:sz w:val="14"/>
                <w:szCs w:val="14"/>
                <w:color w:val="auto"/>
              </w:rPr>
              <w:t>Current liabilities:</w:t>
            </w: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Accounts payable and other current liabilities</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189</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512</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764</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1,488</w:t>
            </w:r>
          </w:p>
        </w:tc>
        <w:tc>
          <w:tcPr>
            <w:tcW w:w="0" w:type="dxa"/>
            <w:vAlign w:val="bottom"/>
          </w:tcPr>
          <w:p>
            <w:pPr>
              <w:spacing w:after="0"/>
              <w:rPr>
                <w:sz w:val="1"/>
                <w:szCs w:val="1"/>
                <w:color w:val="auto"/>
              </w:rPr>
            </w:pPr>
          </w:p>
        </w:tc>
      </w:tr>
      <w:tr>
        <w:trPr>
          <w:trHeight w:val="184"/>
        </w:trPr>
        <w:tc>
          <w:tcPr>
            <w:tcW w:w="3540" w:type="dxa"/>
            <w:vAlign w:val="bottom"/>
          </w:tcPr>
          <w:p>
            <w:pPr>
              <w:ind w:left="180"/>
              <w:spacing w:after="0"/>
              <w:rPr>
                <w:sz w:val="20"/>
                <w:szCs w:val="20"/>
                <w:color w:val="auto"/>
              </w:rPr>
            </w:pPr>
            <w:r>
              <w:rPr>
                <w:rFonts w:ascii="Arial" w:cs="Arial" w:eastAsia="Arial" w:hAnsi="Arial"/>
                <w:sz w:val="14"/>
                <w:szCs w:val="14"/>
                <w:color w:val="auto"/>
              </w:rPr>
              <w:t>Short-term debt and current portion of long-term</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540" w:type="dxa"/>
            <w:vAlign w:val="bottom"/>
          </w:tcPr>
          <w:p>
            <w:pPr>
              <w:ind w:left="340"/>
              <w:spacing w:after="0"/>
              <w:rPr>
                <w:sz w:val="20"/>
                <w:szCs w:val="20"/>
                <w:color w:val="auto"/>
              </w:rPr>
            </w:pPr>
            <w:r>
              <w:rPr>
                <w:rFonts w:ascii="Arial" w:cs="Arial" w:eastAsia="Arial" w:hAnsi="Arial"/>
                <w:sz w:val="14"/>
                <w:szCs w:val="14"/>
                <w:color w:val="auto"/>
              </w:rPr>
              <w:t>debt</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264</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279</w:t>
            </w:r>
          </w:p>
        </w:tc>
        <w:tc>
          <w:tcPr>
            <w:tcW w:w="0" w:type="dxa"/>
            <w:vAlign w:val="bottom"/>
          </w:tcPr>
          <w:p>
            <w:pPr>
              <w:spacing w:after="0"/>
              <w:rPr>
                <w:sz w:val="1"/>
                <w:szCs w:val="1"/>
                <w:color w:val="auto"/>
              </w:rPr>
            </w:pPr>
          </w:p>
        </w:tc>
      </w:tr>
      <w:tr>
        <w:trPr>
          <w:trHeight w:val="246"/>
        </w:trPr>
        <w:tc>
          <w:tcPr>
            <w:tcW w:w="3540" w:type="dxa"/>
            <w:vAlign w:val="bottom"/>
          </w:tcPr>
          <w:p>
            <w:pPr>
              <w:spacing w:after="0"/>
              <w:rPr>
                <w:sz w:val="20"/>
                <w:szCs w:val="20"/>
                <w:color w:val="auto"/>
              </w:rPr>
            </w:pPr>
            <w:r>
              <w:rPr>
                <w:rFonts w:ascii="Arial" w:cs="Arial" w:eastAsia="Arial" w:hAnsi="Arial"/>
                <w:sz w:val="14"/>
                <w:szCs w:val="14"/>
                <w:color w:val="auto"/>
              </w:rPr>
              <w:t>Total current liabilities</w:t>
            </w:r>
          </w:p>
        </w:tc>
        <w:tc>
          <w:tcPr>
            <w:tcW w:w="26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776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1,767</w:t>
            </w:r>
          </w:p>
        </w:tc>
        <w:tc>
          <w:tcPr>
            <w:tcW w:w="0" w:type="dxa"/>
            <w:vAlign w:val="bottom"/>
          </w:tcPr>
          <w:p>
            <w:pPr>
              <w:spacing w:after="0"/>
              <w:rPr>
                <w:sz w:val="1"/>
                <w:szCs w:val="1"/>
                <w:color w:val="auto"/>
              </w:rPr>
            </w:pPr>
          </w:p>
        </w:tc>
      </w:tr>
      <w:tr>
        <w:trPr>
          <w:trHeight w:val="500"/>
        </w:trPr>
        <w:tc>
          <w:tcPr>
            <w:tcW w:w="3540" w:type="dxa"/>
            <w:vAlign w:val="bottom"/>
          </w:tcPr>
          <w:p>
            <w:pPr>
              <w:spacing w:after="0"/>
              <w:rPr>
                <w:sz w:val="20"/>
                <w:szCs w:val="20"/>
                <w:color w:val="auto"/>
              </w:rPr>
            </w:pPr>
            <w:r>
              <w:rPr>
                <w:rFonts w:ascii="Arial" w:cs="Arial" w:eastAsia="Arial" w:hAnsi="Arial"/>
                <w:sz w:val="14"/>
                <w:szCs w:val="14"/>
                <w:color w:val="auto"/>
              </w:rPr>
              <w:t>Long-term debt</w:t>
            </w:r>
          </w:p>
        </w:tc>
        <w:tc>
          <w:tcPr>
            <w:tcW w:w="26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2,730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511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3,244</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Other non-current liabilities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253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368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764</w:t>
            </w:r>
          </w:p>
        </w:tc>
        <w:tc>
          <w:tcPr>
            <w:tcW w:w="0" w:type="dxa"/>
            <w:vAlign w:val="bottom"/>
          </w:tcPr>
          <w:p>
            <w:pPr>
              <w:spacing w:after="0"/>
              <w:rPr>
                <w:sz w:val="1"/>
                <w:szCs w:val="1"/>
                <w:color w:val="auto"/>
              </w:rPr>
            </w:pPr>
          </w:p>
        </w:tc>
      </w:tr>
      <w:tr>
        <w:trPr>
          <w:trHeight w:val="272"/>
        </w:trPr>
        <w:tc>
          <w:tcPr>
            <w:tcW w:w="3540" w:type="dxa"/>
            <w:vAlign w:val="bottom"/>
          </w:tcPr>
          <w:p>
            <w:pPr>
              <w:spacing w:after="0"/>
              <w:rPr>
                <w:sz w:val="20"/>
                <w:szCs w:val="20"/>
                <w:color w:val="auto"/>
              </w:rPr>
            </w:pPr>
            <w:r>
              <w:rPr>
                <w:rFonts w:ascii="Arial" w:cs="Arial" w:eastAsia="Arial" w:hAnsi="Arial"/>
                <w:sz w:val="14"/>
                <w:szCs w:val="14"/>
                <w:color w:val="auto"/>
              </w:rPr>
              <w:t>Intercompany payables</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2,306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359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(2,666)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540" w:type="dxa"/>
            <w:vAlign w:val="bottom"/>
          </w:tcPr>
          <w:p>
            <w:pPr>
              <w:spacing w:after="0"/>
              <w:rPr>
                <w:sz w:val="20"/>
                <w:szCs w:val="20"/>
                <w:color w:val="auto"/>
              </w:rPr>
            </w:pPr>
            <w:r>
              <w:rPr>
                <w:rFonts w:ascii="Arial" w:cs="Arial" w:eastAsia="Arial" w:hAnsi="Arial"/>
                <w:sz w:val="14"/>
                <w:szCs w:val="14"/>
                <w:color w:val="auto"/>
              </w:rPr>
              <w:t>Total liabilities exclusive of liabilities under vehicle</w:t>
            </w:r>
          </w:p>
        </w:tc>
        <w:tc>
          <w:tcPr>
            <w:tcW w:w="2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540" w:type="dxa"/>
            <w:vAlign w:val="bottom"/>
          </w:tcPr>
          <w:p>
            <w:pPr>
              <w:ind w:left="160"/>
              <w:spacing w:after="0"/>
              <w:rPr>
                <w:sz w:val="20"/>
                <w:szCs w:val="20"/>
                <w:color w:val="auto"/>
              </w:rPr>
            </w:pPr>
            <w:r>
              <w:rPr>
                <w:rFonts w:ascii="Arial" w:cs="Arial" w:eastAsia="Arial" w:hAnsi="Arial"/>
                <w:sz w:val="14"/>
                <w:szCs w:val="14"/>
                <w:color w:val="auto"/>
              </w:rPr>
              <w:t>programs</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5,577</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1,130</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1,656</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(2,680)</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5,775</w:t>
            </w:r>
          </w:p>
        </w:tc>
        <w:tc>
          <w:tcPr>
            <w:tcW w:w="0" w:type="dxa"/>
            <w:vAlign w:val="bottom"/>
          </w:tcPr>
          <w:p>
            <w:pPr>
              <w:spacing w:after="0"/>
              <w:rPr>
                <w:sz w:val="1"/>
                <w:szCs w:val="1"/>
                <w:color w:val="auto"/>
              </w:rPr>
            </w:pPr>
          </w:p>
        </w:tc>
      </w:tr>
      <w:tr>
        <w:trPr>
          <w:trHeight w:val="492"/>
        </w:trPr>
        <w:tc>
          <w:tcPr>
            <w:tcW w:w="3540" w:type="dxa"/>
            <w:vAlign w:val="bottom"/>
          </w:tcPr>
          <w:p>
            <w:pPr>
              <w:spacing w:after="0"/>
              <w:rPr>
                <w:sz w:val="20"/>
                <w:szCs w:val="20"/>
                <w:color w:val="auto"/>
              </w:rPr>
            </w:pPr>
            <w:r>
              <w:rPr>
                <w:rFonts w:ascii="Arial" w:cs="Arial" w:eastAsia="Arial" w:hAnsi="Arial"/>
                <w:sz w:val="14"/>
                <w:szCs w:val="14"/>
                <w:color w:val="auto"/>
              </w:rPr>
              <w:t>Liabilities under vehicle programs: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Debt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2,103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2,183</w:t>
            </w:r>
          </w:p>
        </w:tc>
        <w:tc>
          <w:tcPr>
            <w:tcW w:w="0" w:type="dxa"/>
            <w:vAlign w:val="bottom"/>
          </w:tcPr>
          <w:p>
            <w:pPr>
              <w:spacing w:after="0"/>
              <w:rPr>
                <w:sz w:val="1"/>
                <w:szCs w:val="1"/>
                <w:color w:val="auto"/>
              </w:rPr>
            </w:pPr>
          </w:p>
        </w:tc>
      </w:tr>
      <w:tr>
        <w:trPr>
          <w:trHeight w:val="184"/>
        </w:trPr>
        <w:tc>
          <w:tcPr>
            <w:tcW w:w="3540" w:type="dxa"/>
            <w:vAlign w:val="bottom"/>
          </w:tcPr>
          <w:p>
            <w:pPr>
              <w:ind w:left="180"/>
              <w:spacing w:after="0"/>
              <w:rPr>
                <w:sz w:val="20"/>
                <w:szCs w:val="20"/>
                <w:color w:val="auto"/>
              </w:rPr>
            </w:pPr>
            <w:r>
              <w:rPr>
                <w:rFonts w:ascii="Arial" w:cs="Arial" w:eastAsia="Arial" w:hAnsi="Arial"/>
                <w:sz w:val="14"/>
                <w:szCs w:val="14"/>
                <w:color w:val="auto"/>
              </w:rPr>
              <w:t>Due to Avis Budget Rental Car Funding (AESOP)</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540" w:type="dxa"/>
            <w:vAlign w:val="bottom"/>
          </w:tcPr>
          <w:p>
            <w:pPr>
              <w:ind w:left="340"/>
              <w:spacing w:after="0"/>
              <w:rPr>
                <w:sz w:val="20"/>
                <w:szCs w:val="20"/>
                <w:color w:val="auto"/>
              </w:rPr>
            </w:pPr>
            <w:r>
              <w:rPr>
                <w:rFonts w:ascii="Arial" w:cs="Arial" w:eastAsia="Arial" w:hAnsi="Arial"/>
                <w:sz w:val="14"/>
                <w:szCs w:val="14"/>
                <w:color w:val="auto"/>
              </w:rPr>
              <w:t>LLC-related party</w:t>
            </w:r>
          </w:p>
        </w:tc>
        <w:tc>
          <w:tcPr>
            <w:tcW w:w="26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6,695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6,695</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2,258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2,429</w:t>
            </w:r>
          </w:p>
        </w:tc>
        <w:tc>
          <w:tcPr>
            <w:tcW w:w="0" w:type="dxa"/>
            <w:vAlign w:val="bottom"/>
          </w:tcPr>
          <w:p>
            <w:pPr>
              <w:spacing w:after="0"/>
              <w:rPr>
                <w:sz w:val="1"/>
                <w:szCs w:val="1"/>
                <w:color w:val="auto"/>
              </w:rPr>
            </w:pPr>
          </w:p>
        </w:tc>
      </w:tr>
      <w:tr>
        <w:trPr>
          <w:trHeight w:val="274"/>
        </w:trPr>
        <w:tc>
          <w:tcPr>
            <w:tcW w:w="3540" w:type="dxa"/>
            <w:vAlign w:val="bottom"/>
          </w:tcPr>
          <w:p>
            <w:pPr>
              <w:ind w:left="180"/>
              <w:spacing w:after="0"/>
              <w:rPr>
                <w:sz w:val="20"/>
                <w:szCs w:val="20"/>
                <w:color w:val="auto"/>
              </w:rPr>
            </w:pPr>
            <w:r>
              <w:rPr>
                <w:rFonts w:ascii="Arial" w:cs="Arial" w:eastAsia="Arial" w:hAnsi="Arial"/>
                <w:sz w:val="14"/>
                <w:szCs w:val="14"/>
                <w:color w:val="auto"/>
              </w:rPr>
              <w:t>Other</w:t>
            </w: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340</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340</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2,324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9,309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11,647</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0"/>
                <w:szCs w:val="20"/>
                <w:color w:val="auto"/>
              </w:rPr>
            </w:pPr>
            <w:r>
              <w:rPr>
                <w:rFonts w:ascii="Arial" w:cs="Arial" w:eastAsia="Arial" w:hAnsi="Arial"/>
                <w:sz w:val="14"/>
                <w:szCs w:val="14"/>
                <w:color w:val="auto"/>
              </w:rPr>
              <w:t>Total stockholders’ equity</w:t>
            </w:r>
          </w:p>
        </w:tc>
        <w:tc>
          <w:tcPr>
            <w:tcW w:w="26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221</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3,717</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3,698</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(7,457)</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221</w:t>
            </w:r>
          </w:p>
        </w:tc>
        <w:tc>
          <w:tcPr>
            <w:tcW w:w="0" w:type="dxa"/>
            <w:vAlign w:val="bottom"/>
          </w:tcPr>
          <w:p>
            <w:pPr>
              <w:spacing w:after="0"/>
              <w:rPr>
                <w:sz w:val="1"/>
                <w:szCs w:val="1"/>
                <w:color w:val="auto"/>
              </w:rPr>
            </w:pPr>
          </w:p>
        </w:tc>
      </w:tr>
      <w:tr>
        <w:trPr>
          <w:trHeight w:val="241"/>
        </w:trPr>
        <w:tc>
          <w:tcPr>
            <w:tcW w:w="3540" w:type="dxa"/>
            <w:vAlign w:val="bottom"/>
          </w:tcPr>
          <w:p>
            <w:pPr>
              <w:spacing w:after="0"/>
              <w:rPr>
                <w:sz w:val="20"/>
                <w:szCs w:val="20"/>
                <w:color w:val="auto"/>
              </w:rPr>
            </w:pPr>
            <w:r>
              <w:rPr>
                <w:rFonts w:ascii="Arial" w:cs="Arial" w:eastAsia="Arial" w:hAnsi="Arial"/>
                <w:sz w:val="14"/>
                <w:szCs w:val="14"/>
                <w:b w:val="1"/>
                <w:bCs w:val="1"/>
                <w:color w:val="auto"/>
              </w:rPr>
              <w:t>Total liabilities and stockholders’ equity</w:t>
            </w: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313</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5,633</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7,171</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14,663</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(10,137)</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17,643</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15" w:right="259" w:bottom="1440" w:gutter="0" w:footer="0" w:header="0"/>
        </w:sect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400"/>
          </w:cols>
          <w:pgMar w:left="240" w:top="115" w:right="25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Consolidating Condensed Statements of Cash Flows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Six Months Ended June 30, 2017</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Guarantor</w:t>
            </w:r>
          </w:p>
        </w:tc>
        <w:tc>
          <w:tcPr>
            <w:tcW w:w="13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20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Issuers</w:t>
            </w:r>
          </w:p>
        </w:tc>
        <w:tc>
          <w:tcPr>
            <w:tcW w:w="16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7"/>
                <w:szCs w:val="17"/>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80" w:type="dxa"/>
            <w:vAlign w:val="bottom"/>
          </w:tcPr>
          <w:p>
            <w:pPr>
              <w:spacing w:after="0"/>
              <w:rPr>
                <w:sz w:val="17"/>
                <w:szCs w:val="17"/>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6"/>
        </w:trPr>
        <w:tc>
          <w:tcPr>
            <w:tcW w:w="3280" w:type="dxa"/>
            <w:vAlign w:val="bottom"/>
          </w:tcPr>
          <w:p>
            <w:pPr>
              <w:spacing w:after="0" w:line="156" w:lineRule="exact"/>
              <w:rPr>
                <w:sz w:val="20"/>
                <w:szCs w:val="20"/>
                <w:color w:val="auto"/>
              </w:rPr>
            </w:pPr>
            <w:r>
              <w:rPr>
                <w:rFonts w:ascii="Arial" w:cs="Arial" w:eastAsia="Arial" w:hAnsi="Arial"/>
                <w:sz w:val="14"/>
                <w:szCs w:val="14"/>
                <w:b w:val="1"/>
                <w:bCs w:val="1"/>
                <w:color w:val="auto"/>
              </w:rPr>
              <w:t>Net cash provided by (used in) operating</w:t>
            </w:r>
          </w:p>
        </w:tc>
        <w:tc>
          <w:tcPr>
            <w:tcW w:w="2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7"/>
                <w:szCs w:val="17"/>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1,124</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1,139</w:t>
            </w:r>
          </w:p>
        </w:tc>
        <w:tc>
          <w:tcPr>
            <w:tcW w:w="0" w:type="dxa"/>
            <w:vAlign w:val="bottom"/>
          </w:tcPr>
          <w:p>
            <w:pPr>
              <w:spacing w:after="0"/>
              <w:rPr>
                <w:sz w:val="1"/>
                <w:szCs w:val="1"/>
                <w:color w:val="auto"/>
              </w:rPr>
            </w:pPr>
          </w:p>
        </w:tc>
      </w:tr>
      <w:tr>
        <w:trPr>
          <w:trHeight w:val="439"/>
        </w:trPr>
        <w:tc>
          <w:tcPr>
            <w:tcW w:w="3280" w:type="dxa"/>
            <w:vAlign w:val="bottom"/>
          </w:tcPr>
          <w:p>
            <w:pPr>
              <w:spacing w:after="0"/>
              <w:rPr>
                <w:sz w:val="20"/>
                <w:szCs w:val="20"/>
                <w:color w:val="auto"/>
              </w:rPr>
            </w:pPr>
            <w:r>
              <w:rPr>
                <w:rFonts w:ascii="Arial" w:cs="Arial" w:eastAsia="Arial" w:hAnsi="Arial"/>
                <w:sz w:val="14"/>
                <w:szCs w:val="14"/>
                <w:b w:val="1"/>
                <w:bCs w:val="1"/>
                <w:color w:val="auto"/>
              </w:rPr>
              <w:t>Investing activities</w:t>
            </w: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280" w:type="dxa"/>
            <w:vAlign w:val="bottom"/>
          </w:tcPr>
          <w:p>
            <w:pPr>
              <w:spacing w:after="0"/>
              <w:rPr>
                <w:sz w:val="20"/>
                <w:szCs w:val="20"/>
                <w:color w:val="auto"/>
              </w:rPr>
            </w:pPr>
            <w:r>
              <w:rPr>
                <w:rFonts w:ascii="Arial" w:cs="Arial" w:eastAsia="Arial" w:hAnsi="Arial"/>
                <w:sz w:val="14"/>
                <w:szCs w:val="14"/>
                <w:color w:val="auto"/>
              </w:rPr>
              <w:t>Property and equipment additions</w:t>
            </w:r>
          </w:p>
        </w:tc>
        <w:tc>
          <w:tcPr>
            <w:tcW w:w="260" w:type="dxa"/>
            <w:vAlign w:val="bottom"/>
          </w:tcPr>
          <w:p>
            <w:pPr>
              <w:spacing w:after="0"/>
              <w:rPr>
                <w:sz w:val="22"/>
                <w:szCs w:val="22"/>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Proceeds received on asset sales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Net assets acquired (net of cash acquired)</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Intercompany loan receipts (advances)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(313)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314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Other, net</w:t>
            </w:r>
          </w:p>
        </w:tc>
        <w:tc>
          <w:tcPr>
            <w:tcW w:w="260" w:type="dxa"/>
            <w:vAlign w:val="bottom"/>
          </w:tcPr>
          <w:p>
            <w:pPr>
              <w:spacing w:after="0"/>
              <w:rPr>
                <w:sz w:val="18"/>
                <w:szCs w:val="18"/>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56"/>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investing</w:t>
            </w:r>
          </w:p>
        </w:tc>
        <w:tc>
          <w:tcPr>
            <w:tcW w:w="2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 exclusive of vehicle programs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(351)</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214</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433"/>
        </w:trPr>
        <w:tc>
          <w:tcPr>
            <w:tcW w:w="3280" w:type="dxa"/>
            <w:vAlign w:val="bottom"/>
          </w:tcPr>
          <w:p>
            <w:pPr>
              <w:spacing w:after="0"/>
              <w:rPr>
                <w:sz w:val="20"/>
                <w:szCs w:val="20"/>
                <w:color w:val="auto"/>
              </w:rPr>
            </w:pPr>
            <w:r>
              <w:rPr>
                <w:rFonts w:ascii="Arial" w:cs="Arial" w:eastAsia="Arial" w:hAnsi="Arial"/>
                <w:sz w:val="14"/>
                <w:szCs w:val="14"/>
                <w:i w:val="1"/>
                <w:iCs w:val="1"/>
                <w:color w:val="auto"/>
              </w:rPr>
              <w:t>Vehicle programs: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80" w:type="dxa"/>
            <w:vAlign w:val="bottom"/>
          </w:tcPr>
          <w:p>
            <w:pPr>
              <w:ind w:left="140"/>
              <w:spacing w:after="0"/>
              <w:rPr>
                <w:sz w:val="20"/>
                <w:szCs w:val="20"/>
                <w:color w:val="auto"/>
              </w:rPr>
            </w:pPr>
            <w:r>
              <w:rPr>
                <w:rFonts w:ascii="Arial" w:cs="Arial" w:eastAsia="Arial" w:hAnsi="Arial"/>
                <w:sz w:val="14"/>
                <w:szCs w:val="14"/>
                <w:color w:val="auto"/>
              </w:rPr>
              <w:t>Decrease in program cash</w:t>
            </w:r>
          </w:p>
        </w:tc>
        <w:tc>
          <w:tcPr>
            <w:tcW w:w="260" w:type="dxa"/>
            <w:vAlign w:val="bottom"/>
          </w:tcPr>
          <w:p>
            <w:pPr>
              <w:spacing w:after="0"/>
              <w:rPr>
                <w:sz w:val="23"/>
                <w:szCs w:val="23"/>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168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4"/>
                <w:szCs w:val="14"/>
                <w:color w:val="auto"/>
              </w:rPr>
              <w:t>Investment in vehicles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(8,115)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(8,116)</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280" w:type="dxa"/>
            <w:vAlign w:val="bottom"/>
          </w:tcPr>
          <w:p>
            <w:pPr>
              <w:ind w:left="140"/>
              <w:spacing w:after="0"/>
              <w:rPr>
                <w:sz w:val="20"/>
                <w:szCs w:val="20"/>
                <w:color w:val="auto"/>
              </w:rPr>
            </w:pPr>
            <w:r>
              <w:rPr>
                <w:rFonts w:ascii="Arial" w:cs="Arial" w:eastAsia="Arial" w:hAnsi="Arial"/>
                <w:sz w:val="14"/>
                <w:szCs w:val="14"/>
                <w:color w:val="auto"/>
              </w:rPr>
              <w:t>Proceeds received on disposition of vehicles</w:t>
            </w:r>
          </w:p>
        </w:tc>
        <w:tc>
          <w:tcPr>
            <w:tcW w:w="260" w:type="dxa"/>
            <w:vAlign w:val="bottom"/>
          </w:tcPr>
          <w:p>
            <w:pPr>
              <w:spacing w:after="0"/>
              <w:rPr>
                <w:sz w:val="23"/>
                <w:szCs w:val="2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5,028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5,059</w:t>
            </w:r>
          </w:p>
        </w:tc>
        <w:tc>
          <w:tcPr>
            <w:tcW w:w="0" w:type="dxa"/>
            <w:vAlign w:val="bottom"/>
          </w:tcPr>
          <w:p>
            <w:pPr>
              <w:spacing w:after="0"/>
              <w:rPr>
                <w:sz w:val="1"/>
                <w:szCs w:val="1"/>
                <w:color w:val="auto"/>
              </w:rPr>
            </w:pPr>
          </w:p>
        </w:tc>
      </w:tr>
      <w:tr>
        <w:trPr>
          <w:trHeight w:val="184"/>
        </w:trPr>
        <w:tc>
          <w:tcPr>
            <w:tcW w:w="3280" w:type="dxa"/>
            <w:vAlign w:val="bottom"/>
          </w:tcPr>
          <w:p>
            <w:pPr>
              <w:ind w:left="140"/>
              <w:spacing w:after="0"/>
              <w:rPr>
                <w:sz w:val="20"/>
                <w:szCs w:val="20"/>
                <w:color w:val="auto"/>
              </w:rPr>
            </w:pPr>
            <w:r>
              <w:rPr>
                <w:rFonts w:ascii="Arial" w:cs="Arial" w:eastAsia="Arial" w:hAnsi="Arial"/>
                <w:sz w:val="14"/>
                <w:szCs w:val="14"/>
                <w:color w:val="auto"/>
              </w:rPr>
              <w:t>Investment in debt securities of Avis Budget</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280" w:type="dxa"/>
            <w:vAlign w:val="bottom"/>
          </w:tcPr>
          <w:p>
            <w:pPr>
              <w:ind w:left="300"/>
              <w:spacing w:after="0"/>
              <w:rPr>
                <w:sz w:val="20"/>
                <w:szCs w:val="20"/>
                <w:color w:val="auto"/>
              </w:rPr>
            </w:pPr>
            <w:r>
              <w:rPr>
                <w:rFonts w:ascii="Arial" w:cs="Arial" w:eastAsia="Arial" w:hAnsi="Arial"/>
                <w:sz w:val="14"/>
                <w:szCs w:val="14"/>
                <w:color w:val="auto"/>
              </w:rPr>
              <w:t>Rental Car Funding (AESOP) LLC—related</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280" w:type="dxa"/>
            <w:vAlign w:val="bottom"/>
          </w:tcPr>
          <w:p>
            <w:pPr>
              <w:ind w:left="300"/>
              <w:spacing w:after="0"/>
              <w:rPr>
                <w:sz w:val="20"/>
                <w:szCs w:val="20"/>
                <w:color w:val="auto"/>
              </w:rPr>
            </w:pPr>
            <w:r>
              <w:rPr>
                <w:rFonts w:ascii="Arial" w:cs="Arial" w:eastAsia="Arial" w:hAnsi="Arial"/>
                <w:sz w:val="14"/>
                <w:szCs w:val="14"/>
                <w:color w:val="auto"/>
              </w:rPr>
              <w:t>party</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48"/>
        </w:trPr>
        <w:tc>
          <w:tcPr>
            <w:tcW w:w="3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(2,952)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(2,922)</w:t>
            </w:r>
          </w:p>
        </w:tc>
        <w:tc>
          <w:tcPr>
            <w:tcW w:w="0" w:type="dxa"/>
            <w:vAlign w:val="bottom"/>
          </w:tcPr>
          <w:p>
            <w:pPr>
              <w:spacing w:after="0"/>
              <w:rPr>
                <w:sz w:val="1"/>
                <w:szCs w:val="1"/>
                <w:color w:val="auto"/>
              </w:rPr>
            </w:pPr>
          </w:p>
        </w:tc>
      </w:tr>
      <w:tr>
        <w:trPr>
          <w:trHeight w:val="160"/>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investing</w:t>
            </w:r>
          </w:p>
        </w:tc>
        <w:tc>
          <w:tcPr>
            <w:tcW w:w="2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(3,303)</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214</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(3,019)</w:t>
            </w:r>
          </w:p>
        </w:tc>
        <w:tc>
          <w:tcPr>
            <w:tcW w:w="0" w:type="dxa"/>
            <w:vAlign w:val="bottom"/>
          </w:tcPr>
          <w:p>
            <w:pPr>
              <w:spacing w:after="0"/>
              <w:rPr>
                <w:sz w:val="1"/>
                <w:szCs w:val="1"/>
                <w:color w:val="auto"/>
              </w:rPr>
            </w:pPr>
          </w:p>
        </w:tc>
      </w:tr>
      <w:tr>
        <w:trPr>
          <w:trHeight w:val="439"/>
        </w:trPr>
        <w:tc>
          <w:tcPr>
            <w:tcW w:w="3280" w:type="dxa"/>
            <w:vAlign w:val="bottom"/>
          </w:tcPr>
          <w:p>
            <w:pPr>
              <w:spacing w:after="0"/>
              <w:rPr>
                <w:sz w:val="20"/>
                <w:szCs w:val="20"/>
                <w:color w:val="auto"/>
              </w:rPr>
            </w:pPr>
            <w:r>
              <w:rPr>
                <w:rFonts w:ascii="Arial" w:cs="Arial" w:eastAsia="Arial" w:hAnsi="Arial"/>
                <w:sz w:val="14"/>
                <w:szCs w:val="14"/>
                <w:b w:val="1"/>
                <w:bCs w:val="1"/>
                <w:color w:val="auto"/>
              </w:rPr>
              <w:t>Financing activities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280" w:type="dxa"/>
            <w:vAlign w:val="bottom"/>
          </w:tcPr>
          <w:p>
            <w:pPr>
              <w:spacing w:after="0"/>
              <w:rPr>
                <w:sz w:val="20"/>
                <w:szCs w:val="20"/>
                <w:color w:val="auto"/>
              </w:rPr>
            </w:pPr>
            <w:r>
              <w:rPr>
                <w:rFonts w:ascii="Arial" w:cs="Arial" w:eastAsia="Arial" w:hAnsi="Arial"/>
                <w:sz w:val="14"/>
                <w:szCs w:val="14"/>
                <w:color w:val="auto"/>
              </w:rPr>
              <w:t>Proceeds from long-term borrowings</w:t>
            </w:r>
          </w:p>
        </w:tc>
        <w:tc>
          <w:tcPr>
            <w:tcW w:w="260" w:type="dxa"/>
            <w:vAlign w:val="bottom"/>
          </w:tcPr>
          <w:p>
            <w:pPr>
              <w:spacing w:after="0"/>
              <w:rPr>
                <w:sz w:val="22"/>
                <w:szCs w:val="22"/>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325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264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589</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Payments on long-term borrowings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(396)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(194)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(591)</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Net change in short-term borrowings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Intercompany loan borrowings (payments)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313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(314)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Repurchases of common stock</w:t>
            </w:r>
          </w:p>
        </w:tc>
        <w:tc>
          <w:tcPr>
            <w:tcW w:w="26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(109)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Debt financing fees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Other, net</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6"/>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financing</w:t>
            </w:r>
          </w:p>
        </w:tc>
        <w:tc>
          <w:tcPr>
            <w:tcW w:w="2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 exclusive of vehicle programs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139</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433"/>
        </w:trPr>
        <w:tc>
          <w:tcPr>
            <w:tcW w:w="3280" w:type="dxa"/>
            <w:vAlign w:val="bottom"/>
          </w:tcPr>
          <w:p>
            <w:pPr>
              <w:spacing w:after="0"/>
              <w:rPr>
                <w:sz w:val="20"/>
                <w:szCs w:val="20"/>
                <w:color w:val="auto"/>
              </w:rPr>
            </w:pPr>
            <w:r>
              <w:rPr>
                <w:rFonts w:ascii="Arial" w:cs="Arial" w:eastAsia="Arial" w:hAnsi="Arial"/>
                <w:sz w:val="14"/>
                <w:szCs w:val="14"/>
                <w:i w:val="1"/>
                <w:iCs w:val="1"/>
                <w:color w:val="auto"/>
              </w:rPr>
              <w:t>Vehicle programs: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80" w:type="dxa"/>
            <w:vAlign w:val="bottom"/>
          </w:tcPr>
          <w:p>
            <w:pPr>
              <w:ind w:left="140"/>
              <w:spacing w:after="0"/>
              <w:rPr>
                <w:sz w:val="20"/>
                <w:szCs w:val="20"/>
                <w:color w:val="auto"/>
              </w:rPr>
            </w:pPr>
            <w:r>
              <w:rPr>
                <w:rFonts w:ascii="Arial" w:cs="Arial" w:eastAsia="Arial" w:hAnsi="Arial"/>
                <w:sz w:val="14"/>
                <w:szCs w:val="14"/>
                <w:color w:val="auto"/>
              </w:rPr>
              <w:t>Proceeds from borrowings</w:t>
            </w:r>
          </w:p>
        </w:tc>
        <w:tc>
          <w:tcPr>
            <w:tcW w:w="260" w:type="dxa"/>
            <w:vAlign w:val="bottom"/>
          </w:tcPr>
          <w:p>
            <w:pPr>
              <w:spacing w:after="0"/>
              <w:rPr>
                <w:sz w:val="23"/>
                <w:szCs w:val="23"/>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11,255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11,255</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4"/>
                <w:szCs w:val="14"/>
                <w:color w:val="auto"/>
              </w:rPr>
              <w:t>Payments on borrowings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(8,983)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(8,988)</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4"/>
                <w:szCs w:val="14"/>
                <w:color w:val="auto"/>
              </w:rPr>
              <w:t>Debt financing fees</w:t>
            </w:r>
          </w:p>
        </w:tc>
        <w:tc>
          <w:tcPr>
            <w:tcW w:w="260" w:type="dxa"/>
            <w:vAlign w:val="bottom"/>
          </w:tcPr>
          <w:p>
            <w:pPr>
              <w:spacing w:after="0"/>
              <w:rPr>
                <w:sz w:val="18"/>
                <w:szCs w:val="18"/>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58"/>
        </w:trPr>
        <w:tc>
          <w:tcPr>
            <w:tcW w:w="328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3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2,264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2,259</w:t>
            </w:r>
          </w:p>
        </w:tc>
        <w:tc>
          <w:tcPr>
            <w:tcW w:w="0" w:type="dxa"/>
            <w:vAlign w:val="bottom"/>
          </w:tcPr>
          <w:p>
            <w:pPr>
              <w:spacing w:after="0"/>
              <w:rPr>
                <w:sz w:val="1"/>
                <w:szCs w:val="1"/>
                <w:color w:val="auto"/>
              </w:rPr>
            </w:pPr>
          </w:p>
        </w:tc>
      </w:tr>
      <w:tr>
        <w:trPr>
          <w:trHeight w:val="160"/>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financing</w:t>
            </w:r>
          </w:p>
        </w:tc>
        <w:tc>
          <w:tcPr>
            <w:tcW w:w="2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139</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2,329</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2,139</w:t>
            </w:r>
          </w:p>
        </w:tc>
        <w:tc>
          <w:tcPr>
            <w:tcW w:w="0" w:type="dxa"/>
            <w:vAlign w:val="bottom"/>
          </w:tcPr>
          <w:p>
            <w:pPr>
              <w:spacing w:after="0"/>
              <w:rPr>
                <w:sz w:val="1"/>
                <w:szCs w:val="1"/>
                <w:color w:val="auto"/>
              </w:rPr>
            </w:pPr>
          </w:p>
        </w:tc>
      </w:tr>
      <w:tr>
        <w:trPr>
          <w:trHeight w:val="401"/>
        </w:trPr>
        <w:tc>
          <w:tcPr>
            <w:tcW w:w="3280" w:type="dxa"/>
            <w:vAlign w:val="bottom"/>
          </w:tcPr>
          <w:p>
            <w:pPr>
              <w:spacing w:after="0"/>
              <w:rPr>
                <w:sz w:val="20"/>
                <w:szCs w:val="20"/>
                <w:color w:val="auto"/>
              </w:rPr>
            </w:pPr>
            <w:r>
              <w:rPr>
                <w:rFonts w:ascii="Arial" w:cs="Arial" w:eastAsia="Arial" w:hAnsi="Arial"/>
                <w:sz w:val="14"/>
                <w:szCs w:val="14"/>
                <w:color w:val="auto"/>
              </w:rPr>
              <w:t>Effect of changes in exchange rates on cash and</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3280" w:type="dxa"/>
            <w:vAlign w:val="bottom"/>
          </w:tcPr>
          <w:p>
            <w:pPr>
              <w:ind w:left="160"/>
              <w:spacing w:after="0"/>
              <w:rPr>
                <w:sz w:val="20"/>
                <w:szCs w:val="20"/>
                <w:color w:val="auto"/>
              </w:rPr>
            </w:pPr>
            <w:r>
              <w:rPr>
                <w:rFonts w:ascii="Arial" w:cs="Arial" w:eastAsia="Arial" w:hAnsi="Arial"/>
                <w:sz w:val="14"/>
                <w:szCs w:val="14"/>
                <w:color w:val="auto"/>
              </w:rPr>
              <w:t>cash equivalents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489"/>
        </w:trPr>
        <w:tc>
          <w:tcPr>
            <w:tcW w:w="3280" w:type="dxa"/>
            <w:vAlign w:val="bottom"/>
          </w:tcPr>
          <w:p>
            <w:pPr>
              <w:spacing w:after="0"/>
              <w:rPr>
                <w:sz w:val="20"/>
                <w:szCs w:val="20"/>
                <w:color w:val="auto"/>
              </w:rPr>
            </w:pPr>
            <w:r>
              <w:rPr>
                <w:rFonts w:ascii="Arial" w:cs="Arial" w:eastAsia="Arial" w:hAnsi="Arial"/>
                <w:sz w:val="14"/>
                <w:szCs w:val="14"/>
                <w:color w:val="auto"/>
              </w:rPr>
              <w:t>Net increase in cash and cash equivalents</w:t>
            </w:r>
          </w:p>
        </w:tc>
        <w:tc>
          <w:tcPr>
            <w:tcW w:w="260" w:type="dxa"/>
            <w:vAlign w:val="bottom"/>
          </w:tcPr>
          <w:p>
            <w:pPr>
              <w:spacing w:after="0"/>
              <w:rPr>
                <w:sz w:val="24"/>
                <w:szCs w:val="2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109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286</w:t>
            </w:r>
          </w:p>
        </w:tc>
        <w:tc>
          <w:tcPr>
            <w:tcW w:w="0" w:type="dxa"/>
            <w:vAlign w:val="bottom"/>
          </w:tcPr>
          <w:p>
            <w:pPr>
              <w:spacing w:after="0"/>
              <w:rPr>
                <w:sz w:val="1"/>
                <w:szCs w:val="1"/>
                <w:color w:val="auto"/>
              </w:rPr>
            </w:pPr>
          </w:p>
        </w:tc>
      </w:tr>
      <w:tr>
        <w:trPr>
          <w:trHeight w:val="274"/>
        </w:trPr>
        <w:tc>
          <w:tcPr>
            <w:tcW w:w="3280" w:type="dxa"/>
            <w:vAlign w:val="bottom"/>
          </w:tcPr>
          <w:p>
            <w:pPr>
              <w:spacing w:after="0"/>
              <w:rPr>
                <w:sz w:val="20"/>
                <w:szCs w:val="20"/>
                <w:color w:val="auto"/>
              </w:rPr>
            </w:pPr>
            <w:r>
              <w:rPr>
                <w:rFonts w:ascii="Arial" w:cs="Arial" w:eastAsia="Arial" w:hAnsi="Arial"/>
                <w:sz w:val="14"/>
                <w:szCs w:val="14"/>
                <w:color w:val="auto"/>
              </w:rPr>
              <w:t>Cash and cash equivalents, beginning of period</w:t>
            </w: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475</w:t>
            </w:r>
          </w:p>
        </w:tc>
        <w:tc>
          <w:tcPr>
            <w:tcW w:w="1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490</w:t>
            </w:r>
          </w:p>
        </w:tc>
        <w:tc>
          <w:tcPr>
            <w:tcW w:w="0" w:type="dxa"/>
            <w:vAlign w:val="bottom"/>
          </w:tcPr>
          <w:p>
            <w:pPr>
              <w:spacing w:after="0"/>
              <w:rPr>
                <w:sz w:val="1"/>
                <w:szCs w:val="1"/>
                <w:color w:val="auto"/>
              </w:rPr>
            </w:pPr>
          </w:p>
        </w:tc>
      </w:tr>
      <w:tr>
        <w:trPr>
          <w:trHeight w:val="241"/>
        </w:trPr>
        <w:tc>
          <w:tcPr>
            <w:tcW w:w="3280" w:type="dxa"/>
            <w:vAlign w:val="bottom"/>
          </w:tcPr>
          <w:p>
            <w:pPr>
              <w:spacing w:after="0"/>
              <w:rPr>
                <w:sz w:val="20"/>
                <w:szCs w:val="20"/>
                <w:color w:val="auto"/>
              </w:rPr>
            </w:pPr>
            <w:r>
              <w:rPr>
                <w:rFonts w:ascii="Arial" w:cs="Arial" w:eastAsia="Arial" w:hAnsi="Arial"/>
                <w:sz w:val="14"/>
                <w:szCs w:val="14"/>
                <w:color w:val="auto"/>
              </w:rPr>
              <w:t>Cash and cash equivalents, end of period</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0"/>
                <w:szCs w:val="20"/>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121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652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776</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15" w:right="259" w:bottom="1440" w:gutter="0" w:footer="0" w:header="0"/>
        </w:sectPr>
      </w:pP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400"/>
          </w:cols>
          <w:pgMar w:left="240" w:top="115" w:right="25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Six Months Ended June 30, 2016</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Guarantor</w:t>
            </w:r>
          </w:p>
        </w:tc>
        <w:tc>
          <w:tcPr>
            <w:tcW w:w="13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20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Issuers</w:t>
            </w:r>
          </w:p>
        </w:tc>
        <w:tc>
          <w:tcPr>
            <w:tcW w:w="16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7"/>
                <w:szCs w:val="17"/>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80" w:type="dxa"/>
            <w:vAlign w:val="bottom"/>
          </w:tcPr>
          <w:p>
            <w:pPr>
              <w:spacing w:after="0"/>
              <w:rPr>
                <w:sz w:val="17"/>
                <w:szCs w:val="17"/>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6"/>
        </w:trPr>
        <w:tc>
          <w:tcPr>
            <w:tcW w:w="3280" w:type="dxa"/>
            <w:vAlign w:val="bottom"/>
          </w:tcPr>
          <w:p>
            <w:pPr>
              <w:spacing w:after="0" w:line="156" w:lineRule="exact"/>
              <w:rPr>
                <w:sz w:val="20"/>
                <w:szCs w:val="20"/>
                <w:color w:val="auto"/>
              </w:rPr>
            </w:pPr>
            <w:r>
              <w:rPr>
                <w:rFonts w:ascii="Arial" w:cs="Arial" w:eastAsia="Arial" w:hAnsi="Arial"/>
                <w:sz w:val="14"/>
                <w:szCs w:val="14"/>
                <w:b w:val="1"/>
                <w:bCs w:val="1"/>
                <w:color w:val="auto"/>
              </w:rPr>
              <w:t>Net cash provided by (used in) operating</w:t>
            </w:r>
          </w:p>
        </w:tc>
        <w:tc>
          <w:tcPr>
            <w:tcW w:w="2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89</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144</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896</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1,079</w:t>
            </w:r>
          </w:p>
        </w:tc>
        <w:tc>
          <w:tcPr>
            <w:tcW w:w="0" w:type="dxa"/>
            <w:vAlign w:val="bottom"/>
          </w:tcPr>
          <w:p>
            <w:pPr>
              <w:spacing w:after="0"/>
              <w:rPr>
                <w:sz w:val="1"/>
                <w:szCs w:val="1"/>
                <w:color w:val="auto"/>
              </w:rPr>
            </w:pPr>
          </w:p>
        </w:tc>
      </w:tr>
      <w:tr>
        <w:trPr>
          <w:trHeight w:val="439"/>
        </w:trPr>
        <w:tc>
          <w:tcPr>
            <w:tcW w:w="3280" w:type="dxa"/>
            <w:vAlign w:val="bottom"/>
          </w:tcPr>
          <w:p>
            <w:pPr>
              <w:spacing w:after="0"/>
              <w:rPr>
                <w:sz w:val="20"/>
                <w:szCs w:val="20"/>
                <w:color w:val="auto"/>
              </w:rPr>
            </w:pPr>
            <w:r>
              <w:rPr>
                <w:rFonts w:ascii="Arial" w:cs="Arial" w:eastAsia="Arial" w:hAnsi="Arial"/>
                <w:sz w:val="14"/>
                <w:szCs w:val="14"/>
                <w:b w:val="1"/>
                <w:bCs w:val="1"/>
                <w:color w:val="auto"/>
              </w:rPr>
              <w:t>Investing activities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280" w:type="dxa"/>
            <w:vAlign w:val="bottom"/>
          </w:tcPr>
          <w:p>
            <w:pPr>
              <w:spacing w:after="0"/>
              <w:rPr>
                <w:sz w:val="20"/>
                <w:szCs w:val="20"/>
                <w:color w:val="auto"/>
              </w:rPr>
            </w:pPr>
            <w:r>
              <w:rPr>
                <w:rFonts w:ascii="Arial" w:cs="Arial" w:eastAsia="Arial" w:hAnsi="Arial"/>
                <w:sz w:val="14"/>
                <w:szCs w:val="14"/>
                <w:color w:val="auto"/>
              </w:rPr>
              <w:t>Property and equipment additions</w:t>
            </w:r>
          </w:p>
        </w:tc>
        <w:tc>
          <w:tcPr>
            <w:tcW w:w="260" w:type="dxa"/>
            <w:vAlign w:val="bottom"/>
          </w:tcPr>
          <w:p>
            <w:pPr>
              <w:spacing w:after="0"/>
              <w:rPr>
                <w:sz w:val="22"/>
                <w:szCs w:val="22"/>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Proceeds received on asset sales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Net assets acquired (net of cash acquired)</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Intercompany loan receipts (advances)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Other, net</w:t>
            </w:r>
          </w:p>
        </w:tc>
        <w:tc>
          <w:tcPr>
            <w:tcW w:w="260" w:type="dxa"/>
            <w:vAlign w:val="bottom"/>
          </w:tcPr>
          <w:p>
            <w:pPr>
              <w:spacing w:after="0"/>
              <w:rPr>
                <w:sz w:val="18"/>
                <w:szCs w:val="18"/>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56"/>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investing</w:t>
            </w:r>
          </w:p>
        </w:tc>
        <w:tc>
          <w:tcPr>
            <w:tcW w:w="2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 exclusive of vehicle programs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433"/>
        </w:trPr>
        <w:tc>
          <w:tcPr>
            <w:tcW w:w="3280" w:type="dxa"/>
            <w:vAlign w:val="bottom"/>
          </w:tcPr>
          <w:p>
            <w:pPr>
              <w:spacing w:after="0"/>
              <w:rPr>
                <w:sz w:val="20"/>
                <w:szCs w:val="20"/>
                <w:color w:val="auto"/>
              </w:rPr>
            </w:pPr>
            <w:r>
              <w:rPr>
                <w:rFonts w:ascii="Arial" w:cs="Arial" w:eastAsia="Arial" w:hAnsi="Arial"/>
                <w:sz w:val="14"/>
                <w:szCs w:val="14"/>
                <w:i w:val="1"/>
                <w:iCs w:val="1"/>
                <w:color w:val="auto"/>
              </w:rPr>
              <w:t>Vehicle programs: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80" w:type="dxa"/>
            <w:vAlign w:val="bottom"/>
          </w:tcPr>
          <w:p>
            <w:pPr>
              <w:ind w:left="140"/>
              <w:spacing w:after="0"/>
              <w:rPr>
                <w:sz w:val="20"/>
                <w:szCs w:val="20"/>
                <w:color w:val="auto"/>
              </w:rPr>
            </w:pPr>
            <w:r>
              <w:rPr>
                <w:rFonts w:ascii="Arial" w:cs="Arial" w:eastAsia="Arial" w:hAnsi="Arial"/>
                <w:sz w:val="14"/>
                <w:szCs w:val="14"/>
                <w:color w:val="auto"/>
              </w:rPr>
              <w:t>Decrease in program cash</w:t>
            </w:r>
          </w:p>
        </w:tc>
        <w:tc>
          <w:tcPr>
            <w:tcW w:w="260" w:type="dxa"/>
            <w:vAlign w:val="bottom"/>
          </w:tcPr>
          <w:p>
            <w:pPr>
              <w:spacing w:after="0"/>
              <w:rPr>
                <w:sz w:val="23"/>
                <w:szCs w:val="23"/>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4"/>
                <w:szCs w:val="14"/>
                <w:color w:val="auto"/>
              </w:rPr>
              <w:t>Investment in vehicles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(8,491)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(8,500)</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4"/>
                <w:szCs w:val="14"/>
                <w:color w:val="auto"/>
              </w:rPr>
              <w:t>Proceeds received on disposition of vehicles</w:t>
            </w:r>
          </w:p>
        </w:tc>
        <w:tc>
          <w:tcPr>
            <w:tcW w:w="260" w:type="dxa"/>
            <w:vAlign w:val="bottom"/>
          </w:tcPr>
          <w:p>
            <w:pPr>
              <w:spacing w:after="0"/>
              <w:rPr>
                <w:sz w:val="18"/>
                <w:szCs w:val="18"/>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5,398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5,418</w:t>
            </w:r>
          </w:p>
        </w:tc>
        <w:tc>
          <w:tcPr>
            <w:tcW w:w="0" w:type="dxa"/>
            <w:vAlign w:val="bottom"/>
          </w:tcPr>
          <w:p>
            <w:pPr>
              <w:spacing w:after="0"/>
              <w:rPr>
                <w:sz w:val="1"/>
                <w:szCs w:val="1"/>
                <w:color w:val="auto"/>
              </w:rPr>
            </w:pPr>
          </w:p>
        </w:tc>
      </w:tr>
      <w:tr>
        <w:trPr>
          <w:trHeight w:val="58"/>
        </w:trPr>
        <w:tc>
          <w:tcPr>
            <w:tcW w:w="328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3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(3,000)</w:t>
            </w:r>
          </w:p>
        </w:tc>
        <w:tc>
          <w:tcPr>
            <w:tcW w:w="0" w:type="dxa"/>
            <w:vAlign w:val="bottom"/>
          </w:tcPr>
          <w:p>
            <w:pPr>
              <w:spacing w:after="0"/>
              <w:rPr>
                <w:sz w:val="1"/>
                <w:szCs w:val="1"/>
                <w:color w:val="auto"/>
              </w:rPr>
            </w:pPr>
          </w:p>
        </w:tc>
      </w:tr>
      <w:tr>
        <w:trPr>
          <w:trHeight w:val="160"/>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investing</w:t>
            </w:r>
          </w:p>
        </w:tc>
        <w:tc>
          <w:tcPr>
            <w:tcW w:w="2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(3,039)</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(3,081)</w:t>
            </w:r>
          </w:p>
        </w:tc>
        <w:tc>
          <w:tcPr>
            <w:tcW w:w="0" w:type="dxa"/>
            <w:vAlign w:val="bottom"/>
          </w:tcPr>
          <w:p>
            <w:pPr>
              <w:spacing w:after="0"/>
              <w:rPr>
                <w:sz w:val="1"/>
                <w:szCs w:val="1"/>
                <w:color w:val="auto"/>
              </w:rPr>
            </w:pPr>
          </w:p>
        </w:tc>
      </w:tr>
      <w:tr>
        <w:trPr>
          <w:trHeight w:val="439"/>
        </w:trPr>
        <w:tc>
          <w:tcPr>
            <w:tcW w:w="3280" w:type="dxa"/>
            <w:vAlign w:val="bottom"/>
          </w:tcPr>
          <w:p>
            <w:pPr>
              <w:spacing w:after="0"/>
              <w:rPr>
                <w:sz w:val="20"/>
                <w:szCs w:val="20"/>
                <w:color w:val="auto"/>
              </w:rPr>
            </w:pPr>
            <w:r>
              <w:rPr>
                <w:rFonts w:ascii="Arial" w:cs="Arial" w:eastAsia="Arial" w:hAnsi="Arial"/>
                <w:sz w:val="14"/>
                <w:szCs w:val="14"/>
                <w:b w:val="1"/>
                <w:bCs w:val="1"/>
                <w:color w:val="auto"/>
              </w:rPr>
              <w:t>Financing activities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280" w:type="dxa"/>
            <w:vAlign w:val="bottom"/>
          </w:tcPr>
          <w:p>
            <w:pPr>
              <w:spacing w:after="0"/>
              <w:rPr>
                <w:sz w:val="20"/>
                <w:szCs w:val="20"/>
                <w:color w:val="auto"/>
              </w:rPr>
            </w:pPr>
            <w:r>
              <w:rPr>
                <w:rFonts w:ascii="Arial" w:cs="Arial" w:eastAsia="Arial" w:hAnsi="Arial"/>
                <w:sz w:val="14"/>
                <w:szCs w:val="14"/>
                <w:color w:val="auto"/>
              </w:rPr>
              <w:t>Proceeds from long-term borrowings</w:t>
            </w:r>
          </w:p>
        </w:tc>
        <w:tc>
          <w:tcPr>
            <w:tcW w:w="260" w:type="dxa"/>
            <w:vAlign w:val="bottom"/>
          </w:tcPr>
          <w:p>
            <w:pPr>
              <w:spacing w:after="0"/>
              <w:rPr>
                <w:sz w:val="22"/>
                <w:szCs w:val="22"/>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557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558</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Payments on long-term borrowings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(518)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(520)</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Intercompany loan borrowings (payments)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Repurchases of common stock</w:t>
            </w:r>
          </w:p>
        </w:tc>
        <w:tc>
          <w:tcPr>
            <w:tcW w:w="26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(183)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(183)</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Debt financing fees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Other, net</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(173)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173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6"/>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financing</w:t>
            </w:r>
          </w:p>
        </w:tc>
        <w:tc>
          <w:tcPr>
            <w:tcW w:w="2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 exclusive of vehicle programs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(144)</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201</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433"/>
        </w:trPr>
        <w:tc>
          <w:tcPr>
            <w:tcW w:w="3280" w:type="dxa"/>
            <w:vAlign w:val="bottom"/>
          </w:tcPr>
          <w:p>
            <w:pPr>
              <w:spacing w:after="0"/>
              <w:rPr>
                <w:sz w:val="20"/>
                <w:szCs w:val="20"/>
                <w:color w:val="auto"/>
              </w:rPr>
            </w:pPr>
            <w:r>
              <w:rPr>
                <w:rFonts w:ascii="Arial" w:cs="Arial" w:eastAsia="Arial" w:hAnsi="Arial"/>
                <w:sz w:val="14"/>
                <w:szCs w:val="14"/>
                <w:i w:val="1"/>
                <w:iCs w:val="1"/>
                <w:color w:val="auto"/>
              </w:rPr>
              <w:t>Vehicle programs: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80" w:type="dxa"/>
            <w:vAlign w:val="bottom"/>
          </w:tcPr>
          <w:p>
            <w:pPr>
              <w:ind w:left="140"/>
              <w:spacing w:after="0"/>
              <w:rPr>
                <w:sz w:val="20"/>
                <w:szCs w:val="20"/>
                <w:color w:val="auto"/>
              </w:rPr>
            </w:pPr>
            <w:r>
              <w:rPr>
                <w:rFonts w:ascii="Arial" w:cs="Arial" w:eastAsia="Arial" w:hAnsi="Arial"/>
                <w:sz w:val="14"/>
                <w:szCs w:val="14"/>
                <w:color w:val="auto"/>
              </w:rPr>
              <w:t>Proceeds from borrowings</w:t>
            </w:r>
          </w:p>
        </w:tc>
        <w:tc>
          <w:tcPr>
            <w:tcW w:w="260" w:type="dxa"/>
            <w:vAlign w:val="bottom"/>
          </w:tcPr>
          <w:p>
            <w:pPr>
              <w:spacing w:after="0"/>
              <w:rPr>
                <w:sz w:val="23"/>
                <w:szCs w:val="23"/>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9,850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9,850</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4"/>
                <w:szCs w:val="14"/>
                <w:color w:val="auto"/>
              </w:rPr>
              <w:t>Payments on borrowings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(7,610)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(7,614)</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4"/>
                <w:szCs w:val="14"/>
                <w:color w:val="auto"/>
              </w:rPr>
              <w:t>Debt financing fees</w:t>
            </w:r>
          </w:p>
        </w:tc>
        <w:tc>
          <w:tcPr>
            <w:tcW w:w="260" w:type="dxa"/>
            <w:vAlign w:val="bottom"/>
          </w:tcPr>
          <w:p>
            <w:pPr>
              <w:spacing w:after="0"/>
              <w:rPr>
                <w:sz w:val="18"/>
                <w:szCs w:val="18"/>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58"/>
        </w:trPr>
        <w:tc>
          <w:tcPr>
            <w:tcW w:w="328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3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2,223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2,219</w:t>
            </w:r>
          </w:p>
        </w:tc>
        <w:tc>
          <w:tcPr>
            <w:tcW w:w="0" w:type="dxa"/>
            <w:vAlign w:val="bottom"/>
          </w:tcPr>
          <w:p>
            <w:pPr>
              <w:spacing w:after="0"/>
              <w:rPr>
                <w:sz w:val="1"/>
                <w:szCs w:val="1"/>
                <w:color w:val="auto"/>
              </w:rPr>
            </w:pPr>
          </w:p>
        </w:tc>
      </w:tr>
      <w:tr>
        <w:trPr>
          <w:trHeight w:val="160"/>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financing</w:t>
            </w:r>
          </w:p>
        </w:tc>
        <w:tc>
          <w:tcPr>
            <w:tcW w:w="2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(144)</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2,195</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201</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2,064</w:t>
            </w:r>
          </w:p>
        </w:tc>
        <w:tc>
          <w:tcPr>
            <w:tcW w:w="0" w:type="dxa"/>
            <w:vAlign w:val="bottom"/>
          </w:tcPr>
          <w:p>
            <w:pPr>
              <w:spacing w:after="0"/>
              <w:rPr>
                <w:sz w:val="1"/>
                <w:szCs w:val="1"/>
                <w:color w:val="auto"/>
              </w:rPr>
            </w:pPr>
          </w:p>
        </w:tc>
      </w:tr>
      <w:tr>
        <w:trPr>
          <w:trHeight w:val="401"/>
        </w:trPr>
        <w:tc>
          <w:tcPr>
            <w:tcW w:w="3280" w:type="dxa"/>
            <w:vAlign w:val="bottom"/>
          </w:tcPr>
          <w:p>
            <w:pPr>
              <w:spacing w:after="0"/>
              <w:rPr>
                <w:sz w:val="20"/>
                <w:szCs w:val="20"/>
                <w:color w:val="auto"/>
              </w:rPr>
            </w:pPr>
            <w:r>
              <w:rPr>
                <w:rFonts w:ascii="Arial" w:cs="Arial" w:eastAsia="Arial" w:hAnsi="Arial"/>
                <w:sz w:val="14"/>
                <w:szCs w:val="14"/>
                <w:color w:val="auto"/>
              </w:rPr>
              <w:t>Effect of changes in exchange rates on cash and</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80" w:type="dxa"/>
            <w:vAlign w:val="bottom"/>
          </w:tcPr>
          <w:p>
            <w:pPr>
              <w:ind w:left="160"/>
              <w:spacing w:after="0"/>
              <w:rPr>
                <w:sz w:val="20"/>
                <w:szCs w:val="20"/>
                <w:color w:val="auto"/>
              </w:rPr>
            </w:pPr>
            <w:r>
              <w:rPr>
                <w:rFonts w:ascii="Arial" w:cs="Arial" w:eastAsia="Arial" w:hAnsi="Arial"/>
                <w:sz w:val="14"/>
                <w:szCs w:val="14"/>
                <w:color w:val="auto"/>
              </w:rPr>
              <w:t>cash equivalents</w:t>
            </w:r>
          </w:p>
        </w:tc>
        <w:tc>
          <w:tcPr>
            <w:tcW w:w="26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405"/>
        </w:trPr>
        <w:tc>
          <w:tcPr>
            <w:tcW w:w="3280" w:type="dxa"/>
            <w:vAlign w:val="bottom"/>
          </w:tcPr>
          <w:p>
            <w:pPr>
              <w:spacing w:after="0"/>
              <w:rPr>
                <w:sz w:val="20"/>
                <w:szCs w:val="20"/>
                <w:color w:val="auto"/>
              </w:rPr>
            </w:pPr>
            <w:r>
              <w:rPr>
                <w:rFonts w:ascii="Arial" w:cs="Arial" w:eastAsia="Arial" w:hAnsi="Arial"/>
                <w:sz w:val="14"/>
                <w:szCs w:val="14"/>
                <w:color w:val="auto"/>
              </w:rPr>
              <w:t>Net increase (decrease) in cash and cash</w:t>
            </w: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280" w:type="dxa"/>
            <w:vAlign w:val="bottom"/>
          </w:tcPr>
          <w:p>
            <w:pPr>
              <w:ind w:left="160"/>
              <w:spacing w:after="0"/>
              <w:rPr>
                <w:sz w:val="20"/>
                <w:szCs w:val="20"/>
                <w:color w:val="auto"/>
              </w:rPr>
            </w:pPr>
            <w:r>
              <w:rPr>
                <w:rFonts w:ascii="Arial" w:cs="Arial" w:eastAsia="Arial" w:hAnsi="Arial"/>
                <w:sz w:val="14"/>
                <w:szCs w:val="14"/>
                <w:color w:val="auto"/>
              </w:rPr>
              <w:t>equivalents</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274"/>
        </w:trPr>
        <w:tc>
          <w:tcPr>
            <w:tcW w:w="3280" w:type="dxa"/>
            <w:vAlign w:val="bottom"/>
          </w:tcPr>
          <w:p>
            <w:pPr>
              <w:spacing w:after="0"/>
              <w:rPr>
                <w:sz w:val="20"/>
                <w:szCs w:val="20"/>
                <w:color w:val="auto"/>
              </w:rPr>
            </w:pPr>
            <w:r>
              <w:rPr>
                <w:rFonts w:ascii="Arial" w:cs="Arial" w:eastAsia="Arial" w:hAnsi="Arial"/>
                <w:sz w:val="14"/>
                <w:szCs w:val="14"/>
                <w:color w:val="auto"/>
              </w:rPr>
              <w:t>Cash and cash equivalents, beginning of period</w:t>
            </w: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378</w:t>
            </w:r>
          </w:p>
        </w:tc>
        <w:tc>
          <w:tcPr>
            <w:tcW w:w="1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452</w:t>
            </w:r>
          </w:p>
        </w:tc>
        <w:tc>
          <w:tcPr>
            <w:tcW w:w="0" w:type="dxa"/>
            <w:vAlign w:val="bottom"/>
          </w:tcPr>
          <w:p>
            <w:pPr>
              <w:spacing w:after="0"/>
              <w:rPr>
                <w:sz w:val="1"/>
                <w:szCs w:val="1"/>
                <w:color w:val="auto"/>
              </w:rPr>
            </w:pPr>
          </w:p>
        </w:tc>
      </w:tr>
      <w:tr>
        <w:trPr>
          <w:trHeight w:val="241"/>
        </w:trPr>
        <w:tc>
          <w:tcPr>
            <w:tcW w:w="3280" w:type="dxa"/>
            <w:vAlign w:val="bottom"/>
          </w:tcPr>
          <w:p>
            <w:pPr>
              <w:spacing w:after="0"/>
              <w:rPr>
                <w:sz w:val="20"/>
                <w:szCs w:val="20"/>
                <w:color w:val="auto"/>
              </w:rPr>
            </w:pPr>
            <w:r>
              <w:rPr>
                <w:rFonts w:ascii="Arial" w:cs="Arial" w:eastAsia="Arial" w:hAnsi="Arial"/>
                <w:sz w:val="14"/>
                <w:szCs w:val="14"/>
                <w:color w:val="auto"/>
              </w:rPr>
              <w:t>Cash and cash equivalents, end of period</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0"/>
                <w:szCs w:val="20"/>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443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527</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 * * *</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15"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i w:val="1"/>
          <w:iCs w:val="1"/>
          <w:color w:val="auto"/>
        </w:rPr>
        <w:t>The following discussion should be read in conjunction with our Consolidated Condensed Financial Statements and accompanying Notes thereto included elsewhere herein, and with our 2016 Form 10-K. Our actual results of operations may differ materially from those discussed in forward-looking statements as a result of various factors, including but not limited to those included elsewhere in this Quarterly Report on Form 10-Q and those included in the “Management</w:t>
      </w:r>
      <w:r>
        <w:rPr>
          <w:rFonts w:ascii="Arial" w:cs="Arial" w:eastAsia="Arial" w:hAnsi="Arial"/>
          <w:sz w:val="18"/>
          <w:szCs w:val="18"/>
          <w:color w:val="auto"/>
        </w:rPr>
        <w:t>’</w:t>
      </w:r>
      <w:r>
        <w:rPr>
          <w:rFonts w:ascii="Arial" w:cs="Arial" w:eastAsia="Arial" w:hAnsi="Arial"/>
          <w:sz w:val="18"/>
          <w:szCs w:val="18"/>
          <w:i w:val="1"/>
          <w:iCs w:val="1"/>
          <w:color w:val="auto"/>
        </w:rPr>
        <w:t>s Discussion and Analysis of Financial Condition and Results of Operations,” “Risk Factors” and other portions of our 2016 Form 10-K. Unless otherwise noted, all dollar amounts in tables are in millions and those relating to our results of operations are presented before taxes.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OVERVIEW</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Company</w:t>
      </w:r>
    </w:p>
    <w:p>
      <w:pPr>
        <w:spacing w:after="0" w:line="225"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We operate three of the most recognized brands in the global vehicle rental and car sharing industry, Avis, Budget and Zipcar together with several brands well recognized in their respective markets, including Maggiore in Italy and APEX in both New Zealand and Australia. We are a leading vehicle rental operator in North America, Europe, Australasia and certain other regions we serve, with an average rental fleet of more than 600,000 vehicles. We also license the use of our trademarks to licensees in the areas in which we do not operate directly. We and our licensees operate our brands in approximately 180 countries throughout the world.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Segments</w:t>
      </w:r>
    </w:p>
    <w:p>
      <w:pPr>
        <w:spacing w:after="0" w:line="22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 xml:space="preserve">We categorize our operations into two reportable business segments: </w:t>
      </w:r>
      <w:r>
        <w:rPr>
          <w:rFonts w:ascii="Arial" w:cs="Arial" w:eastAsia="Arial" w:hAnsi="Arial"/>
          <w:sz w:val="18"/>
          <w:szCs w:val="18"/>
          <w:i w:val="1"/>
          <w:iCs w:val="1"/>
          <w:color w:val="auto"/>
        </w:rPr>
        <w:t>Americas</w:t>
      </w:r>
      <w:r>
        <w:rPr>
          <w:rFonts w:ascii="Arial" w:cs="Arial" w:eastAsia="Arial" w:hAnsi="Arial"/>
          <w:sz w:val="18"/>
          <w:szCs w:val="18"/>
          <w:color w:val="auto"/>
        </w:rPr>
        <w:t xml:space="preserve">, consisting primarily of our vehicle rental operations in North America, South America, Central America and the Caribbean, and our car sharing operations in certain of these markets; and </w:t>
      </w:r>
      <w:r>
        <w:rPr>
          <w:rFonts w:ascii="Arial" w:cs="Arial" w:eastAsia="Arial" w:hAnsi="Arial"/>
          <w:sz w:val="18"/>
          <w:szCs w:val="18"/>
          <w:i w:val="1"/>
          <w:iCs w:val="1"/>
          <w:color w:val="auto"/>
        </w:rPr>
        <w:t>International</w:t>
      </w:r>
      <w:r>
        <w:rPr>
          <w:rFonts w:ascii="Arial" w:cs="Arial" w:eastAsia="Arial" w:hAnsi="Arial"/>
          <w:sz w:val="18"/>
          <w:szCs w:val="18"/>
          <w:color w:val="auto"/>
        </w:rPr>
        <w:t>, consisting primarily of our vehicle rental operations in Europe, the Middle East, Africa, Asia, Australasia, and our car sharing operations in certain of these markets.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and Trends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revenues are derived principally from vehicle rentals in our Company-owned operations and include:</w:t>
      </w:r>
    </w:p>
    <w:p>
      <w:pPr>
        <w:spacing w:after="0" w:line="171"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time and mileage fees charged to our customers for vehicle rentals;</w:t>
      </w:r>
    </w:p>
    <w:p>
      <w:pPr>
        <w:spacing w:after="0" w:line="171" w:lineRule="exact"/>
        <w:rPr>
          <w:rFonts w:ascii="Arial" w:cs="Arial" w:eastAsia="Arial" w:hAnsi="Arial"/>
          <w:sz w:val="18"/>
          <w:szCs w:val="18"/>
          <w:color w:val="auto"/>
        </w:rPr>
      </w:pPr>
    </w:p>
    <w:p>
      <w:pPr>
        <w:ind w:left="660" w:right="300" w:hanging="328"/>
        <w:spacing w:after="0" w:line="292"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payments from our customers with respect to certain operating expenses we incur, including gasoline and vehicle licensing fees, as well as concession fees, which we pay in exchange for the right to operate at airports and other locations;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sales of loss damage waivers and insurance and rentals of navigation units and other items in conjunction with vehicle rentals;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royalty revenue from our licensees in conjunction with their vehicle rental transactions.</w:t>
      </w:r>
    </w:p>
    <w:p>
      <w:pPr>
        <w:spacing w:after="0" w:line="225"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Our operating results are subject to variability due to seasonality, macroeconomic conditions and other factors. Car rental volumes tend to be associated with the travel industry, particularly airline passenger volumes, or enplanements, which in turn tend to reflect general economic conditions. Our vehicle rental operations are also seasonal, with the third quarter of the year historically having been our strongest due to the increased level of leisure travel during the quarter. We have a partially variable cost structure and routinely adjust the size, and therefore the cost, of our rental fleet in response to fluctuations in demand.</w:t>
      </w:r>
    </w:p>
    <w:p>
      <w:pPr>
        <w:spacing w:after="0" w:line="121"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Thus far in 2017, we have continued to operate in an uncertain and uneven economic environment marked by heightened geopolitical risks, competitive market conditions and soft used-vehicle values in the U.S. in particular. Nonetheless, we continue to anticipate that worldwide demand for vehicle rental and car sharing services will increase in 2017, most likely against a backdrop of modest and uneven global economic growth. Our access to new fleet vehicles has been adequate to meet our needs for both replacement of existing vehicles in the normal course and for growth to meet incremental demand, and we expect that to continue to be the case. We will look to pursue opportunities for pricing increases in 2017 in order to enhance our profitability and returns on invested capital.</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15"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Our objective is to focus on strategically accelerating our growth, strengthening our global position as a leading provider of vehicle rental services, continuing to enhance our customers’ rental experience, and controlling costs and driving efficiency throughout the organization. We operate in a highly competitive industry and we expect to continue to face challenges and risks. We seek to mitigate our exposure to risks in numerous ways, including delivering upon our core strategic initiatives, continued optimization of fleet levels to match changes in demand for vehicle rentals, adjustments in the size, nature and terms of our relationships with vehicle manufacturers, appropriate investments in technology and maintenance of liquidity to fund our fleet and our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During 2017:</w:t>
      </w:r>
    </w:p>
    <w:p>
      <w:pPr>
        <w:spacing w:after="0" w:line="225" w:lineRule="exact"/>
        <w:rPr>
          <w:sz w:val="20"/>
          <w:szCs w:val="20"/>
          <w:color w:val="auto"/>
        </w:rPr>
      </w:pPr>
    </w:p>
    <w:p>
      <w:pPr>
        <w:ind w:left="660" w:right="320" w:hanging="328"/>
        <w:spacing w:after="0" w:line="292"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net revenues totaled $4.1 billion in the six months ended June 30, 2017 and decreased 1% compared to the six months ended June 30, 2016 due to lower time and mileage revenue per day offset by increased rental volumes.</w:t>
      </w:r>
    </w:p>
    <w:p>
      <w:pPr>
        <w:spacing w:after="0" w:line="144" w:lineRule="exact"/>
        <w:rPr>
          <w:rFonts w:ascii="Arial" w:cs="Arial" w:eastAsia="Arial" w:hAnsi="Arial"/>
          <w:sz w:val="18"/>
          <w:szCs w:val="18"/>
          <w:color w:val="auto"/>
        </w:rPr>
      </w:pPr>
    </w:p>
    <w:p>
      <w:pPr>
        <w:ind w:left="660" w:right="20" w:hanging="328"/>
        <w:spacing w:after="0" w:line="294" w:lineRule="auto"/>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 the six months ended June 30, 2017, our net loss was $104 million, representing an $89 million year-over-year reduction in earnings, and our Adjusted EBITDA was $113 million, representing a $135 million year-over-year reduction, due to lower revenues and higher per-unit fleet costs in the Americas, partially offset by an $11 million favorable effect from currency exchange rate movements.</w:t>
      </w:r>
    </w:p>
    <w:p>
      <w:pPr>
        <w:spacing w:after="0" w:line="145" w:lineRule="exact"/>
        <w:rPr>
          <w:rFonts w:ascii="Arial" w:cs="Arial" w:eastAsia="Arial" w:hAnsi="Arial"/>
          <w:sz w:val="17"/>
          <w:szCs w:val="17"/>
          <w:color w:val="auto"/>
        </w:rPr>
      </w:pPr>
    </w:p>
    <w:p>
      <w:pPr>
        <w:ind w:left="660" w:right="640" w:hanging="328"/>
        <w:spacing w:after="0" w:line="292"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the six months ended June 30, 2017, we repurchased approximately $100 million of our common stock, reducing our shares outstanding by approximately 3.4 million shares, or 4%.</w:t>
      </w:r>
    </w:p>
    <w:p>
      <w:pPr>
        <w:spacing w:after="0" w:line="144" w:lineRule="exact"/>
        <w:rPr>
          <w:rFonts w:ascii="Arial" w:cs="Arial" w:eastAsia="Arial" w:hAnsi="Arial"/>
          <w:sz w:val="18"/>
          <w:szCs w:val="18"/>
          <w:color w:val="auto"/>
        </w:rPr>
      </w:pPr>
    </w:p>
    <w:p>
      <w:pPr>
        <w:ind w:left="660" w:right="200" w:hanging="328"/>
        <w:spacing w:after="0" w:line="271"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issued €250 million of 4½% euro-denominated Senior Notes due 2025 and $188 million of incremental term loan borrowings, the proceeds of which were used to redeem all of our outstanding 6% euro-denominated Senior Notes due 2021 and our Floating Rate Senior Notes due 2017. As a result of these transactions, we will have no significant corporate debt maturities until 2022.</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RESULTS OF OPERATIONS</w:t>
      </w:r>
    </w:p>
    <w:p>
      <w:pPr>
        <w:spacing w:after="0" w:line="2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measure performance principally using the following key operating statistics: (i) rental days, which represents the total number of days (or portion thereof) a vehicle was rented, (ii) time and mileage revenue per rental day, which represents the average daily revenue we earned from rental time and mileage fees charged to our customers, both of which exclude our U.S. truck rental and Zipcar car sharing operations and (iii) per-unit fleet costs represent vehicle depreciation, lease charges and gain or loss on vehicle sales, divided by average rental fleet and exclude our U.S. truck rental operations. We also measure our ancillary revenues (rental-transaction revenue other than time and mileage revenue), such as from the sale of collision and loss damage waivers, insurance products, fuel service options and portable GPS navigation unit rentals. Our vehicle rental operating statistics (rental days and time and mileage revenue per rental day) are all calculated based on the actual rental of the vehicle during a 24-hour period. We believe that this methodology provides our management with the most relevant statistics in order to manage the business. Our calculation may not be comparable to other companies’ calculation of similarly-titled statistics. We present currency exchange rate effects to provide a method of assessing how our business performed excluding the effects of foreign currency rate fluctuations. Currency exchange rate effects are calculated by translating the current-year results at the prior-period average exchange rate plus any related gains and losses on currency hedges.</w:t>
      </w:r>
    </w:p>
    <w:p>
      <w:pPr>
        <w:spacing w:after="0" w:line="18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assess performance and allocate resources based upon the separate financial information of our operating segments. In identifying our reportable segments, we also consider the nature of services provided by our operating segments, the geographical areas in which our segments operate and other relevant factors. Management evaluates the operating results of each of our reportable segments based upon revenue and “Adjusted EBITDA,” which we define as income from continuing operations before non-vehicle related depreciation and amortization, any impairment charges, restructuring and other related charges, early extinguishment of debt costs, non-vehicle related interest, transaction-related costs, net charges for unprecedented personal-injury legal matters and income taxes. Net charges for unprecedented personal-injury legal matters are recorded within operating expenses in our consolidated results of operations. We have revised our definition of Adjusted EBITDA to exclude costs associated with the separation of certain officers of the Company and its limited voluntary opportunity plan, which offers certain employees the limited opportunity to elect resignation from employment for enhanced severance benefits. Costs associated with the separation of certain officers and the limited voluntary opportunity plan are recorded as part of restructuring and other related charges</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116" w:right="27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in our consolidated results of operations. We did not revise prior year’s Adjusted EBITDA amounts because there were no costs similar in nature to these costs. We believe Adjusted EBITDA is useful as a supplemental measure in evaluating the aggregate performance of our operating businesses and in comparing our results from period to period. We believe that Adjusted EBITDA is useful to investors because it allows investors to assess our results of operations and financial condition on the same basis that management uses internally. Adjusted EBITDA is a non-GAAP measure and should not be considered in isolation or as a substitute for net income or other income statement data prepared in accordance with U.S. GAAP. Our presentation of Adjusted EBITDA may not be comparable to similarly-titled measures used by other companies.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2017 vs. Three Months Ended June 30,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results of operations comprised the following: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80" w:type="dxa"/>
            <w:vAlign w:val="bottom"/>
            <w:gridSpan w:val="5"/>
          </w:tcPr>
          <w:p>
            <w:pPr>
              <w:ind w:left="8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17"/>
                <w:szCs w:val="17"/>
                <w:color w:val="auto"/>
              </w:rPr>
            </w:pPr>
          </w:p>
        </w:tc>
        <w:tc>
          <w:tcPr>
            <w:tcW w:w="1260" w:type="dxa"/>
            <w:vAlign w:val="bottom"/>
            <w:vMerge w:val="restart"/>
          </w:tcPr>
          <w:p>
            <w:pPr>
              <w:jc w:val="right"/>
              <w:ind w:right="571"/>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5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8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59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3"/>
            <w:vMerge w:val="continue"/>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 xml:space="preserve">Change </w:t>
            </w:r>
            <w:r>
              <w:rPr>
                <w:rFonts w:ascii="Arial" w:cs="Arial" w:eastAsia="Arial" w:hAnsi="Arial"/>
                <w:sz w:val="14"/>
                <w:szCs w:val="14"/>
                <w:b w:val="1"/>
                <w:bCs w:val="1"/>
                <w:color w:val="auto"/>
              </w:rPr>
              <w:t>Favorable</w:t>
            </w:r>
          </w:p>
        </w:tc>
        <w:tc>
          <w:tcPr>
            <w:tcW w:w="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5960" w:type="dxa"/>
            <w:vAlign w:val="bottom"/>
          </w:tcPr>
          <w:p>
            <w:pPr>
              <w:spacing w:after="0"/>
              <w:rPr>
                <w:sz w:val="5"/>
                <w:szCs w:val="5"/>
                <w:color w:val="auto"/>
              </w:rPr>
            </w:pPr>
          </w:p>
        </w:tc>
        <w:tc>
          <w:tcPr>
            <w:tcW w:w="220" w:type="dxa"/>
            <w:vAlign w:val="bottom"/>
          </w:tcPr>
          <w:p>
            <w:pPr>
              <w:spacing w:after="0"/>
              <w:rPr>
                <w:sz w:val="5"/>
                <w:szCs w:val="5"/>
                <w:color w:val="auto"/>
              </w:rPr>
            </w:pPr>
          </w:p>
        </w:tc>
        <w:tc>
          <w:tcPr>
            <w:tcW w:w="92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w w:val="99"/>
              </w:rPr>
              <w:t>2016</w:t>
            </w:r>
          </w:p>
        </w:tc>
        <w:tc>
          <w:tcPr>
            <w:tcW w:w="100" w:type="dxa"/>
            <w:vAlign w:val="bottom"/>
          </w:tcPr>
          <w:p>
            <w:pPr>
              <w:spacing w:after="0"/>
              <w:rPr>
                <w:sz w:val="5"/>
                <w:szCs w:val="5"/>
                <w:color w:val="auto"/>
              </w:rPr>
            </w:pPr>
          </w:p>
        </w:tc>
        <w:tc>
          <w:tcPr>
            <w:tcW w:w="14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38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03"/>
        </w:trPr>
        <w:tc>
          <w:tcPr>
            <w:tcW w:w="59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/(Unfavorable)</w:t>
            </w:r>
          </w:p>
        </w:tc>
        <w:tc>
          <w:tcPr>
            <w:tcW w:w="120" w:type="dxa"/>
            <w:vAlign w:val="bottom"/>
          </w:tcPr>
          <w:p>
            <w:pPr>
              <w:spacing w:after="0"/>
              <w:rPr>
                <w:sz w:val="17"/>
                <w:szCs w:val="17"/>
                <w:color w:val="auto"/>
              </w:rPr>
            </w:pPr>
          </w:p>
        </w:tc>
        <w:tc>
          <w:tcPr>
            <w:tcW w:w="13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5960" w:type="dxa"/>
            <w:vAlign w:val="bottom"/>
          </w:tcPr>
          <w:p>
            <w:pPr>
              <w:ind w:left="240"/>
              <w:spacing w:after="0"/>
              <w:rPr>
                <w:sz w:val="20"/>
                <w:szCs w:val="20"/>
                <w:color w:val="auto"/>
              </w:rPr>
            </w:pPr>
            <w:r>
              <w:rPr>
                <w:rFonts w:ascii="Arial" w:cs="Arial" w:eastAsia="Arial" w:hAnsi="Arial"/>
                <w:sz w:val="18"/>
                <w:szCs w:val="18"/>
                <w:color w:val="auto"/>
              </w:rPr>
              <w:t>Vehicle rental</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1,563</w:t>
            </w:r>
          </w:p>
        </w:tc>
        <w:tc>
          <w:tcPr>
            <w:tcW w:w="100" w:type="dxa"/>
            <w:vAlign w:val="bottom"/>
          </w:tcPr>
          <w:p>
            <w:pPr>
              <w:spacing w:after="0"/>
              <w:rPr>
                <w:sz w:val="22"/>
                <w:szCs w:val="22"/>
                <w:color w:val="auto"/>
              </w:rPr>
            </w:pP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1,573</w:t>
            </w:r>
          </w:p>
        </w:tc>
        <w:tc>
          <w:tcPr>
            <w:tcW w:w="10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3"/>
        </w:trPr>
        <w:tc>
          <w:tcPr>
            <w:tcW w:w="5960" w:type="dxa"/>
            <w:vAlign w:val="bottom"/>
          </w:tcPr>
          <w:p>
            <w:pPr>
              <w:ind w:left="2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0"/>
        </w:trPr>
        <w:tc>
          <w:tcPr>
            <w:tcW w:w="596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2,238</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2,243</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98"/>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5960" w:type="dxa"/>
            <w:vAlign w:val="bottom"/>
          </w:tcPr>
          <w:p>
            <w:pPr>
              <w:ind w:left="240"/>
              <w:spacing w:after="0"/>
              <w:rPr>
                <w:sz w:val="20"/>
                <w:szCs w:val="20"/>
                <w:color w:val="auto"/>
              </w:rPr>
            </w:pPr>
            <w:r>
              <w:rPr>
                <w:rFonts w:ascii="Arial" w:cs="Arial" w:eastAsia="Arial" w:hAnsi="Arial"/>
                <w:sz w:val="18"/>
                <w:szCs w:val="18"/>
                <w:color w:val="auto"/>
              </w:rPr>
              <w:t>Operating</w:t>
            </w:r>
          </w:p>
        </w:tc>
        <w:tc>
          <w:tcPr>
            <w:tcW w:w="220" w:type="dxa"/>
            <w:vAlign w:val="bottom"/>
          </w:tcPr>
          <w:p>
            <w:pPr>
              <w:spacing w:after="0"/>
              <w:rPr>
                <w:sz w:val="22"/>
                <w:szCs w:val="22"/>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1,108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1,122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5960" w:type="dxa"/>
            <w:vAlign w:val="bottom"/>
          </w:tcPr>
          <w:p>
            <w:pPr>
              <w:ind w:left="240"/>
              <w:spacing w:after="0"/>
              <w:rPr>
                <w:sz w:val="20"/>
                <w:szCs w:val="20"/>
                <w:color w:val="auto"/>
              </w:rPr>
            </w:pPr>
            <w:r>
              <w:rPr>
                <w:rFonts w:ascii="Arial" w:cs="Arial" w:eastAsia="Arial" w:hAnsi="Arial"/>
                <w:sz w:val="18"/>
                <w:szCs w:val="18"/>
                <w:color w:val="auto"/>
              </w:rPr>
              <w:t>Vehicle depreciation and lease charges, net</w:t>
            </w:r>
          </w:p>
        </w:tc>
        <w:tc>
          <w:tcPr>
            <w:tcW w:w="2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(65)</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0"/>
        </w:trPr>
        <w:tc>
          <w:tcPr>
            <w:tcW w:w="5960" w:type="dxa"/>
            <w:vAlign w:val="bottom"/>
          </w:tcPr>
          <w:p>
            <w:pPr>
              <w:ind w:left="2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0"/>
        </w:trPr>
        <w:tc>
          <w:tcPr>
            <w:tcW w:w="5960" w:type="dxa"/>
            <w:vAlign w:val="bottom"/>
          </w:tcPr>
          <w:p>
            <w:pPr>
              <w:ind w:left="240"/>
              <w:spacing w:after="0"/>
              <w:rPr>
                <w:sz w:val="20"/>
                <w:szCs w:val="20"/>
                <w:color w:val="auto"/>
              </w:rPr>
            </w:pPr>
            <w:r>
              <w:rPr>
                <w:rFonts w:ascii="Arial" w:cs="Arial" w:eastAsia="Arial" w:hAnsi="Arial"/>
                <w:sz w:val="18"/>
                <w:szCs w:val="18"/>
                <w:color w:val="auto"/>
              </w:rPr>
              <w:t>Vehicle interest, net</w:t>
            </w:r>
          </w:p>
        </w:tc>
        <w:tc>
          <w:tcPr>
            <w:tcW w:w="2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0"/>
        </w:trPr>
        <w:tc>
          <w:tcPr>
            <w:tcW w:w="5960" w:type="dxa"/>
            <w:vAlign w:val="bottom"/>
          </w:tcPr>
          <w:p>
            <w:pPr>
              <w:ind w:left="240"/>
              <w:spacing w:after="0"/>
              <w:rPr>
                <w:sz w:val="20"/>
                <w:szCs w:val="20"/>
                <w:color w:val="auto"/>
              </w:rPr>
            </w:pPr>
            <w:r>
              <w:rPr>
                <w:rFonts w:ascii="Arial" w:cs="Arial" w:eastAsia="Arial" w:hAnsi="Arial"/>
                <w:sz w:val="18"/>
                <w:szCs w:val="18"/>
                <w:color w:val="auto"/>
              </w:rPr>
              <w:t>Non-vehicle related depreciation and amortization</w:t>
            </w:r>
          </w:p>
        </w:tc>
        <w:tc>
          <w:tcPr>
            <w:tcW w:w="2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0"/>
        </w:trPr>
        <w:tc>
          <w:tcPr>
            <w:tcW w:w="5960" w:type="dxa"/>
            <w:vAlign w:val="bottom"/>
          </w:tcPr>
          <w:p>
            <w:pPr>
              <w:ind w:left="240"/>
              <w:spacing w:after="0"/>
              <w:rPr>
                <w:sz w:val="20"/>
                <w:szCs w:val="20"/>
                <w:color w:val="auto"/>
              </w:rPr>
            </w:pPr>
            <w:r>
              <w:rPr>
                <w:rFonts w:ascii="Arial" w:cs="Arial" w:eastAsia="Arial" w:hAnsi="Arial"/>
                <w:sz w:val="18"/>
                <w:szCs w:val="18"/>
                <w:color w:val="auto"/>
              </w:rPr>
              <w:t>Interest expense related to corporate debt, net:</w:t>
            </w: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6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0"/>
        </w:trPr>
        <w:tc>
          <w:tcPr>
            <w:tcW w:w="5960" w:type="dxa"/>
            <w:vAlign w:val="bottom"/>
          </w:tcPr>
          <w:p>
            <w:pPr>
              <w:ind w:left="380"/>
              <w:spacing w:after="0"/>
              <w:rPr>
                <w:sz w:val="20"/>
                <w:szCs w:val="20"/>
                <w:color w:val="auto"/>
              </w:rPr>
            </w:pPr>
            <w:r>
              <w:rPr>
                <w:rFonts w:ascii="Arial" w:cs="Arial" w:eastAsia="Arial" w:hAnsi="Arial"/>
                <w:sz w:val="18"/>
                <w:szCs w:val="18"/>
                <w:color w:val="auto"/>
              </w:rPr>
              <w:t>Early extinguishment of debt</w:t>
            </w:r>
          </w:p>
        </w:tc>
        <w:tc>
          <w:tcPr>
            <w:tcW w:w="22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960" w:type="dxa"/>
            <w:vAlign w:val="bottom"/>
          </w:tcPr>
          <w:p>
            <w:pPr>
              <w:ind w:left="240"/>
              <w:spacing w:after="0"/>
              <w:rPr>
                <w:sz w:val="20"/>
                <w:szCs w:val="20"/>
                <w:color w:val="auto"/>
              </w:rPr>
            </w:pPr>
            <w:r>
              <w:rPr>
                <w:rFonts w:ascii="Arial" w:cs="Arial" w:eastAsia="Arial" w:hAnsi="Arial"/>
                <w:sz w:val="18"/>
                <w:szCs w:val="18"/>
                <w:color w:val="auto"/>
              </w:rPr>
              <w:t>Restructuring and other related charges</w:t>
            </w:r>
          </w:p>
        </w:tc>
        <w:tc>
          <w:tcPr>
            <w:tcW w:w="2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3"/>
        </w:trPr>
        <w:tc>
          <w:tcPr>
            <w:tcW w:w="5960" w:type="dxa"/>
            <w:vAlign w:val="bottom"/>
          </w:tcPr>
          <w:p>
            <w:pPr>
              <w:ind w:left="240"/>
              <w:spacing w:after="0"/>
              <w:rPr>
                <w:sz w:val="20"/>
                <w:szCs w:val="20"/>
                <w:color w:val="auto"/>
              </w:rPr>
            </w:pPr>
            <w:r>
              <w:rPr>
                <w:rFonts w:ascii="Arial" w:cs="Arial" w:eastAsia="Arial" w:hAnsi="Arial"/>
                <w:sz w:val="18"/>
                <w:szCs w:val="18"/>
                <w:color w:val="auto"/>
              </w:rPr>
              <w:t>Transaction-related costs, net</w:t>
            </w:r>
          </w:p>
        </w:tc>
        <w:tc>
          <w:tcPr>
            <w:tcW w:w="2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50"/>
        </w:trPr>
        <w:tc>
          <w:tcPr>
            <w:tcW w:w="596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2,227</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2,180</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98"/>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2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(52)</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67"/>
        </w:trPr>
        <w:tc>
          <w:tcPr>
            <w:tcW w:w="596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484"/>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4"/>
                <w:szCs w:val="24"/>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9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Not meaningful</w:t>
      </w:r>
    </w:p>
    <w:p>
      <w:pPr>
        <w:spacing w:after="0" w:line="163" w:lineRule="exact"/>
        <w:rPr>
          <w:sz w:val="20"/>
          <w:szCs w:val="20"/>
          <w:color w:val="auto"/>
        </w:rPr>
      </w:pPr>
    </w:p>
    <w:p>
      <w:pPr>
        <w:ind w:right="680"/>
        <w:spacing w:after="0" w:line="292" w:lineRule="auto"/>
        <w:rPr>
          <w:sz w:val="20"/>
          <w:szCs w:val="20"/>
          <w:color w:val="auto"/>
        </w:rPr>
      </w:pPr>
      <w:r>
        <w:rPr>
          <w:rFonts w:ascii="Arial" w:cs="Arial" w:eastAsia="Arial" w:hAnsi="Arial"/>
          <w:sz w:val="18"/>
          <w:szCs w:val="18"/>
          <w:color w:val="auto"/>
        </w:rPr>
        <w:t>During second quarter 2017, our net revenues were in line with prior year as a result of a 5% increase in rental volumes, offset by a 5% reduction in time and mileage revenue per day. Currency exchange rate movements reduced revenues by $20 million.</w:t>
      </w:r>
    </w:p>
    <w:p>
      <w:pPr>
        <w:spacing w:after="0" w:line="145"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Total expenses increased as a result of increased volumes, a 7% increase in per-unit fleet costs and increased restructuring and other related charges, which include a voluntary termination program to reduce expenses in our field operations, shared services and general and administrative functions. These increases were partially offset by a $ 19 million favorable effect on expenses from currency exchange rate movements and cost mitigating actions. Our effective tax rates were a provision of 73% and 43% for the three months ended June 30, 2017 and 2016, respectively, due to the mix of our earnings in the U.S. and foreign jurisdictions. As a result of these items, our net income decreased by $33 million.</w:t>
      </w:r>
    </w:p>
    <w:p>
      <w:pPr>
        <w:spacing w:after="0" w:line="178"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For the three months ended June 30, 2017, the Company reported earnings of $0.04 per diluted share, which includes after-tax restructuring and other related charges of ($0.28) per share, after-tax transaction-related costs of ($0.05) per share and after-tax reversal of charges for legal matter of $0.19 per share. For the three months ended June 30, 2016, the Company reported earnings of $0.38 per diluted share, which includes after-tax debt extinguishment costs of ($0.06) per share, after-tax restructuring and other related charges of ($0.04) per share and after-tax transaction-related costs of ($0.04) per share.</w:t>
      </w:r>
    </w:p>
    <w:p>
      <w:pPr>
        <w:sectPr>
          <w:pgSz w:w="11900" w:h="16838" w:orient="portrait"/>
          <w:cols w:equalWidth="0" w:num="1">
            <w:col w:w="11420"/>
          </w:cols>
          <w:pgMar w:left="240" w:top="115" w:right="239" w:bottom="1440" w:gutter="0" w:footer="0" w:header="0"/>
        </w:sect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420"/>
          </w:cols>
          <w:pgMar w:left="240" w:top="115" w:right="23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In the three months ended June 30, 2017:</w:t>
      </w:r>
    </w:p>
    <w:p>
      <w:pPr>
        <w:spacing w:after="0" w:line="225" w:lineRule="exact"/>
        <w:rPr>
          <w:sz w:val="20"/>
          <w:szCs w:val="20"/>
          <w:color w:val="auto"/>
        </w:rPr>
      </w:pPr>
    </w:p>
    <w:p>
      <w:pPr>
        <w:ind w:left="660" w:right="700" w:hanging="328"/>
        <w:spacing w:after="0" w:line="292"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Operating expenses were reduced to 49.5% of revenue from 50.0% in second quarter 2016, primarily due to the recognition of recoverable insurance proceeds related to an unprecedented personal-injury legal matter.</w:t>
      </w:r>
    </w:p>
    <w:p>
      <w:pPr>
        <w:spacing w:after="0" w:line="144" w:lineRule="exact"/>
        <w:rPr>
          <w:rFonts w:ascii="Arial" w:cs="Arial" w:eastAsia="Arial" w:hAnsi="Arial"/>
          <w:sz w:val="18"/>
          <w:szCs w:val="18"/>
          <w:color w:val="auto"/>
        </w:rPr>
      </w:pPr>
    </w:p>
    <w:p>
      <w:pPr>
        <w:ind w:left="660" w:right="60" w:hanging="328"/>
        <w:spacing w:after="0" w:line="292"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Vehicle depreciation and lease charges increased to 26.7% of revenue from 23.7% in second quarter 2016, due to higher per-unit fleet costs.</w:t>
      </w:r>
    </w:p>
    <w:p>
      <w:pPr>
        <w:spacing w:after="0" w:line="144" w:lineRule="exact"/>
        <w:rPr>
          <w:rFonts w:ascii="Arial" w:cs="Arial" w:eastAsia="Arial" w:hAnsi="Arial"/>
          <w:sz w:val="18"/>
          <w:szCs w:val="18"/>
          <w:color w:val="auto"/>
        </w:rPr>
      </w:pPr>
    </w:p>
    <w:p>
      <w:pPr>
        <w:ind w:left="660" w:right="240" w:hanging="328"/>
        <w:spacing w:after="0" w:line="292"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Selling, general and administrative costs were reduced to 13.1% of revenue compared to 13.9% in second quarter 2016, due to cost mitigating actions.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Vehicle interest costs, at 3.3% of revenue, remained in line with the prior-year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more detailed discussion of the results of each of our reportable segments and reconciliation of net income to Adjusted EBITDA:</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254"/>
        </w:trPr>
        <w:tc>
          <w:tcPr>
            <w:tcW w:w="35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Revenues</w:t>
            </w:r>
          </w:p>
        </w:tc>
        <w:tc>
          <w:tcPr>
            <w:tcW w:w="1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b w:val="1"/>
                <w:bCs w:val="1"/>
                <w:color w:val="auto"/>
                <w:w w:val="99"/>
              </w:rPr>
              <w:t>Adjusted EBITDA</w:t>
            </w:r>
          </w:p>
        </w:tc>
        <w:tc>
          <w:tcPr>
            <w:tcW w:w="1160" w:type="dxa"/>
            <w:vAlign w:val="bottom"/>
            <w:tcBorders>
              <w:bottom w:val="single" w:sz="8" w:color="auto"/>
            </w:tcBorders>
          </w:tcPr>
          <w:p>
            <w:pPr>
              <w:spacing w:after="0"/>
              <w:rPr>
                <w:sz w:val="22"/>
                <w:szCs w:val="22"/>
                <w:color w:val="auto"/>
              </w:rPr>
            </w:pPr>
          </w:p>
        </w:tc>
      </w:tr>
      <w:tr>
        <w:trPr>
          <w:trHeight w:val="263"/>
        </w:trPr>
        <w:tc>
          <w:tcPr>
            <w:tcW w:w="35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2"/>
                <w:szCs w:val="22"/>
                <w:color w:val="auto"/>
              </w:rPr>
            </w:pPr>
          </w:p>
        </w:tc>
        <w:tc>
          <w:tcPr>
            <w:tcW w:w="1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r>
      <w:tr>
        <w:trPr>
          <w:trHeight w:val="242"/>
        </w:trPr>
        <w:tc>
          <w:tcPr>
            <w:tcW w:w="3540" w:type="dxa"/>
            <w:vAlign w:val="bottom"/>
          </w:tcPr>
          <w:p>
            <w:pPr>
              <w:spacing w:after="0"/>
              <w:rPr>
                <w:sz w:val="20"/>
                <w:szCs w:val="20"/>
                <w:color w:val="auto"/>
              </w:rPr>
            </w:pPr>
            <w:r>
              <w:rPr>
                <w:rFonts w:ascii="Arial" w:cs="Arial" w:eastAsia="Arial" w:hAnsi="Arial"/>
                <w:sz w:val="18"/>
                <w:szCs w:val="18"/>
                <w:color w:val="auto"/>
              </w:rPr>
              <w:t>Americas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1,565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1,593</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96</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0"/>
        </w:trPr>
        <w:tc>
          <w:tcPr>
            <w:tcW w:w="3540" w:type="dxa"/>
            <w:vAlign w:val="bottom"/>
          </w:tcPr>
          <w:p>
            <w:pPr>
              <w:spacing w:after="0"/>
              <w:rPr>
                <w:sz w:val="20"/>
                <w:szCs w:val="20"/>
                <w:color w:val="auto"/>
              </w:rPr>
            </w:pPr>
            <w:r>
              <w:rPr>
                <w:rFonts w:ascii="Arial" w:cs="Arial" w:eastAsia="Arial" w:hAnsi="Arial"/>
                <w:sz w:val="18"/>
                <w:szCs w:val="18"/>
                <w:color w:val="auto"/>
              </w:rPr>
              <w:t>International</w:t>
            </w: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673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650</w:t>
            </w:r>
          </w:p>
        </w:tc>
        <w:tc>
          <w:tcPr>
            <w:tcW w:w="1480" w:type="dxa"/>
            <w:vAlign w:val="bottom"/>
            <w:gridSpan w:val="2"/>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80"/>
        </w:trPr>
        <w:tc>
          <w:tcPr>
            <w:tcW w:w="3540" w:type="dxa"/>
            <w:vAlign w:val="bottom"/>
          </w:tcPr>
          <w:p>
            <w:pPr>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18"/>
                <w:szCs w:val="18"/>
                <w:color w:val="auto"/>
                <w:vertAlign w:val="superscript"/>
              </w:rPr>
              <w:t>(a)</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w:t>
            </w:r>
          </w:p>
        </w:tc>
      </w:tr>
      <w:tr>
        <w:trPr>
          <w:trHeight w:val="250"/>
        </w:trPr>
        <w:tc>
          <w:tcPr>
            <w:tcW w:w="3540" w:type="dxa"/>
            <w:vAlign w:val="bottom"/>
          </w:tcPr>
          <w:p>
            <w:pPr>
              <w:ind w:left="200"/>
              <w:spacing w:after="0"/>
              <w:rPr>
                <w:sz w:val="20"/>
                <w:szCs w:val="20"/>
                <w:color w:val="auto"/>
              </w:rPr>
            </w:pPr>
            <w:r>
              <w:rPr>
                <w:rFonts w:ascii="Arial" w:cs="Arial" w:eastAsia="Arial" w:hAnsi="Arial"/>
                <w:sz w:val="18"/>
                <w:szCs w:val="18"/>
                <w:color w:val="auto"/>
              </w:rPr>
              <w:t>Total Company</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2,238</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2,243</w:t>
            </w:r>
          </w:p>
        </w:tc>
        <w:tc>
          <w:tcPr>
            <w:tcW w:w="1480" w:type="dxa"/>
            <w:vAlign w:val="bottom"/>
            <w:gridSpan w:val="2"/>
          </w:tcPr>
          <w:p>
            <w:pPr>
              <w:jc w:val="right"/>
              <w:ind w:right="1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140</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3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45"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Reconciliation of Net income to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2268855</wp:posOffset>
            </wp:positionH>
            <wp:positionV relativeFrom="paragraph">
              <wp:posOffset>29845</wp:posOffset>
            </wp:positionV>
            <wp:extent cx="4965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96570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5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42"/>
        </w:trPr>
        <w:tc>
          <w:tcPr>
            <w:tcW w:w="75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3"/>
        </w:trPr>
        <w:tc>
          <w:tcPr>
            <w:tcW w:w="754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7"/>
        </w:trPr>
        <w:tc>
          <w:tcPr>
            <w:tcW w:w="754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500"/>
        </w:trPr>
        <w:tc>
          <w:tcPr>
            <w:tcW w:w="7540" w:type="dxa"/>
            <w:vAlign w:val="bottom"/>
          </w:tcPr>
          <w:p>
            <w:pPr>
              <w:ind w:left="40"/>
              <w:spacing w:after="0"/>
              <w:rPr>
                <w:sz w:val="20"/>
                <w:szCs w:val="20"/>
                <w:color w:val="auto"/>
              </w:rPr>
            </w:pPr>
            <w:r>
              <w:rPr>
                <w:rFonts w:ascii="Arial" w:cs="Arial" w:eastAsia="Arial" w:hAnsi="Arial"/>
                <w:sz w:val="18"/>
                <w:szCs w:val="18"/>
                <w:color w:val="auto"/>
              </w:rPr>
              <w:t>Add:  Non-vehicle related depreciation and amortization</w:t>
            </w:r>
          </w:p>
        </w:tc>
        <w:tc>
          <w:tcPr>
            <w:tcW w:w="24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0"/>
        </w:trPr>
        <w:tc>
          <w:tcPr>
            <w:tcW w:w="7540" w:type="dxa"/>
            <w:vAlign w:val="bottom"/>
          </w:tcPr>
          <w:p>
            <w:pPr>
              <w:ind w:left="660"/>
              <w:spacing w:after="0"/>
              <w:rPr>
                <w:sz w:val="20"/>
                <w:szCs w:val="20"/>
                <w:color w:val="auto"/>
              </w:rPr>
            </w:pPr>
            <w:r>
              <w:rPr>
                <w:rFonts w:ascii="Arial" w:cs="Arial" w:eastAsia="Arial" w:hAnsi="Arial"/>
                <w:sz w:val="18"/>
                <w:szCs w:val="18"/>
                <w:color w:val="auto"/>
              </w:rPr>
              <w:t>Interest expense related to corporate debt, net:</w:t>
            </w: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540" w:type="dxa"/>
            <w:vAlign w:val="bottom"/>
          </w:tcPr>
          <w:p>
            <w:pPr>
              <w:ind w:left="9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0"/>
        </w:trPr>
        <w:tc>
          <w:tcPr>
            <w:tcW w:w="7540" w:type="dxa"/>
            <w:vAlign w:val="bottom"/>
          </w:tcPr>
          <w:p>
            <w:pPr>
              <w:ind w:left="920"/>
              <w:spacing w:after="0"/>
              <w:rPr>
                <w:sz w:val="20"/>
                <w:szCs w:val="20"/>
                <w:color w:val="auto"/>
              </w:rPr>
            </w:pPr>
            <w:r>
              <w:rPr>
                <w:rFonts w:ascii="Arial" w:cs="Arial" w:eastAsia="Arial" w:hAnsi="Arial"/>
                <w:sz w:val="18"/>
                <w:szCs w:val="18"/>
                <w:color w:val="auto"/>
              </w:rPr>
              <w:t>Early extinguishment of debt</w:t>
            </w:r>
          </w:p>
        </w:tc>
        <w:tc>
          <w:tcPr>
            <w:tcW w:w="24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0"/>
        </w:trPr>
        <w:tc>
          <w:tcPr>
            <w:tcW w:w="7540" w:type="dxa"/>
            <w:vAlign w:val="bottom"/>
          </w:tcPr>
          <w:p>
            <w:pPr>
              <w:ind w:left="660"/>
              <w:spacing w:after="0"/>
              <w:rPr>
                <w:sz w:val="20"/>
                <w:szCs w:val="20"/>
                <w:color w:val="auto"/>
              </w:rPr>
            </w:pPr>
            <w:r>
              <w:rPr>
                <w:rFonts w:ascii="Arial" w:cs="Arial" w:eastAsia="Arial" w:hAnsi="Arial"/>
                <w:sz w:val="18"/>
                <w:szCs w:val="18"/>
                <w:color w:val="auto"/>
              </w:rPr>
              <w:t>Restructuring and other related charges</w:t>
            </w: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81"/>
        </w:trPr>
        <w:tc>
          <w:tcPr>
            <w:tcW w:w="7540" w:type="dxa"/>
            <w:vAlign w:val="bottom"/>
          </w:tcPr>
          <w:p>
            <w:pPr>
              <w:ind w:left="660"/>
              <w:spacing w:after="0"/>
              <w:rPr>
                <w:sz w:val="20"/>
                <w:szCs w:val="20"/>
                <w:color w:val="auto"/>
              </w:rPr>
            </w:pPr>
            <w:r>
              <w:rPr>
                <w:rFonts w:ascii="Arial" w:cs="Arial" w:eastAsia="Arial" w:hAnsi="Arial"/>
                <w:sz w:val="18"/>
                <w:szCs w:val="18"/>
                <w:color w:val="auto"/>
              </w:rPr>
              <w:t xml:space="preserve">Transaction-related costs, net </w:t>
            </w:r>
            <w:r>
              <w:rPr>
                <w:rFonts w:ascii="Arial" w:cs="Arial" w:eastAsia="Arial" w:hAnsi="Arial"/>
                <w:sz w:val="18"/>
                <w:szCs w:val="18"/>
                <w:color w:val="auto"/>
                <w:vertAlign w:val="superscript"/>
              </w:rPr>
              <w:t>(b)</w:t>
            </w:r>
          </w:p>
        </w:tc>
        <w:tc>
          <w:tcPr>
            <w:tcW w:w="24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69"/>
        </w:trPr>
        <w:tc>
          <w:tcPr>
            <w:tcW w:w="7540" w:type="dxa"/>
            <w:vAlign w:val="bottom"/>
          </w:tcPr>
          <w:p>
            <w:pPr>
              <w:ind w:left="660"/>
              <w:spacing w:after="0"/>
              <w:rPr>
                <w:sz w:val="20"/>
                <w:szCs w:val="20"/>
                <w:color w:val="auto"/>
              </w:rPr>
            </w:pPr>
            <w:r>
              <w:rPr>
                <w:rFonts w:ascii="Arial" w:cs="Arial" w:eastAsia="Arial" w:hAnsi="Arial"/>
                <w:sz w:val="18"/>
                <w:szCs w:val="18"/>
                <w:color w:val="auto"/>
              </w:rPr>
              <w:t xml:space="preserve">Charges for legal matter, net </w:t>
            </w:r>
            <w:r>
              <w:rPr>
                <w:rFonts w:ascii="Arial" w:cs="Arial" w:eastAsia="Arial" w:hAnsi="Arial"/>
                <w:sz w:val="18"/>
                <w:szCs w:val="18"/>
                <w:color w:val="auto"/>
                <w:vertAlign w:val="superscript"/>
              </w:rPr>
              <w:t>(c)</w:t>
            </w: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754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5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233" w:lineRule="auto"/>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Not meaningful.</w:t>
      </w:r>
    </w:p>
    <w:p>
      <w:pPr>
        <w:ind w:left="340" w:hanging="332"/>
        <w:spacing w:after="0" w:line="194" w:lineRule="auto"/>
        <w:tabs>
          <w:tab w:leader="none" w:pos="340" w:val="left"/>
        </w:tabs>
        <w:numPr>
          <w:ilvl w:val="0"/>
          <w:numId w:val="48"/>
        </w:numPr>
        <w:rPr>
          <w:rFonts w:ascii="Arial" w:cs="Arial" w:eastAsia="Arial" w:hAnsi="Arial"/>
          <w:sz w:val="18"/>
          <w:szCs w:val="18"/>
          <w:color w:val="auto"/>
          <w:vertAlign w:val="superscript"/>
        </w:rPr>
      </w:pPr>
      <w:r>
        <w:rPr>
          <w:rFonts w:ascii="Arial" w:cs="Arial" w:eastAsia="Arial" w:hAnsi="Arial"/>
          <w:sz w:val="14"/>
          <w:szCs w:val="14"/>
          <w:color w:val="auto"/>
        </w:rPr>
        <w:t>Includes unallocated corporate overhead which is not attributable to a particular segment.</w:t>
      </w:r>
    </w:p>
    <w:p>
      <w:pPr>
        <w:ind w:left="340" w:hanging="332"/>
        <w:spacing w:after="0" w:line="187" w:lineRule="auto"/>
        <w:tabs>
          <w:tab w:leader="none" w:pos="340" w:val="left"/>
        </w:tabs>
        <w:numPr>
          <w:ilvl w:val="0"/>
          <w:numId w:val="48"/>
        </w:numPr>
        <w:rPr>
          <w:rFonts w:ascii="Arial" w:cs="Arial" w:eastAsia="Arial" w:hAnsi="Arial"/>
          <w:sz w:val="18"/>
          <w:szCs w:val="18"/>
          <w:color w:val="auto"/>
          <w:vertAlign w:val="superscript"/>
        </w:rPr>
      </w:pPr>
      <w:r>
        <w:rPr>
          <w:rFonts w:ascii="Arial" w:cs="Arial" w:eastAsia="Arial" w:hAnsi="Arial"/>
          <w:sz w:val="14"/>
          <w:szCs w:val="14"/>
          <w:color w:val="auto"/>
        </w:rPr>
        <w:t>Primarily comprised of acquisition- and integration-related expenses.</w:t>
      </w:r>
    </w:p>
    <w:p>
      <w:pPr>
        <w:ind w:left="340" w:hanging="332"/>
        <w:spacing w:after="0" w:line="204" w:lineRule="auto"/>
        <w:tabs>
          <w:tab w:leader="none" w:pos="340" w:val="left"/>
        </w:tabs>
        <w:numPr>
          <w:ilvl w:val="0"/>
          <w:numId w:val="48"/>
        </w:numPr>
        <w:rPr>
          <w:rFonts w:ascii="Arial" w:cs="Arial" w:eastAsia="Arial" w:hAnsi="Arial"/>
          <w:sz w:val="18"/>
          <w:szCs w:val="18"/>
          <w:color w:val="auto"/>
          <w:vertAlign w:val="superscript"/>
        </w:rPr>
      </w:pPr>
      <w:r>
        <w:rPr>
          <w:rFonts w:ascii="Arial" w:cs="Arial" w:eastAsia="Arial" w:hAnsi="Arial"/>
          <w:sz w:val="14"/>
          <w:szCs w:val="14"/>
          <w:color w:val="auto"/>
        </w:rPr>
        <w:t>Recorded within operating expenses in our consolidated results of operations.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7480" w:type="dxa"/>
            <w:vAlign w:val="bottom"/>
          </w:tcPr>
          <w:p>
            <w:pPr>
              <w:spacing w:after="0"/>
              <w:rPr>
                <w:sz w:val="20"/>
                <w:szCs w:val="20"/>
                <w:color w:val="auto"/>
              </w:rPr>
            </w:pPr>
            <w:r>
              <w:rPr>
                <w:rFonts w:ascii="Arial" w:cs="Arial" w:eastAsia="Arial" w:hAnsi="Arial"/>
                <w:sz w:val="18"/>
                <w:szCs w:val="18"/>
                <w:b w:val="1"/>
                <w:bCs w:val="1"/>
                <w:i w:val="1"/>
                <w:iCs w:val="1"/>
                <w:color w:val="auto"/>
              </w:rPr>
              <w:t>Americas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392"/>
        </w:trPr>
        <w:tc>
          <w:tcPr>
            <w:tcW w:w="74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4"/>
                <w:szCs w:val="24"/>
                <w:color w:val="auto"/>
              </w:rPr>
            </w:pPr>
          </w:p>
        </w:tc>
        <w:tc>
          <w:tcPr>
            <w:tcW w:w="1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r>
      <w:tr>
        <w:trPr>
          <w:trHeight w:val="242"/>
        </w:trPr>
        <w:tc>
          <w:tcPr>
            <w:tcW w:w="7480" w:type="dxa"/>
            <w:vAlign w:val="bottom"/>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1,565</w:t>
            </w:r>
          </w:p>
        </w:tc>
        <w:tc>
          <w:tcPr>
            <w:tcW w:w="100" w:type="dxa"/>
            <w:vAlign w:val="bottom"/>
          </w:tcPr>
          <w:p>
            <w:pPr>
              <w:spacing w:after="0"/>
              <w:rPr>
                <w:sz w:val="21"/>
                <w:szCs w:val="21"/>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1,593</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748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2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(41%)</w:t>
            </w:r>
          </w:p>
        </w:tc>
      </w:tr>
    </w:tbl>
    <w:p>
      <w:pPr>
        <w:spacing w:after="0" w:line="203" w:lineRule="exact"/>
        <w:rPr>
          <w:sz w:val="20"/>
          <w:szCs w:val="20"/>
          <w:color w:val="auto"/>
        </w:rPr>
      </w:pPr>
    </w:p>
    <w:p>
      <w:pPr>
        <w:ind w:right="340"/>
        <w:spacing w:after="0" w:line="292" w:lineRule="auto"/>
        <w:rPr>
          <w:sz w:val="20"/>
          <w:szCs w:val="20"/>
          <w:color w:val="auto"/>
        </w:rPr>
      </w:pPr>
      <w:r>
        <w:rPr>
          <w:rFonts w:ascii="Arial" w:cs="Arial" w:eastAsia="Arial" w:hAnsi="Arial"/>
          <w:sz w:val="18"/>
          <w:szCs w:val="18"/>
          <w:color w:val="auto"/>
        </w:rPr>
        <w:t>Revenues were 2% lower in second quarter 2017 compared with second quarter 2016, primarily due to a 4% reduction in time and mileage revenue per day, partially offset by a 2% increase in rental volumes. Currency movements reduced revenues by $4 million.</w:t>
      </w:r>
    </w:p>
    <w:p>
      <w:pPr>
        <w:spacing w:after="0" w:line="145" w:lineRule="exact"/>
        <w:rPr>
          <w:sz w:val="20"/>
          <w:szCs w:val="20"/>
          <w:color w:val="auto"/>
        </w:rPr>
      </w:pPr>
    </w:p>
    <w:p>
      <w:pPr>
        <w:ind w:right="180"/>
        <w:spacing w:after="0" w:line="292" w:lineRule="auto"/>
        <w:rPr>
          <w:sz w:val="20"/>
          <w:szCs w:val="20"/>
          <w:color w:val="auto"/>
        </w:rPr>
      </w:pPr>
      <w:r>
        <w:rPr>
          <w:rFonts w:ascii="Arial" w:cs="Arial" w:eastAsia="Arial" w:hAnsi="Arial"/>
          <w:sz w:val="18"/>
          <w:szCs w:val="18"/>
          <w:color w:val="auto"/>
        </w:rPr>
        <w:t>Adjusted EBITDA decreased 41% in second quarter 2017 compared with second quarter 2016, due to lower revenues and a 10% increase in per-unit fleet costs.</w:t>
      </w:r>
    </w:p>
    <w:p>
      <w:pPr>
        <w:sectPr>
          <w:pgSz w:w="11900" w:h="16838" w:orient="portrait"/>
          <w:cols w:equalWidth="0" w:num="1">
            <w:col w:w="11400"/>
          </w:cols>
          <w:pgMar w:left="240" w:top="115" w:right="259" w:bottom="1440" w:gutter="0" w:footer="0" w:header="0"/>
        </w:sect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400"/>
          </w:cols>
          <w:pgMar w:left="240" w:top="115" w:right="25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In the three months ended June 30, 2017:</w:t>
      </w:r>
    </w:p>
    <w:p>
      <w:pPr>
        <w:spacing w:after="0" w:line="225" w:lineRule="exact"/>
        <w:rPr>
          <w:sz w:val="20"/>
          <w:szCs w:val="20"/>
          <w:color w:val="auto"/>
        </w:rPr>
      </w:pPr>
    </w:p>
    <w:p>
      <w:pPr>
        <w:ind w:left="660" w:right="720" w:hanging="328"/>
        <w:spacing w:after="0" w:line="292"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Operating expenses were reduced to 47.6% of revenue from 48.6% in second quarter 2016, primarily due to the recognition of recoverable insurance proceeds related to an unprecedented personal-injury legal matter.</w:t>
      </w:r>
    </w:p>
    <w:p>
      <w:pPr>
        <w:spacing w:after="0" w:line="144" w:lineRule="exact"/>
        <w:rPr>
          <w:rFonts w:ascii="Arial" w:cs="Arial" w:eastAsia="Arial" w:hAnsi="Arial"/>
          <w:sz w:val="18"/>
          <w:szCs w:val="18"/>
          <w:color w:val="auto"/>
        </w:rPr>
      </w:pPr>
    </w:p>
    <w:p>
      <w:pPr>
        <w:ind w:left="660" w:right="100" w:hanging="328"/>
        <w:spacing w:after="0" w:line="292"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Vehicle depreciation and lease charges increased to 29.5% of revenue from 25.9% in the prior-year period, due to higher per-unit fleet costs.</w:t>
      </w:r>
    </w:p>
    <w:p>
      <w:pPr>
        <w:spacing w:after="0" w:line="144" w:lineRule="exact"/>
        <w:rPr>
          <w:rFonts w:ascii="Arial" w:cs="Arial" w:eastAsia="Arial" w:hAnsi="Arial"/>
          <w:sz w:val="18"/>
          <w:szCs w:val="18"/>
          <w:color w:val="auto"/>
        </w:rPr>
      </w:pPr>
    </w:p>
    <w:p>
      <w:pPr>
        <w:ind w:left="660" w:right="200" w:hanging="328"/>
        <w:spacing w:after="0" w:line="292"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Selling, general and administrative costs were reduced to 11.3% of revenue from 11.7% in second quarter 2016, primarily due to cost mitigating actions.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Vehicle interest costs increased to 3.8% of revenue compared to 3.6% in second quarter 2016.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7560" w:type="dxa"/>
            <w:vAlign w:val="bottom"/>
          </w:tcPr>
          <w:p>
            <w:pPr>
              <w:spacing w:after="0"/>
              <w:rPr>
                <w:sz w:val="20"/>
                <w:szCs w:val="20"/>
                <w:color w:val="auto"/>
              </w:rPr>
            </w:pPr>
            <w:r>
              <w:rPr>
                <w:rFonts w:ascii="Arial" w:cs="Arial" w:eastAsia="Arial" w:hAnsi="Arial"/>
                <w:sz w:val="18"/>
                <w:szCs w:val="18"/>
                <w:b w:val="1"/>
                <w:bCs w:val="1"/>
                <w:i w:val="1"/>
                <w:iCs w:val="1"/>
                <w:color w:val="auto"/>
              </w:rPr>
              <w:t>International</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392"/>
        </w:trPr>
        <w:tc>
          <w:tcPr>
            <w:tcW w:w="75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4"/>
                <w:szCs w:val="24"/>
                <w:color w:val="auto"/>
              </w:rPr>
            </w:pP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 Change</w:t>
            </w:r>
          </w:p>
        </w:tc>
      </w:tr>
      <w:tr>
        <w:trPr>
          <w:trHeight w:val="242"/>
        </w:trPr>
        <w:tc>
          <w:tcPr>
            <w:tcW w:w="7560" w:type="dxa"/>
            <w:vAlign w:val="bottom"/>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673</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0"/>
        </w:trPr>
        <w:tc>
          <w:tcPr>
            <w:tcW w:w="756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w:t>
            </w:r>
          </w:p>
        </w:tc>
      </w:tr>
    </w:tbl>
    <w:p>
      <w:pPr>
        <w:spacing w:after="0" w:line="20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Revenues increased 4% in second quarter 2017 compared to second quarter 2016, due to an 11% increase in rental volumes, largely driven by the acquisition of FranceCars in December 2016 and the shift in Easter to second quarter, partially offset by a 6% reduction in time and mileage revenue per day (including a 3% negative effect from currency movements). Currency movements negatively effected revenues by $16 million.</w:t>
      </w:r>
    </w:p>
    <w:p>
      <w:pPr>
        <w:spacing w:after="0" w:line="163"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Adjusted EBITDA increased 4% in second quarter 2017 compared to second quarter 2016, due to increased revenues and cost mitigating actions, partially offset by a 3% increase in per-unit fleet costs (including a 2% favorable effect from currency exchange rates) and a $6 million negative effect from currency movements.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In the three months ended June 30, 2017:</w:t>
      </w:r>
    </w:p>
    <w:p>
      <w:pPr>
        <w:spacing w:after="0" w:line="225"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Operating expenses, at 53.3% of revenue, remained in line with the prior-year period.</w:t>
      </w:r>
    </w:p>
    <w:p>
      <w:pPr>
        <w:spacing w:after="0" w:line="225" w:lineRule="exact"/>
        <w:rPr>
          <w:rFonts w:ascii="Arial" w:cs="Arial" w:eastAsia="Arial" w:hAnsi="Arial"/>
          <w:sz w:val="18"/>
          <w:szCs w:val="18"/>
          <w:color w:val="auto"/>
        </w:rPr>
      </w:pPr>
    </w:p>
    <w:p>
      <w:pPr>
        <w:ind w:left="660" w:right="80" w:hanging="328"/>
        <w:spacing w:after="0" w:line="292"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Vehicle depreciation and lease charges increased to 20.3% of revenue from 18.4% in second quarter 2016, due to higher per-unit fleet costs.</w:t>
      </w:r>
    </w:p>
    <w:p>
      <w:pPr>
        <w:spacing w:after="0" w:line="144" w:lineRule="exact"/>
        <w:rPr>
          <w:rFonts w:ascii="Arial" w:cs="Arial" w:eastAsia="Arial" w:hAnsi="Arial"/>
          <w:sz w:val="18"/>
          <w:szCs w:val="18"/>
          <w:color w:val="auto"/>
        </w:rPr>
      </w:pPr>
    </w:p>
    <w:p>
      <w:pPr>
        <w:ind w:left="660" w:right="200" w:hanging="328"/>
        <w:spacing w:after="0" w:line="292"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Selling, general and administrative costs were reduced to 15.6% of revenue from 17.1% in the prior-year period, primarily due to cost mitigating actions.</w:t>
      </w:r>
    </w:p>
    <w:p>
      <w:pPr>
        <w:spacing w:after="0" w:line="144" w:lineRule="exact"/>
        <w:rPr>
          <w:rFonts w:ascii="Arial" w:cs="Arial" w:eastAsia="Arial" w:hAnsi="Arial"/>
          <w:sz w:val="18"/>
          <w:szCs w:val="18"/>
          <w:color w:val="auto"/>
        </w:rPr>
      </w:pPr>
    </w:p>
    <w:p>
      <w:pPr>
        <w:ind w:left="660" w:right="200" w:hanging="328"/>
        <w:spacing w:after="0" w:line="292"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Vehicle interest costs were reduced to 2.1% of revenue compared to 2.5% in second quarter 2016, principally due to lower borrowing rates.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16"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2017 vs. Six Months Ended June 30, 2016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000" w:type="dxa"/>
            <w:vAlign w:val="bottom"/>
          </w:tcPr>
          <w:p>
            <w:pPr>
              <w:spacing w:after="0"/>
              <w:rPr>
                <w:sz w:val="20"/>
                <w:szCs w:val="20"/>
                <w:color w:val="auto"/>
              </w:rPr>
            </w:pPr>
            <w:r>
              <w:rPr>
                <w:rFonts w:ascii="Arial" w:cs="Arial" w:eastAsia="Arial" w:hAnsi="Arial"/>
                <w:sz w:val="18"/>
                <w:szCs w:val="18"/>
                <w:color w:val="auto"/>
              </w:rPr>
              <w:t>Our consolidated results of operations comprised the following:</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5"/>
        </w:trPr>
        <w:tc>
          <w:tcPr>
            <w:tcW w:w="6000" w:type="dxa"/>
            <w:vAlign w:val="bottom"/>
          </w:tcPr>
          <w:p>
            <w:pPr>
              <w:spacing w:after="0"/>
              <w:rPr>
                <w:sz w:val="24"/>
                <w:szCs w:val="24"/>
                <w:color w:val="auto"/>
              </w:rPr>
            </w:pPr>
          </w:p>
        </w:tc>
        <w:tc>
          <w:tcPr>
            <w:tcW w:w="2520" w:type="dxa"/>
            <w:vAlign w:val="bottom"/>
            <w:gridSpan w:val="6"/>
          </w:tcPr>
          <w:p>
            <w:pPr>
              <w:ind w:left="60"/>
              <w:spacing w:after="0"/>
              <w:rPr>
                <w:sz w:val="20"/>
                <w:szCs w:val="20"/>
                <w:color w:val="auto"/>
              </w:rPr>
            </w:pPr>
            <w:r>
              <w:rPr>
                <w:rFonts w:ascii="Arial" w:cs="Arial" w:eastAsia="Arial" w:hAnsi="Arial"/>
                <w:sz w:val="18"/>
                <w:szCs w:val="18"/>
                <w:b w:val="1"/>
                <w:bCs w:val="1"/>
                <w:color w:val="auto"/>
              </w:rPr>
              <w:t>Six Months Ended June 30,</w:t>
            </w:r>
          </w:p>
        </w:tc>
        <w:tc>
          <w:tcPr>
            <w:tcW w:w="160" w:type="dxa"/>
            <w:vAlign w:val="bottom"/>
          </w:tcPr>
          <w:p>
            <w:pPr>
              <w:spacing w:after="0"/>
              <w:rPr>
                <w:sz w:val="24"/>
                <w:szCs w:val="24"/>
                <w:color w:val="auto"/>
              </w:rPr>
            </w:pPr>
          </w:p>
        </w:tc>
        <w:tc>
          <w:tcPr>
            <w:tcW w:w="1220" w:type="dxa"/>
            <w:vAlign w:val="bottom"/>
          </w:tcPr>
          <w:p>
            <w:pPr>
              <w:jc w:val="center"/>
              <w:ind w:right="72"/>
              <w:spacing w:after="0"/>
              <w:rPr>
                <w:sz w:val="20"/>
                <w:szCs w:val="20"/>
                <w:color w:val="auto"/>
              </w:rPr>
            </w:pPr>
            <w:r>
              <w:rPr>
                <w:rFonts w:ascii="Arial" w:cs="Arial" w:eastAsia="Arial" w:hAnsi="Arial"/>
                <w:sz w:val="18"/>
                <w:szCs w:val="18"/>
                <w:b w:val="1"/>
                <w:bCs w:val="1"/>
                <w:color w:val="auto"/>
              </w:rPr>
              <w:t>$ Change</w:t>
            </w: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
        </w:trPr>
        <w:tc>
          <w:tcPr>
            <w:tcW w:w="60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vMerge w:val="restart"/>
          </w:tcPr>
          <w:p>
            <w:pPr>
              <w:jc w:val="center"/>
              <w:ind w:right="92"/>
              <w:spacing w:after="0"/>
              <w:rPr>
                <w:sz w:val="20"/>
                <w:szCs w:val="20"/>
                <w:color w:val="auto"/>
              </w:rPr>
            </w:pPr>
            <w:r>
              <w:rPr>
                <w:rFonts w:ascii="Arial" w:cs="Arial" w:eastAsia="Arial" w:hAnsi="Arial"/>
                <w:sz w:val="14"/>
                <w:szCs w:val="14"/>
                <w:b w:val="1"/>
                <w:bCs w:val="1"/>
                <w:color w:val="auto"/>
              </w:rPr>
              <w:t>Favorable</w:t>
            </w:r>
          </w:p>
        </w:tc>
        <w:tc>
          <w:tcPr>
            <w:tcW w:w="1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6"/>
        </w:trPr>
        <w:tc>
          <w:tcPr>
            <w:tcW w:w="60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0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03"/>
        </w:trPr>
        <w:tc>
          <w:tcPr>
            <w:tcW w:w="60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rPr>
              <w:t>/(Unfavorable)</w:t>
            </w:r>
          </w:p>
        </w:tc>
        <w:tc>
          <w:tcPr>
            <w:tcW w:w="100" w:type="dxa"/>
            <w:vAlign w:val="bottom"/>
          </w:tcPr>
          <w:p>
            <w:pPr>
              <w:spacing w:after="0"/>
              <w:rPr>
                <w:sz w:val="17"/>
                <w:szCs w:val="17"/>
                <w:color w:val="auto"/>
              </w:rPr>
            </w:pPr>
          </w:p>
        </w:tc>
        <w:tc>
          <w:tcPr>
            <w:tcW w:w="14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00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6000" w:type="dxa"/>
            <w:vAlign w:val="bottom"/>
          </w:tcPr>
          <w:p>
            <w:pPr>
              <w:ind w:left="240"/>
              <w:spacing w:after="0"/>
              <w:rPr>
                <w:sz w:val="20"/>
                <w:szCs w:val="20"/>
                <w:color w:val="auto"/>
              </w:rPr>
            </w:pPr>
            <w:r>
              <w:rPr>
                <w:rFonts w:ascii="Arial" w:cs="Arial" w:eastAsia="Arial" w:hAnsi="Arial"/>
                <w:sz w:val="18"/>
                <w:szCs w:val="18"/>
                <w:color w:val="auto"/>
              </w:rPr>
              <w:t>Vehicle rental</w:t>
            </w: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2,849</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2,901</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(52)</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3"/>
        </w:trPr>
        <w:tc>
          <w:tcPr>
            <w:tcW w:w="6000" w:type="dxa"/>
            <w:vAlign w:val="bottom"/>
          </w:tcPr>
          <w:p>
            <w:pPr>
              <w:ind w:left="2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1,228</w:t>
            </w: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1,223</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50"/>
        </w:trPr>
        <w:tc>
          <w:tcPr>
            <w:tcW w:w="600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4,077</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4,124</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98"/>
        </w:trPr>
        <w:tc>
          <w:tcPr>
            <w:tcW w:w="600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6000" w:type="dxa"/>
            <w:vAlign w:val="bottom"/>
          </w:tcPr>
          <w:p>
            <w:pPr>
              <w:ind w:left="240"/>
              <w:spacing w:after="0"/>
              <w:rPr>
                <w:sz w:val="20"/>
                <w:szCs w:val="20"/>
                <w:color w:val="auto"/>
              </w:rPr>
            </w:pPr>
            <w:r>
              <w:rPr>
                <w:rFonts w:ascii="Arial" w:cs="Arial" w:eastAsia="Arial" w:hAnsi="Arial"/>
                <w:sz w:val="18"/>
                <w:szCs w:val="18"/>
                <w:color w:val="auto"/>
              </w:rPr>
              <w:t>Operating</w:t>
            </w:r>
          </w:p>
        </w:tc>
        <w:tc>
          <w:tcPr>
            <w:tcW w:w="26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2,157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2,162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5</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0"/>
        </w:trPr>
        <w:tc>
          <w:tcPr>
            <w:tcW w:w="6000" w:type="dxa"/>
            <w:vAlign w:val="bottom"/>
          </w:tcPr>
          <w:p>
            <w:pPr>
              <w:ind w:left="240"/>
              <w:spacing w:after="0"/>
              <w:rPr>
                <w:sz w:val="20"/>
                <w:szCs w:val="20"/>
                <w:color w:val="auto"/>
              </w:rPr>
            </w:pPr>
            <w:r>
              <w:rPr>
                <w:rFonts w:ascii="Arial" w:cs="Arial" w:eastAsia="Arial" w:hAnsi="Arial"/>
                <w:sz w:val="18"/>
                <w:szCs w:val="18"/>
                <w:color w:val="auto"/>
              </w:rPr>
              <w:t>Vehicle depreciation and lease charges, net</w:t>
            </w: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1,101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995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(106)</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0"/>
        </w:trPr>
        <w:tc>
          <w:tcPr>
            <w:tcW w:w="6000" w:type="dxa"/>
            <w:vAlign w:val="bottom"/>
          </w:tcPr>
          <w:p>
            <w:pPr>
              <w:ind w:left="24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581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26</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0"/>
        </w:trPr>
        <w:tc>
          <w:tcPr>
            <w:tcW w:w="6000" w:type="dxa"/>
            <w:vAlign w:val="bottom"/>
          </w:tcPr>
          <w:p>
            <w:pPr>
              <w:ind w:left="240"/>
              <w:spacing w:after="0"/>
              <w:rPr>
                <w:sz w:val="20"/>
                <w:szCs w:val="20"/>
                <w:color w:val="auto"/>
              </w:rPr>
            </w:pPr>
            <w:r>
              <w:rPr>
                <w:rFonts w:ascii="Arial" w:cs="Arial" w:eastAsia="Arial" w:hAnsi="Arial"/>
                <w:sz w:val="18"/>
                <w:szCs w:val="18"/>
                <w:color w:val="auto"/>
              </w:rPr>
              <w:t>Vehicle interest, net</w:t>
            </w: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6000" w:type="dxa"/>
            <w:vAlign w:val="bottom"/>
          </w:tcPr>
          <w:p>
            <w:pPr>
              <w:ind w:left="240"/>
              <w:spacing w:after="0"/>
              <w:rPr>
                <w:sz w:val="20"/>
                <w:szCs w:val="20"/>
                <w:color w:val="auto"/>
              </w:rPr>
            </w:pPr>
            <w:r>
              <w:rPr>
                <w:rFonts w:ascii="Arial" w:cs="Arial" w:eastAsia="Arial" w:hAnsi="Arial"/>
                <w:sz w:val="18"/>
                <w:szCs w:val="18"/>
                <w:color w:val="auto"/>
              </w:rPr>
              <w:t>Non-vehicle related depreciation and amortization</w:t>
            </w: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6000" w:type="dxa"/>
            <w:vAlign w:val="bottom"/>
          </w:tcPr>
          <w:p>
            <w:pPr>
              <w:ind w:left="240"/>
              <w:spacing w:after="0"/>
              <w:rPr>
                <w:sz w:val="20"/>
                <w:szCs w:val="20"/>
                <w:color w:val="auto"/>
              </w:rPr>
            </w:pPr>
            <w:r>
              <w:rPr>
                <w:rFonts w:ascii="Arial" w:cs="Arial" w:eastAsia="Arial" w:hAnsi="Arial"/>
                <w:sz w:val="18"/>
                <w:szCs w:val="18"/>
                <w:color w:val="auto"/>
              </w:rPr>
              <w:t>Interest expense related to corporate debt, net:</w:t>
            </w: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0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9</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0"/>
        </w:trPr>
        <w:tc>
          <w:tcPr>
            <w:tcW w:w="6000" w:type="dxa"/>
            <w:vAlign w:val="bottom"/>
          </w:tcPr>
          <w:p>
            <w:pPr>
              <w:ind w:left="380"/>
              <w:spacing w:after="0"/>
              <w:rPr>
                <w:sz w:val="20"/>
                <w:szCs w:val="20"/>
                <w:color w:val="auto"/>
              </w:rPr>
            </w:pPr>
            <w:r>
              <w:rPr>
                <w:rFonts w:ascii="Arial" w:cs="Arial" w:eastAsia="Arial" w:hAnsi="Arial"/>
                <w:sz w:val="18"/>
                <w:szCs w:val="18"/>
                <w:color w:val="auto"/>
              </w:rPr>
              <w:t>Early extinguishment of debt</w:t>
            </w: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7</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0"/>
        </w:trPr>
        <w:tc>
          <w:tcPr>
            <w:tcW w:w="6000" w:type="dxa"/>
            <w:vAlign w:val="bottom"/>
          </w:tcPr>
          <w:p>
            <w:pPr>
              <w:ind w:left="240"/>
              <w:spacing w:after="0"/>
              <w:rPr>
                <w:sz w:val="20"/>
                <w:szCs w:val="20"/>
                <w:color w:val="auto"/>
              </w:rPr>
            </w:pPr>
            <w:r>
              <w:rPr>
                <w:rFonts w:ascii="Arial" w:cs="Arial" w:eastAsia="Arial" w:hAnsi="Arial"/>
                <w:sz w:val="18"/>
                <w:szCs w:val="18"/>
                <w:color w:val="auto"/>
              </w:rPr>
              <w:t>Restructuring and other related charges</w:t>
            </w: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3"/>
        </w:trPr>
        <w:tc>
          <w:tcPr>
            <w:tcW w:w="6000" w:type="dxa"/>
            <w:vAlign w:val="bottom"/>
          </w:tcPr>
          <w:p>
            <w:pPr>
              <w:ind w:left="240"/>
              <w:spacing w:after="0"/>
              <w:rPr>
                <w:sz w:val="20"/>
                <w:szCs w:val="20"/>
                <w:color w:val="auto"/>
              </w:rPr>
            </w:pPr>
            <w:r>
              <w:rPr>
                <w:rFonts w:ascii="Arial" w:cs="Arial" w:eastAsia="Arial" w:hAnsi="Arial"/>
                <w:sz w:val="18"/>
                <w:szCs w:val="18"/>
                <w:color w:val="auto"/>
              </w:rPr>
              <w:t>Transaction-related costs, net</w:t>
            </w: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50"/>
        </w:trPr>
        <w:tc>
          <w:tcPr>
            <w:tcW w:w="600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4,231</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4,147</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98"/>
        </w:trPr>
        <w:tc>
          <w:tcPr>
            <w:tcW w:w="6000" w:type="dxa"/>
            <w:vAlign w:val="bottom"/>
          </w:tcPr>
          <w:p>
            <w:pPr>
              <w:ind w:left="40"/>
              <w:spacing w:after="0"/>
              <w:rPr>
                <w:sz w:val="20"/>
                <w:szCs w:val="20"/>
                <w:color w:val="auto"/>
              </w:rPr>
            </w:pPr>
            <w:r>
              <w:rPr>
                <w:rFonts w:ascii="Arial" w:cs="Arial" w:eastAsia="Arial" w:hAnsi="Arial"/>
                <w:sz w:val="18"/>
                <w:szCs w:val="18"/>
                <w:b w:val="1"/>
                <w:bCs w:val="1"/>
                <w:color w:val="auto"/>
              </w:rPr>
              <w:t>Loss before income taxes</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(131)</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7"/>
        </w:trPr>
        <w:tc>
          <w:tcPr>
            <w:tcW w:w="6000" w:type="dxa"/>
            <w:vAlign w:val="bottom"/>
          </w:tcPr>
          <w:p>
            <w:pPr>
              <w:ind w:left="40"/>
              <w:spacing w:after="0"/>
              <w:rPr>
                <w:sz w:val="20"/>
                <w:szCs w:val="20"/>
                <w:color w:val="auto"/>
              </w:rPr>
            </w:pPr>
            <w:r>
              <w:rPr>
                <w:rFonts w:ascii="Arial" w:cs="Arial" w:eastAsia="Arial" w:hAnsi="Arial"/>
                <w:sz w:val="18"/>
                <w:szCs w:val="18"/>
                <w:color w:val="auto"/>
              </w:rPr>
              <w:t>Benefit from income taxes</w:t>
            </w: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42</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4"/>
        </w:trPr>
        <w:tc>
          <w:tcPr>
            <w:tcW w:w="6000" w:type="dxa"/>
            <w:vAlign w:val="bottom"/>
          </w:tcPr>
          <w:p>
            <w:pPr>
              <w:ind w:left="40"/>
              <w:spacing w:after="0"/>
              <w:rPr>
                <w:sz w:val="20"/>
                <w:szCs w:val="20"/>
                <w:color w:val="auto"/>
              </w:rPr>
            </w:pPr>
            <w:r>
              <w:rPr>
                <w:rFonts w:ascii="Arial" w:cs="Arial" w:eastAsia="Arial" w:hAnsi="Arial"/>
                <w:sz w:val="18"/>
                <w:szCs w:val="18"/>
                <w:b w:val="1"/>
                <w:bCs w:val="1"/>
                <w:color w:val="auto"/>
              </w:rPr>
              <w:t>Net loss</w:t>
            </w: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Arial" w:cs="Arial" w:eastAsia="Arial" w:hAnsi="Arial"/>
                <w:sz w:val="18"/>
                <w:szCs w:val="18"/>
                <w:color w:val="auto"/>
              </w:rPr>
              <w:t>_________</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0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Not meaningful</w:t>
      </w:r>
    </w:p>
    <w:p>
      <w:pPr>
        <w:spacing w:after="0" w:line="196"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During the six months ended June 30, 2017, our net revenues decreased as a result of a 5% reduction in time and mileage revenue per day (including a 1% negative effect from currency exchange rate movements), partially offset by a 4% increase in rental volumes. Currency movements reduced revenues by $24 million year-over-year.</w:t>
      </w:r>
    </w:p>
    <w:p>
      <w:pPr>
        <w:spacing w:after="0" w:line="16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Total expenses increased as a result of increased volumes and a 6% increase in per-unit fleet costs, partially offset by a $ 46 million (1%) favorable effect on expenses from currency exchange rate movements and cost mitigating actions. Our effective tax rates were a benefit of 32% and 35% for the six months ended June 30, 2017 and 2016, respectively. As a result of the decrease in our net revenues and these items, our net loss increased by $89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the six months ended June 30, 2017, the Company reported a loss of $1.22 per diluted share, which includes after-tax restructuring and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other related charges of ($0.33) per share, after-tax transaction-related costs of ($0.08) per share, after-tax debt extinguishment costs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($0.02) per share and after-tax reversal of charges for legal matter of $0.10 per share. For the six months ended June 30, 2016, the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reported a loss of $0.16 per diluted share, which includes after-tax restructuring and other related charges of ($0.15) per share, after-tax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transaction-related costs of ($0.07) per share and after-tax debt extinguishment costs of ($0.06) per share.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In the six months ended June 30, 2017:</w:t>
      </w:r>
    </w:p>
    <w:p>
      <w:pPr>
        <w:spacing w:after="0" w:line="225" w:lineRule="exact"/>
        <w:rPr>
          <w:sz w:val="20"/>
          <w:szCs w:val="20"/>
          <w:color w:val="auto"/>
        </w:rPr>
      </w:pPr>
    </w:p>
    <w:p>
      <w:pPr>
        <w:ind w:left="660" w:right="300" w:hanging="328"/>
        <w:spacing w:after="0" w:line="323" w:lineRule="auto"/>
        <w:tabs>
          <w:tab w:leader="none" w:pos="6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Operating expenses increased to 52.9% of revenue from 52.4% in the prior-year period, due to lower time and mileage revenue per day, partially offset by the recognition of recoverable insurance proceeds related to an unprecedented personal-injury legal matter.</w:t>
      </w:r>
    </w:p>
    <w:p>
      <w:pPr>
        <w:spacing w:after="0" w:line="122" w:lineRule="exact"/>
        <w:rPr>
          <w:rFonts w:ascii="Arial" w:cs="Arial" w:eastAsia="Arial" w:hAnsi="Arial"/>
          <w:sz w:val="17"/>
          <w:szCs w:val="17"/>
          <w:color w:val="auto"/>
        </w:rPr>
      </w:pPr>
    </w:p>
    <w:p>
      <w:pPr>
        <w:ind w:left="660" w:right="220" w:hanging="328"/>
        <w:spacing w:after="0" w:line="292"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Vehicle depreciation and lease charges increased to 27.0% of revenue from 24.1% in the six months ended June 30, 2016, primarily due to higher per-unit fleet costs.</w:t>
      </w:r>
    </w:p>
    <w:p>
      <w:pPr>
        <w:sectPr>
          <w:pgSz w:w="11900" w:h="16838" w:orient="portrait"/>
          <w:cols w:equalWidth="0" w:num="1">
            <w:col w:w="11400"/>
          </w:cols>
          <w:pgMar w:left="240" w:top="116" w:right="259" w:bottom="1440" w:gutter="0" w:footer="0" w:header="0"/>
        </w:sect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400"/>
          </w:cols>
          <w:pgMar w:left="240" w:top="116" w:right="25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ind w:left="660" w:right="720" w:hanging="328"/>
        <w:spacing w:after="0" w:line="292"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Selling, general and administrative costs were reduced to 13.6% of revenue from 14.1% in first half 2016, primarily due to cost mitigating actions.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Vehicle interest costs were 3.4% of revenue compared to 3.3% in the prior-year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more detailed discussion of the results of each of our reportable segments and reconciliation of net loss to Adjusted EBITDA:</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254"/>
        </w:trPr>
        <w:tc>
          <w:tcPr>
            <w:tcW w:w="35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Revenues</w:t>
            </w:r>
          </w:p>
        </w:tc>
        <w:tc>
          <w:tcPr>
            <w:tcW w:w="1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b w:val="1"/>
                <w:bCs w:val="1"/>
                <w:color w:val="auto"/>
                <w:w w:val="99"/>
              </w:rPr>
              <w:t>Adjusted EBITDA</w:t>
            </w:r>
          </w:p>
        </w:tc>
        <w:tc>
          <w:tcPr>
            <w:tcW w:w="1160" w:type="dxa"/>
            <w:vAlign w:val="bottom"/>
            <w:tcBorders>
              <w:bottom w:val="single" w:sz="8" w:color="auto"/>
            </w:tcBorders>
          </w:tcPr>
          <w:p>
            <w:pPr>
              <w:spacing w:after="0"/>
              <w:rPr>
                <w:sz w:val="22"/>
                <w:szCs w:val="22"/>
                <w:color w:val="auto"/>
              </w:rPr>
            </w:pPr>
          </w:p>
        </w:tc>
      </w:tr>
      <w:tr>
        <w:trPr>
          <w:trHeight w:val="263"/>
        </w:trPr>
        <w:tc>
          <w:tcPr>
            <w:tcW w:w="35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2"/>
                <w:szCs w:val="22"/>
                <w:color w:val="auto"/>
              </w:rPr>
            </w:pPr>
          </w:p>
        </w:tc>
        <w:tc>
          <w:tcPr>
            <w:tcW w:w="1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r>
      <w:tr>
        <w:trPr>
          <w:trHeight w:val="242"/>
        </w:trPr>
        <w:tc>
          <w:tcPr>
            <w:tcW w:w="3520" w:type="dxa"/>
            <w:vAlign w:val="bottom"/>
          </w:tcPr>
          <w:p>
            <w:pPr>
              <w:spacing w:after="0"/>
              <w:rPr>
                <w:sz w:val="20"/>
                <w:szCs w:val="20"/>
                <w:color w:val="auto"/>
              </w:rPr>
            </w:pPr>
            <w:r>
              <w:rPr>
                <w:rFonts w:ascii="Arial" w:cs="Arial" w:eastAsia="Arial" w:hAnsi="Arial"/>
                <w:sz w:val="18"/>
                <w:szCs w:val="18"/>
                <w:color w:val="auto"/>
              </w:rPr>
              <w:t>Americas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2,879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2,957</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76</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0"/>
        </w:trPr>
        <w:tc>
          <w:tcPr>
            <w:tcW w:w="3520" w:type="dxa"/>
            <w:vAlign w:val="bottom"/>
          </w:tcPr>
          <w:p>
            <w:pPr>
              <w:spacing w:after="0"/>
              <w:rPr>
                <w:sz w:val="20"/>
                <w:szCs w:val="20"/>
                <w:color w:val="auto"/>
              </w:rPr>
            </w:pPr>
            <w:r>
              <w:rPr>
                <w:rFonts w:ascii="Arial" w:cs="Arial" w:eastAsia="Arial" w:hAnsi="Arial"/>
                <w:sz w:val="18"/>
                <w:szCs w:val="18"/>
                <w:color w:val="auto"/>
              </w:rPr>
              <w:t>International</w:t>
            </w:r>
          </w:p>
        </w:tc>
        <w:tc>
          <w:tcPr>
            <w:tcW w:w="24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1,198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1,167</w:t>
            </w:r>
          </w:p>
        </w:tc>
        <w:tc>
          <w:tcPr>
            <w:tcW w:w="1480" w:type="dxa"/>
            <w:vAlign w:val="bottom"/>
            <w:gridSpan w:val="2"/>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80"/>
        </w:trPr>
        <w:tc>
          <w:tcPr>
            <w:tcW w:w="3520" w:type="dxa"/>
            <w:vAlign w:val="bottom"/>
          </w:tcPr>
          <w:p>
            <w:pPr>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21"/>
                <w:szCs w:val="21"/>
                <w:color w:val="auto"/>
                <w:vertAlign w:val="superscript"/>
              </w:rPr>
              <w:t>(a)</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w:t>
            </w:r>
          </w:p>
        </w:tc>
      </w:tr>
      <w:tr>
        <w:trPr>
          <w:trHeight w:val="250"/>
        </w:trPr>
        <w:tc>
          <w:tcPr>
            <w:tcW w:w="3520" w:type="dxa"/>
            <w:vAlign w:val="bottom"/>
          </w:tcPr>
          <w:p>
            <w:pPr>
              <w:ind w:left="200"/>
              <w:spacing w:after="0"/>
              <w:rPr>
                <w:sz w:val="20"/>
                <w:szCs w:val="20"/>
                <w:color w:val="auto"/>
              </w:rPr>
            </w:pPr>
            <w:r>
              <w:rPr>
                <w:rFonts w:ascii="Arial" w:cs="Arial" w:eastAsia="Arial" w:hAnsi="Arial"/>
                <w:sz w:val="18"/>
                <w:szCs w:val="18"/>
                <w:color w:val="auto"/>
              </w:rPr>
              <w:t>Total Company</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4,077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4,124</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113</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0"/>
        </w:trPr>
        <w:tc>
          <w:tcPr>
            <w:tcW w:w="3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45"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Reconciliation of Net loss to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29845</wp:posOffset>
            </wp:positionV>
            <wp:extent cx="49739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97395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5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42"/>
        </w:trPr>
        <w:tc>
          <w:tcPr>
            <w:tcW w:w="7540" w:type="dxa"/>
            <w:vAlign w:val="bottom"/>
          </w:tcPr>
          <w:p>
            <w:pPr>
              <w:ind w:left="40"/>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3"/>
        </w:trPr>
        <w:tc>
          <w:tcPr>
            <w:tcW w:w="7540" w:type="dxa"/>
            <w:vAlign w:val="bottom"/>
          </w:tcPr>
          <w:p>
            <w:pPr>
              <w:ind w:left="40"/>
              <w:spacing w:after="0"/>
              <w:rPr>
                <w:sz w:val="20"/>
                <w:szCs w:val="20"/>
                <w:color w:val="auto"/>
              </w:rPr>
            </w:pPr>
            <w:r>
              <w:rPr>
                <w:rFonts w:ascii="Arial" w:cs="Arial" w:eastAsia="Arial" w:hAnsi="Arial"/>
                <w:sz w:val="18"/>
                <w:szCs w:val="18"/>
                <w:color w:val="auto"/>
              </w:rPr>
              <w:t>Benefit from income taxes</w:t>
            </w: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7"/>
        </w:trPr>
        <w:tc>
          <w:tcPr>
            <w:tcW w:w="754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500"/>
        </w:trPr>
        <w:tc>
          <w:tcPr>
            <w:tcW w:w="7540" w:type="dxa"/>
            <w:vAlign w:val="bottom"/>
          </w:tcPr>
          <w:p>
            <w:pPr>
              <w:ind w:left="40"/>
              <w:spacing w:after="0"/>
              <w:rPr>
                <w:sz w:val="20"/>
                <w:szCs w:val="20"/>
                <w:color w:val="auto"/>
              </w:rPr>
            </w:pPr>
            <w:r>
              <w:rPr>
                <w:rFonts w:ascii="Arial" w:cs="Arial" w:eastAsia="Arial" w:hAnsi="Arial"/>
                <w:sz w:val="18"/>
                <w:szCs w:val="18"/>
                <w:color w:val="auto"/>
              </w:rPr>
              <w:t>Add:  Non-vehicle related depreciation and amortization</w:t>
            </w:r>
          </w:p>
        </w:tc>
        <w:tc>
          <w:tcPr>
            <w:tcW w:w="24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70"/>
        </w:trPr>
        <w:tc>
          <w:tcPr>
            <w:tcW w:w="7540" w:type="dxa"/>
            <w:vAlign w:val="bottom"/>
          </w:tcPr>
          <w:p>
            <w:pPr>
              <w:ind w:left="660"/>
              <w:spacing w:after="0"/>
              <w:rPr>
                <w:sz w:val="20"/>
                <w:szCs w:val="20"/>
                <w:color w:val="auto"/>
              </w:rPr>
            </w:pPr>
            <w:r>
              <w:rPr>
                <w:rFonts w:ascii="Arial" w:cs="Arial" w:eastAsia="Arial" w:hAnsi="Arial"/>
                <w:sz w:val="18"/>
                <w:szCs w:val="18"/>
                <w:color w:val="auto"/>
              </w:rPr>
              <w:t>Interest expense related to corporate debt, net:</w:t>
            </w: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540" w:type="dxa"/>
            <w:vAlign w:val="bottom"/>
          </w:tcPr>
          <w:p>
            <w:pPr>
              <w:ind w:left="9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0"/>
        </w:trPr>
        <w:tc>
          <w:tcPr>
            <w:tcW w:w="7540" w:type="dxa"/>
            <w:vAlign w:val="bottom"/>
          </w:tcPr>
          <w:p>
            <w:pPr>
              <w:ind w:left="920"/>
              <w:spacing w:after="0"/>
              <w:rPr>
                <w:sz w:val="20"/>
                <w:szCs w:val="20"/>
                <w:color w:val="auto"/>
              </w:rPr>
            </w:pPr>
            <w:r>
              <w:rPr>
                <w:rFonts w:ascii="Arial" w:cs="Arial" w:eastAsia="Arial" w:hAnsi="Arial"/>
                <w:sz w:val="18"/>
                <w:szCs w:val="18"/>
                <w:color w:val="auto"/>
              </w:rPr>
              <w:t>Early extinguishment of debt</w:t>
            </w: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0"/>
        </w:trPr>
        <w:tc>
          <w:tcPr>
            <w:tcW w:w="7540" w:type="dxa"/>
            <w:vAlign w:val="bottom"/>
          </w:tcPr>
          <w:p>
            <w:pPr>
              <w:ind w:left="660"/>
              <w:spacing w:after="0"/>
              <w:rPr>
                <w:sz w:val="20"/>
                <w:szCs w:val="20"/>
                <w:color w:val="auto"/>
              </w:rPr>
            </w:pPr>
            <w:r>
              <w:rPr>
                <w:rFonts w:ascii="Arial" w:cs="Arial" w:eastAsia="Arial" w:hAnsi="Arial"/>
                <w:sz w:val="18"/>
                <w:szCs w:val="18"/>
                <w:color w:val="auto"/>
              </w:rPr>
              <w:t>Restructuring and other related costs</w:t>
            </w: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81"/>
        </w:trPr>
        <w:tc>
          <w:tcPr>
            <w:tcW w:w="7540" w:type="dxa"/>
            <w:vAlign w:val="bottom"/>
          </w:tcPr>
          <w:p>
            <w:pPr>
              <w:ind w:left="660"/>
              <w:spacing w:after="0"/>
              <w:rPr>
                <w:sz w:val="20"/>
                <w:szCs w:val="20"/>
                <w:color w:val="auto"/>
              </w:rPr>
            </w:pPr>
            <w:r>
              <w:rPr>
                <w:rFonts w:ascii="Arial" w:cs="Arial" w:eastAsia="Arial" w:hAnsi="Arial"/>
                <w:sz w:val="18"/>
                <w:szCs w:val="18"/>
                <w:color w:val="auto"/>
              </w:rPr>
              <w:t xml:space="preserve">Transaction-related costs, net </w:t>
            </w:r>
            <w:r>
              <w:rPr>
                <w:rFonts w:ascii="Arial" w:cs="Arial" w:eastAsia="Arial" w:hAnsi="Arial"/>
                <w:sz w:val="18"/>
                <w:szCs w:val="18"/>
                <w:color w:val="auto"/>
                <w:vertAlign w:val="superscript"/>
              </w:rPr>
              <w:t>(b)</w:t>
            </w:r>
          </w:p>
        </w:tc>
        <w:tc>
          <w:tcPr>
            <w:tcW w:w="24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69"/>
        </w:trPr>
        <w:tc>
          <w:tcPr>
            <w:tcW w:w="7540" w:type="dxa"/>
            <w:vAlign w:val="bottom"/>
          </w:tcPr>
          <w:p>
            <w:pPr>
              <w:ind w:left="660"/>
              <w:spacing w:after="0"/>
              <w:rPr>
                <w:sz w:val="20"/>
                <w:szCs w:val="20"/>
                <w:color w:val="auto"/>
              </w:rPr>
            </w:pPr>
            <w:r>
              <w:rPr>
                <w:rFonts w:ascii="Arial" w:cs="Arial" w:eastAsia="Arial" w:hAnsi="Arial"/>
                <w:sz w:val="18"/>
                <w:szCs w:val="18"/>
                <w:color w:val="auto"/>
              </w:rPr>
              <w:t xml:space="preserve">Charges for legal matter, net </w:t>
            </w:r>
            <w:r>
              <w:rPr>
                <w:rFonts w:ascii="Arial" w:cs="Arial" w:eastAsia="Arial" w:hAnsi="Arial"/>
                <w:sz w:val="18"/>
                <w:szCs w:val="18"/>
                <w:color w:val="auto"/>
                <w:vertAlign w:val="superscript"/>
              </w:rPr>
              <w:t>(c)</w:t>
            </w: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754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5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233" w:lineRule="auto"/>
        <w:tabs>
          <w:tab w:leader="none" w:pos="3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Not meaningful.</w:t>
      </w:r>
    </w:p>
    <w:p>
      <w:pPr>
        <w:ind w:left="340" w:hanging="332"/>
        <w:spacing w:after="0" w:line="194" w:lineRule="auto"/>
        <w:tabs>
          <w:tab w:leader="none" w:pos="340" w:val="left"/>
        </w:tabs>
        <w:numPr>
          <w:ilvl w:val="0"/>
          <w:numId w:val="55"/>
        </w:numPr>
        <w:rPr>
          <w:rFonts w:ascii="Arial" w:cs="Arial" w:eastAsia="Arial" w:hAnsi="Arial"/>
          <w:sz w:val="18"/>
          <w:szCs w:val="18"/>
          <w:color w:val="auto"/>
          <w:vertAlign w:val="superscript"/>
        </w:rPr>
      </w:pPr>
      <w:r>
        <w:rPr>
          <w:rFonts w:ascii="Arial" w:cs="Arial" w:eastAsia="Arial" w:hAnsi="Arial"/>
          <w:sz w:val="14"/>
          <w:szCs w:val="14"/>
          <w:color w:val="auto"/>
        </w:rPr>
        <w:t>Includes unallocated corporate overhead which is not attributable to a particular segment.</w:t>
      </w:r>
    </w:p>
    <w:p>
      <w:pPr>
        <w:ind w:left="340" w:hanging="332"/>
        <w:spacing w:after="0" w:line="187" w:lineRule="auto"/>
        <w:tabs>
          <w:tab w:leader="none" w:pos="340" w:val="left"/>
        </w:tabs>
        <w:numPr>
          <w:ilvl w:val="0"/>
          <w:numId w:val="55"/>
        </w:numPr>
        <w:rPr>
          <w:rFonts w:ascii="Arial" w:cs="Arial" w:eastAsia="Arial" w:hAnsi="Arial"/>
          <w:sz w:val="18"/>
          <w:szCs w:val="18"/>
          <w:color w:val="auto"/>
          <w:vertAlign w:val="superscript"/>
        </w:rPr>
      </w:pPr>
      <w:r>
        <w:rPr>
          <w:rFonts w:ascii="Arial" w:cs="Arial" w:eastAsia="Arial" w:hAnsi="Arial"/>
          <w:sz w:val="14"/>
          <w:szCs w:val="14"/>
          <w:color w:val="auto"/>
        </w:rPr>
        <w:t>Primarily comprised of acquisition- and integration-related expenses.</w:t>
      </w:r>
    </w:p>
    <w:p>
      <w:pPr>
        <w:ind w:left="340" w:hanging="332"/>
        <w:spacing w:after="0" w:line="204" w:lineRule="auto"/>
        <w:tabs>
          <w:tab w:leader="none" w:pos="340" w:val="left"/>
        </w:tabs>
        <w:numPr>
          <w:ilvl w:val="0"/>
          <w:numId w:val="55"/>
        </w:numPr>
        <w:rPr>
          <w:rFonts w:ascii="Arial" w:cs="Arial" w:eastAsia="Arial" w:hAnsi="Arial"/>
          <w:sz w:val="18"/>
          <w:szCs w:val="18"/>
          <w:color w:val="auto"/>
          <w:vertAlign w:val="superscript"/>
        </w:rPr>
      </w:pPr>
      <w:r>
        <w:rPr>
          <w:rFonts w:ascii="Arial" w:cs="Arial" w:eastAsia="Arial" w:hAnsi="Arial"/>
          <w:sz w:val="14"/>
          <w:szCs w:val="14"/>
          <w:color w:val="auto"/>
        </w:rPr>
        <w:t>Reported within operating expenses in our consolidated results of operations.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7480" w:type="dxa"/>
            <w:vAlign w:val="bottom"/>
          </w:tcPr>
          <w:p>
            <w:pPr>
              <w:spacing w:after="0"/>
              <w:rPr>
                <w:sz w:val="20"/>
                <w:szCs w:val="20"/>
                <w:color w:val="auto"/>
              </w:rPr>
            </w:pPr>
            <w:r>
              <w:rPr>
                <w:rFonts w:ascii="Arial" w:cs="Arial" w:eastAsia="Arial" w:hAnsi="Arial"/>
                <w:sz w:val="18"/>
                <w:szCs w:val="18"/>
                <w:b w:val="1"/>
                <w:bCs w:val="1"/>
                <w:i w:val="1"/>
                <w:iCs w:val="1"/>
                <w:color w:val="auto"/>
              </w:rPr>
              <w:t>Americas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392"/>
        </w:trPr>
        <w:tc>
          <w:tcPr>
            <w:tcW w:w="74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4"/>
                <w:szCs w:val="24"/>
                <w:color w:val="auto"/>
              </w:rPr>
            </w:pPr>
          </w:p>
        </w:tc>
        <w:tc>
          <w:tcPr>
            <w:tcW w:w="1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r>
      <w:tr>
        <w:trPr>
          <w:trHeight w:val="242"/>
        </w:trPr>
        <w:tc>
          <w:tcPr>
            <w:tcW w:w="7480" w:type="dxa"/>
            <w:vAlign w:val="bottom"/>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2,879</w:t>
            </w:r>
          </w:p>
        </w:tc>
        <w:tc>
          <w:tcPr>
            <w:tcW w:w="100" w:type="dxa"/>
            <w:vAlign w:val="bottom"/>
          </w:tcPr>
          <w:p>
            <w:pPr>
              <w:spacing w:after="0"/>
              <w:rPr>
                <w:sz w:val="21"/>
                <w:szCs w:val="21"/>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2,957</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748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2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(66%)</w:t>
            </w:r>
          </w:p>
        </w:tc>
      </w:tr>
    </w:tbl>
    <w:p>
      <w:pPr>
        <w:spacing w:after="0" w:line="203" w:lineRule="exact"/>
        <w:rPr>
          <w:sz w:val="20"/>
          <w:szCs w:val="20"/>
          <w:color w:val="auto"/>
        </w:rPr>
      </w:pPr>
    </w:p>
    <w:p>
      <w:pPr>
        <w:ind w:right="100"/>
        <w:spacing w:after="0" w:line="292" w:lineRule="auto"/>
        <w:rPr>
          <w:sz w:val="20"/>
          <w:szCs w:val="20"/>
          <w:color w:val="auto"/>
        </w:rPr>
      </w:pPr>
      <w:r>
        <w:rPr>
          <w:rFonts w:ascii="Arial" w:cs="Arial" w:eastAsia="Arial" w:hAnsi="Arial"/>
          <w:sz w:val="18"/>
          <w:szCs w:val="18"/>
          <w:color w:val="auto"/>
        </w:rPr>
        <w:t>Revenues decreased 3% during the six months ended June 30, 2017 compared with the same period in 2016, primarily due to a 4% reduction in time and mileage revenue per day, partially offset by 2% growth in rental volumes.</w:t>
      </w:r>
    </w:p>
    <w:p>
      <w:pPr>
        <w:spacing w:after="0" w:line="145" w:lineRule="exact"/>
        <w:rPr>
          <w:sz w:val="20"/>
          <w:szCs w:val="20"/>
          <w:color w:val="auto"/>
        </w:rPr>
      </w:pPr>
    </w:p>
    <w:p>
      <w:pPr>
        <w:ind w:right="60"/>
        <w:spacing w:after="0" w:line="292" w:lineRule="auto"/>
        <w:rPr>
          <w:sz w:val="20"/>
          <w:szCs w:val="20"/>
          <w:color w:val="auto"/>
        </w:rPr>
      </w:pPr>
      <w:r>
        <w:rPr>
          <w:rFonts w:ascii="Arial" w:cs="Arial" w:eastAsia="Arial" w:hAnsi="Arial"/>
          <w:sz w:val="18"/>
          <w:szCs w:val="18"/>
          <w:color w:val="auto"/>
        </w:rPr>
        <w:t>Adjusted EBITDA decreased 66% in the six months ended June 30, 2017 compared with the same period 2016, due to lower revenues and an 8% increase in per-unit fleet costs.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In the six months ended June 30, 2017:</w:t>
      </w:r>
    </w:p>
    <w:p>
      <w:pPr>
        <w:spacing w:after="0" w:line="225" w:lineRule="exact"/>
        <w:rPr>
          <w:sz w:val="20"/>
          <w:szCs w:val="20"/>
          <w:color w:val="auto"/>
        </w:rPr>
      </w:pPr>
    </w:p>
    <w:p>
      <w:pPr>
        <w:ind w:left="660" w:hanging="328"/>
        <w:spacing w:after="0" w:line="271"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Operating expenses increased to 51.3% of revenue, compared to 50.6% in the prior-year period, due to lower time and mileage revenue per day, partially offset by the recognition of recoverable insurance proceeds related to an unprecedented personal-injury legal matter.</w:t>
      </w:r>
    </w:p>
    <w:p>
      <w:pPr>
        <w:spacing w:after="0" w:line="163" w:lineRule="exact"/>
        <w:rPr>
          <w:rFonts w:ascii="Arial" w:cs="Arial" w:eastAsia="Arial" w:hAnsi="Arial"/>
          <w:sz w:val="18"/>
          <w:szCs w:val="18"/>
          <w:color w:val="auto"/>
        </w:rPr>
      </w:pPr>
    </w:p>
    <w:p>
      <w:pPr>
        <w:ind w:left="660" w:right="40" w:hanging="328"/>
        <w:spacing w:after="0" w:line="292"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Vehicle depreciation and lease charges increased to 29.8% of revenue from 26.2% in the prior-year period, primarily due to higher per-unit fleet costs.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Selling, general and administrative costs, at 11.9% of revenue, remained level compared to first half 2016.</w:t>
      </w:r>
    </w:p>
    <w:p>
      <w:pPr>
        <w:sectPr>
          <w:pgSz w:w="11900" w:h="16838" w:orient="portrait"/>
          <w:cols w:equalWidth="0" w:num="1">
            <w:col w:w="11400"/>
          </w:cols>
          <w:pgMar w:left="240" w:top="116" w:right="25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400"/>
          </w:cols>
          <w:pgMar w:left="240" w:top="116" w:right="25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Vehicle interest costs were 3.9% of revenue, an increase from 3.7% in the six months ended June 30, 2016.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7560" w:type="dxa"/>
            <w:vAlign w:val="bottom"/>
          </w:tcPr>
          <w:p>
            <w:pPr>
              <w:spacing w:after="0"/>
              <w:rPr>
                <w:sz w:val="20"/>
                <w:szCs w:val="20"/>
                <w:color w:val="auto"/>
              </w:rPr>
            </w:pPr>
            <w:r>
              <w:rPr>
                <w:rFonts w:ascii="Arial" w:cs="Arial" w:eastAsia="Arial" w:hAnsi="Arial"/>
                <w:sz w:val="18"/>
                <w:szCs w:val="18"/>
                <w:b w:val="1"/>
                <w:bCs w:val="1"/>
                <w:i w:val="1"/>
                <w:iCs w:val="1"/>
                <w:color w:val="auto"/>
              </w:rPr>
              <w:t>International</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392"/>
        </w:trPr>
        <w:tc>
          <w:tcPr>
            <w:tcW w:w="75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4"/>
                <w:szCs w:val="24"/>
                <w:color w:val="auto"/>
              </w:rPr>
            </w:pP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 Change</w:t>
            </w:r>
          </w:p>
        </w:tc>
      </w:tr>
      <w:tr>
        <w:trPr>
          <w:trHeight w:val="242"/>
        </w:trPr>
        <w:tc>
          <w:tcPr>
            <w:tcW w:w="7560" w:type="dxa"/>
            <w:vAlign w:val="bottom"/>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1,198</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1,167</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756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w:t>
            </w:r>
          </w:p>
        </w:tc>
      </w:tr>
    </w:tbl>
    <w:p>
      <w:pPr>
        <w:spacing w:after="0" w:line="203"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color w:val="auto"/>
        </w:rPr>
        <w:t>Revenues increased 3% in the six months ended June 30, 2017 compared with the same period in 2016, primarily due to a 9% increase in rental volumes, largely driven by the acquisition of FranceCars, partially offset by a 6% reduction in time and mileage revenue per day (including a 2% negative effect from currency exchange rate changes). Currency movements negatively effected revenues by $24 million.</w:t>
      </w:r>
    </w:p>
    <w:p>
      <w:pPr>
        <w:spacing w:after="0" w:line="163" w:lineRule="exact"/>
        <w:rPr>
          <w:sz w:val="20"/>
          <w:szCs w:val="20"/>
          <w:color w:val="auto"/>
        </w:rPr>
      </w:pPr>
    </w:p>
    <w:p>
      <w:pPr>
        <w:ind w:right="140"/>
        <w:spacing w:after="0" w:line="292" w:lineRule="auto"/>
        <w:rPr>
          <w:sz w:val="20"/>
          <w:szCs w:val="20"/>
          <w:color w:val="auto"/>
        </w:rPr>
      </w:pPr>
      <w:r>
        <w:rPr>
          <w:rFonts w:ascii="Arial" w:cs="Arial" w:eastAsia="Arial" w:hAnsi="Arial"/>
          <w:sz w:val="18"/>
          <w:szCs w:val="18"/>
          <w:color w:val="auto"/>
        </w:rPr>
        <w:t>Adjusted EBITDA increased 14% in the six months ended June 30, 2017 compared with the same period in 2016, due to increased revenues, cost mitigating actions and an $11 million favorable effect from currency movements.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In the six months ended June 30, 2017:</w:t>
      </w:r>
    </w:p>
    <w:p>
      <w:pPr>
        <w:spacing w:after="0" w:line="225"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Operating expenses were 56.4% of revenue compared to 56.5% in the prior-year period.</w:t>
      </w:r>
    </w:p>
    <w:p>
      <w:pPr>
        <w:spacing w:after="0" w:line="225" w:lineRule="exact"/>
        <w:rPr>
          <w:rFonts w:ascii="Arial" w:cs="Arial" w:eastAsia="Arial" w:hAnsi="Arial"/>
          <w:sz w:val="18"/>
          <w:szCs w:val="18"/>
          <w:color w:val="auto"/>
        </w:rPr>
      </w:pPr>
    </w:p>
    <w:p>
      <w:pPr>
        <w:ind w:left="660" w:right="160" w:hanging="328"/>
        <w:spacing w:after="0" w:line="292"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Vehicle depreciation and lease charges increased to 20.3% of revenue from 18.8% compared to first half 2016, primarily due to lower time and mileage revenue per day.</w:t>
      </w:r>
    </w:p>
    <w:p>
      <w:pPr>
        <w:spacing w:after="0" w:line="144" w:lineRule="exact"/>
        <w:rPr>
          <w:rFonts w:ascii="Arial" w:cs="Arial" w:eastAsia="Arial" w:hAnsi="Arial"/>
          <w:sz w:val="18"/>
          <w:szCs w:val="18"/>
          <w:color w:val="auto"/>
        </w:rPr>
      </w:pPr>
    </w:p>
    <w:p>
      <w:pPr>
        <w:ind w:left="660" w:right="260" w:hanging="328"/>
        <w:spacing w:after="0" w:line="292"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Selling, general and administrative costs were reduced to 15.6% of revenue compared to 17.2% in the prior-year period, due to cost mitigating actions.</w:t>
      </w:r>
    </w:p>
    <w:p>
      <w:pPr>
        <w:spacing w:after="0" w:line="144" w:lineRule="exact"/>
        <w:rPr>
          <w:rFonts w:ascii="Arial" w:cs="Arial" w:eastAsia="Arial" w:hAnsi="Arial"/>
          <w:sz w:val="18"/>
          <w:szCs w:val="18"/>
          <w:color w:val="auto"/>
        </w:rPr>
      </w:pPr>
    </w:p>
    <w:p>
      <w:pPr>
        <w:ind w:left="660" w:right="660" w:hanging="328"/>
        <w:spacing w:after="0" w:line="292"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Vehicle interest costs were reduced to 2.1% of revenue compared to 2.5% in the six months ended June 30, 2016 due to lower borrowing rates.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73"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We present separately the financial data of our vehicle programs. These programs are distinct from our other activities as the assets under vehicle programs are generally funded through the issuance of debt that is collateralized by such assets. The income generated by these assets is used, in part, to repay the principal and interest associated with the debt. Cash inflows and outflows relating to the generation or acquisition of such assets and the principal debt repayment or financing of such assets are classified as activities of our vehicle programs. We believe it is appropriate to segregate the financial data of our vehicle programs because, ultimately, the source of repayment of such debt is the realization of such assets.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120" w:type="dxa"/>
            <w:vAlign w:val="bottom"/>
          </w:tcPr>
          <w:p>
            <w:pPr>
              <w:spacing w:after="0"/>
              <w:rPr>
                <w:sz w:val="20"/>
                <w:szCs w:val="20"/>
                <w:color w:val="auto"/>
              </w:rPr>
            </w:pPr>
            <w:r>
              <w:rPr>
                <w:rFonts w:ascii="Arial" w:cs="Arial" w:eastAsia="Arial" w:hAnsi="Arial"/>
                <w:sz w:val="18"/>
                <w:szCs w:val="18"/>
                <w:b w:val="1"/>
                <w:bCs w:val="1"/>
                <w:color w:val="auto"/>
              </w:rPr>
              <w:t>FINANCIAL CONDITION</w:t>
            </w:r>
          </w:p>
        </w:tc>
        <w:tc>
          <w:tcPr>
            <w:tcW w:w="3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328"/>
        </w:trPr>
        <w:tc>
          <w:tcPr>
            <w:tcW w:w="6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24"/>
                <w:szCs w:val="24"/>
                <w:color w:val="auto"/>
              </w:rPr>
            </w:pPr>
          </w:p>
        </w:tc>
        <w:tc>
          <w:tcPr>
            <w:tcW w:w="166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3"/>
        </w:trPr>
        <w:tc>
          <w:tcPr>
            <w:tcW w:w="6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Change</w:t>
            </w:r>
          </w:p>
        </w:tc>
      </w:tr>
      <w:tr>
        <w:trPr>
          <w:trHeight w:val="242"/>
        </w:trPr>
        <w:tc>
          <w:tcPr>
            <w:tcW w:w="6120" w:type="dxa"/>
            <w:vAlign w:val="bottom"/>
          </w:tcPr>
          <w:p>
            <w:pPr>
              <w:ind w:left="40"/>
              <w:spacing w:after="0"/>
              <w:rPr>
                <w:sz w:val="20"/>
                <w:szCs w:val="20"/>
                <w:color w:val="auto"/>
              </w:rPr>
            </w:pPr>
            <w:r>
              <w:rPr>
                <w:rFonts w:ascii="Arial" w:cs="Arial" w:eastAsia="Arial" w:hAnsi="Arial"/>
                <w:sz w:val="18"/>
                <w:szCs w:val="18"/>
                <w:color w:val="auto"/>
              </w:rPr>
              <w:t>Total assets exclusive of assets under vehicle programs</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6,813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6,065</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748</w:t>
            </w:r>
          </w:p>
        </w:tc>
      </w:tr>
      <w:tr>
        <w:trPr>
          <w:trHeight w:val="270"/>
        </w:trPr>
        <w:tc>
          <w:tcPr>
            <w:tcW w:w="6120" w:type="dxa"/>
            <w:vAlign w:val="bottom"/>
          </w:tcPr>
          <w:p>
            <w:pPr>
              <w:ind w:left="40"/>
              <w:spacing w:after="0"/>
              <w:rPr>
                <w:sz w:val="20"/>
                <w:szCs w:val="20"/>
                <w:color w:val="auto"/>
              </w:rPr>
            </w:pPr>
            <w:r>
              <w:rPr>
                <w:rFonts w:ascii="Arial" w:cs="Arial" w:eastAsia="Arial" w:hAnsi="Arial"/>
                <w:sz w:val="18"/>
                <w:szCs w:val="18"/>
                <w:color w:val="auto"/>
              </w:rPr>
              <w:t>Total liabilities exclusive of liabilities under vehicle programs</w:t>
            </w:r>
          </w:p>
        </w:tc>
        <w:tc>
          <w:tcPr>
            <w:tcW w:w="30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6,189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5,775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414</w:t>
            </w:r>
          </w:p>
        </w:tc>
      </w:tr>
      <w:tr>
        <w:trPr>
          <w:trHeight w:val="270"/>
        </w:trPr>
        <w:tc>
          <w:tcPr>
            <w:tcW w:w="6120" w:type="dxa"/>
            <w:vAlign w:val="bottom"/>
          </w:tcPr>
          <w:p>
            <w:pPr>
              <w:ind w:left="40"/>
              <w:spacing w:after="0"/>
              <w:rPr>
                <w:sz w:val="20"/>
                <w:szCs w:val="20"/>
                <w:color w:val="auto"/>
              </w:rPr>
            </w:pPr>
            <w:r>
              <w:rPr>
                <w:rFonts w:ascii="Arial" w:cs="Arial" w:eastAsia="Arial" w:hAnsi="Arial"/>
                <w:sz w:val="18"/>
                <w:szCs w:val="18"/>
                <w:color w:val="auto"/>
              </w:rPr>
              <w:t>Assets under vehicle programs</w:t>
            </w:r>
          </w:p>
        </w:tc>
        <w:tc>
          <w:tcPr>
            <w:tcW w:w="30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14,019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11,578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2,441</w:t>
            </w:r>
          </w:p>
        </w:tc>
      </w:tr>
      <w:tr>
        <w:trPr>
          <w:trHeight w:val="270"/>
        </w:trPr>
        <w:tc>
          <w:tcPr>
            <w:tcW w:w="6120" w:type="dxa"/>
            <w:vAlign w:val="bottom"/>
          </w:tcPr>
          <w:p>
            <w:pPr>
              <w:ind w:left="40"/>
              <w:spacing w:after="0"/>
              <w:rPr>
                <w:sz w:val="20"/>
                <w:szCs w:val="20"/>
                <w:color w:val="auto"/>
              </w:rPr>
            </w:pPr>
            <w:r>
              <w:rPr>
                <w:rFonts w:ascii="Arial" w:cs="Arial" w:eastAsia="Arial" w:hAnsi="Arial"/>
                <w:sz w:val="18"/>
                <w:szCs w:val="18"/>
                <w:color w:val="auto"/>
              </w:rPr>
              <w:t>Liabilities under vehicle programs</w:t>
            </w:r>
          </w:p>
        </w:tc>
        <w:tc>
          <w:tcPr>
            <w:tcW w:w="30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14,495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11,647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2,848</w:t>
            </w:r>
          </w:p>
        </w:tc>
      </w:tr>
      <w:tr>
        <w:trPr>
          <w:trHeight w:val="270"/>
        </w:trPr>
        <w:tc>
          <w:tcPr>
            <w:tcW w:w="612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30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(73)</w:t>
            </w:r>
          </w:p>
        </w:tc>
      </w:tr>
    </w:tbl>
    <w:p>
      <w:pPr>
        <w:spacing w:after="0" w:line="203"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Total assets exclusive of assets under vehicle programs increased primarily due to a seasonal increase in value-added tax receivables, which are recoverable from government agencies and a temporary increase in cash. Total liabilities exclusive of liabilities under vehicle programs increased primarily due to a seasonal increase in accounts payable.</w:t>
      </w:r>
    </w:p>
    <w:p>
      <w:pPr>
        <w:spacing w:after="0" w:line="163" w:lineRule="exact"/>
        <w:rPr>
          <w:sz w:val="20"/>
          <w:szCs w:val="20"/>
          <w:color w:val="auto"/>
        </w:rPr>
      </w:pPr>
    </w:p>
    <w:p>
      <w:pPr>
        <w:ind w:right="300"/>
        <w:spacing w:after="0" w:line="292" w:lineRule="auto"/>
        <w:rPr>
          <w:sz w:val="20"/>
          <w:szCs w:val="20"/>
          <w:color w:val="auto"/>
        </w:rPr>
      </w:pPr>
      <w:r>
        <w:rPr>
          <w:rFonts w:ascii="Arial" w:cs="Arial" w:eastAsia="Arial" w:hAnsi="Arial"/>
          <w:sz w:val="18"/>
          <w:szCs w:val="18"/>
          <w:color w:val="auto"/>
        </w:rPr>
        <w:t>The increases in assets under vehicle programs and liabilities under vehicle programs are principally related to the seasonal increase in the size of our vehicle rental fleet. The decrease in stockholders’ equity is primarily due to our net loss.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16"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7" w:lineRule="exact"/>
        <w:rPr>
          <w:sz w:val="20"/>
          <w:szCs w:val="20"/>
          <w:color w:val="auto"/>
        </w:rPr>
      </w:pPr>
    </w:p>
    <w:p>
      <w:pPr>
        <w:ind w:right="560"/>
        <w:spacing w:after="0" w:line="292" w:lineRule="auto"/>
        <w:rPr>
          <w:sz w:val="20"/>
          <w:szCs w:val="20"/>
          <w:color w:val="auto"/>
        </w:rPr>
      </w:pPr>
      <w:r>
        <w:rPr>
          <w:rFonts w:ascii="Arial" w:cs="Arial" w:eastAsia="Arial" w:hAnsi="Arial"/>
          <w:sz w:val="18"/>
          <w:szCs w:val="18"/>
          <w:color w:val="auto"/>
        </w:rPr>
        <w:t>Our principal sources of liquidity are cash on hand and our ability to generate cash through operations and financing activities, as well as available funding arrangements and committed credit facilities, each of which is discussed below.</w:t>
      </w:r>
    </w:p>
    <w:p>
      <w:pPr>
        <w:spacing w:after="0" w:line="14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the six months ended June 30, 2017, we issued €250 million of 4½% euro-denominated Senior Notes due 2025 at par. The proceeds from this borrowing were used to redeem all of our outstanding 6% euro-denominated Senior Notes due 2021 and a portion of our Floating Rate Senior Notes due 2017. We also increased our Floating Rate Term Loan borrowing by $188 million, these proceeds were used to repay the remainder of our outstanding Floating Rate Senior Notes due 2017. In addition, our Avis Budget Rental Car Funding subsidiary issued approximately $600 million in asset-backed notes with an expected final payment date of September 2022 and a weighted average interest rate of 3%. The proceeds from these borrowings were used to fund the repayment of maturing vehicle-backed debt and the acquisition of rental cars in the United States. We also increased our capacity under our European rental fleet securitization program by €250 million, the proceeds of which were used to finance fleet purchases for certain of our European operations. During the six months ended June 30, 2017, we repurchased approximately 3.4 million shares of our outstanding common stock for approximately $100 million.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740" w:type="dxa"/>
            <w:vAlign w:val="bottom"/>
          </w:tcPr>
          <w:p>
            <w:pPr>
              <w:spacing w:after="0"/>
              <w:rPr>
                <w:sz w:val="20"/>
                <w:szCs w:val="20"/>
                <w:color w:val="auto"/>
              </w:rPr>
            </w:pPr>
            <w:r>
              <w:rPr>
                <w:rFonts w:ascii="Arial" w:cs="Arial" w:eastAsia="Arial" w:hAnsi="Arial"/>
                <w:sz w:val="18"/>
                <w:szCs w:val="18"/>
                <w:b w:val="1"/>
                <w:bCs w:val="1"/>
                <w:color w:val="auto"/>
              </w:rPr>
              <w:t>CASH FLOWS</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424"/>
        </w:trPr>
        <w:tc>
          <w:tcPr>
            <w:tcW w:w="6740" w:type="dxa"/>
            <w:vAlign w:val="bottom"/>
          </w:tcPr>
          <w:p>
            <w:pPr>
              <w:spacing w:after="0"/>
              <w:rPr>
                <w:sz w:val="20"/>
                <w:szCs w:val="20"/>
                <w:color w:val="auto"/>
              </w:rPr>
            </w:pPr>
            <w:r>
              <w:rPr>
                <w:rFonts w:ascii="Arial" w:cs="Arial" w:eastAsia="Arial" w:hAnsi="Arial"/>
                <w:sz w:val="18"/>
                <w:szCs w:val="18"/>
                <w:color w:val="auto"/>
              </w:rPr>
              <w:t>The following table summarizes our cash flows: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00"/>
        </w:trPr>
        <w:tc>
          <w:tcPr>
            <w:tcW w:w="67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Six Months Ended June 30,</w:t>
            </w:r>
          </w:p>
        </w:tc>
        <w:tc>
          <w:tcPr>
            <w:tcW w:w="1100" w:type="dxa"/>
            <w:vAlign w:val="bottom"/>
            <w:tcBorders>
              <w:bottom w:val="single" w:sz="8" w:color="auto"/>
            </w:tcBorders>
          </w:tcPr>
          <w:p>
            <w:pPr>
              <w:spacing w:after="0"/>
              <w:rPr>
                <w:sz w:val="24"/>
                <w:szCs w:val="24"/>
                <w:color w:val="auto"/>
              </w:rPr>
            </w:pPr>
          </w:p>
        </w:tc>
      </w:tr>
      <w:tr>
        <w:trPr>
          <w:trHeight w:val="263"/>
        </w:trPr>
        <w:tc>
          <w:tcPr>
            <w:tcW w:w="67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Change</w:t>
            </w:r>
          </w:p>
        </w:tc>
      </w:tr>
      <w:tr>
        <w:trPr>
          <w:trHeight w:val="256"/>
        </w:trPr>
        <w:tc>
          <w:tcPr>
            <w:tcW w:w="6740" w:type="dxa"/>
            <w:vAlign w:val="bottom"/>
          </w:tcPr>
          <w:p>
            <w:pPr>
              <w:ind w:left="40"/>
              <w:spacing w:after="0"/>
              <w:rPr>
                <w:sz w:val="20"/>
                <w:szCs w:val="20"/>
                <w:color w:val="auto"/>
              </w:rPr>
            </w:pPr>
            <w:r>
              <w:rPr>
                <w:rFonts w:ascii="Arial" w:cs="Arial" w:eastAsia="Arial" w:hAnsi="Arial"/>
                <w:sz w:val="18"/>
                <w:szCs w:val="18"/>
                <w:color w:val="auto"/>
              </w:rPr>
              <w:t>Cash provided by (used in):</w:t>
            </w: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70"/>
        </w:trPr>
        <w:tc>
          <w:tcPr>
            <w:tcW w:w="6740" w:type="dxa"/>
            <w:vAlign w:val="bottom"/>
          </w:tcPr>
          <w:p>
            <w:pPr>
              <w:ind w:left="440"/>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1,139</w:t>
            </w:r>
          </w:p>
        </w:tc>
        <w:tc>
          <w:tcPr>
            <w:tcW w:w="12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1,079</w:t>
            </w:r>
          </w:p>
        </w:tc>
        <w:tc>
          <w:tcPr>
            <w:tcW w:w="12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60</w:t>
            </w:r>
          </w:p>
        </w:tc>
      </w:tr>
      <w:tr>
        <w:trPr>
          <w:trHeight w:val="270"/>
        </w:trPr>
        <w:tc>
          <w:tcPr>
            <w:tcW w:w="6740" w:type="dxa"/>
            <w:vAlign w:val="bottom"/>
          </w:tcPr>
          <w:p>
            <w:pPr>
              <w:ind w:left="440"/>
              <w:spacing w:after="0"/>
              <w:rPr>
                <w:sz w:val="20"/>
                <w:szCs w:val="20"/>
                <w:color w:val="auto"/>
              </w:rPr>
            </w:pPr>
            <w:r>
              <w:rPr>
                <w:rFonts w:ascii="Arial" w:cs="Arial" w:eastAsia="Arial" w:hAnsi="Arial"/>
                <w:sz w:val="18"/>
                <w:szCs w:val="18"/>
                <w:color w:val="auto"/>
              </w:rPr>
              <w:t>Investing activities</w:t>
            </w: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(3,019)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(3,081)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62</w:t>
            </w:r>
          </w:p>
        </w:tc>
      </w:tr>
      <w:tr>
        <w:trPr>
          <w:trHeight w:val="270"/>
        </w:trPr>
        <w:tc>
          <w:tcPr>
            <w:tcW w:w="6740" w:type="dxa"/>
            <w:vAlign w:val="bottom"/>
          </w:tcPr>
          <w:p>
            <w:pPr>
              <w:ind w:left="440"/>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2,139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2,064</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75</w:t>
            </w:r>
          </w:p>
        </w:tc>
      </w:tr>
      <w:tr>
        <w:trPr>
          <w:trHeight w:val="273"/>
        </w:trPr>
        <w:tc>
          <w:tcPr>
            <w:tcW w:w="6740" w:type="dxa"/>
            <w:vAlign w:val="bottom"/>
          </w:tcPr>
          <w:p>
            <w:pPr>
              <w:ind w:left="40"/>
              <w:spacing w:after="0"/>
              <w:rPr>
                <w:sz w:val="20"/>
                <w:szCs w:val="20"/>
                <w:color w:val="auto"/>
              </w:rPr>
            </w:pPr>
            <w:r>
              <w:rPr>
                <w:rFonts w:ascii="Arial" w:cs="Arial" w:eastAsia="Arial" w:hAnsi="Arial"/>
                <w:sz w:val="18"/>
                <w:szCs w:val="18"/>
                <w:color w:val="auto"/>
              </w:rPr>
              <w:t>Effect of exchange rate changes</w:t>
            </w:r>
          </w:p>
        </w:tc>
        <w:tc>
          <w:tcPr>
            <w:tcW w:w="3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w:t>
            </w:r>
          </w:p>
        </w:tc>
      </w:tr>
      <w:tr>
        <w:trPr>
          <w:trHeight w:val="247"/>
        </w:trPr>
        <w:tc>
          <w:tcPr>
            <w:tcW w:w="6740" w:type="dxa"/>
            <w:vAlign w:val="bottom"/>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211</w:t>
            </w:r>
          </w:p>
        </w:tc>
      </w:tr>
      <w:tr>
        <w:trPr>
          <w:trHeight w:val="275"/>
        </w:trPr>
        <w:tc>
          <w:tcPr>
            <w:tcW w:w="674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3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490</w:t>
            </w: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452</w:t>
            </w:r>
          </w:p>
        </w:tc>
        <w:tc>
          <w:tcPr>
            <w:tcW w:w="12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w:t>
            </w:r>
          </w:p>
        </w:tc>
      </w:tr>
      <w:tr>
        <w:trPr>
          <w:trHeight w:val="255"/>
        </w:trPr>
        <w:tc>
          <w:tcPr>
            <w:tcW w:w="6740" w:type="dxa"/>
            <w:vAlign w:val="bottom"/>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776</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527</w:t>
            </w:r>
          </w:p>
        </w:tc>
        <w:tc>
          <w:tcPr>
            <w:tcW w:w="12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249</w:t>
            </w:r>
          </w:p>
        </w:tc>
      </w:tr>
      <w:tr>
        <w:trPr>
          <w:trHeight w:val="20"/>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right="340"/>
        <w:spacing w:after="0" w:line="292" w:lineRule="auto"/>
        <w:rPr>
          <w:sz w:val="20"/>
          <w:szCs w:val="20"/>
          <w:color w:val="auto"/>
        </w:rPr>
      </w:pPr>
      <w:r>
        <w:rPr>
          <w:rFonts w:ascii="Arial" w:cs="Arial" w:eastAsia="Arial" w:hAnsi="Arial"/>
          <w:sz w:val="18"/>
          <w:szCs w:val="18"/>
          <w:color w:val="auto"/>
        </w:rPr>
        <w:t>The increase in cash provided by operating activities during the six months ended June 30, 2017 compared with the same period in 2016 is principally due to changes in the components of working capital.</w:t>
      </w:r>
    </w:p>
    <w:p>
      <w:pPr>
        <w:spacing w:after="0" w:line="145" w:lineRule="exact"/>
        <w:rPr>
          <w:sz w:val="20"/>
          <w:szCs w:val="20"/>
          <w:color w:val="auto"/>
        </w:rPr>
      </w:pPr>
    </w:p>
    <w:p>
      <w:pPr>
        <w:ind w:right="680"/>
        <w:spacing w:after="0" w:line="292" w:lineRule="auto"/>
        <w:rPr>
          <w:sz w:val="20"/>
          <w:szCs w:val="20"/>
          <w:color w:val="auto"/>
        </w:rPr>
      </w:pPr>
      <w:r>
        <w:rPr>
          <w:rFonts w:ascii="Arial" w:cs="Arial" w:eastAsia="Arial" w:hAnsi="Arial"/>
          <w:sz w:val="18"/>
          <w:szCs w:val="18"/>
          <w:color w:val="auto"/>
        </w:rPr>
        <w:t>The decrease in cash used in investing activities during the six months ended June 30, 2017 compared with the same period in 2016 is primarily due to a net decrease in investment in vehicles.</w:t>
      </w:r>
    </w:p>
    <w:p>
      <w:pPr>
        <w:spacing w:after="0" w:line="145" w:lineRule="exact"/>
        <w:rPr>
          <w:sz w:val="20"/>
          <w:szCs w:val="20"/>
          <w:color w:val="auto"/>
        </w:rPr>
      </w:pPr>
    </w:p>
    <w:p>
      <w:pPr>
        <w:ind w:right="560"/>
        <w:spacing w:after="0" w:line="292" w:lineRule="auto"/>
        <w:rPr>
          <w:sz w:val="20"/>
          <w:szCs w:val="20"/>
          <w:color w:val="auto"/>
        </w:rPr>
      </w:pPr>
      <w:r>
        <w:rPr>
          <w:rFonts w:ascii="Arial" w:cs="Arial" w:eastAsia="Arial" w:hAnsi="Arial"/>
          <w:sz w:val="18"/>
          <w:szCs w:val="18"/>
          <w:color w:val="auto"/>
        </w:rPr>
        <w:t>The increase in cash provided by financing activities during the six months ended June 30, 2017 compared with the same period in 2016 primarily reflects a decrease in our repurchases of common stock.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AND FINANCING ARRANGEMENTS</w:t>
      </w:r>
    </w:p>
    <w:p>
      <w:pPr>
        <w:spacing w:after="0" w:line="227"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At June 30, 2017, we had approximately $15 billion of indebtedness, including corporate indebtedness of approximately $4 billion and debt under vehicle programs of approximately $11 billion. For detailed information regarding our debt and borrowing arrangements, see Notes 9 and 10 to our Consolidated Condensed Financial Statements.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w:t>
      </w:r>
    </w:p>
    <w:p>
      <w:pPr>
        <w:spacing w:after="0" w:line="227"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Our primary liquidity needs include the payment of operating expenses, servicing of corporate and vehicle-related debt and procurement of rental vehicles to be used in our operations. The present intention of management is to reinvest the undistributed earnings of the Company’s foreign subsidiaries indefinitely into its foreign operations. We do not anticipate the need to repatriate foreign earnings to the United States to service corporate debt or for other U.S. needs. Our primary sources of funding are operating revenue, cash received upon the sale of vehicles, borrowings under our vehicle-backed borrowing arrangements and our senior revolving credit facility, and other financing activities.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16"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p>
      <w:pPr>
        <w:ind w:right="20"/>
        <w:spacing w:after="0" w:line="292" w:lineRule="auto"/>
        <w:rPr>
          <w:sz w:val="20"/>
          <w:szCs w:val="20"/>
          <w:color w:val="auto"/>
        </w:rPr>
      </w:pPr>
      <w:r>
        <w:rPr>
          <w:rFonts w:ascii="Arial" w:cs="Arial" w:eastAsia="Arial" w:hAnsi="Arial"/>
          <w:sz w:val="18"/>
          <w:szCs w:val="18"/>
          <w:color w:val="auto"/>
        </w:rPr>
        <w:t>As discussed above, as of June 30, 2017, we have cash and cash equivalents of approximately $0.8 billion, available borrowing capacity under our committed credit facilities of approximately $0.5 billion and available capacity under our vehicle programs of approximately $1.6 billion.</w:t>
      </w:r>
    </w:p>
    <w:p>
      <w:pPr>
        <w:spacing w:after="0" w:line="14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Our liquidity position could be negatively affected by financial market disruptions or a downturn in the U.S. and worldwide economies, which may result in unfavorable conditions in the vehicle rental industry, in the asset-backed financing market, and in the credit markets generally. We believe these factors have in the past affected and could in the future affect the debt ratings assigned to us by credit rating agencies and the cost of our borrowings. Additionally, a downturn in the worldwide economy or a disruption in the credit markets could impact our liquidity due to</w:t>
      </w:r>
    </w:p>
    <w:p>
      <w:pPr>
        <w:ind w:right="100" w:firstLine="8"/>
        <w:spacing w:after="0" w:line="254" w:lineRule="auto"/>
        <w:tabs>
          <w:tab w:leader="none" w:pos="21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decreased demand and pricing for vehicles in the used-vehicle market, (ii) increased costs associated with, and/or reduced capacity or increased collateral needs under, our financings, (iii) the adverse impact of vehicle manufacturers, including Ford, General Motors, Chrysler, Peugeot, Kia, Volkswagen, Fiat, Mercedes, Toyota and Volvo, being unable or unwilling to honor their obligations to repurchase or guarantee the depreciation on the related program vehicles and (iv) disruption in our ability to obtain financing due to negative credit events specific to us or affecting the overall debt market.</w:t>
      </w:r>
    </w:p>
    <w:p>
      <w:pPr>
        <w:spacing w:after="0" w:line="17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liquidity position could also be negatively impacted if we are unable to remain in compliance with the financial and other covenants associated with our senior credit facility and other borrowings, including a maximum leverage ratio. As of June 30, 2017, we were in compliance with the financial covenants governing our indebtedness. For additional information regarding our liquidity risks, see Part I, Item 1A, “Risk Factors” of our 2016 Form 10-K.</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7"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Our future contractual obligations have not changed significantly from the amounts reported within our 2016 Form 10-K with the exception of our commitment to purchase vehicles, which decreased by approximately $6.0 billion from December 31, 2016, to approximately $1.7 billion at June 30, 2017. Changes to our obligations related to corporate indebtedness and debt under vehicle programs are presented above within the section titled “Liquidity and Capital Resources—Debt and Financing Arrangements” and also within Notes 9 and 10 to our Consolidated Condensed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w:t>
      </w:r>
    </w:p>
    <w:p>
      <w:pPr>
        <w:spacing w:after="0" w:line="22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results of the majority of our recurring operations are recorded in our financial statements using accounting policies that are not particularly subjective, nor complex. However, in presenting our financial statements in conformity with generally accepted accounting principles, we are required to make estimates and assumptions that affect the amounts reported therein. Several of the estimates and assumptions that we are required to make pertain to matters that are inherently uncertain as they relate to future events. Presented within the section titled “Critical Accounting Policies” of our 2016 Form 10-K are the accounting policies (related to goodwill and other indefinite-lived intangible assets, vehicles, income taxes and public liability, property damage and other insurance liabilities) that we believe require subjective and/or complex judgments that could potentially affect 2017 reported results. There have been no significant changes to those accounting policies or our assessment of which accounting policies we would consider to be critical accounting policies.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w:t>
      </w:r>
    </w:p>
    <w:p>
      <w:pPr>
        <w:spacing w:after="0" w:line="225" w:lineRule="exact"/>
        <w:rPr>
          <w:sz w:val="20"/>
          <w:szCs w:val="20"/>
          <w:color w:val="auto"/>
        </w:rPr>
      </w:pPr>
    </w:p>
    <w:p>
      <w:pPr>
        <w:ind w:right="340"/>
        <w:spacing w:after="0" w:line="292" w:lineRule="auto"/>
        <w:rPr>
          <w:sz w:val="20"/>
          <w:szCs w:val="20"/>
          <w:color w:val="auto"/>
        </w:rPr>
      </w:pPr>
      <w:r>
        <w:rPr>
          <w:rFonts w:ascii="Arial" w:cs="Arial" w:eastAsia="Arial" w:hAnsi="Arial"/>
          <w:sz w:val="18"/>
          <w:szCs w:val="18"/>
          <w:color w:val="auto"/>
        </w:rPr>
        <w:t>For detailed information regarding new accounting standards and their impact on our business, see Note 1 to our Consolidated Condensed Financial Statements.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16"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2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are exposed to a variety of market risks, including changes in currency exchange rates, interest rates and gasoline prices. We assess our market risks based on changes in interest and currency exchange rates utilizing a sensitivity analysis that measures the potential impact on earnings, fair values and cash flows based on a hypothetical 10% change (increase and decrease) in interest and foreign currency exchange rates. We used June 30, 2017 market rates to perform a sensitivity analysis separately for each of these market risk exposures. We have determined, through such analyses, that the impact of a 10% change in interest or currency exchange rates on our results of operations, balance sheet and cash flows would not be material. Additionally, we have commodity price exposure related to fluctuations in the price of unleaded gasoline. We anticipate that such commodity risk will remain a market risk exposure for the foreseeable future. We determined that a 10% change in the price of unleaded gasoline would not have a material impact on our earnings for the period ended June 30, 2017. For additional information regarding our long-term borrowings and financial instruments, see Notes 9, 10 and 14 to our Consolidated Condensed Financial Statements.</w:t>
      </w:r>
    </w:p>
    <w:p>
      <w:pPr>
        <w:spacing w:after="0" w:line="17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7" w:lineRule="exact"/>
        <w:rPr>
          <w:sz w:val="20"/>
          <w:szCs w:val="20"/>
          <w:color w:val="auto"/>
        </w:rPr>
      </w:pPr>
    </w:p>
    <w:p>
      <w:pPr>
        <w:ind w:left="340" w:hanging="332"/>
        <w:spacing w:after="0" w:line="260" w:lineRule="auto"/>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Disclosure Controls and Procedures. </w:t>
      </w:r>
      <w:r>
        <w:rPr>
          <w:rFonts w:ascii="Arial" w:cs="Arial" w:eastAsia="Arial" w:hAnsi="Arial"/>
          <w:sz w:val="18"/>
          <w:szCs w:val="18"/>
          <w:color w:val="auto"/>
        </w:rPr>
        <w:t>Under the supervision and with the participation of our Chief Executive Officer and Chief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our management conducted an evaluation of the effectiveness of our disclosure controls and procedures (as such term is defined in Rules 13a-15(e) and 15d-15(e) under the Securities Exchange Act of 1934, as amended (the “Exchange Act”)). Based on such evaluation, our Chief Executive Officer and Chief Financial Officer have concluded that our disclosure controls and procedures were effective as of June 30, 2017.</w:t>
      </w:r>
    </w:p>
    <w:p>
      <w:pPr>
        <w:spacing w:after="0" w:line="175" w:lineRule="exact"/>
        <w:rPr>
          <w:rFonts w:ascii="Arial" w:cs="Arial" w:eastAsia="Arial" w:hAnsi="Arial"/>
          <w:sz w:val="18"/>
          <w:szCs w:val="18"/>
          <w:color w:val="auto"/>
        </w:rPr>
      </w:pPr>
    </w:p>
    <w:p>
      <w:pPr>
        <w:ind w:left="340" w:right="20" w:hanging="332"/>
        <w:spacing w:after="0" w:line="271" w:lineRule="auto"/>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During the fiscal quarter to which this report relates, there has been no change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internal control over financial reporting (as such term is defined in Rules 13a-15(f) and 15d-15(f) under the Exchange Act) that has materially affected, or is reasonably likely to materially affect, the Company’s internal control over financial reporting.</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16"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27"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During the quarter ended June 30, 2017, the Company had no material developments to report with respect to its legal proceedings. For additional information regarding the Company’s legal proceedings, see Note 11 to our Consolidated Condensed Financial Statements and refer to the Company’s 2016 Form 10-K and Quarterly Report on Form 10-Q for the quarter ended March 31, 2017.</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7" w:lineRule="exact"/>
        <w:rPr>
          <w:sz w:val="20"/>
          <w:szCs w:val="20"/>
          <w:color w:val="auto"/>
        </w:rPr>
      </w:pPr>
    </w:p>
    <w:p>
      <w:pPr>
        <w:ind w:right="320"/>
        <w:spacing w:after="0" w:line="292" w:lineRule="auto"/>
        <w:rPr>
          <w:sz w:val="20"/>
          <w:szCs w:val="20"/>
          <w:color w:val="auto"/>
        </w:rPr>
      </w:pPr>
      <w:r>
        <w:rPr>
          <w:rFonts w:ascii="Arial" w:cs="Arial" w:eastAsia="Arial" w:hAnsi="Arial"/>
          <w:sz w:val="18"/>
          <w:szCs w:val="18"/>
          <w:color w:val="auto"/>
        </w:rPr>
        <w:t>During the quarter ended June 30, 2017, the Company had no material developments to report with respect to its risk factors. For additional information regarding the Company’s risk factors, please refer to the Company’s 2016 Form 10-K.</w:t>
      </w:r>
    </w:p>
    <w:p>
      <w:pPr>
        <w:spacing w:after="0" w:line="14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tab/>
        <w:t>Unregistered Sales of Equity Securities and Use of Proceeds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common stock repurchases by month for the quarter ended June 30, 2017:</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8"/>
              </w:rPr>
              <w:t>Total Number of</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Approximate Dollar</w:t>
            </w:r>
          </w:p>
        </w:tc>
        <w:tc>
          <w:tcPr>
            <w:tcW w:w="0" w:type="dxa"/>
            <w:vAlign w:val="bottom"/>
          </w:tcPr>
          <w:p>
            <w:pPr>
              <w:spacing w:after="0"/>
              <w:rPr>
                <w:sz w:val="1"/>
                <w:szCs w:val="1"/>
                <w:color w:val="auto"/>
              </w:rPr>
            </w:pPr>
          </w:p>
        </w:tc>
      </w:tr>
      <w:tr>
        <w:trPr>
          <w:trHeight w:val="203"/>
        </w:trPr>
        <w:tc>
          <w:tcPr>
            <w:tcW w:w="34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Shares Purchased as</w:t>
            </w:r>
          </w:p>
        </w:tc>
        <w:tc>
          <w:tcPr>
            <w:tcW w:w="120" w:type="dxa"/>
            <w:vAlign w:val="bottom"/>
          </w:tcPr>
          <w:p>
            <w:pPr>
              <w:spacing w:after="0"/>
              <w:rPr>
                <w:sz w:val="17"/>
                <w:szCs w:val="17"/>
                <w:color w:val="auto"/>
              </w:rPr>
            </w:pPr>
          </w:p>
        </w:tc>
        <w:tc>
          <w:tcPr>
            <w:tcW w:w="194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Value of Shares That</w:t>
            </w:r>
          </w:p>
        </w:tc>
        <w:tc>
          <w:tcPr>
            <w:tcW w:w="0" w:type="dxa"/>
            <w:vAlign w:val="bottom"/>
          </w:tcPr>
          <w:p>
            <w:pPr>
              <w:spacing w:after="0"/>
              <w:rPr>
                <w:sz w:val="1"/>
                <w:szCs w:val="1"/>
                <w:color w:val="auto"/>
              </w:rPr>
            </w:pPr>
          </w:p>
        </w:tc>
      </w:tr>
      <w:tr>
        <w:trPr>
          <w:trHeight w:val="203"/>
        </w:trPr>
        <w:tc>
          <w:tcPr>
            <w:tcW w:w="34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Part of Publicly</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97"/>
              </w:rPr>
              <w:t>May Yet Be</w:t>
            </w:r>
          </w:p>
        </w:tc>
        <w:tc>
          <w:tcPr>
            <w:tcW w:w="0" w:type="dxa"/>
            <w:vAlign w:val="bottom"/>
          </w:tcPr>
          <w:p>
            <w:pPr>
              <w:spacing w:after="0"/>
              <w:rPr>
                <w:sz w:val="1"/>
                <w:szCs w:val="1"/>
                <w:color w:val="auto"/>
              </w:rPr>
            </w:pPr>
          </w:p>
        </w:tc>
      </w:tr>
      <w:tr>
        <w:trPr>
          <w:trHeight w:val="203"/>
        </w:trPr>
        <w:tc>
          <w:tcPr>
            <w:tcW w:w="3440" w:type="dxa"/>
            <w:vAlign w:val="bottom"/>
          </w:tcPr>
          <w:p>
            <w:pPr>
              <w:spacing w:after="0"/>
              <w:rPr>
                <w:sz w:val="17"/>
                <w:szCs w:val="17"/>
                <w:color w:val="auto"/>
              </w:rPr>
            </w:pPr>
          </w:p>
        </w:tc>
        <w:tc>
          <w:tcPr>
            <w:tcW w:w="194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Total Number of</w:t>
            </w:r>
          </w:p>
        </w:tc>
        <w:tc>
          <w:tcPr>
            <w:tcW w:w="120" w:type="dxa"/>
            <w:vAlign w:val="bottom"/>
          </w:tcPr>
          <w:p>
            <w:pPr>
              <w:spacing w:after="0"/>
              <w:rPr>
                <w:sz w:val="17"/>
                <w:szCs w:val="17"/>
                <w:color w:val="auto"/>
              </w:rPr>
            </w:pPr>
          </w:p>
        </w:tc>
        <w:tc>
          <w:tcPr>
            <w:tcW w:w="1940" w:type="dxa"/>
            <w:vAlign w:val="bottom"/>
            <w:gridSpan w:val="3"/>
          </w:tcPr>
          <w:p>
            <w:pPr>
              <w:jc w:val="right"/>
              <w:ind w:right="220"/>
              <w:spacing w:after="0" w:line="202" w:lineRule="exact"/>
              <w:rPr>
                <w:sz w:val="20"/>
                <w:szCs w:val="20"/>
                <w:color w:val="auto"/>
              </w:rPr>
            </w:pPr>
            <w:r>
              <w:rPr>
                <w:rFonts w:ascii="Arial" w:cs="Arial" w:eastAsia="Arial" w:hAnsi="Arial"/>
                <w:sz w:val="18"/>
                <w:szCs w:val="18"/>
                <w:b w:val="1"/>
                <w:bCs w:val="1"/>
                <w:color w:val="auto"/>
              </w:rPr>
              <w:t>Average Price Paid</w:t>
            </w:r>
          </w:p>
        </w:tc>
        <w:tc>
          <w:tcPr>
            <w:tcW w:w="19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Announced Plans or</w:t>
            </w:r>
          </w:p>
        </w:tc>
        <w:tc>
          <w:tcPr>
            <w:tcW w:w="120" w:type="dxa"/>
            <w:vAlign w:val="bottom"/>
          </w:tcPr>
          <w:p>
            <w:pPr>
              <w:spacing w:after="0"/>
              <w:rPr>
                <w:sz w:val="17"/>
                <w:szCs w:val="17"/>
                <w:color w:val="auto"/>
              </w:rPr>
            </w:pPr>
          </w:p>
        </w:tc>
        <w:tc>
          <w:tcPr>
            <w:tcW w:w="194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rPr>
              <w:t>Purchased Under the</w:t>
            </w:r>
          </w:p>
        </w:tc>
        <w:tc>
          <w:tcPr>
            <w:tcW w:w="0" w:type="dxa"/>
            <w:vAlign w:val="bottom"/>
          </w:tcPr>
          <w:p>
            <w:pPr>
              <w:spacing w:after="0"/>
              <w:rPr>
                <w:sz w:val="1"/>
                <w:szCs w:val="1"/>
                <w:color w:val="auto"/>
              </w:rPr>
            </w:pPr>
          </w:p>
        </w:tc>
      </w:tr>
      <w:tr>
        <w:trPr>
          <w:trHeight w:val="306"/>
        </w:trPr>
        <w:tc>
          <w:tcPr>
            <w:tcW w:w="3440" w:type="dxa"/>
            <w:vAlign w:val="bottom"/>
          </w:tcPr>
          <w:p>
            <w:pPr>
              <w:spacing w:after="0"/>
              <w:rPr>
                <w:sz w:val="24"/>
                <w:szCs w:val="24"/>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b w:val="1"/>
                <w:bCs w:val="1"/>
                <w:color w:val="auto"/>
              </w:rPr>
              <w:t>Shares Purchased</w:t>
            </w:r>
            <w:r>
              <w:rPr>
                <w:rFonts w:ascii="Arial" w:cs="Arial" w:eastAsia="Arial" w:hAnsi="Arial"/>
                <w:sz w:val="21"/>
                <w:szCs w:val="21"/>
                <w:b w:val="1"/>
                <w:bCs w:val="1"/>
                <w:color w:val="auto"/>
                <w:vertAlign w:val="superscript"/>
              </w:rPr>
              <w:t>(a)</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gridSpan w:val="2"/>
          </w:tcPr>
          <w:p>
            <w:pPr>
              <w:ind w:left="200"/>
              <w:spacing w:after="0"/>
              <w:rPr>
                <w:sz w:val="20"/>
                <w:szCs w:val="20"/>
                <w:color w:val="auto"/>
              </w:rPr>
            </w:pPr>
            <w:r>
              <w:rPr>
                <w:rFonts w:ascii="Arial" w:cs="Arial" w:eastAsia="Arial" w:hAnsi="Arial"/>
                <w:sz w:val="18"/>
                <w:szCs w:val="18"/>
                <w:b w:val="1"/>
                <w:bCs w:val="1"/>
                <w:color w:val="auto"/>
              </w:rPr>
              <w:t>per Share</w:t>
            </w: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9"/>
              </w:rPr>
              <w:t>Programs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Plans or Programs</w:t>
            </w:r>
          </w:p>
        </w:tc>
        <w:tc>
          <w:tcPr>
            <w:tcW w:w="0" w:type="dxa"/>
            <w:vAlign w:val="bottom"/>
          </w:tcPr>
          <w:p>
            <w:pPr>
              <w:spacing w:after="0"/>
              <w:rPr>
                <w:sz w:val="1"/>
                <w:szCs w:val="1"/>
                <w:color w:val="auto"/>
              </w:rPr>
            </w:pPr>
          </w:p>
        </w:tc>
      </w:tr>
      <w:tr>
        <w:trPr>
          <w:trHeight w:val="29"/>
        </w:trPr>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April 2017</w:t>
            </w:r>
          </w:p>
        </w:tc>
        <w:tc>
          <w:tcPr>
            <w:tcW w:w="1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3440" w:type="dxa"/>
            <w:vAlign w:val="bottom"/>
            <w:vMerge w:val="continue"/>
          </w:tcPr>
          <w:p>
            <w:pPr>
              <w:spacing w:after="0"/>
              <w:rPr>
                <w:sz w:val="20"/>
                <w:szCs w:val="20"/>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637,823</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29.00</w:t>
            </w:r>
          </w:p>
        </w:tc>
        <w:tc>
          <w:tcPr>
            <w:tcW w:w="120" w:type="dxa"/>
            <w:vAlign w:val="bottom"/>
          </w:tcPr>
          <w:p>
            <w:pPr>
              <w:spacing w:after="0"/>
              <w:rPr>
                <w:sz w:val="20"/>
                <w:szCs w:val="20"/>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637,823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231,976,168</w:t>
            </w:r>
          </w:p>
        </w:tc>
        <w:tc>
          <w:tcPr>
            <w:tcW w:w="0" w:type="dxa"/>
            <w:vAlign w:val="bottom"/>
          </w:tcPr>
          <w:p>
            <w:pPr>
              <w:spacing w:after="0"/>
              <w:rPr>
                <w:sz w:val="1"/>
                <w:szCs w:val="1"/>
                <w:color w:val="auto"/>
              </w:rPr>
            </w:pPr>
          </w:p>
        </w:tc>
      </w:tr>
      <w:tr>
        <w:trPr>
          <w:trHeight w:val="270"/>
        </w:trPr>
        <w:tc>
          <w:tcPr>
            <w:tcW w:w="3440" w:type="dxa"/>
            <w:vAlign w:val="bottom"/>
          </w:tcPr>
          <w:p>
            <w:pPr>
              <w:ind w:left="40"/>
              <w:spacing w:after="0"/>
              <w:rPr>
                <w:sz w:val="20"/>
                <w:szCs w:val="20"/>
                <w:color w:val="auto"/>
              </w:rPr>
            </w:pPr>
            <w:r>
              <w:rPr>
                <w:rFonts w:ascii="Arial" w:cs="Arial" w:eastAsia="Arial" w:hAnsi="Arial"/>
                <w:sz w:val="18"/>
                <w:szCs w:val="18"/>
                <w:color w:val="auto"/>
              </w:rPr>
              <w:t>May 2017</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339,639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25.03</w:t>
            </w:r>
          </w:p>
        </w:tc>
        <w:tc>
          <w:tcPr>
            <w:tcW w:w="120" w:type="dxa"/>
            <w:vAlign w:val="bottom"/>
          </w:tcPr>
          <w:p>
            <w:pPr>
              <w:spacing w:after="0"/>
              <w:rPr>
                <w:sz w:val="23"/>
                <w:szCs w:val="23"/>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339,639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223,476,318</w:t>
            </w:r>
          </w:p>
        </w:tc>
        <w:tc>
          <w:tcPr>
            <w:tcW w:w="0" w:type="dxa"/>
            <w:vAlign w:val="bottom"/>
          </w:tcPr>
          <w:p>
            <w:pPr>
              <w:spacing w:after="0"/>
              <w:rPr>
                <w:sz w:val="1"/>
                <w:szCs w:val="1"/>
                <w:color w:val="auto"/>
              </w:rPr>
            </w:pPr>
          </w:p>
        </w:tc>
      </w:tr>
      <w:tr>
        <w:trPr>
          <w:trHeight w:val="275"/>
        </w:trPr>
        <w:tc>
          <w:tcPr>
            <w:tcW w:w="3440" w:type="dxa"/>
            <w:vAlign w:val="bottom"/>
          </w:tcPr>
          <w:p>
            <w:pPr>
              <w:ind w:left="40"/>
              <w:spacing w:after="0"/>
              <w:rPr>
                <w:sz w:val="20"/>
                <w:szCs w:val="20"/>
                <w:color w:val="auto"/>
              </w:rPr>
            </w:pPr>
            <w:r>
              <w:rPr>
                <w:rFonts w:ascii="Arial" w:cs="Arial" w:eastAsia="Arial" w:hAnsi="Arial"/>
                <w:sz w:val="18"/>
                <w:szCs w:val="18"/>
                <w:color w:val="auto"/>
              </w:rPr>
              <w:t>June 2017</w:t>
            </w:r>
          </w:p>
        </w:tc>
        <w:tc>
          <w:tcPr>
            <w:tcW w:w="1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948,580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24.25</w:t>
            </w:r>
          </w:p>
        </w:tc>
        <w:tc>
          <w:tcPr>
            <w:tcW w:w="120" w:type="dxa"/>
            <w:vAlign w:val="bottom"/>
          </w:tcPr>
          <w:p>
            <w:pPr>
              <w:spacing w:after="0"/>
              <w:rPr>
                <w:sz w:val="23"/>
                <w:szCs w:val="23"/>
                <w:color w:val="auto"/>
              </w:rPr>
            </w:pPr>
          </w:p>
        </w:tc>
        <w:tc>
          <w:tcPr>
            <w:tcW w:w="1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948,580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200,476,522</w:t>
            </w:r>
          </w:p>
        </w:tc>
        <w:tc>
          <w:tcPr>
            <w:tcW w:w="0" w:type="dxa"/>
            <w:vAlign w:val="bottom"/>
          </w:tcPr>
          <w:p>
            <w:pPr>
              <w:spacing w:after="0"/>
              <w:rPr>
                <w:sz w:val="1"/>
                <w:szCs w:val="1"/>
                <w:color w:val="auto"/>
              </w:rPr>
            </w:pPr>
          </w:p>
        </w:tc>
      </w:tr>
      <w:tr>
        <w:trPr>
          <w:trHeight w:val="255"/>
        </w:trPr>
        <w:tc>
          <w:tcPr>
            <w:tcW w:w="344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1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1,926,042</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25.96</w:t>
            </w:r>
          </w:p>
        </w:tc>
        <w:tc>
          <w:tcPr>
            <w:tcW w:w="120" w:type="dxa"/>
            <w:vAlign w:val="bottom"/>
          </w:tcPr>
          <w:p>
            <w:pPr>
              <w:spacing w:after="0"/>
              <w:rPr>
                <w:sz w:val="22"/>
                <w:szCs w:val="22"/>
                <w:color w:val="auto"/>
              </w:rPr>
            </w:pPr>
          </w:p>
        </w:tc>
        <w:tc>
          <w:tcPr>
            <w:tcW w:w="1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1,926,042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200,476,522</w:t>
            </w: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40" w:type="dxa"/>
            <w:vAlign w:val="bottom"/>
            <w:vMerge w:val="continue"/>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right="480" w:hanging="332"/>
        <w:spacing w:after="0" w:line="224" w:lineRule="auto"/>
        <w:tabs>
          <w:tab w:leader="none" w:pos="340" w:val="left"/>
        </w:tabs>
        <w:numPr>
          <w:ilvl w:val="0"/>
          <w:numId w:val="61"/>
        </w:numPr>
        <w:rPr>
          <w:rFonts w:ascii="Arial" w:cs="Arial" w:eastAsia="Arial" w:hAnsi="Arial"/>
          <w:sz w:val="18"/>
          <w:szCs w:val="18"/>
          <w:color w:val="auto"/>
          <w:vertAlign w:val="superscript"/>
        </w:rPr>
      </w:pPr>
      <w:r>
        <w:rPr>
          <w:rFonts w:ascii="Arial" w:cs="Arial" w:eastAsia="Arial" w:hAnsi="Arial"/>
          <w:sz w:val="14"/>
          <w:szCs w:val="14"/>
          <w:color w:val="auto"/>
        </w:rPr>
        <w:t>Excludes, for the three months ended June 30, 2017, 40,658 shares which were withheld by the Company to satisfy employees’ income tax liabilities attributable to the vesting of restricted stock unit awards.</w:t>
      </w:r>
    </w:p>
    <w:p>
      <w:pPr>
        <w:spacing w:after="0" w:line="174" w:lineRule="exact"/>
        <w:rPr>
          <w:sz w:val="20"/>
          <w:szCs w:val="20"/>
          <w:color w:val="auto"/>
        </w:rPr>
      </w:pPr>
    </w:p>
    <w:p>
      <w:pPr>
        <w:ind w:right="280"/>
        <w:spacing w:after="0" w:line="260" w:lineRule="auto"/>
        <w:rPr>
          <w:sz w:val="20"/>
          <w:szCs w:val="20"/>
          <w:color w:val="auto"/>
        </w:rPr>
      </w:pPr>
      <w:r>
        <w:rPr>
          <w:rFonts w:ascii="Arial" w:cs="Arial" w:eastAsia="Arial" w:hAnsi="Arial"/>
          <w:sz w:val="18"/>
          <w:szCs w:val="18"/>
          <w:color w:val="262626"/>
        </w:rPr>
        <w:t>The Company</w:t>
      </w:r>
      <w:r>
        <w:rPr>
          <w:rFonts w:ascii="Arial" w:cs="Arial" w:eastAsia="Arial" w:hAnsi="Arial"/>
          <w:sz w:val="18"/>
          <w:szCs w:val="18"/>
          <w:color w:val="000000"/>
        </w:rPr>
        <w:t>’</w:t>
      </w:r>
      <w:r>
        <w:rPr>
          <w:rFonts w:ascii="Arial" w:cs="Arial" w:eastAsia="Arial" w:hAnsi="Arial"/>
          <w:sz w:val="18"/>
          <w:szCs w:val="18"/>
          <w:color w:val="262626"/>
        </w:rPr>
        <w:t>s Board of Directors has authorized the repurchase of up to approximately $1.5 billion of its common stock under a plan originally approved in 2013 and subsequently expanded, most recently in 2016</w:t>
      </w:r>
      <w:r>
        <w:rPr>
          <w:rFonts w:ascii="Arial" w:cs="Arial" w:eastAsia="Arial" w:hAnsi="Arial"/>
          <w:sz w:val="18"/>
          <w:szCs w:val="18"/>
          <w:color w:val="000000"/>
        </w:rPr>
        <w:t>.</w:t>
      </w:r>
      <w:r>
        <w:rPr>
          <w:rFonts w:ascii="Arial" w:cs="Arial" w:eastAsia="Arial" w:hAnsi="Arial"/>
          <w:sz w:val="18"/>
          <w:szCs w:val="18"/>
          <w:color w:val="262626"/>
        </w:rPr>
        <w:t xml:space="preserve"> The Company</w:t>
      </w:r>
      <w:r>
        <w:rPr>
          <w:rFonts w:ascii="Arial" w:cs="Arial" w:eastAsia="Arial" w:hAnsi="Arial"/>
          <w:sz w:val="18"/>
          <w:szCs w:val="18"/>
          <w:color w:val="000000"/>
        </w:rPr>
        <w:t>’</w:t>
      </w:r>
      <w:r>
        <w:rPr>
          <w:rFonts w:ascii="Arial" w:cs="Arial" w:eastAsia="Arial" w:hAnsi="Arial"/>
          <w:sz w:val="18"/>
          <w:szCs w:val="18"/>
          <w:color w:val="262626"/>
        </w:rPr>
        <w:t>s stock repurchases may occur through open market purchases or trading plans pursuant to Rule 10b5-1 of the Securities Exchange Act of 1934. The amount and timing of specific repurchases are subject to market conditions, applicable legal requirements and other factors. The repurchase program may be suspended, modified or discontinued at any time without prior notice. The repurchase program has no set expiration or termination date.</w:t>
      </w:r>
    </w:p>
    <w:p>
      <w:pPr>
        <w:spacing w:after="0" w:line="17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1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SIGNATURES</w:t>
      </w:r>
    </w:p>
    <w:p>
      <w:pPr>
        <w:spacing w:after="0" w:line="227"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9"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AVIS BUDGET GROUP, INC.</w:t>
      </w:r>
    </w:p>
    <w:p>
      <w:pPr>
        <w:spacing w:after="0" w:line="38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August 8, 2017</w:t>
      </w:r>
    </w:p>
    <w:p>
      <w:pPr>
        <w:spacing w:after="0" w:line="63"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/s/ Martyn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37465</wp:posOffset>
            </wp:positionV>
            <wp:extent cx="49225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922520" cy="8890"/>
                    </a:xfrm>
                    <a:prstGeom prst="rect">
                      <a:avLst/>
                    </a:prstGeom>
                    <a:noFill/>
                  </pic:spPr>
                </pic:pic>
              </a:graphicData>
            </a:graphic>
          </wp:anchor>
        </w:drawing>
      </w:r>
    </w:p>
    <w:p>
      <w:pPr>
        <w:spacing w:after="0" w:line="57"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Martyn Smith</w:t>
      </w:r>
    </w:p>
    <w:p>
      <w:pPr>
        <w:spacing w:after="0" w:line="50"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Interim Chief Financial Officer</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August 8, 2017</w:t>
      </w:r>
    </w:p>
    <w:p>
      <w:pPr>
        <w:spacing w:after="0" w:line="63"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/s/ David T. Calabria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37465</wp:posOffset>
            </wp:positionV>
            <wp:extent cx="49225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922520" cy="8890"/>
                    </a:xfrm>
                    <a:prstGeom prst="rect">
                      <a:avLst/>
                    </a:prstGeom>
                    <a:noFill/>
                  </pic:spPr>
                </pic:pic>
              </a:graphicData>
            </a:graphic>
          </wp:anchor>
        </w:drawing>
      </w:r>
    </w:p>
    <w:p>
      <w:pPr>
        <w:spacing w:after="0" w:line="57"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David T. Calabria</w:t>
      </w:r>
    </w:p>
    <w:p>
      <w:pPr>
        <w:spacing w:after="0" w:line="50"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Senior Vice President and</w:t>
      </w:r>
    </w:p>
    <w:p>
      <w:pPr>
        <w:spacing w:after="0" w:line="63"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Chief Accounting Officer</w:t>
      </w:r>
    </w:p>
    <w:p>
      <w:pPr>
        <w:spacing w:after="0" w:line="27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240" w:top="116" w:right="5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520" w:type="dxa"/>
            <w:vAlign w:val="bottom"/>
            <w:gridSpan w:val="16"/>
          </w:tcPr>
          <w:p>
            <w:pPr>
              <w:ind w:left="1280"/>
              <w:spacing w:after="0"/>
              <w:rPr>
                <w:sz w:val="20"/>
                <w:szCs w:val="20"/>
                <w:color w:val="auto"/>
              </w:rPr>
            </w:pPr>
            <w:r>
              <w:rPr>
                <w:rFonts w:ascii="Arial" w:cs="Arial" w:eastAsia="Arial" w:hAnsi="Arial"/>
                <w:sz w:val="18"/>
                <w:szCs w:val="18"/>
                <w:b w:val="1"/>
                <w:bCs w:val="1"/>
                <w:color w:val="auto"/>
              </w:rPr>
              <w:t>Exhibit Index</w:t>
            </w:r>
          </w:p>
        </w:tc>
      </w:tr>
      <w:tr>
        <w:trPr>
          <w:trHeight w:val="312"/>
        </w:trPr>
        <w:tc>
          <w:tcPr>
            <w:tcW w:w="1260" w:type="dxa"/>
            <w:vAlign w:val="bottom"/>
            <w:gridSpan w:val="2"/>
          </w:tcPr>
          <w:p>
            <w:pPr>
              <w:spacing w:after="0"/>
              <w:rPr>
                <w:sz w:val="20"/>
                <w:szCs w:val="20"/>
                <w:color w:val="auto"/>
              </w:rPr>
            </w:pPr>
            <w:r>
              <w:rPr>
                <w:rFonts w:ascii="Arial" w:cs="Arial" w:eastAsia="Arial" w:hAnsi="Arial"/>
                <w:sz w:val="16"/>
                <w:szCs w:val="16"/>
                <w:b w:val="1"/>
                <w:bCs w:val="1"/>
                <w:color w:val="auto"/>
              </w:rPr>
              <w:t>Exhibit No.</w:t>
            </w:r>
          </w:p>
        </w:tc>
        <w:tc>
          <w:tcPr>
            <w:tcW w:w="1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480" w:type="dxa"/>
            <w:vAlign w:val="bottom"/>
            <w:gridSpan w:val="15"/>
          </w:tcPr>
          <w:p>
            <w:pPr>
              <w:spacing w:after="0"/>
              <w:rPr>
                <w:sz w:val="20"/>
                <w:szCs w:val="20"/>
                <w:color w:val="auto"/>
              </w:rPr>
            </w:pPr>
            <w:r>
              <w:rPr>
                <w:rFonts w:ascii="Arial" w:cs="Arial" w:eastAsia="Arial" w:hAnsi="Arial"/>
                <w:sz w:val="16"/>
                <w:szCs w:val="16"/>
                <w:b w:val="1"/>
                <w:bCs w:val="1"/>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840" w:type="dxa"/>
            <w:vAlign w:val="bottom"/>
          </w:tcPr>
          <w:p>
            <w:pPr>
              <w:spacing w:after="0"/>
              <w:rPr>
                <w:sz w:val="20"/>
                <w:szCs w:val="20"/>
                <w:color w:val="auto"/>
              </w:rPr>
            </w:pPr>
            <w:r>
              <w:rPr>
                <w:rFonts w:ascii="Arial" w:cs="Arial" w:eastAsia="Arial" w:hAnsi="Arial"/>
                <w:sz w:val="18"/>
                <w:szCs w:val="18"/>
                <w:color w:val="auto"/>
              </w:rPr>
              <w:t>3.1</w:t>
            </w:r>
          </w:p>
        </w:tc>
        <w:tc>
          <w:tcPr>
            <w:tcW w:w="420" w:type="dxa"/>
            <w:vAlign w:val="bottom"/>
          </w:tcPr>
          <w:p>
            <w:pPr>
              <w:spacing w:after="0"/>
              <w:rPr>
                <w:sz w:val="20"/>
                <w:szCs w:val="20"/>
                <w:color w:val="auto"/>
              </w:rPr>
            </w:pPr>
          </w:p>
        </w:tc>
        <w:tc>
          <w:tcPr>
            <w:tcW w:w="10080" w:type="dxa"/>
            <w:vAlign w:val="bottom"/>
            <w:gridSpan w:val="18"/>
          </w:tcPr>
          <w:p>
            <w:pPr>
              <w:spacing w:after="0"/>
              <w:rPr>
                <w:rFonts w:ascii="Arial" w:cs="Arial" w:eastAsia="Arial" w:hAnsi="Arial"/>
                <w:sz w:val="18"/>
                <w:szCs w:val="18"/>
                <w:color w:val="0000EE"/>
              </w:rPr>
            </w:pPr>
            <w:hyperlink r:id="rId35">
              <w:r>
                <w:rPr>
                  <w:rFonts w:ascii="Arial" w:cs="Arial" w:eastAsia="Arial" w:hAnsi="Arial"/>
                  <w:sz w:val="18"/>
                  <w:szCs w:val="18"/>
                  <w:color w:val="0000EE"/>
                </w:rPr>
                <w:t>Certificate of Elimination of Series R Preferred Stock of Avis Budget Group, Inc. dated May 3, 2017 (Incorporated by reference</w:t>
              </w:r>
            </w:hyperlink>
          </w:p>
        </w:tc>
      </w:tr>
      <w:tr>
        <w:trPr>
          <w:trHeight w:val="183"/>
        </w:trPr>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40" w:type="dxa"/>
            <w:vAlign w:val="bottom"/>
            <w:tcBorders>
              <w:top w:val="single" w:sz="8" w:color="0000EE"/>
            </w:tcBorders>
            <w:gridSpan w:val="16"/>
          </w:tcPr>
          <w:p>
            <w:pPr>
              <w:spacing w:after="0" w:line="182" w:lineRule="exact"/>
              <w:rPr>
                <w:rFonts w:ascii="Arial" w:cs="Arial" w:eastAsia="Arial" w:hAnsi="Arial"/>
                <w:sz w:val="18"/>
                <w:szCs w:val="18"/>
                <w:color w:val="0000EE"/>
              </w:rPr>
            </w:pPr>
            <w:hyperlink r:id="rId35">
              <w:r>
                <w:rPr>
                  <w:rFonts w:ascii="Arial" w:cs="Arial" w:eastAsia="Arial" w:hAnsi="Arial"/>
                  <w:sz w:val="18"/>
                  <w:szCs w:val="18"/>
                  <w:color w:val="0000EE"/>
                </w:rPr>
                <w:t>to Exhibit 3.1 to the Company’s Current Report on Form 8-K dated May 3, 2017).</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860" w:type="dxa"/>
            <w:vAlign w:val="bottom"/>
            <w:tcBorders>
              <w:right w:val="single" w:sz="8" w:color="0000EE"/>
            </w:tcBorders>
            <w:gridSpan w:val="3"/>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840" w:type="dxa"/>
            <w:vAlign w:val="bottom"/>
          </w:tcPr>
          <w:p>
            <w:pPr>
              <w:spacing w:after="0"/>
              <w:rPr>
                <w:sz w:val="20"/>
                <w:szCs w:val="20"/>
                <w:color w:val="auto"/>
              </w:rPr>
            </w:pPr>
            <w:r>
              <w:rPr>
                <w:rFonts w:ascii="Arial" w:cs="Arial" w:eastAsia="Arial" w:hAnsi="Arial"/>
                <w:sz w:val="18"/>
                <w:szCs w:val="18"/>
                <w:color w:val="auto"/>
              </w:rPr>
              <w:t>4.1</w:t>
            </w:r>
          </w:p>
        </w:tc>
        <w:tc>
          <w:tcPr>
            <w:tcW w:w="420" w:type="dxa"/>
            <w:vAlign w:val="bottom"/>
          </w:tcPr>
          <w:p>
            <w:pPr>
              <w:spacing w:after="0"/>
              <w:rPr>
                <w:sz w:val="20"/>
                <w:szCs w:val="20"/>
                <w:color w:val="auto"/>
              </w:rPr>
            </w:pPr>
          </w:p>
        </w:tc>
        <w:tc>
          <w:tcPr>
            <w:tcW w:w="10080" w:type="dxa"/>
            <w:vAlign w:val="bottom"/>
            <w:gridSpan w:val="18"/>
          </w:tcPr>
          <w:p>
            <w:pPr>
              <w:spacing w:after="0"/>
              <w:rPr>
                <w:rFonts w:ascii="Arial" w:cs="Arial" w:eastAsia="Arial" w:hAnsi="Arial"/>
                <w:sz w:val="18"/>
                <w:szCs w:val="18"/>
                <w:color w:val="0000EE"/>
              </w:rPr>
            </w:pPr>
            <w:hyperlink r:id="rId36">
              <w:r>
                <w:rPr>
                  <w:rFonts w:ascii="Arial" w:cs="Arial" w:eastAsia="Arial" w:hAnsi="Arial"/>
                  <w:sz w:val="18"/>
                  <w:szCs w:val="18"/>
                  <w:color w:val="0000EE"/>
                </w:rPr>
                <w:t>Amendment No. 1, dated May 3, 2017, to Rights Agreement, dated as of January 23, 2017, between Avis Budget Group, Inc.</w:t>
              </w:r>
            </w:hyperlink>
          </w:p>
        </w:tc>
      </w:tr>
      <w:tr>
        <w:trPr>
          <w:trHeight w:val="183"/>
        </w:trPr>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940" w:type="dxa"/>
            <w:vAlign w:val="bottom"/>
            <w:tcBorders>
              <w:top w:val="single" w:sz="8" w:color="0000EE"/>
              <w:bottom w:val="single" w:sz="8" w:color="0000EE"/>
            </w:tcBorders>
            <w:gridSpan w:val="14"/>
          </w:tcPr>
          <w:p>
            <w:pPr>
              <w:spacing w:after="0" w:line="182" w:lineRule="exact"/>
              <w:rPr>
                <w:rFonts w:ascii="Arial" w:cs="Arial" w:eastAsia="Arial" w:hAnsi="Arial"/>
                <w:sz w:val="18"/>
                <w:szCs w:val="18"/>
                <w:color w:val="0000EE"/>
                <w:w w:val="99"/>
              </w:rPr>
            </w:pPr>
            <w:hyperlink r:id="rId36">
              <w:r>
                <w:rPr>
                  <w:rFonts w:ascii="Arial" w:cs="Arial" w:eastAsia="Arial" w:hAnsi="Arial"/>
                  <w:sz w:val="18"/>
                  <w:szCs w:val="18"/>
                  <w:color w:val="0000EE"/>
                  <w:w w:val="99"/>
                </w:rPr>
                <w:t>and Computershare Trust Company, N.A. (Incorporated by reference to Exhibit 4.1 to the Company’s Current Report on Form</w:t>
              </w:r>
            </w:hyperlink>
          </w:p>
        </w:tc>
        <w:tc>
          <w:tcPr>
            <w:tcW w:w="20" w:type="dxa"/>
            <w:vAlign w:val="bottom"/>
            <w:tcBorders>
              <w:bottom w:val="single" w:sz="8" w:color="0000EE"/>
            </w:tcBorders>
          </w:tcPr>
          <w:p>
            <w:pPr>
              <w:spacing w:after="0"/>
              <w:rPr>
                <w:sz w:val="15"/>
                <w:szCs w:val="15"/>
                <w:color w:val="auto"/>
              </w:rPr>
            </w:pP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960" w:type="dxa"/>
            <w:vAlign w:val="bottom"/>
            <w:gridSpan w:val="15"/>
          </w:tcPr>
          <w:p>
            <w:pPr>
              <w:spacing w:after="0" w:line="182" w:lineRule="exact"/>
              <w:rPr>
                <w:rFonts w:ascii="Arial" w:cs="Arial" w:eastAsia="Arial" w:hAnsi="Arial"/>
                <w:sz w:val="18"/>
                <w:szCs w:val="18"/>
                <w:color w:val="0000EE"/>
              </w:rPr>
            </w:pPr>
            <w:hyperlink r:id="rId36">
              <w:r>
                <w:rPr>
                  <w:rFonts w:ascii="Arial" w:cs="Arial" w:eastAsia="Arial" w:hAnsi="Arial"/>
                  <w:sz w:val="18"/>
                  <w:szCs w:val="18"/>
                  <w:color w:val="0000EE"/>
                </w:rPr>
                <w:t>8-K dated May 3, 2017).</w:t>
              </w:r>
            </w:hyperlink>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6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840" w:type="dxa"/>
            <w:vAlign w:val="bottom"/>
          </w:tcPr>
          <w:p>
            <w:pPr>
              <w:spacing w:after="0"/>
              <w:rPr>
                <w:sz w:val="20"/>
                <w:szCs w:val="20"/>
                <w:color w:val="auto"/>
              </w:rPr>
            </w:pPr>
            <w:r>
              <w:rPr>
                <w:rFonts w:ascii="Arial" w:cs="Arial" w:eastAsia="Arial" w:hAnsi="Arial"/>
                <w:sz w:val="18"/>
                <w:szCs w:val="18"/>
                <w:color w:val="auto"/>
              </w:rPr>
              <w:t>10.1</w:t>
            </w:r>
          </w:p>
        </w:tc>
        <w:tc>
          <w:tcPr>
            <w:tcW w:w="420" w:type="dxa"/>
            <w:vAlign w:val="bottom"/>
          </w:tcPr>
          <w:p>
            <w:pPr>
              <w:spacing w:after="0"/>
              <w:rPr>
                <w:sz w:val="20"/>
                <w:szCs w:val="20"/>
                <w:color w:val="auto"/>
              </w:rPr>
            </w:pPr>
          </w:p>
        </w:tc>
        <w:tc>
          <w:tcPr>
            <w:tcW w:w="10080" w:type="dxa"/>
            <w:vAlign w:val="bottom"/>
            <w:gridSpan w:val="18"/>
          </w:tcPr>
          <w:p>
            <w:pPr>
              <w:spacing w:after="0"/>
              <w:rPr>
                <w:rFonts w:ascii="Arial" w:cs="Arial" w:eastAsia="Arial" w:hAnsi="Arial"/>
                <w:sz w:val="18"/>
                <w:szCs w:val="18"/>
                <w:color w:val="0000EE"/>
              </w:rPr>
            </w:pPr>
            <w:hyperlink r:id="rId37">
              <w:r>
                <w:rPr>
                  <w:rFonts w:ascii="Arial" w:cs="Arial" w:eastAsia="Arial" w:hAnsi="Arial"/>
                  <w:sz w:val="18"/>
                  <w:szCs w:val="18"/>
                  <w:color w:val="0000EE"/>
                </w:rPr>
                <w:t>Amended and Restated Cooperation Agreement, dated May 3, 2017, by and among Avis Budget Group, Inc. and SRS</w:t>
              </w:r>
            </w:hyperlink>
          </w:p>
        </w:tc>
      </w:tr>
      <w:tr>
        <w:trPr>
          <w:trHeight w:val="183"/>
        </w:trPr>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700" w:type="dxa"/>
            <w:vAlign w:val="bottom"/>
            <w:tcBorders>
              <w:top w:val="single" w:sz="8" w:color="0000EE"/>
              <w:bottom w:val="single" w:sz="8" w:color="0000EE"/>
            </w:tcBorders>
            <w:gridSpan w:val="7"/>
          </w:tcPr>
          <w:p>
            <w:pPr>
              <w:spacing w:after="0" w:line="182" w:lineRule="exact"/>
              <w:rPr>
                <w:rFonts w:ascii="Arial" w:cs="Arial" w:eastAsia="Arial" w:hAnsi="Arial"/>
                <w:sz w:val="18"/>
                <w:szCs w:val="18"/>
                <w:color w:val="0000EE"/>
                <w:w w:val="99"/>
              </w:rPr>
            </w:pPr>
            <w:hyperlink r:id="rId37">
              <w:r>
                <w:rPr>
                  <w:rFonts w:ascii="Arial" w:cs="Arial" w:eastAsia="Arial" w:hAnsi="Arial"/>
                  <w:sz w:val="18"/>
                  <w:szCs w:val="18"/>
                  <w:color w:val="0000EE"/>
                  <w:w w:val="99"/>
                </w:rPr>
                <w:t>(Incorporated by reference to Exhibit 10.1 to the Company’s Current Report on Form 8-K dated May 3, 2017).</w:t>
              </w:r>
            </w:hyperlink>
          </w:p>
        </w:tc>
        <w:tc>
          <w:tcPr>
            <w:tcW w:w="700" w:type="dxa"/>
            <w:vAlign w:val="bottom"/>
            <w:tcBorders>
              <w:top w:val="single" w:sz="8" w:color="0000EE"/>
            </w:tcBorders>
            <w:gridSpan w:val="2"/>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840" w:type="dxa"/>
            <w:vAlign w:val="bottom"/>
          </w:tcPr>
          <w:p>
            <w:pPr>
              <w:spacing w:after="0"/>
              <w:rPr>
                <w:sz w:val="20"/>
                <w:szCs w:val="20"/>
                <w:color w:val="auto"/>
              </w:rPr>
            </w:pPr>
            <w:r>
              <w:rPr>
                <w:rFonts w:ascii="Arial" w:cs="Arial" w:eastAsia="Arial" w:hAnsi="Arial"/>
                <w:sz w:val="18"/>
                <w:szCs w:val="18"/>
                <w:color w:val="auto"/>
              </w:rPr>
              <w:t>10.2</w:t>
            </w:r>
          </w:p>
        </w:tc>
        <w:tc>
          <w:tcPr>
            <w:tcW w:w="420" w:type="dxa"/>
            <w:vAlign w:val="bottom"/>
          </w:tcPr>
          <w:p>
            <w:pPr>
              <w:spacing w:after="0"/>
              <w:rPr>
                <w:sz w:val="20"/>
                <w:szCs w:val="20"/>
                <w:color w:val="auto"/>
              </w:rPr>
            </w:pPr>
          </w:p>
        </w:tc>
        <w:tc>
          <w:tcPr>
            <w:tcW w:w="10080" w:type="dxa"/>
            <w:vAlign w:val="bottom"/>
            <w:gridSpan w:val="18"/>
          </w:tcPr>
          <w:p>
            <w:pPr>
              <w:spacing w:after="0"/>
              <w:rPr>
                <w:rFonts w:ascii="Arial" w:cs="Arial" w:eastAsia="Arial" w:hAnsi="Arial"/>
                <w:sz w:val="18"/>
                <w:szCs w:val="18"/>
                <w:color w:val="0000EE"/>
                <w:w w:val="99"/>
              </w:rPr>
            </w:pPr>
            <w:hyperlink r:id="rId38">
              <w:r>
                <w:rPr>
                  <w:rFonts w:ascii="Arial" w:cs="Arial" w:eastAsia="Arial" w:hAnsi="Arial"/>
                  <w:sz w:val="18"/>
                  <w:szCs w:val="18"/>
                  <w:color w:val="0000EE"/>
                  <w:w w:val="99"/>
                </w:rPr>
                <w:t>Ninth Master Amendment and Restatement Deed, by and among CarFin Finance International DAC, Credit Agricole Corporate</w:t>
              </w:r>
            </w:hyperlink>
          </w:p>
        </w:tc>
      </w:tr>
      <w:tr>
        <w:trPr>
          <w:trHeight w:val="183"/>
        </w:trPr>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60" w:type="dxa"/>
            <w:vAlign w:val="bottom"/>
            <w:tcBorders>
              <w:top w:val="single" w:sz="8" w:color="0000EE"/>
            </w:tcBorders>
            <w:gridSpan w:val="17"/>
          </w:tcPr>
          <w:p>
            <w:pPr>
              <w:spacing w:after="0" w:line="182" w:lineRule="exact"/>
              <w:rPr>
                <w:rFonts w:ascii="Arial" w:cs="Arial" w:eastAsia="Arial" w:hAnsi="Arial"/>
                <w:sz w:val="18"/>
                <w:szCs w:val="18"/>
                <w:color w:val="0000EE"/>
              </w:rPr>
            </w:pPr>
            <w:hyperlink r:id="rId38">
              <w:r>
                <w:rPr>
                  <w:rFonts w:ascii="Arial" w:cs="Arial" w:eastAsia="Arial" w:hAnsi="Arial"/>
                  <w:sz w:val="18"/>
                  <w:szCs w:val="18"/>
                  <w:color w:val="0000EE"/>
                </w:rPr>
                <w:t>And Investment Bank, Deutsche Trustee Company Limited, Credit Agricole Corporate And Investment Bank, the Opcos,</w:t>
              </w:r>
            </w:hyperlink>
          </w:p>
        </w:tc>
        <w:tc>
          <w:tcPr>
            <w:tcW w:w="20" w:type="dxa"/>
            <w:vAlign w:val="bottom"/>
          </w:tcPr>
          <w:p>
            <w:pPr>
              <w:spacing w:after="0"/>
              <w:rPr>
                <w:sz w:val="15"/>
                <w:szCs w:val="15"/>
                <w:color w:val="auto"/>
              </w:rPr>
            </w:pPr>
          </w:p>
        </w:tc>
      </w:tr>
      <w:tr>
        <w:trPr>
          <w:trHeight w:val="20"/>
        </w:trPr>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3860" w:type="dxa"/>
            <w:vAlign w:val="bottom"/>
            <w:tcBorders>
              <w:right w:val="single" w:sz="8" w:color="0000EE"/>
            </w:tcBorders>
            <w:gridSpan w:val="3"/>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r>
      <w:tr>
        <w:trPr>
          <w:trHeight w:val="183"/>
        </w:trPr>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80" w:type="dxa"/>
            <w:vAlign w:val="bottom"/>
            <w:gridSpan w:val="18"/>
          </w:tcPr>
          <w:p>
            <w:pPr>
              <w:spacing w:after="0" w:line="182" w:lineRule="exact"/>
              <w:rPr>
                <w:rFonts w:ascii="Arial" w:cs="Arial" w:eastAsia="Arial" w:hAnsi="Arial"/>
                <w:sz w:val="18"/>
                <w:szCs w:val="18"/>
                <w:color w:val="0000EE"/>
              </w:rPr>
            </w:pPr>
            <w:hyperlink r:id="rId38">
              <w:r>
                <w:rPr>
                  <w:rFonts w:ascii="Arial" w:cs="Arial" w:eastAsia="Arial" w:hAnsi="Arial"/>
                  <w:sz w:val="18"/>
                  <w:szCs w:val="18"/>
                  <w:color w:val="0000EE"/>
                </w:rPr>
                <w:t>Servicers, Lessees and FleetCos listed therein, Avis Budget Car Rental, LLC, Avis Finance Company Limited, Avis Budget</w:t>
              </w:r>
            </w:hyperlink>
          </w:p>
        </w:tc>
      </w:tr>
      <w:tr>
        <w:trPr>
          <w:trHeight w:val="183"/>
        </w:trPr>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740" w:type="dxa"/>
            <w:vAlign w:val="bottom"/>
            <w:tcBorders>
              <w:top w:val="single" w:sz="8" w:color="0000EE"/>
              <w:bottom w:val="single" w:sz="8" w:color="0000EE"/>
            </w:tcBorders>
            <w:gridSpan w:val="12"/>
          </w:tcPr>
          <w:p>
            <w:pPr>
              <w:spacing w:after="0" w:line="182" w:lineRule="exact"/>
              <w:rPr>
                <w:rFonts w:ascii="Arial" w:cs="Arial" w:eastAsia="Arial" w:hAnsi="Arial"/>
                <w:sz w:val="18"/>
                <w:szCs w:val="18"/>
                <w:color w:val="0000EE"/>
              </w:rPr>
            </w:pPr>
            <w:hyperlink r:id="rId38">
              <w:r>
                <w:rPr>
                  <w:rFonts w:ascii="Arial" w:cs="Arial" w:eastAsia="Arial" w:hAnsi="Arial"/>
                  <w:sz w:val="18"/>
                  <w:szCs w:val="18"/>
                  <w:color w:val="0000EE"/>
                </w:rPr>
                <w:t>EMEA Limited, the Account Banks listed therein, Deutsche Bank Ag, London Branch, the Senior Noteholders and certain</w:t>
              </w:r>
            </w:hyperlink>
          </w:p>
        </w:tc>
        <w:tc>
          <w:tcPr>
            <w:tcW w:w="340" w:type="dxa"/>
            <w:vAlign w:val="bottom"/>
            <w:tcBorders>
              <w:bottom w:val="single" w:sz="8" w:color="0000EE"/>
            </w:tcBorders>
            <w:gridSpan w:val="6"/>
          </w:tcPr>
          <w:p>
            <w:pPr>
              <w:spacing w:after="0" w:line="182" w:lineRule="exact"/>
              <w:rPr>
                <w:rFonts w:ascii="Arial" w:cs="Arial" w:eastAsia="Arial" w:hAnsi="Arial"/>
                <w:sz w:val="18"/>
                <w:szCs w:val="18"/>
                <w:color w:val="0000EE"/>
                <w:w w:val="77"/>
              </w:rPr>
            </w:pPr>
            <w:hyperlink r:id="rId38">
              <w:r>
                <w:rPr>
                  <w:rFonts w:ascii="Arial" w:cs="Arial" w:eastAsia="Arial" w:hAnsi="Arial"/>
                  <w:sz w:val="18"/>
                  <w:szCs w:val="18"/>
                  <w:color w:val="0000EE"/>
                  <w:w w:val="77"/>
                </w:rPr>
                <w:t>other</w:t>
              </w:r>
            </w:hyperlink>
          </w:p>
        </w:tc>
      </w:tr>
      <w:tr>
        <w:trPr>
          <w:trHeight w:val="183"/>
        </w:trPr>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80" w:type="dxa"/>
            <w:vAlign w:val="bottom"/>
            <w:gridSpan w:val="18"/>
          </w:tcPr>
          <w:p>
            <w:pPr>
              <w:spacing w:after="0" w:line="182" w:lineRule="exact"/>
              <w:rPr>
                <w:rFonts w:ascii="Arial" w:cs="Arial" w:eastAsia="Arial" w:hAnsi="Arial"/>
                <w:sz w:val="18"/>
                <w:szCs w:val="18"/>
                <w:color w:val="0000EE"/>
              </w:rPr>
            </w:pPr>
            <w:hyperlink r:id="rId38">
              <w:r>
                <w:rPr>
                  <w:rFonts w:ascii="Arial" w:cs="Arial" w:eastAsia="Arial" w:hAnsi="Arial"/>
                  <w:sz w:val="18"/>
                  <w:szCs w:val="18"/>
                  <w:color w:val="0000EE"/>
                </w:rPr>
                <w:t>entities named therein, dated May 16, 2017 (Incorporated by reference to Exhibit 10.1 to the Company’s Current Report on</w:t>
              </w:r>
            </w:hyperlink>
          </w:p>
        </w:tc>
      </w:tr>
      <w:tr>
        <w:trPr>
          <w:trHeight w:val="183"/>
        </w:trPr>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760" w:type="dxa"/>
            <w:vAlign w:val="bottom"/>
            <w:tcBorders>
              <w:top w:val="single" w:sz="8" w:color="0000EE"/>
            </w:tcBorders>
            <w:gridSpan w:val="13"/>
          </w:tcPr>
          <w:p>
            <w:pPr>
              <w:spacing w:after="0" w:line="182" w:lineRule="exact"/>
              <w:rPr>
                <w:rFonts w:ascii="Arial" w:cs="Arial" w:eastAsia="Arial" w:hAnsi="Arial"/>
                <w:sz w:val="18"/>
                <w:szCs w:val="18"/>
                <w:color w:val="0000EE"/>
              </w:rPr>
            </w:pPr>
            <w:hyperlink r:id="rId38">
              <w:r>
                <w:rPr>
                  <w:rFonts w:ascii="Arial" w:cs="Arial" w:eastAsia="Arial" w:hAnsi="Arial"/>
                  <w:sz w:val="18"/>
                  <w:szCs w:val="18"/>
                  <w:color w:val="0000EE"/>
                </w:rPr>
                <w:t>Form 8-K dated May 22, 2017).*</w:t>
              </w:r>
            </w:hyperlink>
          </w:p>
        </w:tc>
        <w:tc>
          <w:tcPr>
            <w:tcW w:w="320" w:type="dxa"/>
            <w:vAlign w:val="bottom"/>
            <w:gridSpan w:val="5"/>
          </w:tcPr>
          <w:p>
            <w:pPr>
              <w:spacing w:after="0"/>
              <w:rPr>
                <w:sz w:val="15"/>
                <w:szCs w:val="15"/>
                <w:color w:val="auto"/>
              </w:rPr>
            </w:pPr>
          </w:p>
        </w:tc>
      </w:tr>
      <w:tr>
        <w:trPr>
          <w:trHeight w:val="20"/>
        </w:trPr>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386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r>
      <w:tr>
        <w:trPr>
          <w:trHeight w:val="237"/>
        </w:trPr>
        <w:tc>
          <w:tcPr>
            <w:tcW w:w="840" w:type="dxa"/>
            <w:vAlign w:val="bottom"/>
          </w:tcPr>
          <w:p>
            <w:pPr>
              <w:spacing w:after="0"/>
              <w:rPr>
                <w:sz w:val="20"/>
                <w:szCs w:val="20"/>
                <w:color w:val="auto"/>
              </w:rPr>
            </w:pPr>
            <w:r>
              <w:rPr>
                <w:rFonts w:ascii="Arial" w:cs="Arial" w:eastAsia="Arial" w:hAnsi="Arial"/>
                <w:sz w:val="18"/>
                <w:szCs w:val="18"/>
                <w:color w:val="auto"/>
              </w:rPr>
              <w:t>10.3</w:t>
            </w:r>
          </w:p>
        </w:tc>
        <w:tc>
          <w:tcPr>
            <w:tcW w:w="420" w:type="dxa"/>
            <w:vAlign w:val="bottom"/>
          </w:tcPr>
          <w:p>
            <w:pPr>
              <w:spacing w:after="0"/>
              <w:rPr>
                <w:sz w:val="20"/>
                <w:szCs w:val="20"/>
                <w:color w:val="auto"/>
              </w:rPr>
            </w:pPr>
          </w:p>
        </w:tc>
        <w:tc>
          <w:tcPr>
            <w:tcW w:w="10080" w:type="dxa"/>
            <w:vAlign w:val="bottom"/>
            <w:gridSpan w:val="18"/>
          </w:tcPr>
          <w:p>
            <w:pPr>
              <w:spacing w:after="0"/>
              <w:rPr>
                <w:rFonts w:ascii="Arial" w:cs="Arial" w:eastAsia="Arial" w:hAnsi="Arial"/>
                <w:sz w:val="18"/>
                <w:szCs w:val="18"/>
                <w:color w:val="0000EE"/>
              </w:rPr>
            </w:pPr>
            <w:hyperlink r:id="rId39">
              <w:r>
                <w:rPr>
                  <w:rFonts w:ascii="Arial" w:cs="Arial" w:eastAsia="Arial" w:hAnsi="Arial"/>
                  <w:sz w:val="18"/>
                  <w:szCs w:val="18"/>
                  <w:color w:val="0000EE"/>
                </w:rPr>
                <w:t>Employment Letter, dated June 6, 2017, between Martyn Smith and Avis Budget Group, Inc. (Incorporated by reference to</w:t>
              </w:r>
            </w:hyperlink>
          </w:p>
        </w:tc>
      </w:tr>
      <w:tr>
        <w:trPr>
          <w:trHeight w:val="183"/>
        </w:trPr>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2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9"/>
              </w:rPr>
            </w:pPr>
            <w:hyperlink r:id="rId39">
              <w:r>
                <w:rPr>
                  <w:rFonts w:ascii="Arial" w:cs="Arial" w:eastAsia="Arial" w:hAnsi="Arial"/>
                  <w:sz w:val="18"/>
                  <w:szCs w:val="18"/>
                  <w:color w:val="0000EE"/>
                  <w:w w:val="99"/>
                </w:rPr>
                <w:t>Exhibit 10.1 to the Company’s Current Report on Form 8-K dated June 8, 2017).</w:t>
              </w:r>
            </w:hyperlink>
          </w:p>
        </w:tc>
        <w:tc>
          <w:tcPr>
            <w:tcW w:w="3280" w:type="dxa"/>
            <w:vAlign w:val="bottom"/>
            <w:tcBorders>
              <w:top w:val="single" w:sz="8" w:color="0000EE"/>
            </w:tcBorders>
            <w:gridSpan w:val="6"/>
          </w:tcPr>
          <w:p>
            <w:pPr>
              <w:spacing w:after="0"/>
              <w:rPr>
                <w:sz w:val="15"/>
                <w:szCs w:val="15"/>
                <w:color w:val="auto"/>
              </w:rPr>
            </w:pPr>
          </w:p>
        </w:tc>
        <w:tc>
          <w:tcPr>
            <w:tcW w:w="380" w:type="dxa"/>
            <w:vAlign w:val="bottom"/>
            <w:gridSpan w:val="7"/>
          </w:tcPr>
          <w:p>
            <w:pPr>
              <w:spacing w:after="0"/>
              <w:rPr>
                <w:sz w:val="15"/>
                <w:szCs w:val="15"/>
                <w:color w:val="auto"/>
              </w:rPr>
            </w:pPr>
          </w:p>
        </w:tc>
      </w:tr>
      <w:tr>
        <w:trPr>
          <w:trHeight w:val="439"/>
        </w:trPr>
        <w:tc>
          <w:tcPr>
            <w:tcW w:w="840" w:type="dxa"/>
            <w:vAlign w:val="bottom"/>
          </w:tcPr>
          <w:p>
            <w:pPr>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24"/>
                <w:szCs w:val="24"/>
                <w:color w:val="auto"/>
              </w:rPr>
            </w:pPr>
          </w:p>
        </w:tc>
        <w:tc>
          <w:tcPr>
            <w:tcW w:w="10080" w:type="dxa"/>
            <w:vAlign w:val="bottom"/>
            <w:gridSpan w:val="18"/>
          </w:tcPr>
          <w:p>
            <w:pPr>
              <w:spacing w:after="0"/>
              <w:rPr>
                <w:rFonts w:ascii="Arial" w:cs="Arial" w:eastAsia="Arial" w:hAnsi="Arial"/>
                <w:sz w:val="18"/>
                <w:szCs w:val="18"/>
                <w:color w:val="0000EE"/>
              </w:rPr>
            </w:pPr>
            <w:hyperlink r:id="rId40">
              <w:r>
                <w:rPr>
                  <w:rFonts w:ascii="Arial" w:cs="Arial" w:eastAsia="Arial" w:hAnsi="Arial"/>
                  <w:sz w:val="18"/>
                  <w:szCs w:val="18"/>
                  <w:color w:val="0000EE"/>
                </w:rPr>
                <w:t>Separation Agreement, dated June 7, 2017, between David B. Wyshner and Avis Budget Group, Inc. (Incorporated by</w:t>
              </w:r>
            </w:hyperlink>
          </w:p>
        </w:tc>
      </w:tr>
      <w:tr>
        <w:trPr>
          <w:trHeight w:val="183"/>
        </w:trPr>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360" w:type="dxa"/>
            <w:vAlign w:val="bottom"/>
            <w:tcBorders>
              <w:top w:val="single" w:sz="8" w:color="0000EE"/>
            </w:tcBorders>
            <w:gridSpan w:val="8"/>
          </w:tcPr>
          <w:p>
            <w:pPr>
              <w:spacing w:after="0" w:line="182" w:lineRule="exact"/>
              <w:rPr>
                <w:rFonts w:ascii="Arial" w:cs="Arial" w:eastAsia="Arial" w:hAnsi="Arial"/>
                <w:sz w:val="18"/>
                <w:szCs w:val="18"/>
                <w:color w:val="0000EE"/>
              </w:rPr>
            </w:pPr>
            <w:hyperlink r:id="rId40">
              <w:r>
                <w:rPr>
                  <w:rFonts w:ascii="Arial" w:cs="Arial" w:eastAsia="Arial" w:hAnsi="Arial"/>
                  <w:sz w:val="18"/>
                  <w:szCs w:val="18"/>
                  <w:color w:val="0000EE"/>
                </w:rPr>
                <w:t>reference to Exhibit 10.2 to the Company’s Current Report on Form 8-K dated June 8, 2017).</w:t>
              </w:r>
            </w:hyperlink>
          </w:p>
        </w:tc>
        <w:tc>
          <w:tcPr>
            <w:tcW w:w="720" w:type="dxa"/>
            <w:vAlign w:val="bottom"/>
            <w:gridSpan w:val="10"/>
          </w:tcPr>
          <w:p>
            <w:pPr>
              <w:spacing w:after="0"/>
              <w:rPr>
                <w:sz w:val="15"/>
                <w:szCs w:val="15"/>
                <w:color w:val="auto"/>
              </w:rPr>
            </w:pPr>
          </w:p>
        </w:tc>
      </w:tr>
      <w:tr>
        <w:trPr>
          <w:trHeight w:val="20"/>
        </w:trPr>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940" w:type="dxa"/>
            <w:vAlign w:val="bottom"/>
            <w:tcBorders>
              <w:right w:val="single" w:sz="8" w:color="0000EE"/>
            </w:tcBorders>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45" w:lineRule="exact"/>
        <w:rPr>
          <w:sz w:val="20"/>
          <w:szCs w:val="20"/>
          <w:color w:val="auto"/>
        </w:rPr>
      </w:pPr>
    </w:p>
    <w:p>
      <w:pPr>
        <w:ind w:left="1300" w:hanging="1265"/>
        <w:spacing w:after="0"/>
        <w:tabs>
          <w:tab w:leader="none" w:pos="1300" w:val="left"/>
        </w:tabs>
        <w:numPr>
          <w:ilvl w:val="0"/>
          <w:numId w:val="62"/>
        </w:numPr>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Statement re: Computation of Ratio of Earnings to Fixed Charges.</w:t>
        </w:r>
      </w:hyperlink>
    </w:p>
    <w:p>
      <w:pPr>
        <w:spacing w:after="0" w:line="4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260" w:type="dxa"/>
            <w:vAlign w:val="bottom"/>
          </w:tcPr>
          <w:p>
            <w:pPr>
              <w:jc w:val="right"/>
              <w:ind w:right="830"/>
              <w:spacing w:after="0"/>
              <w:rPr>
                <w:sz w:val="20"/>
                <w:szCs w:val="20"/>
                <w:color w:val="auto"/>
              </w:rPr>
            </w:pPr>
            <w:r>
              <w:rPr>
                <w:rFonts w:ascii="Arial" w:cs="Arial" w:eastAsia="Arial" w:hAnsi="Arial"/>
                <w:sz w:val="18"/>
                <w:szCs w:val="18"/>
                <w:color w:val="auto"/>
                <w:w w:val="91"/>
              </w:rPr>
              <w:t>31.1</w:t>
            </w:r>
          </w:p>
        </w:tc>
        <w:tc>
          <w:tcPr>
            <w:tcW w:w="9980" w:type="dxa"/>
            <w:vAlign w:val="bottom"/>
            <w:gridSpan w:val="3"/>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Certification of Chief Executive Officer pursuant to Rules 13(a)-14(a) and 15(d)-14(a) promulgated under the Securities</w:t>
              </w:r>
            </w:hyperlink>
          </w:p>
        </w:tc>
      </w:tr>
      <w:tr>
        <w:trPr>
          <w:trHeight w:val="183"/>
        </w:trPr>
        <w:tc>
          <w:tcPr>
            <w:tcW w:w="1260" w:type="dxa"/>
            <w:vAlign w:val="bottom"/>
          </w:tcPr>
          <w:p>
            <w:pPr>
              <w:spacing w:after="0"/>
              <w:rPr>
                <w:sz w:val="15"/>
                <w:szCs w:val="15"/>
                <w:color w:val="auto"/>
              </w:rPr>
            </w:pPr>
          </w:p>
        </w:tc>
        <w:tc>
          <w:tcPr>
            <w:tcW w:w="290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9"/>
              </w:rPr>
            </w:pPr>
            <w:hyperlink w:anchor="page49">
              <w:r>
                <w:rPr>
                  <w:rFonts w:ascii="Arial" w:cs="Arial" w:eastAsia="Arial" w:hAnsi="Arial"/>
                  <w:sz w:val="18"/>
                  <w:szCs w:val="18"/>
                  <w:color w:val="0000EE"/>
                  <w:w w:val="99"/>
                </w:rPr>
                <w:t>Exchange Act of 1934, as amended.</w:t>
              </w:r>
            </w:hyperlink>
          </w:p>
        </w:tc>
        <w:tc>
          <w:tcPr>
            <w:tcW w:w="6540" w:type="dxa"/>
            <w:vAlign w:val="bottom"/>
            <w:tcBorders>
              <w:top w:val="single" w:sz="8" w:color="0000EE"/>
            </w:tcBorders>
          </w:tcPr>
          <w:p>
            <w:pPr>
              <w:spacing w:after="0"/>
              <w:rPr>
                <w:sz w:val="15"/>
                <w:szCs w:val="15"/>
                <w:color w:val="auto"/>
              </w:rPr>
            </w:pPr>
          </w:p>
        </w:tc>
        <w:tc>
          <w:tcPr>
            <w:tcW w:w="540" w:type="dxa"/>
            <w:vAlign w:val="bottom"/>
          </w:tcPr>
          <w:p>
            <w:pPr>
              <w:spacing w:after="0"/>
              <w:rPr>
                <w:sz w:val="15"/>
                <w:szCs w:val="15"/>
                <w:color w:val="auto"/>
              </w:rPr>
            </w:pPr>
          </w:p>
        </w:tc>
      </w:tr>
      <w:tr>
        <w:trPr>
          <w:trHeight w:val="237"/>
        </w:trPr>
        <w:tc>
          <w:tcPr>
            <w:tcW w:w="1260" w:type="dxa"/>
            <w:vAlign w:val="bottom"/>
          </w:tcPr>
          <w:p>
            <w:pPr>
              <w:jc w:val="right"/>
              <w:ind w:right="830"/>
              <w:spacing w:after="0"/>
              <w:rPr>
                <w:sz w:val="20"/>
                <w:szCs w:val="20"/>
                <w:color w:val="auto"/>
              </w:rPr>
            </w:pPr>
            <w:r>
              <w:rPr>
                <w:rFonts w:ascii="Arial" w:cs="Arial" w:eastAsia="Arial" w:hAnsi="Arial"/>
                <w:sz w:val="18"/>
                <w:szCs w:val="18"/>
                <w:color w:val="auto"/>
                <w:w w:val="91"/>
              </w:rPr>
              <w:t>31.2</w:t>
            </w:r>
          </w:p>
        </w:tc>
        <w:tc>
          <w:tcPr>
            <w:tcW w:w="9980" w:type="dxa"/>
            <w:vAlign w:val="bottom"/>
            <w:tcBorders>
              <w:bottom w:val="single" w:sz="8" w:color="0000EE"/>
            </w:tcBorders>
            <w:gridSpan w:val="3"/>
          </w:tcPr>
          <w:p>
            <w:pPr>
              <w:spacing w:after="0"/>
              <w:rPr>
                <w:rFonts w:ascii="Arial" w:cs="Arial" w:eastAsia="Arial" w:hAnsi="Arial"/>
                <w:sz w:val="18"/>
                <w:szCs w:val="18"/>
                <w:color w:val="0000EE"/>
                <w:w w:val="99"/>
              </w:rPr>
            </w:pPr>
            <w:hyperlink w:anchor="page50">
              <w:r>
                <w:rPr>
                  <w:rFonts w:ascii="Arial" w:cs="Arial" w:eastAsia="Arial" w:hAnsi="Arial"/>
                  <w:sz w:val="18"/>
                  <w:szCs w:val="18"/>
                  <w:color w:val="0000EE"/>
                  <w:w w:val="99"/>
                </w:rPr>
                <w:t>Certification of Interim Chief Financial Officer pursuant to Rules 13(a)-14(a) and 15(d)-14(a) promulgated under the Securities</w:t>
              </w:r>
            </w:hyperlink>
          </w:p>
        </w:tc>
      </w:tr>
      <w:tr>
        <w:trPr>
          <w:trHeight w:val="183"/>
        </w:trPr>
        <w:tc>
          <w:tcPr>
            <w:tcW w:w="1260" w:type="dxa"/>
            <w:vAlign w:val="bottom"/>
          </w:tcPr>
          <w:p>
            <w:pPr>
              <w:spacing w:after="0"/>
              <w:rPr>
                <w:sz w:val="15"/>
                <w:szCs w:val="15"/>
                <w:color w:val="auto"/>
              </w:rPr>
            </w:pPr>
          </w:p>
        </w:tc>
        <w:tc>
          <w:tcPr>
            <w:tcW w:w="2900" w:type="dxa"/>
            <w:vAlign w:val="bottom"/>
            <w:tcBorders>
              <w:bottom w:val="single" w:sz="8" w:color="0000EE"/>
            </w:tcBorders>
          </w:tcPr>
          <w:p>
            <w:pPr>
              <w:spacing w:after="0" w:line="182" w:lineRule="exact"/>
              <w:rPr>
                <w:rFonts w:ascii="Arial" w:cs="Arial" w:eastAsia="Arial" w:hAnsi="Arial"/>
                <w:sz w:val="18"/>
                <w:szCs w:val="18"/>
                <w:color w:val="0000EE"/>
                <w:w w:val="99"/>
              </w:rPr>
            </w:pPr>
            <w:hyperlink w:anchor="page50">
              <w:r>
                <w:rPr>
                  <w:rFonts w:ascii="Arial" w:cs="Arial" w:eastAsia="Arial" w:hAnsi="Arial"/>
                  <w:sz w:val="18"/>
                  <w:szCs w:val="18"/>
                  <w:color w:val="0000EE"/>
                  <w:w w:val="99"/>
                </w:rPr>
                <w:t>Exchange Act of 1934, as amended.</w:t>
              </w:r>
            </w:hyperlink>
          </w:p>
        </w:tc>
        <w:tc>
          <w:tcPr>
            <w:tcW w:w="7080" w:type="dxa"/>
            <w:vAlign w:val="bottom"/>
            <w:gridSpan w:val="2"/>
          </w:tcPr>
          <w:p>
            <w:pPr>
              <w:spacing w:after="0"/>
              <w:rPr>
                <w:sz w:val="15"/>
                <w:szCs w:val="15"/>
                <w:color w:val="auto"/>
              </w:rPr>
            </w:pPr>
          </w:p>
        </w:tc>
      </w:tr>
    </w:tbl>
    <w:p>
      <w:pPr>
        <w:spacing w:after="0" w:line="45" w:lineRule="exact"/>
        <w:rPr>
          <w:sz w:val="20"/>
          <w:szCs w:val="20"/>
          <w:color w:val="auto"/>
        </w:rPr>
      </w:pPr>
    </w:p>
    <w:p>
      <w:pPr>
        <w:ind w:left="1300" w:hanging="1265"/>
        <w:spacing w:after="0"/>
        <w:tabs>
          <w:tab w:leader="none" w:pos="1300" w:val="left"/>
        </w:tabs>
        <w:numPr>
          <w:ilvl w:val="0"/>
          <w:numId w:val="63"/>
        </w:numPr>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Certification pursuant to 18 U.S.C. Section 1350, as adopted pursuant to Section 906 of the Sarbanes-Oxley Act of 2002.</w:t>
        </w:r>
      </w:hyperlink>
    </w:p>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980" w:type="dxa"/>
            <w:vAlign w:val="bottom"/>
          </w:tcPr>
          <w:p>
            <w:pPr>
              <w:spacing w:after="0"/>
              <w:rPr>
                <w:sz w:val="20"/>
                <w:szCs w:val="20"/>
                <w:color w:val="auto"/>
              </w:rPr>
            </w:pPr>
            <w:r>
              <w:rPr>
                <w:rFonts w:ascii="Arial" w:cs="Arial" w:eastAsia="Arial" w:hAnsi="Arial"/>
                <w:sz w:val="18"/>
                <w:szCs w:val="18"/>
                <w:color w:val="auto"/>
              </w:rPr>
              <w:t>101.INS</w:t>
            </w:r>
          </w:p>
        </w:tc>
        <w:tc>
          <w:tcPr>
            <w:tcW w:w="4340" w:type="dxa"/>
            <w:vAlign w:val="bottom"/>
          </w:tcPr>
          <w:p>
            <w:pPr>
              <w:ind w:left="280"/>
              <w:spacing w:after="0"/>
              <w:rPr>
                <w:sz w:val="20"/>
                <w:szCs w:val="20"/>
                <w:color w:val="auto"/>
              </w:rPr>
            </w:pPr>
            <w:r>
              <w:rPr>
                <w:rFonts w:ascii="Arial" w:cs="Arial" w:eastAsia="Arial" w:hAnsi="Arial"/>
                <w:sz w:val="18"/>
                <w:szCs w:val="18"/>
                <w:color w:val="auto"/>
              </w:rPr>
              <w:t>XBRL Instance Document.</w:t>
            </w:r>
          </w:p>
        </w:tc>
      </w:tr>
      <w:tr>
        <w:trPr>
          <w:trHeight w:val="257"/>
        </w:trPr>
        <w:tc>
          <w:tcPr>
            <w:tcW w:w="980" w:type="dxa"/>
            <w:vAlign w:val="bottom"/>
          </w:tcPr>
          <w:p>
            <w:pPr>
              <w:spacing w:after="0"/>
              <w:rPr>
                <w:sz w:val="20"/>
                <w:szCs w:val="20"/>
                <w:color w:val="auto"/>
              </w:rPr>
            </w:pPr>
            <w:r>
              <w:rPr>
                <w:rFonts w:ascii="Arial" w:cs="Arial" w:eastAsia="Arial" w:hAnsi="Arial"/>
                <w:sz w:val="18"/>
                <w:szCs w:val="18"/>
                <w:color w:val="auto"/>
              </w:rPr>
              <w:t>101.SCH</w:t>
            </w:r>
          </w:p>
        </w:tc>
        <w:tc>
          <w:tcPr>
            <w:tcW w:w="4340" w:type="dxa"/>
            <w:vAlign w:val="bottom"/>
          </w:tcPr>
          <w:p>
            <w:pPr>
              <w:ind w:left="280"/>
              <w:spacing w:after="0"/>
              <w:rPr>
                <w:sz w:val="20"/>
                <w:szCs w:val="20"/>
                <w:color w:val="auto"/>
              </w:rPr>
            </w:pPr>
            <w:r>
              <w:rPr>
                <w:rFonts w:ascii="Arial" w:cs="Arial" w:eastAsia="Arial" w:hAnsi="Arial"/>
                <w:sz w:val="18"/>
                <w:szCs w:val="18"/>
                <w:color w:val="auto"/>
              </w:rPr>
              <w:t>XBRL Taxonomy Extension Schema.</w:t>
            </w:r>
          </w:p>
        </w:tc>
      </w:tr>
      <w:tr>
        <w:trPr>
          <w:trHeight w:val="257"/>
        </w:trPr>
        <w:tc>
          <w:tcPr>
            <w:tcW w:w="980" w:type="dxa"/>
            <w:vAlign w:val="bottom"/>
          </w:tcPr>
          <w:p>
            <w:pPr>
              <w:spacing w:after="0"/>
              <w:rPr>
                <w:sz w:val="20"/>
                <w:szCs w:val="20"/>
                <w:color w:val="auto"/>
              </w:rPr>
            </w:pPr>
            <w:r>
              <w:rPr>
                <w:rFonts w:ascii="Arial" w:cs="Arial" w:eastAsia="Arial" w:hAnsi="Arial"/>
                <w:sz w:val="18"/>
                <w:szCs w:val="18"/>
                <w:color w:val="auto"/>
              </w:rPr>
              <w:t>101.CAL</w:t>
            </w:r>
          </w:p>
        </w:tc>
        <w:tc>
          <w:tcPr>
            <w:tcW w:w="4340" w:type="dxa"/>
            <w:vAlign w:val="bottom"/>
          </w:tcPr>
          <w:p>
            <w:pPr>
              <w:ind w:left="280"/>
              <w:spacing w:after="0"/>
              <w:rPr>
                <w:sz w:val="20"/>
                <w:szCs w:val="20"/>
                <w:color w:val="auto"/>
              </w:rPr>
            </w:pPr>
            <w:r>
              <w:rPr>
                <w:rFonts w:ascii="Arial" w:cs="Arial" w:eastAsia="Arial" w:hAnsi="Arial"/>
                <w:sz w:val="18"/>
                <w:szCs w:val="18"/>
                <w:color w:val="auto"/>
              </w:rPr>
              <w:t>XBRL Taxonomy Extension Calculation Linkbase.</w:t>
            </w:r>
          </w:p>
        </w:tc>
      </w:tr>
      <w:tr>
        <w:trPr>
          <w:trHeight w:val="257"/>
        </w:trPr>
        <w:tc>
          <w:tcPr>
            <w:tcW w:w="980" w:type="dxa"/>
            <w:vAlign w:val="bottom"/>
          </w:tcPr>
          <w:p>
            <w:pPr>
              <w:spacing w:after="0"/>
              <w:rPr>
                <w:sz w:val="20"/>
                <w:szCs w:val="20"/>
                <w:color w:val="auto"/>
              </w:rPr>
            </w:pPr>
            <w:r>
              <w:rPr>
                <w:rFonts w:ascii="Arial" w:cs="Arial" w:eastAsia="Arial" w:hAnsi="Arial"/>
                <w:sz w:val="18"/>
                <w:szCs w:val="18"/>
                <w:color w:val="auto"/>
              </w:rPr>
              <w:t>101.DEF</w:t>
            </w:r>
          </w:p>
        </w:tc>
        <w:tc>
          <w:tcPr>
            <w:tcW w:w="4340" w:type="dxa"/>
            <w:vAlign w:val="bottom"/>
          </w:tcPr>
          <w:p>
            <w:pPr>
              <w:ind w:left="280"/>
              <w:spacing w:after="0"/>
              <w:rPr>
                <w:sz w:val="20"/>
                <w:szCs w:val="20"/>
                <w:color w:val="auto"/>
              </w:rPr>
            </w:pPr>
            <w:r>
              <w:rPr>
                <w:rFonts w:ascii="Arial" w:cs="Arial" w:eastAsia="Arial" w:hAnsi="Arial"/>
                <w:sz w:val="18"/>
                <w:szCs w:val="18"/>
                <w:color w:val="auto"/>
              </w:rPr>
              <w:t>XBRL Taxonomy Extension Definition Linkbase.</w:t>
            </w:r>
          </w:p>
        </w:tc>
      </w:tr>
      <w:tr>
        <w:trPr>
          <w:trHeight w:val="257"/>
        </w:trPr>
        <w:tc>
          <w:tcPr>
            <w:tcW w:w="980" w:type="dxa"/>
            <w:vAlign w:val="bottom"/>
          </w:tcPr>
          <w:p>
            <w:pPr>
              <w:spacing w:after="0"/>
              <w:rPr>
                <w:sz w:val="20"/>
                <w:szCs w:val="20"/>
                <w:color w:val="auto"/>
              </w:rPr>
            </w:pPr>
            <w:r>
              <w:rPr>
                <w:rFonts w:ascii="Arial" w:cs="Arial" w:eastAsia="Arial" w:hAnsi="Arial"/>
                <w:sz w:val="18"/>
                <w:szCs w:val="18"/>
                <w:color w:val="auto"/>
              </w:rPr>
              <w:t>101.LAB</w:t>
            </w:r>
          </w:p>
        </w:tc>
        <w:tc>
          <w:tcPr>
            <w:tcW w:w="4340" w:type="dxa"/>
            <w:vAlign w:val="bottom"/>
          </w:tcPr>
          <w:p>
            <w:pPr>
              <w:ind w:left="280"/>
              <w:spacing w:after="0"/>
              <w:rPr>
                <w:sz w:val="20"/>
                <w:szCs w:val="20"/>
                <w:color w:val="auto"/>
              </w:rPr>
            </w:pPr>
            <w:r>
              <w:rPr>
                <w:rFonts w:ascii="Arial" w:cs="Arial" w:eastAsia="Arial" w:hAnsi="Arial"/>
                <w:sz w:val="18"/>
                <w:szCs w:val="18"/>
                <w:color w:val="auto"/>
              </w:rPr>
              <w:t>XBRL Taxonomy Extension Label Linkbase.</w:t>
            </w:r>
          </w:p>
        </w:tc>
      </w:tr>
      <w:tr>
        <w:trPr>
          <w:trHeight w:val="257"/>
        </w:trPr>
        <w:tc>
          <w:tcPr>
            <w:tcW w:w="980" w:type="dxa"/>
            <w:vAlign w:val="bottom"/>
          </w:tcPr>
          <w:p>
            <w:pPr>
              <w:spacing w:after="0"/>
              <w:rPr>
                <w:sz w:val="20"/>
                <w:szCs w:val="20"/>
                <w:color w:val="auto"/>
              </w:rPr>
            </w:pPr>
            <w:r>
              <w:rPr>
                <w:rFonts w:ascii="Arial" w:cs="Arial" w:eastAsia="Arial" w:hAnsi="Arial"/>
                <w:sz w:val="18"/>
                <w:szCs w:val="18"/>
                <w:color w:val="auto"/>
              </w:rPr>
              <w:t>101.PRE</w:t>
            </w:r>
          </w:p>
        </w:tc>
        <w:tc>
          <w:tcPr>
            <w:tcW w:w="4340" w:type="dxa"/>
            <w:vAlign w:val="bottom"/>
          </w:tcPr>
          <w:p>
            <w:pPr>
              <w:ind w:left="280"/>
              <w:spacing w:after="0"/>
              <w:rPr>
                <w:sz w:val="20"/>
                <w:szCs w:val="20"/>
                <w:color w:val="auto"/>
              </w:rPr>
            </w:pPr>
            <w:r>
              <w:rPr>
                <w:rFonts w:ascii="Arial" w:cs="Arial" w:eastAsia="Arial" w:hAnsi="Arial"/>
                <w:sz w:val="18"/>
                <w:szCs w:val="18"/>
                <w:color w:val="auto"/>
                <w:w w:val="98"/>
              </w:rPr>
              <w:t>XBRL Taxonomy Extension Presentation Linkbase.</w:t>
            </w:r>
          </w:p>
        </w:tc>
      </w:tr>
    </w:tbl>
    <w:p>
      <w:pPr>
        <w:spacing w:after="0"/>
        <w:rPr>
          <w:sz w:val="20"/>
          <w:szCs w:val="20"/>
          <w:color w:val="auto"/>
        </w:rPr>
      </w:pPr>
      <w:r>
        <w:rPr>
          <w:rFonts w:ascii="Arial" w:cs="Arial" w:eastAsia="Arial" w:hAnsi="Arial"/>
          <w:sz w:val="18"/>
          <w:szCs w:val="18"/>
          <w:color w:val="auto"/>
        </w:rPr>
        <w:t>____________________</w:t>
      </w:r>
    </w:p>
    <w:p>
      <w:pPr>
        <w:spacing w:after="0" w:line="163" w:lineRule="exact"/>
        <w:rPr>
          <w:sz w:val="20"/>
          <w:szCs w:val="20"/>
          <w:color w:val="auto"/>
        </w:rPr>
      </w:pPr>
    </w:p>
    <w:p>
      <w:pPr>
        <w:ind w:left="1080" w:right="40" w:hanging="1045"/>
        <w:spacing w:after="0" w:line="291" w:lineRule="auto"/>
        <w:tabs>
          <w:tab w:leader="none" w:pos="10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Confidential treatment has been requested for certain portions of this Exhibit pursuant to Rule 24b-2 of the Securities Exchange Act of 1934, as amended, which portions have been omitted and filed separately with the Securities and Exchange Commission.</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60"/>
          </w:cols>
          <w:pgMar w:left="240" w:top="116" w:right="29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363" w:lineRule="exact"/>
        <w:rPr>
          <w:sz w:val="20"/>
          <w:szCs w:val="20"/>
          <w:color w:val="auto"/>
        </w:rPr>
      </w:pPr>
    </w:p>
    <w:p>
      <w:pPr>
        <w:ind w:left="9060"/>
        <w:spacing w:after="0"/>
        <w:rPr>
          <w:sz w:val="20"/>
          <w:szCs w:val="20"/>
          <w:color w:val="auto"/>
        </w:rPr>
      </w:pPr>
      <w:r>
        <w:rPr>
          <w:rFonts w:ascii="Arial" w:cs="Arial" w:eastAsia="Arial" w:hAnsi="Arial"/>
          <w:sz w:val="18"/>
          <w:szCs w:val="18"/>
          <w:b w:val="1"/>
          <w:bCs w:val="1"/>
          <w:color w:val="auto"/>
        </w:rPr>
        <w:t>Six Months Ended</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832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5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64"/>
        </w:trPr>
        <w:tc>
          <w:tcPr>
            <w:tcW w:w="8320" w:type="dxa"/>
            <w:vAlign w:val="bottom"/>
          </w:tcPr>
          <w:p>
            <w:pPr>
              <w:ind w:left="60"/>
              <w:spacing w:after="0"/>
              <w:rPr>
                <w:sz w:val="20"/>
                <w:szCs w:val="20"/>
                <w:color w:val="auto"/>
              </w:rPr>
            </w:pPr>
            <w:r>
              <w:rPr>
                <w:rFonts w:ascii="Arial" w:cs="Arial" w:eastAsia="Arial" w:hAnsi="Arial"/>
                <w:sz w:val="18"/>
                <w:szCs w:val="18"/>
                <w:b w:val="1"/>
                <w:bCs w:val="1"/>
                <w:color w:val="auto"/>
              </w:rPr>
              <w:t>Earnings available to cover fixed charges:</w:t>
            </w:r>
          </w:p>
        </w:tc>
        <w:tc>
          <w:tcPr>
            <w:tcW w:w="9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8320" w:type="dxa"/>
            <w:vAlign w:val="bottom"/>
          </w:tcPr>
          <w:p>
            <w:pPr>
              <w:ind w:left="60"/>
              <w:spacing w:after="0"/>
              <w:rPr>
                <w:sz w:val="20"/>
                <w:szCs w:val="20"/>
                <w:color w:val="auto"/>
              </w:rPr>
            </w:pPr>
            <w:r>
              <w:rPr>
                <w:rFonts w:ascii="Arial" w:cs="Arial" w:eastAsia="Arial" w:hAnsi="Arial"/>
                <w:sz w:val="18"/>
                <w:szCs w:val="18"/>
                <w:color w:val="auto"/>
              </w:rPr>
              <w:t>Loss before income taxes</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2"/>
                <w:szCs w:val="22"/>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5"/>
        </w:trPr>
        <w:tc>
          <w:tcPr>
            <w:tcW w:w="8320" w:type="dxa"/>
            <w:vAlign w:val="bottom"/>
          </w:tcPr>
          <w:p>
            <w:pPr>
              <w:ind w:left="60"/>
              <w:spacing w:after="0"/>
              <w:rPr>
                <w:sz w:val="20"/>
                <w:szCs w:val="20"/>
                <w:color w:val="auto"/>
              </w:rPr>
            </w:pPr>
            <w:r>
              <w:rPr>
                <w:rFonts w:ascii="Arial" w:cs="Arial" w:eastAsia="Arial" w:hAnsi="Arial"/>
                <w:sz w:val="18"/>
                <w:szCs w:val="18"/>
                <w:color w:val="auto"/>
              </w:rPr>
              <w:t>Plus: Fixed charges</w:t>
            </w:r>
          </w:p>
        </w:tc>
        <w:tc>
          <w:tcPr>
            <w:tcW w:w="96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55"/>
        </w:trPr>
        <w:tc>
          <w:tcPr>
            <w:tcW w:w="8320" w:type="dxa"/>
            <w:vAlign w:val="bottom"/>
          </w:tcPr>
          <w:p>
            <w:pPr>
              <w:ind w:left="60"/>
              <w:spacing w:after="0"/>
              <w:rPr>
                <w:sz w:val="20"/>
                <w:szCs w:val="20"/>
                <w:color w:val="auto"/>
              </w:rPr>
            </w:pPr>
            <w:r>
              <w:rPr>
                <w:rFonts w:ascii="Arial" w:cs="Arial" w:eastAsia="Arial" w:hAnsi="Arial"/>
                <w:sz w:val="18"/>
                <w:szCs w:val="18"/>
                <w:color w:val="auto"/>
              </w:rPr>
              <w:t>Earnings available to cover fixed charges</w:t>
            </w:r>
          </w:p>
        </w:tc>
        <w:tc>
          <w:tcPr>
            <w:tcW w:w="9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2"/>
                <w:szCs w:val="22"/>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0"/>
        </w:trPr>
        <w:tc>
          <w:tcPr>
            <w:tcW w:w="832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 xml:space="preserve">Fixed charges </w:t>
            </w:r>
            <w:r>
              <w:rPr>
                <w:rFonts w:ascii="Arial" w:cs="Arial" w:eastAsia="Arial" w:hAnsi="Arial"/>
                <w:sz w:val="18"/>
                <w:szCs w:val="18"/>
                <w:color w:val="auto"/>
                <w:vertAlign w:val="superscript"/>
              </w:rPr>
              <w:t>(a)</w:t>
            </w:r>
            <w:r>
              <w:rPr>
                <w:rFonts w:ascii="Arial" w:cs="Arial" w:eastAsia="Arial" w:hAnsi="Arial"/>
                <w:sz w:val="18"/>
                <w:szCs w:val="18"/>
                <w:b w:val="1"/>
                <w:bCs w:val="1"/>
                <w:color w:val="auto"/>
              </w:rPr>
              <w:t>:</w:t>
            </w: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6"/>
        </w:trPr>
        <w:tc>
          <w:tcPr>
            <w:tcW w:w="832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8320" w:type="dxa"/>
            <w:vAlign w:val="bottom"/>
          </w:tcPr>
          <w:p>
            <w:pPr>
              <w:ind w:left="60"/>
              <w:spacing w:after="0"/>
              <w:rPr>
                <w:sz w:val="20"/>
                <w:szCs w:val="20"/>
                <w:color w:val="auto"/>
              </w:rPr>
            </w:pPr>
            <w:r>
              <w:rPr>
                <w:rFonts w:ascii="Arial" w:cs="Arial" w:eastAsia="Arial" w:hAnsi="Arial"/>
                <w:sz w:val="18"/>
                <w:szCs w:val="18"/>
                <w:color w:val="auto"/>
              </w:rPr>
              <w:t>Interest, including amortization of deferred financing costs</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2"/>
                <w:szCs w:val="22"/>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75"/>
        </w:trPr>
        <w:tc>
          <w:tcPr>
            <w:tcW w:w="8320" w:type="dxa"/>
            <w:vAlign w:val="bottom"/>
          </w:tcPr>
          <w:p>
            <w:pPr>
              <w:ind w:left="60"/>
              <w:spacing w:after="0"/>
              <w:rPr>
                <w:sz w:val="20"/>
                <w:szCs w:val="20"/>
                <w:color w:val="auto"/>
              </w:rPr>
            </w:pPr>
            <w:r>
              <w:rPr>
                <w:rFonts w:ascii="Arial" w:cs="Arial" w:eastAsia="Arial" w:hAnsi="Arial"/>
                <w:sz w:val="18"/>
                <w:szCs w:val="18"/>
                <w:color w:val="auto"/>
              </w:rPr>
              <w:t>Interest portion of rental payment</w:t>
            </w:r>
          </w:p>
        </w:tc>
        <w:tc>
          <w:tcPr>
            <w:tcW w:w="96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55"/>
        </w:trPr>
        <w:tc>
          <w:tcPr>
            <w:tcW w:w="8320" w:type="dxa"/>
            <w:vAlign w:val="bottom"/>
          </w:tcPr>
          <w:p>
            <w:pPr>
              <w:ind w:left="60"/>
              <w:spacing w:after="0"/>
              <w:rPr>
                <w:sz w:val="20"/>
                <w:szCs w:val="20"/>
                <w:color w:val="auto"/>
              </w:rPr>
            </w:pPr>
            <w:r>
              <w:rPr>
                <w:rFonts w:ascii="Arial" w:cs="Arial" w:eastAsia="Arial" w:hAnsi="Arial"/>
                <w:sz w:val="18"/>
                <w:szCs w:val="18"/>
                <w:color w:val="auto"/>
              </w:rPr>
              <w:t>Total fixed charges</w:t>
            </w:r>
          </w:p>
        </w:tc>
        <w:tc>
          <w:tcPr>
            <w:tcW w:w="9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22"/>
                <w:szCs w:val="22"/>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8320" w:type="dxa"/>
            <w:vAlign w:val="bottom"/>
          </w:tcPr>
          <w:p>
            <w:pPr>
              <w:ind w:left="60"/>
              <w:spacing w:after="0"/>
              <w:rPr>
                <w:sz w:val="20"/>
                <w:szCs w:val="20"/>
                <w:color w:val="auto"/>
              </w:rPr>
            </w:pPr>
            <w:r>
              <w:rPr>
                <w:rFonts w:ascii="Arial" w:cs="Arial" w:eastAsia="Arial" w:hAnsi="Arial"/>
                <w:sz w:val="18"/>
                <w:szCs w:val="18"/>
                <w:b w:val="1"/>
                <w:bCs w:val="1"/>
                <w:color w:val="auto"/>
              </w:rPr>
              <w:t xml:space="preserve">Ratio of earnings to fixed charges </w:t>
            </w:r>
            <w:r>
              <w:rPr>
                <w:rFonts w:ascii="Arial" w:cs="Arial" w:eastAsia="Arial" w:hAnsi="Arial"/>
                <w:sz w:val="21"/>
                <w:szCs w:val="21"/>
                <w:color w:val="auto"/>
                <w:vertAlign w:val="superscript"/>
              </w:rPr>
              <w:t>(b)</w:t>
            </w:r>
          </w:p>
        </w:tc>
        <w:tc>
          <w:tcPr>
            <w:tcW w:w="960" w:type="dxa"/>
            <w:vAlign w:val="bottom"/>
          </w:tcPr>
          <w:p>
            <w:pPr>
              <w:spacing w:after="0"/>
              <w:rPr>
                <w:sz w:val="24"/>
                <w:szCs w:val="2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3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320" w:type="dxa"/>
            <w:vAlign w:val="bottom"/>
            <w:vMerge w:val="continue"/>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240" w:right="160" w:hanging="171"/>
        <w:spacing w:after="0" w:line="239" w:lineRule="auto"/>
        <w:tabs>
          <w:tab w:leader="none" w:pos="213" w:val="left"/>
        </w:tabs>
        <w:numPr>
          <w:ilvl w:val="0"/>
          <w:numId w:val="65"/>
        </w:numPr>
        <w:rPr>
          <w:rFonts w:ascii="Arial" w:cs="Arial" w:eastAsia="Arial" w:hAnsi="Arial"/>
          <w:sz w:val="17"/>
          <w:szCs w:val="17"/>
          <w:color w:val="auto"/>
          <w:vertAlign w:val="superscript"/>
        </w:rPr>
      </w:pPr>
      <w:r>
        <w:rPr>
          <w:rFonts w:ascii="Arial" w:cs="Arial" w:eastAsia="Arial" w:hAnsi="Arial"/>
          <w:sz w:val="14"/>
          <w:szCs w:val="14"/>
          <w:color w:val="auto"/>
        </w:rPr>
        <w:t>Consists of interest expense on all indebtedness (including amortization of deferred financing costs) and the portion of operating lease rental expense that is representative of the interest factor. Interest expense on all indebtedness is detailed as follows:</w:t>
      </w:r>
    </w:p>
    <w:p>
      <w:pPr>
        <w:spacing w:after="0" w:line="151" w:lineRule="exact"/>
        <w:rPr>
          <w:sz w:val="20"/>
          <w:szCs w:val="20"/>
          <w:color w:val="auto"/>
        </w:rPr>
      </w:pPr>
    </w:p>
    <w:p>
      <w:pPr>
        <w:ind w:left="9140"/>
        <w:spacing w:after="0"/>
        <w:rPr>
          <w:sz w:val="20"/>
          <w:szCs w:val="20"/>
          <w:color w:val="auto"/>
        </w:rPr>
      </w:pPr>
      <w:r>
        <w:rPr>
          <w:rFonts w:ascii="Arial" w:cs="Arial" w:eastAsia="Arial" w:hAnsi="Arial"/>
          <w:sz w:val="16"/>
          <w:szCs w:val="16"/>
          <w:b w:val="1"/>
          <w:bCs w:val="1"/>
          <w:color w:val="auto"/>
        </w:rPr>
        <w:t>Six Months Ended</w:t>
      </w:r>
    </w:p>
    <w:p>
      <w:pPr>
        <w:spacing w:after="0" w:line="27" w:lineRule="exact"/>
        <w:rPr>
          <w:sz w:val="20"/>
          <w:szCs w:val="20"/>
          <w:color w:val="auto"/>
        </w:rPr>
      </w:pPr>
    </w:p>
    <w:tbl>
      <w:tblPr>
        <w:tblLayout w:type="fixed"/>
        <w:tblInd w:w="320" w:type="dxa"/>
        <w:tblCellMar>
          <w:top w:w="0" w:type="dxa"/>
          <w:left w:w="0" w:type="dxa"/>
          <w:bottom w:w="0" w:type="dxa"/>
          <w:right w:w="0" w:type="dxa"/>
        </w:tblCellMar>
      </w:tblPr>
      <w:tr>
        <w:trPr>
          <w:trHeight w:val="214"/>
        </w:trPr>
        <w:tc>
          <w:tcPr>
            <w:tcW w:w="80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1060" w:type="dxa"/>
            <w:vAlign w:val="bottom"/>
            <w:tcBorders>
              <w:bottom w:val="single" w:sz="8" w:color="auto"/>
            </w:tcBorders>
          </w:tcPr>
          <w:p>
            <w:pPr>
              <w:spacing w:after="0"/>
              <w:rPr>
                <w:sz w:val="18"/>
                <w:szCs w:val="18"/>
                <w:color w:val="auto"/>
              </w:rPr>
            </w:pPr>
          </w:p>
        </w:tc>
      </w:tr>
      <w:tr>
        <w:trPr>
          <w:trHeight w:val="260"/>
        </w:trPr>
        <w:tc>
          <w:tcPr>
            <w:tcW w:w="802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4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238"/>
        </w:trPr>
        <w:tc>
          <w:tcPr>
            <w:tcW w:w="8020" w:type="dxa"/>
            <w:vAlign w:val="bottom"/>
          </w:tcPr>
          <w:p>
            <w:pPr>
              <w:spacing w:after="0"/>
              <w:rPr>
                <w:sz w:val="20"/>
                <w:szCs w:val="20"/>
                <w:color w:val="auto"/>
              </w:rPr>
            </w:pPr>
            <w:r>
              <w:rPr>
                <w:rFonts w:ascii="Arial" w:cs="Arial" w:eastAsia="Arial" w:hAnsi="Arial"/>
                <w:sz w:val="16"/>
                <w:szCs w:val="16"/>
                <w:color w:val="auto"/>
              </w:rPr>
              <w:t>Related to debt under vehicle programs</w:t>
            </w:r>
          </w:p>
        </w:tc>
        <w:tc>
          <w:tcPr>
            <w:tcW w:w="1000" w:type="dxa"/>
            <w:vAlign w:val="bottom"/>
          </w:tcPr>
          <w:p>
            <w:pPr>
              <w:jc w:val="right"/>
              <w:ind w:right="799"/>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20"/>
                <w:szCs w:val="20"/>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150</w:t>
            </w:r>
          </w:p>
        </w:tc>
      </w:tr>
      <w:tr>
        <w:trPr>
          <w:trHeight w:val="279"/>
        </w:trPr>
        <w:tc>
          <w:tcPr>
            <w:tcW w:w="8020" w:type="dxa"/>
            <w:vAlign w:val="bottom"/>
          </w:tcPr>
          <w:p>
            <w:pPr>
              <w:spacing w:after="0"/>
              <w:rPr>
                <w:sz w:val="20"/>
                <w:szCs w:val="20"/>
                <w:color w:val="auto"/>
              </w:rPr>
            </w:pPr>
            <w:r>
              <w:rPr>
                <w:rFonts w:ascii="Arial" w:cs="Arial" w:eastAsia="Arial" w:hAnsi="Arial"/>
                <w:sz w:val="16"/>
                <w:szCs w:val="16"/>
                <w:color w:val="auto"/>
              </w:rPr>
              <w:t>All other</w:t>
            </w:r>
          </w:p>
        </w:tc>
        <w:tc>
          <w:tcPr>
            <w:tcW w:w="10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110</w:t>
            </w:r>
          </w:p>
        </w:tc>
      </w:tr>
      <w:tr>
        <w:trPr>
          <w:trHeight w:val="237"/>
        </w:trPr>
        <w:tc>
          <w:tcPr>
            <w:tcW w:w="8020" w:type="dxa"/>
            <w:vAlign w:val="bottom"/>
          </w:tcPr>
          <w:p>
            <w:pPr>
              <w:spacing w:after="0"/>
              <w:rPr>
                <w:sz w:val="20"/>
                <w:szCs w:val="20"/>
                <w:color w:val="auto"/>
              </w:rPr>
            </w:pPr>
          </w:p>
        </w:tc>
        <w:tc>
          <w:tcPr>
            <w:tcW w:w="100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244</w:t>
            </w:r>
          </w:p>
        </w:tc>
        <w:tc>
          <w:tcPr>
            <w:tcW w:w="100" w:type="dxa"/>
            <w:vAlign w:val="bottom"/>
          </w:tcPr>
          <w:p>
            <w:pPr>
              <w:spacing w:after="0"/>
              <w:rPr>
                <w:sz w:val="20"/>
                <w:szCs w:val="20"/>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260</w:t>
            </w:r>
          </w:p>
        </w:tc>
      </w:tr>
      <w:tr>
        <w:trPr>
          <w:trHeight w:val="20"/>
        </w:trPr>
        <w:tc>
          <w:tcPr>
            <w:tcW w:w="80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65" w:lineRule="exact"/>
        <w:rPr>
          <w:sz w:val="20"/>
          <w:szCs w:val="20"/>
          <w:color w:val="auto"/>
        </w:rPr>
      </w:pPr>
    </w:p>
    <w:p>
      <w:pPr>
        <w:ind w:left="200" w:hanging="131"/>
        <w:spacing w:after="0"/>
        <w:tabs>
          <w:tab w:leader="none" w:pos="200" w:val="left"/>
        </w:tabs>
        <w:numPr>
          <w:ilvl w:val="0"/>
          <w:numId w:val="66"/>
        </w:numPr>
        <w:rPr>
          <w:rFonts w:ascii="Arial" w:cs="Arial" w:eastAsia="Arial" w:hAnsi="Arial"/>
          <w:sz w:val="16"/>
          <w:szCs w:val="16"/>
          <w:color w:val="auto"/>
          <w:vertAlign w:val="superscript"/>
        </w:rPr>
      </w:pPr>
      <w:r>
        <w:rPr>
          <w:rFonts w:ascii="Arial" w:cs="Arial" w:eastAsia="Arial" w:hAnsi="Arial"/>
          <w:sz w:val="13"/>
          <w:szCs w:val="13"/>
          <w:color w:val="auto"/>
        </w:rPr>
        <w:t>Earnings were not sufficient to cover fixed charges for six months ended June 30, 2017 and 2016 by $154 million and $23 million, respectively.</w:t>
      </w:r>
    </w:p>
    <w:p>
      <w:pPr>
        <w:sectPr>
          <w:pgSz w:w="11900" w:h="16838" w:orient="portrait"/>
          <w:cols w:equalWidth="0" w:num="1">
            <w:col w:w="11420"/>
          </w:cols>
          <w:pgMar w:left="240" w:top="574"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I, Larry D. De Shon, certify that:</w:t>
      </w:r>
    </w:p>
    <w:p>
      <w:pPr>
        <w:spacing w:after="0" w:line="171" w:lineRule="exact"/>
        <w:rPr>
          <w:sz w:val="20"/>
          <w:szCs w:val="20"/>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Avis Budget Group, Inc.;</w:t>
      </w:r>
    </w:p>
    <w:p>
      <w:pPr>
        <w:spacing w:after="0" w:line="171" w:lineRule="exact"/>
        <w:rPr>
          <w:rFonts w:ascii="Arial" w:cs="Arial" w:eastAsia="Arial" w:hAnsi="Arial"/>
          <w:sz w:val="18"/>
          <w:szCs w:val="18"/>
          <w:color w:val="auto"/>
        </w:rPr>
      </w:pPr>
    </w:p>
    <w:p>
      <w:pPr>
        <w:ind w:left="660" w:right="120" w:hanging="328"/>
        <w:spacing w:after="0" w:line="271"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Arial" w:cs="Arial" w:eastAsia="Arial" w:hAnsi="Arial"/>
          <w:sz w:val="18"/>
          <w:szCs w:val="18"/>
          <w:color w:val="auto"/>
        </w:rPr>
      </w:pPr>
    </w:p>
    <w:p>
      <w:pPr>
        <w:ind w:left="660" w:right="20" w:hanging="328"/>
        <w:spacing w:after="0" w:line="323" w:lineRule="auto"/>
        <w:tabs>
          <w:tab w:leader="none" w:pos="6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8" w:lineRule="exact"/>
        <w:rPr>
          <w:rFonts w:ascii="Arial" w:cs="Arial" w:eastAsia="Arial" w:hAnsi="Arial"/>
          <w:sz w:val="17"/>
          <w:szCs w:val="17"/>
          <w:color w:val="auto"/>
        </w:rPr>
      </w:pPr>
    </w:p>
    <w:p>
      <w:pPr>
        <w:ind w:left="660" w:right="300" w:hanging="328"/>
        <w:spacing w:after="0" w:line="271"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9" w:lineRule="exact"/>
        <w:rPr>
          <w:rFonts w:ascii="Arial" w:cs="Arial" w:eastAsia="Arial" w:hAnsi="Arial"/>
          <w:sz w:val="18"/>
          <w:szCs w:val="18"/>
          <w:color w:val="auto"/>
        </w:rPr>
      </w:pPr>
    </w:p>
    <w:p>
      <w:pPr>
        <w:ind w:left="1300" w:right="180" w:hanging="320"/>
        <w:spacing w:after="0" w:line="271" w:lineRule="auto"/>
        <w:tabs>
          <w:tab w:leader="none" w:pos="13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Arial" w:cs="Arial" w:eastAsia="Arial" w:hAnsi="Arial"/>
          <w:sz w:val="18"/>
          <w:szCs w:val="18"/>
          <w:color w:val="auto"/>
        </w:rPr>
      </w:pPr>
    </w:p>
    <w:p>
      <w:pPr>
        <w:ind w:left="1300" w:right="160" w:hanging="320"/>
        <w:spacing w:after="0" w:line="271" w:lineRule="auto"/>
        <w:tabs>
          <w:tab w:leader="none" w:pos="13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9" w:lineRule="exact"/>
        <w:rPr>
          <w:rFonts w:ascii="Arial" w:cs="Arial" w:eastAsia="Arial" w:hAnsi="Arial"/>
          <w:sz w:val="18"/>
          <w:szCs w:val="18"/>
          <w:color w:val="auto"/>
        </w:rPr>
      </w:pPr>
    </w:p>
    <w:p>
      <w:pPr>
        <w:jc w:val="both"/>
        <w:ind w:left="1300" w:right="100" w:hanging="320"/>
        <w:spacing w:after="0" w:line="271" w:lineRule="auto"/>
        <w:tabs>
          <w:tab w:leader="none" w:pos="13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9" w:lineRule="exact"/>
        <w:rPr>
          <w:rFonts w:ascii="Arial" w:cs="Arial" w:eastAsia="Arial" w:hAnsi="Arial"/>
          <w:sz w:val="18"/>
          <w:szCs w:val="18"/>
          <w:color w:val="auto"/>
        </w:rPr>
      </w:pPr>
    </w:p>
    <w:p>
      <w:pPr>
        <w:ind w:left="1300" w:right="240" w:hanging="320"/>
        <w:spacing w:after="0" w:line="271" w:lineRule="auto"/>
        <w:tabs>
          <w:tab w:leader="none" w:pos="13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rFonts w:ascii="Arial" w:cs="Arial" w:eastAsia="Arial" w:hAnsi="Arial"/>
          <w:sz w:val="18"/>
          <w:szCs w:val="18"/>
          <w:color w:val="auto"/>
        </w:rPr>
      </w:pPr>
    </w:p>
    <w:p>
      <w:pPr>
        <w:ind w:left="660" w:right="520" w:hanging="328"/>
        <w:spacing w:after="0" w:line="271"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9" w:lineRule="exact"/>
        <w:rPr>
          <w:rFonts w:ascii="Arial" w:cs="Arial" w:eastAsia="Arial" w:hAnsi="Arial"/>
          <w:sz w:val="18"/>
          <w:szCs w:val="18"/>
          <w:color w:val="auto"/>
        </w:rPr>
      </w:pPr>
    </w:p>
    <w:p>
      <w:pPr>
        <w:jc w:val="both"/>
        <w:ind w:left="1300" w:right="100" w:hanging="320"/>
        <w:spacing w:after="0" w:line="271" w:lineRule="auto"/>
        <w:tabs>
          <w:tab w:leader="none" w:pos="13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9" w:lineRule="exact"/>
        <w:rPr>
          <w:rFonts w:ascii="Arial" w:cs="Arial" w:eastAsia="Arial" w:hAnsi="Arial"/>
          <w:sz w:val="18"/>
          <w:szCs w:val="18"/>
          <w:color w:val="auto"/>
        </w:rPr>
      </w:pPr>
    </w:p>
    <w:p>
      <w:pPr>
        <w:ind w:left="1300" w:right="20" w:hanging="320"/>
        <w:spacing w:after="0" w:line="292" w:lineRule="auto"/>
        <w:tabs>
          <w:tab w:leader="none" w:pos="13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2017</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Larry D. De Shon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2277745</wp:posOffset>
            </wp:positionH>
            <wp:positionV relativeFrom="paragraph">
              <wp:posOffset>28575</wp:posOffset>
            </wp:positionV>
            <wp:extent cx="27101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74"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31.2</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I, Martyn Smith, certify that:</w:t>
      </w:r>
    </w:p>
    <w:p>
      <w:pPr>
        <w:spacing w:after="0" w:line="171" w:lineRule="exact"/>
        <w:rPr>
          <w:sz w:val="20"/>
          <w:szCs w:val="20"/>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Avis Budget Group, Inc.;</w:t>
      </w:r>
    </w:p>
    <w:p>
      <w:pPr>
        <w:spacing w:after="0" w:line="171" w:lineRule="exact"/>
        <w:rPr>
          <w:rFonts w:ascii="Arial" w:cs="Arial" w:eastAsia="Arial" w:hAnsi="Arial"/>
          <w:sz w:val="18"/>
          <w:szCs w:val="18"/>
          <w:color w:val="auto"/>
        </w:rPr>
      </w:pPr>
    </w:p>
    <w:p>
      <w:pPr>
        <w:ind w:left="660" w:right="120" w:hanging="328"/>
        <w:spacing w:after="0" w:line="271"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Arial" w:cs="Arial" w:eastAsia="Arial" w:hAnsi="Arial"/>
          <w:sz w:val="18"/>
          <w:szCs w:val="18"/>
          <w:color w:val="auto"/>
        </w:rPr>
      </w:pPr>
    </w:p>
    <w:p>
      <w:pPr>
        <w:ind w:left="660" w:right="20" w:hanging="328"/>
        <w:spacing w:after="0" w:line="323" w:lineRule="auto"/>
        <w:tabs>
          <w:tab w:leader="none" w:pos="6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8" w:lineRule="exact"/>
        <w:rPr>
          <w:rFonts w:ascii="Arial" w:cs="Arial" w:eastAsia="Arial" w:hAnsi="Arial"/>
          <w:sz w:val="17"/>
          <w:szCs w:val="17"/>
          <w:color w:val="auto"/>
        </w:rPr>
      </w:pPr>
    </w:p>
    <w:p>
      <w:pPr>
        <w:ind w:left="660" w:right="300" w:hanging="328"/>
        <w:spacing w:after="0" w:line="271"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9" w:lineRule="exact"/>
        <w:rPr>
          <w:rFonts w:ascii="Arial" w:cs="Arial" w:eastAsia="Arial" w:hAnsi="Arial"/>
          <w:sz w:val="18"/>
          <w:szCs w:val="18"/>
          <w:color w:val="auto"/>
        </w:rPr>
      </w:pPr>
    </w:p>
    <w:p>
      <w:pPr>
        <w:ind w:left="1300" w:right="180" w:hanging="320"/>
        <w:spacing w:after="0" w:line="271" w:lineRule="auto"/>
        <w:tabs>
          <w:tab w:leader="none" w:pos="13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Arial" w:cs="Arial" w:eastAsia="Arial" w:hAnsi="Arial"/>
          <w:sz w:val="18"/>
          <w:szCs w:val="18"/>
          <w:color w:val="auto"/>
        </w:rPr>
      </w:pPr>
    </w:p>
    <w:p>
      <w:pPr>
        <w:ind w:left="1300" w:right="160" w:hanging="320"/>
        <w:spacing w:after="0" w:line="271" w:lineRule="auto"/>
        <w:tabs>
          <w:tab w:leader="none" w:pos="13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9" w:lineRule="exact"/>
        <w:rPr>
          <w:rFonts w:ascii="Arial" w:cs="Arial" w:eastAsia="Arial" w:hAnsi="Arial"/>
          <w:sz w:val="18"/>
          <w:szCs w:val="18"/>
          <w:color w:val="auto"/>
        </w:rPr>
      </w:pPr>
    </w:p>
    <w:p>
      <w:pPr>
        <w:jc w:val="both"/>
        <w:ind w:left="1300" w:right="100" w:hanging="320"/>
        <w:spacing w:after="0" w:line="271" w:lineRule="auto"/>
        <w:tabs>
          <w:tab w:leader="none" w:pos="13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9" w:lineRule="exact"/>
        <w:rPr>
          <w:rFonts w:ascii="Arial" w:cs="Arial" w:eastAsia="Arial" w:hAnsi="Arial"/>
          <w:sz w:val="18"/>
          <w:szCs w:val="18"/>
          <w:color w:val="auto"/>
        </w:rPr>
      </w:pPr>
    </w:p>
    <w:p>
      <w:pPr>
        <w:ind w:left="1300" w:right="240" w:hanging="320"/>
        <w:spacing w:after="0" w:line="271" w:lineRule="auto"/>
        <w:tabs>
          <w:tab w:leader="none" w:pos="13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rFonts w:ascii="Arial" w:cs="Arial" w:eastAsia="Arial" w:hAnsi="Arial"/>
          <w:sz w:val="18"/>
          <w:szCs w:val="18"/>
          <w:color w:val="auto"/>
        </w:rPr>
      </w:pPr>
    </w:p>
    <w:p>
      <w:pPr>
        <w:ind w:left="660" w:right="520" w:hanging="328"/>
        <w:spacing w:after="0" w:line="271"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9" w:lineRule="exact"/>
        <w:rPr>
          <w:rFonts w:ascii="Arial" w:cs="Arial" w:eastAsia="Arial" w:hAnsi="Arial"/>
          <w:sz w:val="18"/>
          <w:szCs w:val="18"/>
          <w:color w:val="auto"/>
        </w:rPr>
      </w:pPr>
    </w:p>
    <w:p>
      <w:pPr>
        <w:jc w:val="both"/>
        <w:ind w:left="1300" w:right="100" w:hanging="320"/>
        <w:spacing w:after="0" w:line="271" w:lineRule="auto"/>
        <w:tabs>
          <w:tab w:leader="none" w:pos="13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9" w:lineRule="exact"/>
        <w:rPr>
          <w:rFonts w:ascii="Arial" w:cs="Arial" w:eastAsia="Arial" w:hAnsi="Arial"/>
          <w:sz w:val="18"/>
          <w:szCs w:val="18"/>
          <w:color w:val="auto"/>
        </w:rPr>
      </w:pPr>
    </w:p>
    <w:p>
      <w:pPr>
        <w:ind w:left="1300" w:right="20" w:hanging="320"/>
        <w:spacing w:after="0" w:line="292" w:lineRule="auto"/>
        <w:tabs>
          <w:tab w:leader="none" w:pos="13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2017</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Martyn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28575</wp:posOffset>
            </wp:positionV>
            <wp:extent cx="42449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4244975" cy="8890"/>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Interim Chief Financial Officer</w:t>
      </w:r>
    </w:p>
    <w:p>
      <w:pPr>
        <w:sectPr>
          <w:pgSz w:w="11900" w:h="16838" w:orient="portrait"/>
          <w:cols w:equalWidth="0" w:num="1">
            <w:col w:w="11420"/>
          </w:cols>
          <w:pgMar w:left="240" w:top="574"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4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connection with the Quarterly Report of Avis Budget Group, Inc. (the “Company”) on Form 10-Q for the period ended June 30, 2017, as filed with the Securities and Exchange Commission on the date hereof (the “Report”), Larry D. De Shon, as Chief Executive Officer of the Company, and Martyn Smith, as Interim Chief Financial Officer of the Company, each hereby certifies, pursuant to 18 U.S.C. Section 1350, as adopted pursuant to Section 906 of the Sarbanes-Oxley Act of 2002, that, to the best of his knowledge:</w:t>
      </w:r>
    </w:p>
    <w:p>
      <w:pPr>
        <w:spacing w:after="0" w:line="116" w:lineRule="exact"/>
        <w:rPr>
          <w:sz w:val="20"/>
          <w:szCs w:val="20"/>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right="180" w:hanging="328"/>
        <w:spacing w:after="0" w:line="292"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LARRY D. DE SHON</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Larry D. De Shon</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August 8, 2017</w:t>
      </w:r>
    </w:p>
    <w:p>
      <w:pPr>
        <w:spacing w:after="0" w:line="374"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MARTYN SMITH</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Martyn Smith</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Interim Chief Financial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August 8, 2017</w:t>
      </w:r>
    </w:p>
    <w:sectPr>
      <w:pgSz w:w="11900" w:h="16838" w:orient="portrait"/>
      <w:cols w:equalWidth="0" w:num="1">
        <w:col w:w="11420"/>
      </w:cols>
      <w:pgMar w:left="240" w:top="5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1."/>
      <w:numFmt w:val="decimal"/>
      <w:start w:val="1"/>
    </w:lvl>
    <w:lvl w:ilvl="1">
      <w:lvlJc w:val="left"/>
      <w:lvlText w:val="•"/>
      <w:numFmt w:val="bullet"/>
      <w:start w:val="1"/>
    </w:lvl>
  </w:abstractNum>
  <w:abstractNum w:abstractNumId="3">
    <w:nsid w:val="3804823E"/>
    <w:multiLevelType w:val="hybridMultilevel"/>
    <w:lvl w:ilvl="0">
      <w:lvlJc w:val="left"/>
      <w:lvlText w:val="%1."/>
      <w:numFmt w:val="decimal"/>
      <w:start w:val="2"/>
    </w:lvl>
  </w:abstractNum>
  <w:abstractNum w:abstractNumId="4">
    <w:nsid w:val="77465F01"/>
    <w:multiLevelType w:val="hybridMultilevel"/>
    <w:lvl w:ilvl="0">
      <w:lvlJc w:val="left"/>
      <w:lvlText w:val="(%1)"/>
      <w:numFmt w:val="lowerLetter"/>
      <w:start w:val="1"/>
    </w:lvl>
  </w:abstractNum>
  <w:abstractNum w:abstractNumId="5">
    <w:nsid w:val="7724C67E"/>
    <w:multiLevelType w:val="hybridMultilevel"/>
    <w:lvl w:ilvl="0">
      <w:lvlJc w:val="left"/>
      <w:lvlText w:val="%1."/>
      <w:numFmt w:val="decimal"/>
      <w:start w:val="3"/>
    </w:lvl>
  </w:abstractNum>
  <w:abstractNum w:abstractNumId="6">
    <w:nsid w:val="5C482A97"/>
    <w:multiLevelType w:val="hybridMultilevel"/>
    <w:lvl w:ilvl="0">
      <w:lvlJc w:val="left"/>
      <w:lvlText w:val="%1"/>
      <w:numFmt w:val="decimal"/>
      <w:start w:val="1"/>
    </w:lvl>
    <w:lvl w:ilvl="1">
      <w:lvlJc w:val="left"/>
      <w:lvlText w:val="(%2)"/>
      <w:numFmt w:val="lowerLetter"/>
      <w:start w:val="1"/>
    </w:lvl>
  </w:abstractNum>
  <w:abstractNum w:abstractNumId="7">
    <w:nsid w:val="2463B9EA"/>
    <w:multiLevelType w:val="hybridMultilevel"/>
    <w:lvl w:ilvl="0">
      <w:lvlJc w:val="left"/>
      <w:lvlText w:val="%1."/>
      <w:numFmt w:val="decimal"/>
      <w:start w:val="4"/>
    </w:lvl>
    <w:lvl w:ilvl="1">
      <w:lvlJc w:val="left"/>
      <w:lvlText w:val="%2"/>
      <w:numFmt w:val="lowerLetter"/>
      <w:start w:val="1"/>
    </w:lvl>
  </w:abstractNum>
  <w:abstractNum w:abstractNumId="8">
    <w:nsid w:val="5E884ADC"/>
    <w:multiLevelType w:val="hybridMultilevel"/>
    <w:lvl w:ilvl="0">
      <w:lvlJc w:val="left"/>
      <w:lvlText w:val="%1."/>
      <w:numFmt w:val="decimal"/>
      <w:start w:val="5"/>
    </w:lvl>
  </w:abstractNum>
  <w:abstractNum w:abstractNumId="9">
    <w:nsid w:val="51EAD36B"/>
    <w:multiLevelType w:val="hybridMultilevel"/>
    <w:lvl w:ilvl="0">
      <w:lvlJc w:val="left"/>
      <w:lvlText w:val="(%1)"/>
      <w:numFmt w:val="lowerLetter"/>
      <w:start w:val="1"/>
    </w:lvl>
  </w:abstractNum>
  <w:abstractNum w:abstractNumId="10">
    <w:nsid w:val="2D517796"/>
    <w:multiLevelType w:val="hybridMultilevel"/>
    <w:lvl w:ilvl="0">
      <w:lvlJc w:val="left"/>
      <w:lvlText w:val="%1."/>
      <w:numFmt w:val="decimal"/>
      <w:start w:val="6"/>
    </w:lvl>
  </w:abstractNum>
  <w:abstractNum w:abstractNumId="11">
    <w:nsid w:val="580BD78F"/>
    <w:multiLevelType w:val="hybridMultilevel"/>
    <w:lvl w:ilvl="0">
      <w:lvlJc w:val="left"/>
      <w:lvlText w:val="%1."/>
      <w:numFmt w:val="decimal"/>
      <w:start w:val="7"/>
    </w:lvl>
  </w:abstractNum>
  <w:abstractNum w:abstractNumId="12">
    <w:nsid w:val="153EA438"/>
    <w:multiLevelType w:val="hybridMultilevel"/>
    <w:lvl w:ilvl="0">
      <w:lvlJc w:val="left"/>
      <w:lvlText w:val="%1."/>
      <w:numFmt w:val="decimal"/>
      <w:start w:val="9"/>
    </w:lvl>
  </w:abstractNum>
  <w:abstractNum w:abstractNumId="13">
    <w:nsid w:val="3855585C"/>
    <w:multiLevelType w:val="hybridMultilevel"/>
    <w:lvl w:ilvl="0">
      <w:lvlJc w:val="left"/>
      <w:lvlText w:val="(%1)"/>
      <w:numFmt w:val="lowerLetter"/>
      <w:start w:val="1"/>
    </w:lvl>
  </w:abstractNum>
  <w:abstractNum w:abstractNumId="14">
    <w:nsid w:val="70A64E2A"/>
    <w:multiLevelType w:val="hybridMultilevel"/>
    <w:lvl w:ilvl="0">
      <w:lvlJc w:val="left"/>
      <w:lvlText w:val="(%1)"/>
      <w:numFmt w:val="lowerLetter"/>
      <w:start w:val="1"/>
    </w:lvl>
  </w:abstractNum>
  <w:abstractNum w:abstractNumId="15">
    <w:nsid w:val="6A2342EC"/>
    <w:multiLevelType w:val="hybridMultilevel"/>
    <w:lvl w:ilvl="0">
      <w:lvlJc w:val="left"/>
      <w:lvlText w:val="%1."/>
      <w:numFmt w:val="decimal"/>
      <w:start w:val="10"/>
    </w:lvl>
  </w:abstractNum>
  <w:abstractNum w:abstractNumId="16">
    <w:nsid w:val="2A487CB0"/>
    <w:multiLevelType w:val="hybridMultilevel"/>
    <w:lvl w:ilvl="0">
      <w:lvlJc w:val="left"/>
      <w:lvlText w:val="(%1)"/>
      <w:numFmt w:val="lowerLetter"/>
      <w:start w:val="1"/>
    </w:lvl>
  </w:abstractNum>
  <w:abstractNum w:abstractNumId="17">
    <w:nsid w:val="1D4ED43B"/>
    <w:multiLevelType w:val="hybridMultilevel"/>
    <w:lvl w:ilvl="0">
      <w:lvlJc w:val="left"/>
      <w:lvlText w:val="(%1)"/>
      <w:numFmt w:val="lowerLetter"/>
      <w:start w:val="1"/>
    </w:lvl>
  </w:abstractNum>
  <w:abstractNum w:abstractNumId="18">
    <w:nsid w:val="725A06FB"/>
    <w:multiLevelType w:val="hybridMultilevel"/>
    <w:lvl w:ilvl="0">
      <w:lvlJc w:val="left"/>
      <w:lvlText w:val="(%1)"/>
      <w:numFmt w:val="lowerLetter"/>
      <w:start w:val="1"/>
    </w:lvl>
  </w:abstractNum>
  <w:abstractNum w:abstractNumId="19">
    <w:nsid w:val="2CD89A32"/>
    <w:multiLevelType w:val="hybridMultilevel"/>
    <w:lvl w:ilvl="0">
      <w:lvlJc w:val="left"/>
      <w:lvlText w:val="2"/>
      <w:numFmt w:val="bullet"/>
      <w:start w:val="1"/>
    </w:lvl>
  </w:abstractNum>
  <w:abstractNum w:abstractNumId="20">
    <w:nsid w:val="57E4CCAF"/>
    <w:multiLevelType w:val="hybridMultilevel"/>
    <w:lvl w:ilvl="0">
      <w:lvlJc w:val="left"/>
      <w:lvlText w:val="%1."/>
      <w:numFmt w:val="decimal"/>
      <w:start w:val="11"/>
    </w:lvl>
  </w:abstractNum>
  <w:abstractNum w:abstractNumId="21">
    <w:nsid w:val="7A6D8D3C"/>
    <w:multiLevelType w:val="hybridMultilevel"/>
    <w:lvl w:ilvl="0">
      <w:lvlJc w:val="left"/>
      <w:lvlText w:val="%1."/>
      <w:numFmt w:val="decimal"/>
      <w:start w:val="12"/>
    </w:lvl>
  </w:abstractNum>
  <w:abstractNum w:abstractNumId="22">
    <w:nsid w:val="4B588F54"/>
    <w:multiLevelType w:val="hybridMultilevel"/>
    <w:lvl w:ilvl="0">
      <w:lvlJc w:val="left"/>
      <w:lvlText w:val="1"/>
      <w:numFmt w:val="bullet"/>
      <w:start w:val="1"/>
    </w:lvl>
  </w:abstractNum>
  <w:abstractNum w:abstractNumId="23">
    <w:nsid w:val="542289EC"/>
    <w:multiLevelType w:val="hybridMultilevel"/>
    <w:lvl w:ilvl="0">
      <w:lvlJc w:val="left"/>
      <w:lvlText w:val="(%1)"/>
      <w:numFmt w:val="decimal"/>
      <w:start w:val="1"/>
    </w:lvl>
  </w:abstractNum>
  <w:abstractNum w:abstractNumId="24">
    <w:nsid w:val="6DE91B18"/>
    <w:multiLevelType w:val="hybridMultilevel"/>
    <w:lvl w:ilvl="0">
      <w:lvlJc w:val="left"/>
      <w:lvlText w:val="3"/>
      <w:numFmt w:val="bullet"/>
      <w:start w:val="1"/>
    </w:lvl>
  </w:abstractNum>
  <w:abstractNum w:abstractNumId="25">
    <w:nsid w:val="38437FDB"/>
    <w:multiLevelType w:val="hybridMultilevel"/>
    <w:lvl w:ilvl="0">
      <w:lvlJc w:val="left"/>
      <w:lvlText w:val="(%1)"/>
      <w:numFmt w:val="lowerLetter"/>
      <w:start w:val="1"/>
    </w:lvl>
  </w:abstractNum>
  <w:abstractNum w:abstractNumId="26">
    <w:nsid w:val="7644A45C"/>
    <w:multiLevelType w:val="hybridMultilevel"/>
    <w:lvl w:ilvl="0">
      <w:lvlJc w:val="left"/>
      <w:lvlText w:val="%1"/>
      <w:numFmt w:val="decimal"/>
      <w:start w:val="1"/>
    </w:lvl>
    <w:lvl w:ilvl="1">
      <w:lvlJc w:val="left"/>
      <w:lvlText w:val="(%2)"/>
      <w:numFmt w:val="lowerLetter"/>
      <w:start w:val="2"/>
    </w:lvl>
  </w:abstractNum>
  <w:abstractNum w:abstractNumId="27">
    <w:nsid w:val="32FFF902"/>
    <w:multiLevelType w:val="hybridMultilevel"/>
    <w:lvl w:ilvl="0">
      <w:lvlJc w:val="left"/>
      <w:lvlText w:val="%1."/>
      <w:numFmt w:val="decimal"/>
      <w:start w:val="13"/>
    </w:lvl>
    <w:lvl w:ilvl="1">
      <w:lvlJc w:val="left"/>
      <w:lvlText w:val="%2"/>
      <w:numFmt w:val="lowerLetter"/>
      <w:start w:val="1"/>
    </w:lvl>
  </w:abstractNum>
  <w:abstractNum w:abstractNumId="28">
    <w:nsid w:val="684A481A"/>
    <w:multiLevelType w:val="hybridMultilevel"/>
    <w:lvl w:ilvl="0">
      <w:lvlJc w:val="left"/>
      <w:lvlText w:val="(%1)"/>
      <w:numFmt w:val="lowerLetter"/>
      <w:start w:val="1"/>
    </w:lvl>
  </w:abstractNum>
  <w:abstractNum w:abstractNumId="29">
    <w:nsid w:val="579478FE"/>
    <w:multiLevelType w:val="hybridMultilevel"/>
    <w:lvl w:ilvl="0">
      <w:lvlJc w:val="left"/>
      <w:lvlText w:val="%1."/>
      <w:numFmt w:val="decimal"/>
      <w:start w:val="14"/>
    </w:lvl>
  </w:abstractNum>
  <w:abstractNum w:abstractNumId="30">
    <w:nsid w:val="749ABB43"/>
    <w:multiLevelType w:val="hybridMultilevel"/>
    <w:lvl w:ilvl="0">
      <w:lvlJc w:val="left"/>
      <w:lvlText w:val="(%1)"/>
      <w:numFmt w:val="lowerLetter"/>
      <w:start w:val="1"/>
    </w:lvl>
  </w:abstractNum>
  <w:abstractNum w:abstractNumId="31">
    <w:nsid w:val="3DC240FB"/>
    <w:multiLevelType w:val="hybridMultilevel"/>
    <w:lvl w:ilvl="0">
      <w:lvlJc w:val="left"/>
      <w:lvlText w:val="(%1)"/>
      <w:numFmt w:val="lowerLetter"/>
      <w:start w:val="1"/>
    </w:lvl>
  </w:abstractNum>
  <w:abstractNum w:abstractNumId="32">
    <w:nsid w:val="1BA026FA"/>
    <w:multiLevelType w:val="hybridMultilevel"/>
    <w:lvl w:ilvl="0">
      <w:lvlJc w:val="left"/>
      <w:lvlText w:val="(%1)"/>
      <w:numFmt w:val="lowerLetter"/>
      <w:start w:val="1"/>
    </w:lvl>
  </w:abstractNum>
  <w:abstractNum w:abstractNumId="33">
    <w:nsid w:val="79A1DEAA"/>
    <w:multiLevelType w:val="hybridMultilevel"/>
    <w:lvl w:ilvl="0">
      <w:lvlJc w:val="left"/>
      <w:lvlText w:val="%1"/>
      <w:numFmt w:val="decimal"/>
      <w:start w:val="1"/>
    </w:lvl>
    <w:lvl w:ilvl="1">
      <w:lvlJc w:val="left"/>
      <w:lvlText w:val="(%2)"/>
      <w:numFmt w:val="lowerLetter"/>
      <w:start w:val="1"/>
    </w:lvl>
  </w:abstractNum>
  <w:abstractNum w:abstractNumId="34">
    <w:nsid w:val="75C6C33A"/>
    <w:multiLevelType w:val="hybridMultilevel"/>
    <w:lvl w:ilvl="0">
      <w:lvlJc w:val="left"/>
      <w:lvlText w:val="%1."/>
      <w:numFmt w:val="decimal"/>
      <w:start w:val="15"/>
    </w:lvl>
    <w:lvl w:ilvl="1">
      <w:lvlJc w:val="left"/>
      <w:lvlText w:val="%2"/>
      <w:numFmt w:val="lowerLetter"/>
      <w:start w:val="1"/>
    </w:lvl>
  </w:abstractNum>
  <w:abstractNum w:abstractNumId="35">
    <w:nsid w:val="12E685FB"/>
    <w:multiLevelType w:val="hybridMultilevel"/>
    <w:lvl w:ilvl="0">
      <w:lvlJc w:val="left"/>
      <w:lvlText w:val="(%1)"/>
      <w:numFmt w:val="lowerLetter"/>
      <w:start w:val="1"/>
    </w:lvl>
  </w:abstractNum>
  <w:abstractNum w:abstractNumId="36">
    <w:nsid w:val="70C6A529"/>
    <w:multiLevelType w:val="hybridMultilevel"/>
    <w:lvl w:ilvl="0">
      <w:lvlJc w:val="left"/>
      <w:lvlText w:val="$"/>
      <w:numFmt w:val="bullet"/>
      <w:start w:val="1"/>
    </w:lvl>
  </w:abstractNum>
  <w:abstractNum w:abstractNumId="37">
    <w:nsid w:val="520EEDD1"/>
    <w:multiLevelType w:val="hybridMultilevel"/>
    <w:lvl w:ilvl="0">
      <w:lvlJc w:val="left"/>
      <w:lvlText w:val="$"/>
      <w:numFmt w:val="bullet"/>
      <w:start w:val="1"/>
    </w:lvl>
  </w:abstractNum>
  <w:abstractNum w:abstractNumId="38">
    <w:nsid w:val="374A3FE6"/>
    <w:multiLevelType w:val="hybridMultilevel"/>
    <w:lvl w:ilvl="0">
      <w:lvlJc w:val="left"/>
      <w:lvlText w:val="(%1)"/>
      <w:numFmt w:val="lowerLetter"/>
      <w:start w:val="1"/>
    </w:lvl>
  </w:abstractNum>
  <w:abstractNum w:abstractNumId="39">
    <w:nsid w:val="4F4EF005"/>
    <w:multiLevelType w:val="hybridMultilevel"/>
    <w:lvl w:ilvl="0">
      <w:lvlJc w:val="left"/>
      <w:lvlText w:val="$"/>
      <w:numFmt w:val="bullet"/>
      <w:start w:val="1"/>
    </w:lvl>
  </w:abstractNum>
  <w:abstractNum w:abstractNumId="40">
    <w:nsid w:val="23F9C13C"/>
    <w:multiLevelType w:val="hybridMultilevel"/>
    <w:lvl w:ilvl="0">
      <w:lvlJc w:val="left"/>
      <w:lvlText w:val="$"/>
      <w:numFmt w:val="bullet"/>
      <w:start w:val="1"/>
    </w:lvl>
  </w:abstractNum>
  <w:abstractNum w:abstractNumId="41">
    <w:nsid w:val="649BB77C"/>
    <w:multiLevelType w:val="hybridMultilevel"/>
    <w:lvl w:ilvl="0">
      <w:lvlJc w:val="left"/>
      <w:lvlText w:val="%1."/>
      <w:numFmt w:val="decimal"/>
      <w:start w:val="16"/>
    </w:lvl>
  </w:abstractNum>
  <w:abstractNum w:abstractNumId="42">
    <w:nsid w:val="275AC794"/>
    <w:multiLevelType w:val="hybridMultilevel"/>
    <w:lvl w:ilvl="0">
      <w:lvlJc w:val="left"/>
      <w:lvlText w:val="•"/>
      <w:numFmt w:val="bullet"/>
      <w:start w:val="1"/>
    </w:lvl>
  </w:abstractNum>
  <w:abstractNum w:abstractNumId="43">
    <w:nsid w:val="39386575"/>
    <w:multiLevelType w:val="hybridMultilevel"/>
    <w:lvl w:ilvl="0">
      <w:lvlJc w:val="left"/>
      <w:lvlText w:val="•"/>
      <w:numFmt w:val="bullet"/>
      <w:start w:val="1"/>
    </w:lvl>
  </w:abstractNum>
  <w:abstractNum w:abstractNumId="44">
    <w:nsid w:val="1CF10FD8"/>
    <w:multiLevelType w:val="hybridMultilevel"/>
    <w:lvl w:ilvl="0">
      <w:lvlJc w:val="left"/>
      <w:lvlText w:val="*"/>
      <w:numFmt w:val="bullet"/>
      <w:start w:val="1"/>
    </w:lvl>
  </w:abstractNum>
  <w:abstractNum w:abstractNumId="45">
    <w:nsid w:val="180115BE"/>
    <w:multiLevelType w:val="hybridMultilevel"/>
    <w:lvl w:ilvl="0">
      <w:lvlJc w:val="left"/>
      <w:lvlText w:val="•"/>
      <w:numFmt w:val="bullet"/>
      <w:start w:val="1"/>
    </w:lvl>
  </w:abstractNum>
  <w:abstractNum w:abstractNumId="46">
    <w:nsid w:val="235BA861"/>
    <w:multiLevelType w:val="hybridMultilevel"/>
    <w:lvl w:ilvl="0">
      <w:lvlJc w:val="left"/>
      <w:lvlText w:val="*"/>
      <w:numFmt w:val="bullet"/>
      <w:start w:val="1"/>
    </w:lvl>
  </w:abstractNum>
  <w:abstractNum w:abstractNumId="47">
    <w:nsid w:val="47398C89"/>
    <w:multiLevelType w:val="hybridMultilevel"/>
    <w:lvl w:ilvl="0">
      <w:lvlJc w:val="left"/>
      <w:lvlText w:val="(%1)"/>
      <w:numFmt w:val="lowerLetter"/>
      <w:start w:val="1"/>
    </w:lvl>
  </w:abstractNum>
  <w:abstractNum w:abstractNumId="48">
    <w:nsid w:val="354FE9F9"/>
    <w:multiLevelType w:val="hybridMultilevel"/>
    <w:lvl w:ilvl="0">
      <w:lvlJc w:val="left"/>
      <w:lvlText w:val="•"/>
      <w:numFmt w:val="bullet"/>
      <w:start w:val="1"/>
    </w:lvl>
  </w:abstractNum>
  <w:abstractNum w:abstractNumId="49">
    <w:nsid w:val="15B5AF5C"/>
    <w:multiLevelType w:val="hybridMultilevel"/>
    <w:lvl w:ilvl="0">
      <w:lvlJc w:val="left"/>
      <w:lvlText w:val="•"/>
      <w:numFmt w:val="bullet"/>
      <w:start w:val="1"/>
    </w:lvl>
  </w:abstractNum>
  <w:abstractNum w:abstractNumId="50">
    <w:nsid w:val="741226BB"/>
    <w:multiLevelType w:val="hybridMultilevel"/>
    <w:lvl w:ilvl="0">
      <w:lvlJc w:val="left"/>
      <w:lvlText w:val="*"/>
      <w:numFmt w:val="bullet"/>
      <w:start w:val="1"/>
    </w:lvl>
  </w:abstractNum>
  <w:abstractNum w:abstractNumId="51">
    <w:nsid w:val="D34B6A8"/>
    <w:multiLevelType w:val="hybridMultilevel"/>
    <w:lvl w:ilvl="0">
      <w:lvlJc w:val="left"/>
      <w:lvlText w:val="•"/>
      <w:numFmt w:val="bullet"/>
      <w:start w:val="1"/>
    </w:lvl>
  </w:abstractNum>
  <w:abstractNum w:abstractNumId="52">
    <w:nsid w:val="10233C99"/>
    <w:multiLevelType w:val="hybridMultilevel"/>
    <w:lvl w:ilvl="0">
      <w:lvlJc w:val="left"/>
      <w:lvlText w:val="•"/>
      <w:numFmt w:val="bullet"/>
      <w:start w:val="1"/>
    </w:lvl>
  </w:abstractNum>
  <w:abstractNum w:abstractNumId="53">
    <w:nsid w:val="3F6AB60F"/>
    <w:multiLevelType w:val="hybridMultilevel"/>
    <w:lvl w:ilvl="0">
      <w:lvlJc w:val="left"/>
      <w:lvlText w:val="*"/>
      <w:numFmt w:val="bullet"/>
      <w:start w:val="1"/>
    </w:lvl>
  </w:abstractNum>
  <w:abstractNum w:abstractNumId="54">
    <w:nsid w:val="61574095"/>
    <w:multiLevelType w:val="hybridMultilevel"/>
    <w:lvl w:ilvl="0">
      <w:lvlJc w:val="left"/>
      <w:lvlText w:val="(%1)"/>
      <w:numFmt w:val="lowerLetter"/>
      <w:start w:val="1"/>
    </w:lvl>
  </w:abstractNum>
  <w:abstractNum w:abstractNumId="55">
    <w:nsid w:val="7E0C57B1"/>
    <w:multiLevelType w:val="hybridMultilevel"/>
    <w:lvl w:ilvl="0">
      <w:lvlJc w:val="left"/>
      <w:lvlText w:val="•"/>
      <w:numFmt w:val="bullet"/>
      <w:start w:val="1"/>
    </w:lvl>
  </w:abstractNum>
  <w:abstractNum w:abstractNumId="56">
    <w:nsid w:val="77AE35EB"/>
    <w:multiLevelType w:val="hybridMultilevel"/>
    <w:lvl w:ilvl="0">
      <w:lvlJc w:val="left"/>
      <w:lvlText w:val="•"/>
      <w:numFmt w:val="bullet"/>
      <w:start w:val="1"/>
    </w:lvl>
  </w:abstractNum>
  <w:abstractNum w:abstractNumId="57">
    <w:nsid w:val="579BE4F1"/>
    <w:multiLevelType w:val="hybridMultilevel"/>
    <w:lvl w:ilvl="0">
      <w:lvlJc w:val="left"/>
      <w:lvlText w:val="•"/>
      <w:numFmt w:val="bullet"/>
      <w:start w:val="1"/>
    </w:lvl>
  </w:abstractNum>
  <w:abstractNum w:abstractNumId="58">
    <w:nsid w:val="310C50B3"/>
    <w:multiLevelType w:val="hybridMultilevel"/>
    <w:lvl w:ilvl="0">
      <w:lvlJc w:val="left"/>
      <w:lvlText w:val="(%1)"/>
      <w:numFmt w:val="lowerRoman"/>
      <w:start w:val="1"/>
    </w:lvl>
  </w:abstractNum>
  <w:abstractNum w:abstractNumId="59">
    <w:nsid w:val="5FF87E05"/>
    <w:multiLevelType w:val="hybridMultilevel"/>
    <w:lvl w:ilvl="0">
      <w:lvlJc w:val="left"/>
      <w:lvlText w:val="(%1)"/>
      <w:numFmt w:val="lowerLetter"/>
      <w:start w:val="1"/>
    </w:lvl>
  </w:abstractNum>
  <w:abstractNum w:abstractNumId="60">
    <w:nsid w:val="2F305DEF"/>
    <w:multiLevelType w:val="hybridMultilevel"/>
    <w:lvl w:ilvl="0">
      <w:lvlJc w:val="left"/>
      <w:lvlText w:val="(%1)"/>
      <w:numFmt w:val="lowerLetter"/>
      <w:start w:val="1"/>
    </w:lvl>
  </w:abstractNum>
  <w:abstractNum w:abstractNumId="61">
    <w:nsid w:val="25A70BF7"/>
    <w:multiLevelType w:val="hybridMultilevel"/>
    <w:lvl w:ilvl="0">
      <w:lvlJc w:val="left"/>
      <w:lvlText w:val="%1"/>
      <w:numFmt w:val="decimal"/>
      <w:start w:val="12"/>
    </w:lvl>
  </w:abstractNum>
  <w:abstractNum w:abstractNumId="62">
    <w:nsid w:val="1DBABF00"/>
    <w:multiLevelType w:val="hybridMultilevel"/>
    <w:lvl w:ilvl="0">
      <w:lvlJc w:val="left"/>
      <w:lvlText w:val="%1"/>
      <w:numFmt w:val="decimal"/>
      <w:start w:val="32"/>
    </w:lvl>
  </w:abstractNum>
  <w:abstractNum w:abstractNumId="63">
    <w:nsid w:val="4AD084E9"/>
    <w:multiLevelType w:val="hybridMultilevel"/>
    <w:lvl w:ilvl="0">
      <w:lvlJc w:val="left"/>
      <w:lvlText w:val="*"/>
      <w:numFmt w:val="bullet"/>
      <w:start w:val="1"/>
    </w:lvl>
  </w:abstractNum>
  <w:abstractNum w:abstractNumId="64">
    <w:nsid w:val="1F48EAA1"/>
    <w:multiLevelType w:val="hybridMultilevel"/>
    <w:lvl w:ilvl="0">
      <w:lvlJc w:val="left"/>
      <w:lvlText w:val="(%1)"/>
      <w:numFmt w:val="lowerLetter"/>
      <w:start w:val="1"/>
    </w:lvl>
  </w:abstractNum>
  <w:abstractNum w:abstractNumId="65">
    <w:nsid w:val="1381823A"/>
    <w:multiLevelType w:val="hybridMultilevel"/>
    <w:lvl w:ilvl="0">
      <w:lvlJc w:val="left"/>
      <w:lvlText w:val="(%1)"/>
      <w:numFmt w:val="lowerLetter"/>
      <w:start w:val="2"/>
    </w:lvl>
  </w:abstractNum>
  <w:abstractNum w:abstractNumId="66">
    <w:nsid w:val="5DB70AE5"/>
    <w:multiLevelType w:val="hybridMultilevel"/>
    <w:lvl w:ilvl="0">
      <w:lvlJc w:val="left"/>
      <w:lvlText w:val="%1."/>
      <w:numFmt w:val="decimal"/>
      <w:start w:val="1"/>
    </w:lvl>
    <w:lvl w:ilvl="1">
      <w:lvlJc w:val="left"/>
      <w:lvlText w:val="%2)"/>
      <w:numFmt w:val="lowerLetter"/>
      <w:start w:val="1"/>
    </w:lvl>
  </w:abstractNum>
  <w:abstractNum w:abstractNumId="67">
    <w:nsid w:val="100F8FCA"/>
    <w:multiLevelType w:val="hybridMultilevel"/>
    <w:lvl w:ilvl="0">
      <w:lvlJc w:val="left"/>
      <w:lvlText w:val="%1."/>
      <w:numFmt w:val="decimal"/>
      <w:start w:val="1"/>
    </w:lvl>
    <w:lvl w:ilvl="1">
      <w:lvlJc w:val="left"/>
      <w:lvlText w:val="%2)"/>
      <w:numFmt w:val="lowerLetter"/>
      <w:start w:val="1"/>
    </w:lvl>
  </w:abstractNum>
  <w:abstractNum w:abstractNumId="68">
    <w:nsid w:val="6590700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35" Type="http://schemas.openxmlformats.org/officeDocument/2006/relationships/hyperlink" Target="http://www.sec.gov/Archives/edgar/data/723612/000119312517156458/d392846dex31.htm" TargetMode="External"/><Relationship Id="rId36" Type="http://schemas.openxmlformats.org/officeDocument/2006/relationships/hyperlink" Target="http://www.sec.gov/Archives/edgar/data/723612/000119312517156458/d392846dex41.htm" TargetMode="External"/><Relationship Id="rId37" Type="http://schemas.openxmlformats.org/officeDocument/2006/relationships/hyperlink" Target="http://www.sec.gov/Archives/edgar/data/723612/000119312517156458/d392846dex101.htm" TargetMode="External"/><Relationship Id="rId38" Type="http://schemas.openxmlformats.org/officeDocument/2006/relationships/hyperlink" Target="http://www.sec.gov/Archives/edgar/data/723612/000072361217000092/ninthmasteramendmentandres.htm" TargetMode="External"/><Relationship Id="rId39" Type="http://schemas.openxmlformats.org/officeDocument/2006/relationships/hyperlink" Target="http://www.sec.gov/Archives/edgar/data/723612/000072361217000094/ex10_1employmentletter.htm" TargetMode="External"/><Relationship Id="rId40" Type="http://schemas.openxmlformats.org/officeDocument/2006/relationships/hyperlink" Target="http://www.sec.gov/Archives/edgar/data/723612/000072361217000094/ex10_2separationagree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2019-12-29T04:43:34Z</dcterms:created>
  <dcterms:modified xsi:type="dcterms:W3CDTF">2019-12-29T04:43:34Z</dcterms:modified>
</cp:coreProperties>
</file>