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-621030</wp:posOffset>
            </wp:positionV>
            <wp:extent cx="57785" cy="6343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-621030</wp:posOffset>
            </wp:positionV>
            <wp:extent cx="5778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22225</wp:posOffset>
            </wp:positionV>
            <wp:extent cx="6994525" cy="6864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6864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63" w:orient="portrait"/>
          <w:cols w:equalWidth="0" w:num="2">
            <w:col w:w="2240" w:space="340"/>
            <w:col w:w="8500"/>
          </w:cols>
          <w:pgMar w:left="460" w:top="217" w:right="359" w:bottom="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Ferraro Joseph A.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6"/>
        </w:trPr>
        <w:tc>
          <w:tcPr>
            <w:tcW w:w="2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379 INTERPACE PARKWAY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76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7"/>
        </w:trPr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</w:tr>
      <w:tr>
        <w:trPr>
          <w:trHeight w:val="463"/>
        </w:trPr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AVIS BUDGET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7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20" w:right="34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63" w:orient="portrait"/>
          <w:cols w:equalWidth="0" w:num="2">
            <w:col w:w="3120" w:space="720"/>
            <w:col w:w="724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86,651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304,056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42,437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111.96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261,619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2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03/09/2024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60,222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60,222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8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03/09/2024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13,383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13,383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03/09/2024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4,450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4,450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03/09/2024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4,150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4,150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4,446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03/09/2024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4,446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-3212465</wp:posOffset>
            </wp:positionV>
            <wp:extent cx="29210" cy="3217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217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and dividend equivalent units which automatically convert to Common Stock upon the vesting and settlement of such units on a one-to-one basis.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tax withholdings in connection with the vesting of restricted stock units.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which automatically convert to Common Stock upon the vesting of such units on a one-to-one basis.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vested on March 9, 2024 based on the Company's attainment of pre-established performance goals.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Expiration date not applicable.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vested in three equal installments on March 9, 2022, 2023 and 2024.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vest in three equal installments on March 9, 2023, 2024 and 2025.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vest in three equal installments on March 9, 2024, 2025 and 2026.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1"/>
        <w:spacing w:after="0" w:line="252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 equivalent units accrued on restricted stock units and performance-based restricted stock units which become exercisable proportionately, on a one-on-one basis, subject to the same terms and conditions, including vesting and settlement, as the restricted stock units to which they relate.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Jean M. Sera, by Power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03/12/2024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for Joseph Ferraro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1"/>
        <w:spacing w:after="0" w:line="3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63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8500" TargetMode="External"/><Relationship Id="rId13" Type="http://schemas.openxmlformats.org/officeDocument/2006/relationships/hyperlink" Target="http://www.sec.gov/cgi-bin/browse-edgar?action=getcompany&amp;CIK=00007236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2024-03-12T16:49:30Z</dcterms:created>
  <dcterms:modified xsi:type="dcterms:W3CDTF">2024-03-12T16:49:30Z</dcterms:modified>
</cp:coreProperties>
</file>