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349250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For the quarterly period ended March 31, 2014</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33"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x</w:t>
            </w:r>
          </w:p>
        </w:tc>
        <w:tc>
          <w:tcPr>
            <w:tcW w:w="280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12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o</w:t>
            </w:r>
          </w:p>
        </w:tc>
        <w:tc>
          <w:tcPr>
            <w:tcW w:w="2800" w:type="dxa"/>
            <w:vAlign w:val="bottom"/>
          </w:tcPr>
          <w:p>
            <w:pPr>
              <w:ind w:left="6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105,396,505 shares as of April 30, 2014.</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120" w:type="dxa"/>
            <w:vAlign w:val="bottom"/>
            <w:tcBorders>
              <w:bottom w:val="single" w:sz="8" w:color="auto"/>
            </w:tcBorders>
          </w:tcPr>
          <w:p>
            <w:pPr>
              <w:spacing w:after="0"/>
              <w:rPr>
                <w:sz w:val="23"/>
                <w:szCs w:val="23"/>
                <w:color w:val="auto"/>
              </w:rPr>
            </w:pPr>
          </w:p>
        </w:tc>
        <w:tc>
          <w:tcPr>
            <w:tcW w:w="57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9"/>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0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Months Ended March 31, 2014 and</w:t>
              </w:r>
            </w:hyperlink>
          </w:p>
        </w:tc>
        <w:tc>
          <w:tcPr>
            <w:tcW w:w="48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2013 (Unaudited)</w:t>
              </w:r>
            </w:hyperlink>
          </w:p>
        </w:tc>
        <w:tc>
          <w:tcPr>
            <w:tcW w:w="7680" w:type="dxa"/>
            <w:vAlign w:val="bottom"/>
            <w:tcBorders>
              <w:top w:val="single" w:sz="8" w:color="0000EE"/>
            </w:tcBorders>
            <w:gridSpan w:val="10"/>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as of March 31, 2014 and December 31, 2013 (Unaudited)</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for the Three Months Ended March 31, 2014 and 2013</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5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8"/>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Controls and Procedures</w:t>
              </w:r>
            </w:hyperlink>
          </w:p>
        </w:tc>
        <w:tc>
          <w:tcPr>
            <w:tcW w:w="2700" w:type="dxa"/>
            <w:vAlign w:val="bottom"/>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7560" w:type="dxa"/>
            <w:vAlign w:val="bottom"/>
            <w:gridSpan w:val="8"/>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Legal Proceedings</w:t>
              </w:r>
            </w:hyperlink>
          </w:p>
        </w:tc>
        <w:tc>
          <w:tcPr>
            <w:tcW w:w="8060" w:type="dxa"/>
            <w:vAlign w:val="bottom"/>
            <w:gridSpan w:val="10"/>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1">
              <w:r>
                <w:rPr>
                  <w:rFonts w:ascii="Arial" w:cs="Arial" w:eastAsia="Arial" w:hAnsi="Arial"/>
                  <w:sz w:val="18"/>
                  <w:szCs w:val="18"/>
                  <w:color w:val="0000FF"/>
                  <w:w w:val="98"/>
                </w:rPr>
                <w:t>Exhibits</w:t>
              </w:r>
            </w:hyperlink>
          </w:p>
        </w:tc>
        <w:tc>
          <w:tcPr>
            <w:tcW w:w="4220" w:type="dxa"/>
            <w:vAlign w:val="bottom"/>
            <w:gridSpan w:val="8"/>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March 2013 acquisition of Zipcar, Inc. (“Zipcar”), including our ability to realize the synergies contemplated by the transaction and our ability to promptly and efficiently integrate the business into Avis Budget Group;</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660" w:right="4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or inability to comply with laws, regulations or contractual obligations or any changes in laws, regulations or contractual obligations, including with respect to personally identifiable information and taxes;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of agreements among us and our former real estate, hospitality and travel distribution businesses following the separation of those businesses from us in 2006, particularly with respect to the allocation of assets and liabilities, including contingent liabilities and guarantees, the ability of each of the separated companies to perform its obligations, including indemnification obligations, under these agreements, and the right of our former real estate business to control the process for resolving disputes related to contingent liabilities and assets;</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investigations involving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October 2011 acquisition of Avis Europe plc (“Avis Europe”), including our ability to realize the synergies contemplated by the transaction;</w:t>
      </w:r>
    </w:p>
    <w:p>
      <w:pPr>
        <w:spacing w:after="0" w:line="196"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2013 Annual Report on Form 10-K may contain forward-looking statements and involve uncertainties that could cause actual results to differ materially from those projected in such statements. Such statements are based upon assumptions and known risks and uncertainties.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jc w:val="both"/>
        <w:ind w:left="8880"/>
        <w:spacing w:after="0"/>
        <w:tabs>
          <w:tab w:leader="none" w:pos="1046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28575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ectPr>
          <w:pgSz w:w="11900" w:h="16838" w:orient="portrait"/>
          <w:cols w:equalWidth="0" w:num="1">
            <w:col w:w="11420"/>
          </w:cols>
          <w:pgMar w:left="240" w:top="125" w:right="239" w:bottom="1440" w:gutter="0" w:footer="0" w:header="0"/>
        </w:sectPr>
      </w:pPr>
    </w:p>
    <w:p>
      <w:pPr>
        <w:spacing w:after="0" w:line="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Vehicle rental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revenues</w:t>
      </w:r>
    </w:p>
    <w:p>
      <w:pPr>
        <w:spacing w:after="0" w:line="284" w:lineRule="exact"/>
        <w:rPr>
          <w:sz w:val="20"/>
          <w:szCs w:val="20"/>
          <w:color w:val="auto"/>
        </w:rPr>
      </w:pPr>
    </w:p>
    <w:p>
      <w:pPr>
        <w:jc w:val="right"/>
        <w:ind w:right="6740"/>
        <w:spacing w:after="0"/>
        <w:rPr>
          <w:sz w:val="20"/>
          <w:szCs w:val="20"/>
          <w:color w:val="auto"/>
        </w:rPr>
      </w:pPr>
      <w:r>
        <w:rPr>
          <w:rFonts w:ascii="Arial" w:cs="Arial" w:eastAsia="Arial" w:hAnsi="Arial"/>
          <w:sz w:val="17"/>
          <w:szCs w:val="17"/>
          <w:b w:val="1"/>
          <w:bCs w:val="1"/>
          <w:color w:val="auto"/>
        </w:rPr>
        <w:t>Expenses</w:t>
      </w:r>
    </w:p>
    <w:p>
      <w:pPr>
        <w:spacing w:after="0" w:line="97" w:lineRule="exact"/>
        <w:rPr>
          <w:sz w:val="20"/>
          <w:szCs w:val="20"/>
          <w:color w:val="auto"/>
        </w:rPr>
      </w:pPr>
    </w:p>
    <w:p>
      <w:pPr>
        <w:jc w:val="right"/>
        <w:ind w:right="66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Transaction-related costs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Restructuring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expenses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(loss) before income taxes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7"/>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r>
      <w:tr>
        <w:trPr>
          <w:trHeight w:val="250"/>
        </w:trPr>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r>
      <w:tr>
        <w:trPr>
          <w:trHeight w:val="756"/>
        </w:trPr>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0"/>
        </w:trPr>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0"/>
        </w:trPr>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0"/>
        </w:trPr>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0"/>
        </w:trPr>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540"/>
        </w:trPr>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5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7"/>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r>
      <w:tr>
        <w:trPr>
          <w:trHeight w:val="486"/>
        </w:trPr>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3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00" w:type="dxa"/>
            <w:vAlign w:val="bottom"/>
            <w:vMerge w:val="continue"/>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73"/>
        </w:trPr>
        <w:tc>
          <w:tcPr>
            <w:tcW w:w="830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300" w:type="dxa"/>
            <w:vAlign w:val="bottom"/>
          </w:tcPr>
          <w:p>
            <w:pPr>
              <w:ind w:left="100"/>
              <w:spacing w:after="0"/>
              <w:rPr>
                <w:sz w:val="20"/>
                <w:szCs w:val="20"/>
                <w:color w:val="auto"/>
              </w:rPr>
            </w:pPr>
            <w:r>
              <w:rPr>
                <w:rFonts w:ascii="Arial" w:cs="Arial" w:eastAsia="Arial" w:hAnsi="Arial"/>
                <w:sz w:val="18"/>
                <w:szCs w:val="18"/>
                <w:color w:val="auto"/>
              </w:rPr>
              <w:t>Basic</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0"/>
        </w:trPr>
        <w:tc>
          <w:tcPr>
            <w:tcW w:w="8300" w:type="dxa"/>
            <w:vAlign w:val="bottom"/>
          </w:tcPr>
          <w:p>
            <w:pPr>
              <w:ind w:left="10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52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Avis Budget Group,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6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5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(In millions, except share data)</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52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78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459"/>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7"/>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432"/>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Program cash</w:t>
            </w:r>
          </w:p>
        </w:tc>
        <w:tc>
          <w:tcPr>
            <w:tcW w:w="2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Vehicles, net</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Receivables from vehicle manufacturers and other</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7"/>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50"/>
        </w:trPr>
        <w:tc>
          <w:tcPr>
            <w:tcW w:w="7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7"/>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459"/>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7"/>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5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432"/>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7"/>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3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value—authorized 10 million shares; none issued and outstanding</w:t>
            </w:r>
          </w:p>
        </w:tc>
        <w:tc>
          <w:tcPr>
            <w:tcW w:w="2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Common stock, $0.01 par value—authorized 250 million shares; issued 137,081,117 and</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800" w:type="dxa"/>
            <w:vAlign w:val="bottom"/>
            <w:gridSpan w:val="2"/>
          </w:tcPr>
          <w:p>
            <w:pPr>
              <w:ind w:left="400"/>
              <w:spacing w:after="0"/>
              <w:rPr>
                <w:sz w:val="20"/>
                <w:szCs w:val="20"/>
                <w:color w:val="auto"/>
              </w:rPr>
            </w:pPr>
            <w:r>
              <w:rPr>
                <w:rFonts w:ascii="Arial" w:cs="Arial" w:eastAsia="Arial" w:hAnsi="Arial"/>
                <w:sz w:val="18"/>
                <w:szCs w:val="18"/>
                <w:color w:val="auto"/>
              </w:rPr>
              <w:t>137,081,056 shares</w:t>
            </w: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0"/>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7"/>
        </w:trPr>
        <w:tc>
          <w:tcPr>
            <w:tcW w:w="7800" w:type="dxa"/>
            <w:vAlign w:val="bottom"/>
            <w:gridSpan w:val="2"/>
          </w:tcPr>
          <w:p>
            <w:pPr>
              <w:ind w:left="240"/>
              <w:spacing w:after="0"/>
              <w:rPr>
                <w:sz w:val="20"/>
                <w:szCs w:val="20"/>
                <w:color w:val="auto"/>
              </w:rPr>
            </w:pPr>
            <w:r>
              <w:rPr>
                <w:rFonts w:ascii="Arial" w:cs="Arial" w:eastAsia="Arial" w:hAnsi="Arial"/>
                <w:sz w:val="18"/>
                <w:szCs w:val="18"/>
                <w:color w:val="auto"/>
              </w:rPr>
              <w:t>Treasury stock, at cost—31,457,613 and 30,515,721 shares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50"/>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0"/>
        </w:trPr>
        <w:tc>
          <w:tcPr>
            <w:tcW w:w="7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180"/>
          </w:cols>
          <w:pgMar w:left="240" w:top="108" w:right="479" w:bottom="17" w:gutter="0" w:footer="0" w:header="0"/>
        </w:sect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1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1280" w:type="dxa"/>
            <w:vAlign w:val="bottom"/>
          </w:tcPr>
          <w:p>
            <w:pPr>
              <w:spacing w:after="0"/>
              <w:rPr>
                <w:sz w:val="20"/>
                <w:szCs w:val="20"/>
                <w:color w:val="auto"/>
              </w:rPr>
            </w:pPr>
          </w:p>
        </w:tc>
        <w:tc>
          <w:tcPr>
            <w:tcW w:w="706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128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64"/>
        </w:trPr>
        <w:tc>
          <w:tcPr>
            <w:tcW w:w="128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86"/>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47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473"/>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(3,111)</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w:t>
            </w:r>
          </w:p>
        </w:tc>
      </w:tr>
      <w:tr>
        <w:trPr>
          <w:trHeight w:val="250"/>
        </w:trPr>
        <w:tc>
          <w:tcPr>
            <w:tcW w:w="128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32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32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Purchases of warrants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Proceeds from sale of call options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93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 exclusive of vehicle programs</w:t>
            </w:r>
          </w:p>
        </w:tc>
        <w:tc>
          <w:tcPr>
            <w:tcW w:w="10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25"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right="3300"/>
        <w:spacing w:after="0" w:line="318" w:lineRule="auto"/>
        <w:rPr>
          <w:sz w:val="20"/>
          <w:szCs w:val="20"/>
          <w:color w:val="auto"/>
        </w:rPr>
      </w:pPr>
      <w:r>
        <w:rPr>
          <w:rFonts w:ascii="Arial" w:cs="Arial" w:eastAsia="Arial" w:hAnsi="Arial"/>
          <w:sz w:val="17"/>
          <w:szCs w:val="17"/>
          <w:color w:val="auto"/>
        </w:rPr>
        <w:t>Net increase (decrease) in cash and cash equivalents Cash and cash equivalents, beginning of period</w:t>
      </w: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3,762</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(3,279)</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873</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25"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and ancillary services to businesses and consumers worldwide. The accompanying unaudited Consolidated Condensed Financial Statements include the accounts and transactions of Avis Budget Group, Inc. and its subsidiaries (“Avis Budget”), as well as entities in which Avis Budget directly or indirectly has a controlling financial interest (collectively, the “Company”), and have been prepared pursuant to the rules and regulations of the U.S. Securities and Exchange Commission for interim financial reporting.</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business segments:</w:t>
      </w:r>
    </w:p>
    <w:p>
      <w:pPr>
        <w:spacing w:after="0" w:line="203" w:lineRule="exact"/>
        <w:rPr>
          <w:rFonts w:ascii="Arial" w:cs="Arial" w:eastAsia="Arial" w:hAnsi="Arial"/>
          <w:sz w:val="18"/>
          <w:szCs w:val="18"/>
          <w:b w:val="1"/>
          <w:bCs w:val="1"/>
          <w:color w:val="auto"/>
        </w:rPr>
      </w:pPr>
    </w:p>
    <w:p>
      <w:pPr>
        <w:ind w:left="1140" w:right="56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provides car rentals in the United States and vehicle rentals in Canada, as well as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operates the Company’s Zipcar car sharing business in North America.</w:t>
      </w:r>
    </w:p>
    <w:p>
      <w:pPr>
        <w:spacing w:after="0" w:line="153" w:lineRule="exact"/>
        <w:rPr>
          <w:rFonts w:ascii="Arial" w:cs="Arial" w:eastAsia="Arial" w:hAnsi="Arial"/>
          <w:sz w:val="18"/>
          <w:szCs w:val="18"/>
          <w:color w:val="auto"/>
        </w:rPr>
      </w:pPr>
    </w:p>
    <w:p>
      <w:pPr>
        <w:ind w:left="1140" w:right="240" w:hanging="322"/>
        <w:spacing w:after="0" w:line="269"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South America, Central America, the Caribbean, Australia and New Zealand, and operates the Company's car sharing business in certain of these markets.</w:t>
      </w:r>
    </w:p>
    <w:p>
      <w:pPr>
        <w:spacing w:after="0" w:line="168" w:lineRule="exact"/>
        <w:rPr>
          <w:rFonts w:ascii="Arial" w:cs="Arial" w:eastAsia="Arial" w:hAnsi="Arial"/>
          <w:sz w:val="18"/>
          <w:szCs w:val="18"/>
          <w:color w:val="auto"/>
        </w:rPr>
      </w:pPr>
    </w:p>
    <w:p>
      <w:pPr>
        <w:ind w:left="1140" w:right="44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ancillary products and services to consumers and commercial users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w:t>
      </w:r>
    </w:p>
    <w:p>
      <w:pPr>
        <w:spacing w:after="0" w:line="175"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conjunction with a change in the Company’s management structure, the financial results of the Company’s Zipcar operations outside of North America will now be reported in the Company’s International segment rather than in the Company’s North America segment. The Company’s business segment financial information presented in these Notes to Consolidated Condensed Financial Statements has been recast to conform with the Company’s current business segment reporting alignment for all periods presented. The Company’s consolidated condensed results were not affected by this change.</w:t>
      </w:r>
    </w:p>
    <w:p>
      <w:pPr>
        <w:spacing w:after="0" w:line="206"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2013 Annual Report on Form 10-K.</w:t>
      </w:r>
    </w:p>
    <w:p>
      <w:pPr>
        <w:spacing w:after="0" w:line="189"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of foreign-currency transactions on certain intercompany loans and gain or</w:t>
      </w:r>
      <w:r>
        <w:rPr>
          <w:rFonts w:ascii="Arial" w:cs="Arial" w:eastAsia="Arial" w:hAnsi="Arial"/>
          <w:sz w:val="18"/>
          <w:szCs w:val="18"/>
          <w:i w:val="1"/>
          <w:iCs w:val="1"/>
          <w:color w:val="auto"/>
        </w:rPr>
        <w:t xml:space="preserve"> </w:t>
      </w:r>
      <w:r>
        <w:rPr>
          <w:rFonts w:ascii="Arial" w:cs="Arial" w:eastAsia="Arial" w:hAnsi="Arial"/>
          <w:sz w:val="18"/>
          <w:szCs w:val="18"/>
          <w:color w:val="auto"/>
        </w:rPr>
        <w:t>loss on intercompany loan hedges within interest expense related to corporate debt, net. During the three months ended March 31, 2014 and 2013, the Company recorded losses of $2 million and $4 million, respectively, on such items.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On January 1, 2014, the Company adopted, as required, Accounting Standards Update No. 2013-04, “Obligations Resulting from Joint and Several Liability Arrangements for Which the Total Amount of the Obligations Is Fixed at the Reporting Date,” which requires companies to measure obligations resulting from joint and several liability arrangements for which the total amount of the obligation is fixed at the reporting date. The adoption of this pronouncement did not have a material impact on the Company’s financial statements.</w:t>
      </w:r>
    </w:p>
    <w:p>
      <w:pPr>
        <w:spacing w:after="0" w:line="18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the Company began a restructuring initiative, identifying synergies across the Company, enhancing organizational efficiencies and consolidating and rationalizing processes. During the three months ended March 31, 2014, as part of this process, the Company formally communicated the termination of employment to approximately 130 employees and recorded $7 million of expense in connection with these initiatives. These expenses primarily represent severance, outplacement services and other costs associated with employee terminations. As of March 31, 2014, the Company has terminated approximately 90 of these employees. The Company expects further restructuring expense of approximately $15 million to be incurred in 2014.</w:t>
      </w:r>
    </w:p>
    <w:p>
      <w:pPr>
        <w:spacing w:after="0" w:line="208" w:lineRule="exact"/>
        <w:rPr>
          <w:rFonts w:ascii="Arial" w:cs="Arial" w:eastAsia="Arial" w:hAnsi="Arial"/>
          <w:sz w:val="18"/>
          <w:szCs w:val="18"/>
          <w:b w:val="1"/>
          <w:bCs w:val="1"/>
          <w:color w:val="auto"/>
        </w:rPr>
      </w:pPr>
    </w:p>
    <w:p>
      <w:pPr>
        <w:ind w:left="500" w:right="78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The following tables summarize the changes to our restructuring-related liabilities and identify the amounts recorded within the Company’s reportable segments, and by category, for restructuring expense and corresponding payments and utilizations: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jc w:val="center"/>
              <w:ind w:left="277"/>
              <w:spacing w:after="0"/>
              <w:rPr>
                <w:sz w:val="20"/>
                <w:szCs w:val="20"/>
                <w:color w:val="auto"/>
              </w:rPr>
            </w:pPr>
            <w:r>
              <w:rPr>
                <w:rFonts w:ascii="Arial" w:cs="Arial" w:eastAsia="Arial" w:hAnsi="Arial"/>
                <w:sz w:val="16"/>
                <w:szCs w:val="16"/>
                <w:b w:val="1"/>
                <w:bCs w:val="1"/>
                <w:color w:val="auto"/>
              </w:rPr>
              <w:t>North</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Borders>
              <w:bottom w:val="single" w:sz="8" w:color="auto"/>
            </w:tcBorders>
          </w:tcPr>
          <w:p>
            <w:pPr>
              <w:jc w:val="center"/>
              <w:ind w:left="277"/>
              <w:spacing w:after="0"/>
              <w:rPr>
                <w:sz w:val="20"/>
                <w:szCs w:val="20"/>
                <w:color w:val="auto"/>
              </w:rPr>
            </w:pPr>
            <w:r>
              <w:rPr>
                <w:rFonts w:ascii="Arial" w:cs="Arial" w:eastAsia="Arial" w:hAnsi="Arial"/>
                <w:sz w:val="16"/>
                <w:szCs w:val="16"/>
                <w:b w:val="1"/>
                <w:bCs w:val="1"/>
                <w:color w:val="auto"/>
              </w:rPr>
              <w:t>America</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3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02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402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20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Balance as of March 31, 2014</w:t>
            </w:r>
          </w:p>
        </w:tc>
        <w:tc>
          <w:tcPr>
            <w:tcW w:w="2000" w:type="dxa"/>
            <w:vAlign w:val="bottom"/>
          </w:tcPr>
          <w:p>
            <w:pPr>
              <w:spacing w:after="0"/>
              <w:rPr>
                <w:sz w:val="22"/>
                <w:szCs w:val="22"/>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jc w:val="center"/>
              <w:ind w:left="257"/>
              <w:spacing w:after="0"/>
              <w:rPr>
                <w:sz w:val="20"/>
                <w:szCs w:val="20"/>
                <w:color w:val="auto"/>
              </w:rPr>
            </w:pPr>
            <w:r>
              <w:rPr>
                <w:rFonts w:ascii="Arial" w:cs="Arial" w:eastAsia="Arial" w:hAnsi="Arial"/>
                <w:sz w:val="16"/>
                <w:szCs w:val="16"/>
                <w:b w:val="1"/>
                <w:bCs w:val="1"/>
                <w:color w:val="auto"/>
              </w:rPr>
              <w:t>Personnel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Facility</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Borders>
              <w:bottom w:val="single" w:sz="8" w:color="auto"/>
            </w:tcBorders>
          </w:tcPr>
          <w:p>
            <w:pPr>
              <w:jc w:val="center"/>
              <w:ind w:left="257"/>
              <w:spacing w:after="0"/>
              <w:rPr>
                <w:sz w:val="20"/>
                <w:szCs w:val="20"/>
                <w:color w:val="auto"/>
              </w:rPr>
            </w:pPr>
            <w:r>
              <w:rPr>
                <w:rFonts w:ascii="Arial" w:cs="Arial" w:eastAsia="Arial" w:hAnsi="Arial"/>
                <w:sz w:val="16"/>
                <w:szCs w:val="16"/>
                <w:b w:val="1"/>
                <w:bCs w:val="1"/>
                <w:color w:val="auto"/>
              </w:rPr>
              <w:t>Related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3160" w:type="dxa"/>
            <w:vAlign w:val="bottom"/>
            <w:gridSpan w:val="2"/>
          </w:tcPr>
          <w:p>
            <w:pPr>
              <w:ind w:left="20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4"/>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02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jc w:val="right"/>
              <w:ind w:right="14"/>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402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20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Balance as of March 31, 2014</w:t>
            </w:r>
          </w:p>
        </w:tc>
        <w:tc>
          <w:tcPr>
            <w:tcW w:w="3160" w:type="dxa"/>
            <w:vAlign w:val="bottom"/>
            <w:gridSpan w:val="2"/>
          </w:tcPr>
          <w:p>
            <w:pPr>
              <w:ind w:left="20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4"/>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0" w:type="dxa"/>
            <w:vAlign w:val="bottom"/>
            <w:vMerge w:val="restart"/>
          </w:tcPr>
          <w:p>
            <w:pPr>
              <w:jc w:val="right"/>
              <w:ind w:right="214"/>
              <w:spacing w:after="0"/>
              <w:rPr>
                <w:sz w:val="20"/>
                <w:szCs w:val="20"/>
                <w:color w:val="auto"/>
              </w:rPr>
            </w:pPr>
            <w:r>
              <w:rPr>
                <w:rFonts w:ascii="Arial" w:cs="Arial" w:eastAsia="Arial" w:hAnsi="Arial"/>
                <w:sz w:val="18"/>
                <w:szCs w:val="18"/>
                <w:color w:val="auto"/>
              </w:rPr>
              <w:t>8</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9"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Net income (loss) for basic and diluted EPS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00"/>
        </w:trPr>
        <w:tc>
          <w:tcPr>
            <w:tcW w:w="766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321"/>
        </w:trPr>
        <w:tc>
          <w:tcPr>
            <w:tcW w:w="7660" w:type="dxa"/>
            <w:vAlign w:val="bottom"/>
          </w:tcPr>
          <w:p>
            <w:pPr>
              <w:ind w:left="20"/>
              <w:spacing w:after="0"/>
              <w:rPr>
                <w:sz w:val="20"/>
                <w:szCs w:val="20"/>
                <w:color w:val="auto"/>
              </w:rPr>
            </w:pPr>
            <w:r>
              <w:rPr>
                <w:rFonts w:ascii="Arial" w:cs="Arial" w:eastAsia="Arial" w:hAnsi="Arial"/>
                <w:sz w:val="18"/>
                <w:szCs w:val="18"/>
                <w:color w:val="auto"/>
              </w:rPr>
              <w:t xml:space="preserve">Options, warrants and non-vested stock </w:t>
            </w:r>
            <w:r>
              <w:rPr>
                <w:rFonts w:ascii="Arial" w:cs="Arial" w:eastAsia="Arial" w:hAnsi="Arial"/>
                <w:sz w:val="21"/>
                <w:szCs w:val="21"/>
                <w:color w:val="auto"/>
                <w:vertAlign w:val="superscript"/>
              </w:rPr>
              <w:t>(a) (b)</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7660" w:type="dxa"/>
            <w:vAlign w:val="bottom"/>
          </w:tcPr>
          <w:p>
            <w:pPr>
              <w:ind w:left="20"/>
              <w:spacing w:after="0" w:line="233" w:lineRule="exact"/>
              <w:rPr>
                <w:sz w:val="20"/>
                <w:szCs w:val="20"/>
                <w:color w:val="auto"/>
              </w:rPr>
            </w:pPr>
            <w:r>
              <w:rPr>
                <w:rFonts w:ascii="Arial" w:cs="Arial" w:eastAsia="Arial" w:hAnsi="Arial"/>
                <w:sz w:val="18"/>
                <w:szCs w:val="18"/>
                <w:color w:val="auto"/>
              </w:rPr>
              <w:t xml:space="preserve">Convertible debt </w:t>
            </w:r>
            <w:r>
              <w:rPr>
                <w:rFonts w:ascii="Arial" w:cs="Arial" w:eastAsia="Arial" w:hAnsi="Arial"/>
                <w:sz w:val="21"/>
                <w:szCs w:val="21"/>
                <w:color w:val="auto"/>
                <w:vertAlign w:val="superscript"/>
              </w:rPr>
              <w:t>(c) (d)</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0"/>
        </w:trPr>
        <w:tc>
          <w:tcPr>
            <w:tcW w:w="7660" w:type="dxa"/>
            <w:vAlign w:val="bottom"/>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6"/>
        </w:trPr>
        <w:tc>
          <w:tcPr>
            <w:tcW w:w="766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260" w:hanging="326"/>
        <w:spacing w:after="0" w:line="207"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2014, the number of anti-dilutive securities which were excluded from the computation of diluted earnings per share was not significant.</w:t>
      </w:r>
    </w:p>
    <w:p>
      <w:pPr>
        <w:spacing w:after="0" w:line="1" w:lineRule="exact"/>
        <w:rPr>
          <w:rFonts w:ascii="Arial" w:cs="Arial" w:eastAsia="Arial" w:hAnsi="Arial"/>
          <w:sz w:val="22"/>
          <w:szCs w:val="22"/>
          <w:color w:val="auto"/>
          <w:vertAlign w:val="superscript"/>
        </w:rPr>
      </w:pPr>
    </w:p>
    <w:p>
      <w:pPr>
        <w:ind w:left="820" w:right="20" w:hanging="326"/>
        <w:spacing w:after="0" w:line="219"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As the Company incurred a net loss for the three months ended March 31, 2013, 1.5 million outstanding options, 4.7 million warrants and 3.4 million non-vested stock awards have an anti-dilutive effect and therefore are excluded from the computation of diluted weighted average shares outstanding.</w:t>
      </w:r>
    </w:p>
    <w:p>
      <w:pPr>
        <w:ind w:left="820" w:right="40" w:hanging="326"/>
        <w:spacing w:after="0" w:line="207"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2014, 4.0 million issuable shares underlying the 3½% convertible notes due 2014 have an anti-dilutive effect and therefore are excluded from the computation of diluted weighted average shares outstanding.</w:t>
      </w:r>
    </w:p>
    <w:p>
      <w:pPr>
        <w:spacing w:after="0" w:line="1" w:lineRule="exact"/>
        <w:rPr>
          <w:rFonts w:ascii="Arial" w:cs="Arial" w:eastAsia="Arial" w:hAnsi="Arial"/>
          <w:sz w:val="22"/>
          <w:szCs w:val="22"/>
          <w:color w:val="auto"/>
          <w:vertAlign w:val="superscript"/>
        </w:rPr>
      </w:pPr>
    </w:p>
    <w:p>
      <w:pPr>
        <w:ind w:left="820" w:right="40" w:hanging="326"/>
        <w:spacing w:after="0" w:line="210"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2013, 4.7 million issuable shares underlying the 3½% convertible notes due 2014 have an anti-dilutive effect and therefore are excluded from the computation of diluted weighted average shares outstanding.</w:t>
      </w:r>
    </w:p>
    <w:p>
      <w:pPr>
        <w:spacing w:after="0" w:line="187" w:lineRule="exact"/>
        <w:rPr>
          <w:rFonts w:ascii="Arial" w:cs="Arial" w:eastAsia="Arial" w:hAnsi="Arial"/>
          <w:sz w:val="22"/>
          <w:szCs w:val="22"/>
          <w:color w:val="auto"/>
          <w:vertAlign w:val="superscript"/>
        </w:rPr>
      </w:pPr>
    </w:p>
    <w:p>
      <w:pPr>
        <w:ind w:left="500" w:right="9840" w:hanging="492"/>
        <w:spacing w:after="0" w:line="544" w:lineRule="auto"/>
        <w:tabs>
          <w:tab w:leader="none" w:pos="5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Edmonton</w:t>
      </w:r>
    </w:p>
    <w:p>
      <w:pPr>
        <w:ind w:left="50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February 2014, the Company completed the acquisition of its Budget licensee for Edmonton and certain other cities in Alberta for approximately $33 million, plus $86 million for acquired fleet. The investment will enable the Company to expand its footprint of Company-operated locations in Canada. The acquired fleet was financed under the Company's existing vehicle financing arrangements in Canada. The excess of the purchase price over preliminary fair value of net assets acquired was allocated to goodwill, which was assigned to the Company’s North America segment and most of which is expected to be deductible for tax purposes. The fair value of the assets acquired and liabilities assumed has not yet been finalized and is therefore subject to change. In connection with this acquisition, approximately $17 million was recorded in identifiable intangible assets (consisting of $11 million related to customer relationships and $6 million related to the reacquired license agreements) and $9 million was recorded in goodwill. The customer relationships will be amortized over a weighted average useful life of approximately 12 years and the license agreements will be amortized over approximately 4 years. In addition, at the time of the acquisition, the Company recorded a $3 million non-cash charge related to the unfavorable license rights reacquired by the Company.</w:t>
      </w:r>
    </w:p>
    <w:p>
      <w:pPr>
        <w:spacing w:after="0" w:line="18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Portugal</w:t>
      </w:r>
    </w:p>
    <w:p>
      <w:pPr>
        <w:spacing w:after="0" w:line="247" w:lineRule="exact"/>
        <w:rPr>
          <w:rFonts w:ascii="Arial" w:cs="Arial" w:eastAsia="Arial" w:hAnsi="Arial"/>
          <w:sz w:val="17"/>
          <w:szCs w:val="17"/>
          <w:b w:val="1"/>
          <w:bCs w:val="1"/>
          <w:color w:val="auto"/>
        </w:rPr>
      </w:pPr>
    </w:p>
    <w:p>
      <w:pPr>
        <w:ind w:left="500" w:right="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In February 2014, the Company reacquired the right to operate the Budget brand in Portugal for approximately $15 million. Approximately $9 million of the total consideration was paid during first quarter 2014 and the remainder is expected to be paid in 2014. The fair value of the intangible assets acquired has not yet been finalized and is therefore subject to change. In connection with this acquisition, approximately $2 million was recorded within license agreements and $13 million was recorded in goodwill. The license agreements will be amortized over 2 years. The goodwill, which was assigned to the Company’s International segment, is expected to be deductible for tax purposes.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Brazil</w:t>
      </w:r>
    </w:p>
    <w:p>
      <w:pPr>
        <w:spacing w:after="0" w:line="247" w:lineRule="exact"/>
        <w:rPr>
          <w:sz w:val="20"/>
          <w:szCs w:val="20"/>
          <w:color w:val="auto"/>
        </w:rPr>
      </w:pPr>
    </w:p>
    <w:p>
      <w:pPr>
        <w:ind w:left="500" w:right="820"/>
        <w:spacing w:after="0" w:line="262" w:lineRule="auto"/>
        <w:rPr>
          <w:sz w:val="20"/>
          <w:szCs w:val="20"/>
          <w:color w:val="auto"/>
        </w:rPr>
      </w:pPr>
      <w:r>
        <w:rPr>
          <w:rFonts w:ascii="Arial" w:cs="Arial" w:eastAsia="Arial" w:hAnsi="Arial"/>
          <w:sz w:val="18"/>
          <w:szCs w:val="18"/>
          <w:color w:val="auto"/>
        </w:rPr>
        <w:t>In August 2013, the Company acquired a 50% ownership stake in its Brazilian licensee for $53 million, of which the remaining consideration of $6 million was paid during first quarter 2014.</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Zipcar</w:t>
      </w:r>
    </w:p>
    <w:p>
      <w:pPr>
        <w:spacing w:after="0" w:line="24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2013, the Company completed the acquisition of the entire issued share capital of Zipcar, the leading car sharing company, for $473 million, net of acquired cash. Differences between the preliminary allocation of the purchase price and the final allocation were not material.</w:t>
      </w:r>
    </w:p>
    <w:p>
      <w:pPr>
        <w:spacing w:after="0" w:line="18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rPr>
              <w:t>As of March 31, 2014</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As of December 31, 2013</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(a)(b)</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(a)</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4"/>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440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(a)(b)</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acquisition of the Budget licensee for Edmonton.</w:t>
      </w:r>
    </w:p>
    <w:p>
      <w:pPr>
        <w:ind w:left="820" w:hanging="326"/>
        <w:spacing w:after="0" w:line="199" w:lineRule="auto"/>
        <w:tabs>
          <w:tab w:leader="none" w:pos="8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reacquired right to operate the Budget brand in Portugal.</w:t>
      </w:r>
    </w:p>
    <w:p>
      <w:pPr>
        <w:spacing w:after="0" w:line="174" w:lineRule="exact"/>
        <w:rPr>
          <w:sz w:val="20"/>
          <w:szCs w:val="20"/>
          <w:color w:val="auto"/>
        </w:rPr>
      </w:pPr>
    </w:p>
    <w:p>
      <w:pPr>
        <w:ind w:left="500" w:right="280"/>
        <w:spacing w:after="0" w:line="256" w:lineRule="auto"/>
        <w:rPr>
          <w:sz w:val="20"/>
          <w:szCs w:val="20"/>
          <w:color w:val="auto"/>
        </w:rPr>
      </w:pPr>
      <w:r>
        <w:rPr>
          <w:rFonts w:ascii="Arial" w:cs="Arial" w:eastAsia="Arial" w:hAnsi="Arial"/>
          <w:sz w:val="18"/>
          <w:szCs w:val="18"/>
          <w:color w:val="auto"/>
        </w:rPr>
        <w:t>Amortization expense relating to all intangible assets was approximately $7 million and $5 million during first quarter 2014 and 2013, respectively. Based on the Company’s amortizable assets at March 31, 2014, the Company expects amortization expense of approximately $25 million for the remainder of 2014 and approximately $31 million for each of the five fiscal years thereafter.</w:t>
      </w:r>
    </w:p>
    <w:p>
      <w:pPr>
        <w:spacing w:after="0" w:line="18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Company’s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As of</w:t>
            </w:r>
          </w:p>
        </w:tc>
      </w:tr>
      <w:tr>
        <w:trPr>
          <w:trHeight w:val="270"/>
        </w:trPr>
        <w:tc>
          <w:tcPr>
            <w:tcW w:w="7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7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Rental vehicles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277"/>
        </w:trPr>
        <w:tc>
          <w:tcPr>
            <w:tcW w:w="7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r>
      <w:tr>
        <w:trPr>
          <w:trHeight w:val="243"/>
        </w:trPr>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8,823</w:t>
            </w:r>
          </w:p>
        </w:tc>
      </w:tr>
      <w:tr>
        <w:trPr>
          <w:trHeight w:val="277"/>
        </w:trPr>
        <w:tc>
          <w:tcPr>
            <w:tcW w:w="702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Vehicles, net</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w:t>
            </w: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57"/>
        </w:trPr>
        <w:tc>
          <w:tcPr>
            <w:tcW w:w="7020" w:type="dxa"/>
            <w:vAlign w:val="bottom"/>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43"/>
        </w:trPr>
        <w:tc>
          <w:tcPr>
            <w:tcW w:w="7020" w:type="dxa"/>
            <w:vAlign w:val="bottom"/>
          </w:tcPr>
          <w:p>
            <w:pPr>
              <w:spacing w:after="0"/>
              <w:rPr>
                <w:sz w:val="20"/>
                <w:szCs w:val="20"/>
                <w:color w:val="auto"/>
              </w:rPr>
            </w:pPr>
            <w:r>
              <w:rPr>
                <w:rFonts w:ascii="Arial" w:cs="Arial" w:eastAsia="Arial" w:hAnsi="Arial"/>
                <w:sz w:val="18"/>
                <w:szCs w:val="18"/>
                <w:color w:val="auto"/>
              </w:rPr>
              <w:t>Depreciation expense</w:t>
            </w:r>
          </w:p>
        </w:tc>
        <w:tc>
          <w:tcPr>
            <w:tcW w:w="1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Lease charges</w:t>
            </w:r>
          </w:p>
        </w:tc>
        <w:tc>
          <w:tcPr>
            <w:tcW w:w="10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7020" w:type="dxa"/>
            <w:vAlign w:val="bottom"/>
          </w:tcPr>
          <w:p>
            <w:pPr>
              <w:spacing w:after="0"/>
              <w:rPr>
                <w:sz w:val="20"/>
                <w:szCs w:val="20"/>
                <w:color w:val="auto"/>
              </w:rPr>
            </w:pPr>
            <w:r>
              <w:rPr>
                <w:rFonts w:ascii="Arial" w:cs="Arial" w:eastAsia="Arial" w:hAnsi="Arial"/>
                <w:sz w:val="18"/>
                <w:szCs w:val="18"/>
                <w:color w:val="auto"/>
              </w:rPr>
              <w:t>Gain on sales of vehicles, net</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7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25" w:right="379" w:bottom="1440" w:gutter="0" w:footer="0" w:header="0"/>
        </w:sect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240" w:top="125" w:right="3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At March 31, 2014 and 2013, the Company had purchases of vehicles included in payables of $498 million and $496 million, respectively, and sales of vehicles included in receivables of $231 million and $285 million, respectively.</w:t>
      </w:r>
    </w:p>
    <w:p>
      <w:pPr>
        <w:spacing w:after="0" w:line="1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2014 is a provision of 20.0%. Such rate differs from the Federal statutory rate of 35.0% primarily due to state income taxes.</w:t>
      </w:r>
    </w:p>
    <w:p>
      <w:pPr>
        <w:spacing w:after="0" w:line="196" w:lineRule="exact"/>
        <w:rPr>
          <w:rFonts w:ascii="Arial" w:cs="Arial" w:eastAsia="Arial" w:hAnsi="Arial"/>
          <w:sz w:val="18"/>
          <w:szCs w:val="18"/>
          <w:b w:val="1"/>
          <w:bCs w:val="1"/>
          <w:color w:val="auto"/>
        </w:rPr>
      </w:pPr>
    </w:p>
    <w:p>
      <w:pPr>
        <w:ind w:left="500"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2013 was a benefit of 19.3%. Such rate differs from the Federal statutory rate of 35.0% primarily due to the treatment of the expenses for the early extinguishment of corporate debt.</w:t>
      </w:r>
    </w:p>
    <w:p>
      <w:pPr>
        <w:spacing w:after="0" w:line="174" w:lineRule="exact"/>
        <w:rPr>
          <w:rFonts w:ascii="Arial" w:cs="Arial" w:eastAsia="Arial" w:hAnsi="Arial"/>
          <w:sz w:val="18"/>
          <w:szCs w:val="18"/>
          <w:b w:val="1"/>
          <w:bCs w:val="1"/>
          <w:color w:val="auto"/>
        </w:rPr>
      </w:pPr>
    </w:p>
    <w:p>
      <w:pPr>
        <w:ind w:left="500" w:right="6220" w:hanging="492"/>
        <w:spacing w:after="0" w:line="488"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2014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8¼% Senior Notes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75"/>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(d)</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900" w:hanging="325"/>
        <w:spacing w:after="0" w:line="193" w:lineRule="auto"/>
        <w:tabs>
          <w:tab w:leader="none" w:pos="9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of March 31, 2014, the 3½% convertible notes are convertible by the holders into approximately 4 million shares of the Company’s common stock.</w:t>
      </w:r>
    </w:p>
    <w:p>
      <w:pPr>
        <w:ind w:left="900" w:right="140" w:hanging="325"/>
        <w:spacing w:after="0" w:line="211" w:lineRule="auto"/>
        <w:tabs>
          <w:tab w:leader="none" w:pos="9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3.00% at March 31, 2014; the Company has entered into an interest rate swap to hedge its interest rate exposure related to these notes at an aggregate rate of 3.58%.</w:t>
      </w:r>
    </w:p>
    <w:p>
      <w:pPr>
        <w:ind w:left="900" w:right="40" w:hanging="325"/>
        <w:spacing w:after="0" w:line="211" w:lineRule="auto"/>
        <w:tabs>
          <w:tab w:leader="none" w:pos="9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of March 31, 2014, the Company called $292 million of the 8¼% Senior Notes due 2019 for redemption; accordingly, these are included in current portion of long-term debt.</w:t>
      </w:r>
    </w:p>
    <w:p>
      <w:pPr>
        <w:ind w:left="900" w:right="140" w:hanging="325"/>
        <w:spacing w:after="0" w:line="229" w:lineRule="auto"/>
        <w:tabs>
          <w:tab w:leader="none" w:pos="9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20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March 2014, the Company issued €200 million (approximately $275 million) of additional 6% Euro-denominated Senior Notes due 2021. These additional notes were sold at 106.75% of their face value, for aggregate proceeds of approximately $295 million, with a yield to maturity of 4.85%. In April 2014, the Company used the proceeds to repurchase $292 million principal amount of its 8¼% Senior Notes for $316 million plus accrued interest.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2014,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21"/>
        </w:trPr>
        <w:tc>
          <w:tcPr>
            <w:tcW w:w="418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7"/>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900" w:right="60" w:hanging="406"/>
        <w:spacing w:after="0" w:line="220" w:lineRule="auto"/>
        <w:tabs>
          <w:tab w:leader="none" w:pos="9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225 basis points. The senior revolving credit facility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8"/>
          <w:szCs w:val="18"/>
          <w:color w:val="auto"/>
          <w:vertAlign w:val="superscript"/>
        </w:rPr>
      </w:pPr>
    </w:p>
    <w:p>
      <w:pPr>
        <w:ind w:left="900" w:hanging="406"/>
        <w:spacing w:after="0" w:line="199" w:lineRule="auto"/>
        <w:tabs>
          <w:tab w:leader="none" w:pos="9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5.14% to 5.69% as of March 31, 2014.</w:t>
      </w:r>
    </w:p>
    <w:p>
      <w:pPr>
        <w:spacing w:after="0" w:line="201"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At March 31, 2014, the Company had various uncommitted credit facilities available, under which it had drawn approximately $16 million, which bear interest at rates between 0.52% and 2.50%.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28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contains maximum leverage and minimum interest coverage ratio requirements. As of March 31, 2014, the Company was in compliance with the financial covenants of its senior credit facility.</w:t>
      </w:r>
    </w:p>
    <w:p>
      <w:pPr>
        <w:spacing w:after="0" w:line="18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94"/>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(a)(b)</w:t>
            </w:r>
          </w:p>
        </w:tc>
        <w:tc>
          <w:tcPr>
            <w:tcW w:w="2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(c)</w:t>
            </w:r>
          </w:p>
        </w:tc>
        <w:tc>
          <w:tcPr>
            <w:tcW w:w="2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2"/>
        </w:trPr>
        <w:tc>
          <w:tcPr>
            <w:tcW w:w="708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(a)</w:t>
            </w:r>
          </w:p>
        </w:tc>
        <w:tc>
          <w:tcPr>
            <w:tcW w:w="2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Truck Rental - Debt borrowings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7"/>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70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an increase in the Company’s fleet driven by increased rental volume.</w:t>
      </w:r>
    </w:p>
    <w:p>
      <w:pPr>
        <w:ind w:left="820" w:right="60" w:hanging="326"/>
        <w:spacing w:after="0" w:line="207" w:lineRule="auto"/>
        <w:tabs>
          <w:tab w:leader="none" w:pos="8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an increase in the Company’s fleet driven by the acquisition of its Budget licensee for Edmonton.</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decrease is principally related to the timing of borrowings related to recently acquired fleet.</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2014.</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203"/>
        </w:trPr>
        <w:tc>
          <w:tcPr>
            <w:tcW w:w="8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7"/>
        </w:trPr>
        <w:tc>
          <w:tcPr>
            <w:tcW w:w="8880" w:type="dxa"/>
            <w:vAlign w:val="bottom"/>
          </w:tcPr>
          <w:p>
            <w:pPr>
              <w:spacing w:after="0"/>
              <w:rPr>
                <w:sz w:val="20"/>
                <w:szCs w:val="20"/>
                <w:color w:val="auto"/>
              </w:rPr>
            </w:pPr>
            <w:r>
              <w:rPr>
                <w:rFonts w:ascii="Arial" w:cs="Arial" w:eastAsia="Arial" w:hAnsi="Arial"/>
                <w:sz w:val="18"/>
                <w:szCs w:val="18"/>
                <w:color w:val="auto"/>
              </w:rPr>
              <w:t>Between 1 and 2 years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2 and 3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3 and 4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Between 4 and 5 years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64"/>
        </w:trPr>
        <w:tc>
          <w:tcPr>
            <w:tcW w:w="888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60" w:hanging="326"/>
        <w:spacing w:after="0" w:line="210" w:lineRule="auto"/>
        <w:tabs>
          <w:tab w:leader="none" w:pos="82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Vehicle-backed debt maturing within one year includes term asset-backed securities of approximately $952 million and bank and bank-sponsored borrowings of $179 million.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of March 31, 2014, available funding under the Company’s vehicle programs (including related party debt due to Avis Budget Rental Car Funding) consisted of:</w:t>
      </w:r>
    </w:p>
    <w:p>
      <w:pPr>
        <w:sectPr>
          <w:pgSz w:w="11900" w:h="16838" w:orient="portrait"/>
          <w:cols w:equalWidth="0" w:num="1">
            <w:col w:w="11380"/>
          </w:cols>
          <w:pgMar w:left="240" w:top="125" w:right="27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Capacity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(b)</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(c)</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2"/>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(f)</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$8.1 billion of underlying vehicles and related assets.</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$604 million of underlying vehicles and related assets.</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$1.0 billion of underlying vehicles and related assets.</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$387 million of underlying vehicles and related assets.</w:t>
      </w:r>
    </w:p>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$351 million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791" w:hanging="791"/>
        <w:spacing w:after="0"/>
        <w:tabs>
          <w:tab w:leader="none" w:pos="7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2,185</w:t>
      </w:r>
    </w:p>
    <w:p>
      <w:pPr>
        <w:spacing w:after="0" w:line="63"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7"/>
          <w:szCs w:val="17"/>
          <w:color w:val="auto"/>
        </w:rPr>
        <w:t>242</w:t>
      </w:r>
    </w:p>
    <w:p>
      <w:pPr>
        <w:spacing w:after="0" w:line="74"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7"/>
          <w:szCs w:val="17"/>
          <w:color w:val="auto"/>
        </w:rPr>
        <w:t>927</w:t>
      </w:r>
    </w:p>
    <w:p>
      <w:pPr>
        <w:spacing w:after="0" w:line="74"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7"/>
          <w:szCs w:val="17"/>
          <w:color w:val="auto"/>
        </w:rPr>
        <w:t>115</w:t>
      </w:r>
    </w:p>
    <w:p>
      <w:pPr>
        <w:spacing w:after="0" w:line="74" w:lineRule="exact"/>
        <w:rPr>
          <w:rFonts w:ascii="Arial" w:cs="Arial" w:eastAsia="Arial" w:hAnsi="Arial"/>
          <w:sz w:val="18"/>
          <w:szCs w:val="18"/>
          <w:color w:val="auto"/>
        </w:rPr>
      </w:pPr>
    </w:p>
    <w:p>
      <w:pPr>
        <w:ind w:left="1051"/>
        <w:spacing w:after="0"/>
        <w:rPr>
          <w:rFonts w:ascii="Arial" w:cs="Arial" w:eastAsia="Arial" w:hAnsi="Arial"/>
          <w:sz w:val="18"/>
          <w:szCs w:val="18"/>
          <w:color w:val="auto"/>
        </w:rPr>
      </w:pPr>
      <w:r>
        <w:rPr>
          <w:rFonts w:ascii="Arial" w:cs="Arial" w:eastAsia="Arial" w:hAnsi="Arial"/>
          <w:sz w:val="17"/>
          <w:szCs w:val="17"/>
          <w:color w:val="auto"/>
        </w:rPr>
        <w:t>19</w:t>
      </w:r>
    </w:p>
    <w:p>
      <w:pPr>
        <w:spacing w:after="0" w:line="74" w:lineRule="exact"/>
        <w:rPr>
          <w:rFonts w:ascii="Arial" w:cs="Arial" w:eastAsia="Arial" w:hAnsi="Arial"/>
          <w:sz w:val="18"/>
          <w:szCs w:val="18"/>
          <w:color w:val="auto"/>
        </w:rPr>
      </w:pP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791" w:hanging="791"/>
        <w:spacing w:after="0"/>
        <w:tabs>
          <w:tab w:leader="none" w:pos="7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3,488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14" w:lineRule="exact"/>
        <w:rPr>
          <w:sz w:val="20"/>
          <w:szCs w:val="20"/>
          <w:color w:val="auto"/>
        </w:rPr>
      </w:pPr>
    </w:p>
    <w:p>
      <w:pPr>
        <w:sectPr>
          <w:pgSz w:w="11900" w:h="16838" w:orient="portrait"/>
          <w:cols w:equalWidth="0" w:num="2">
            <w:col w:w="9400" w:space="129"/>
            <w:col w:w="1851"/>
          </w:cols>
          <w:pgMar w:left="240" w:top="125" w:right="279" w:bottom="1440" w:gutter="0" w:footer="0" w:header="0"/>
          <w:type w:val="continuous"/>
        </w:sectPr>
      </w:pPr>
    </w:p>
    <w:p>
      <w:pPr>
        <w:spacing w:after="0" w:line="47"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Debt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2014, the Company is not aware of any instances of non-compliance with any of the financial or restrictive covenants contained in the debt agreements under its vehicle-backed funding programs.</w:t>
      </w:r>
    </w:p>
    <w:p>
      <w:pPr>
        <w:spacing w:after="0" w:line="184" w:lineRule="exact"/>
        <w:rPr>
          <w:sz w:val="20"/>
          <w:szCs w:val="20"/>
          <w:color w:val="auto"/>
        </w:rPr>
      </w:pPr>
    </w:p>
    <w:p>
      <w:pPr>
        <w:ind w:left="500" w:right="8020" w:hanging="492"/>
        <w:spacing w:after="0" w:line="482" w:lineRule="auto"/>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5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2006, the Company completed the spin-offs of its Realogy and Wyndham subsidiaries. In connection with the spin-offs, Realogy assumed 62.5% and Wyndham assumed 37.5% of certain contingent and other corporate liabilities of the Company that are not primarily related to any of the respective businesses of Realogy, Wyndham, our former Travelport subsidiary and/or the Company’s vehicle rental operations, and in each case incurred or allegedly incurred on or prior to each subsidiary’s disposition (“Assumed Liabilities”). If Realogy or Wyndham were to default on its payment of costs or expenses to the Company</w:t>
      </w:r>
    </w:p>
    <w:p>
      <w:pPr>
        <w:sectPr>
          <w:pgSz w:w="11900" w:h="16838" w:orient="portrait"/>
          <w:cols w:equalWidth="0" w:num="1">
            <w:col w:w="11380"/>
          </w:cols>
          <w:pgMar w:left="240" w:top="125" w:right="279" w:bottom="1440" w:gutter="0" w:footer="0" w:header="0"/>
          <w:type w:val="continuous"/>
        </w:sect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125" w:right="2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related to any Assumed Liabilities, the Company would be responsible for 50% of the defaulting party’s obligation. The Company does not believe that the impact of any resolution of contingent liabilities constituting Assumed Liabilities should result in a material liability to the Company in relation to its consolidated financial position or liquidity, as Realogy and Wyndham each have agreed to assume responsibility for these liabilities. In accordance with the terms of relevant documents, Realogy posted a letter of credit in April 2007 for the benefit of the Company to cover its estimated share of the Assumed Liabilities discussed above, subject to adjustment, although there can be no assurance that such letter of credit will be sufficient or effective to cover Realogy’s actual obligations if and when they arise.</w:t>
      </w:r>
    </w:p>
    <w:p>
      <w:pPr>
        <w:spacing w:after="0" w:line="153"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The Company is also named in various litigation that is primarily related to the businesses of its former subsidiaries, including Realogy, and Wyndham and their current or former subsidiaries. The Company is entitled to indemnification from such entities for any liability resulting from such litigation.</w:t>
      </w:r>
    </w:p>
    <w:p>
      <w:pPr>
        <w:spacing w:after="0" w:line="148"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Additionally, the Company is also involved in claims, legal proceedings and governmental inquiries related, among other things, to its vehicle rental operations, including, among others, contract and licensee disputes, wage-and-hour claims, competition matters, employment matters, insurance claims, intellectual property claims and other regulatory, environmental, commercial and tax matters. Litigation is inherently unpredictable and, although the Company believes that its accruals are adequate and/or that it has valid defenses in these matters, unfavorable resolutions could occur, which could materially impact the Company’s financial position, results of operations or cash flows.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$5.6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247"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and capital expenditures. As of March 31, 2014, the Company had approximately $154 million of purchase obligations, which extend through 2018.</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Concentrations of credit risk at March 31, 2014 include (i) risks related to the Company’s repurchase and guaranteed depreciation agreements with domestic and foreign car manufacturers, including Ford, General Motors, Chrysler, Peugeot, Volkswagen, Kia, Fiat, Subaru, BMW and Toyota, and primarily with respect to receivables for program cars that have been disposed but for which the Company has not yet received payment from the manufacturers and (ii) risks related to Realogy and Wyndham, including receivables of $61 million and $37 million, respectively, related to certain contingent, income tax and other corporate liabilities assumed by Realogy and Wyndham in connection with their disposition.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Guarantees</w:t>
      </w:r>
    </w:p>
    <w:p>
      <w:pPr>
        <w:spacing w:after="0" w:line="247"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Company has provided certain guarantees to, or for the benefit of, subsidiaries of Realogy, Wyndham and Travelport, which, as previously discussed, were sold or spun-off in 2006. These guarantees relate primarily to various real estate operating leases. The maximum potential amount of future payments that the Company may be required to make under the guarantees relating to these leases is estimated to be approximately $47 million, the majority of which expire by the end of 2015. At March 31, 2014, the liability recorded by the Company in connection with these guarantees was approximately $1 million. To the extent that the Company would be required to perform under any of these guarantees, the Company is entitled to indemnification by Realogy and Wyndham, as applicable. The Company monitors the credit ratings and other relevant information for Realogy and Wyndham in order to assess the status of the payment/performance risk of these guarantees.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right="9100" w:hanging="492"/>
        <w:spacing w:after="0" w:line="544" w:lineRule="auto"/>
        <w:tabs>
          <w:tab w:leader="none" w:pos="50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August 2013, the Company obtained Board approval to repurchase of up to $200 million of its common stock. During the three months ended March 31, 2014, the Company repurchased approximately 1,635,000 shares of common stock at a cost of approximately $75 million under the repurchase program. The Company did not repurchase any of its common stock during the three months ended March 31, 2013.</w:t>
      </w:r>
    </w:p>
    <w:p>
      <w:pPr>
        <w:spacing w:after="0" w:line="182"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Accumulated Other Comprehensive Income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12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Minimum</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Currency</w:t>
            </w:r>
          </w:p>
        </w:tc>
        <w:tc>
          <w:tcPr>
            <w:tcW w:w="20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Gains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12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8"/>
              </w:rPr>
              <w:t>Pension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112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3"/>
              </w:rPr>
              <w:t>Liability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Adjustments</w:t>
            </w: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Hedges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Sale Securities</w:t>
            </w:r>
          </w:p>
        </w:tc>
        <w:tc>
          <w:tcPr>
            <w:tcW w:w="112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Adjustment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17"/>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3"/>
                <w:szCs w:val="13"/>
                <w:color w:val="auto"/>
              </w:rPr>
              <w:t>Net current-period other comprehensive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 xml:space="preserve">income </w:t>
            </w:r>
            <w:r>
              <w:rPr>
                <w:rFonts w:ascii="Arial" w:cs="Arial" w:eastAsia="Arial" w:hAnsi="Arial"/>
                <w:sz w:val="8"/>
                <w:szCs w:val="8"/>
                <w:color w:val="auto"/>
              </w:rPr>
              <w:t>(a)</w:t>
            </w:r>
          </w:p>
        </w:tc>
        <w:tc>
          <w:tcPr>
            <w:tcW w:w="220" w:type="dxa"/>
            <w:vAlign w:val="bottom"/>
          </w:tcPr>
          <w:p>
            <w:pPr>
              <w:spacing w:after="0"/>
              <w:rPr>
                <w:sz w:val="14"/>
                <w:szCs w:val="14"/>
                <w:color w:val="auto"/>
              </w:rPr>
            </w:pP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3"/>
                <w:szCs w:val="13"/>
                <w:color w:val="auto"/>
              </w:rPr>
              <w:t>Balance, March 31, 2014</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2013</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80"/>
        </w:trPr>
        <w:tc>
          <w:tcPr>
            <w:tcW w:w="2700" w:type="dxa"/>
            <w:vAlign w:val="bottom"/>
          </w:tcPr>
          <w:p>
            <w:pPr>
              <w:ind w:left="20"/>
              <w:spacing w:after="0"/>
              <w:rPr>
                <w:sz w:val="20"/>
                <w:szCs w:val="20"/>
                <w:color w:val="auto"/>
              </w:rPr>
            </w:pPr>
            <w:r>
              <w:rPr>
                <w:rFonts w:ascii="Arial" w:cs="Arial" w:eastAsia="Arial" w:hAnsi="Arial"/>
                <w:sz w:val="13"/>
                <w:szCs w:val="13"/>
                <w:color w:val="auto"/>
                <w:w w:val="98"/>
              </w:rPr>
              <w:t xml:space="preserve">Net current-period other comprehensive loss </w:t>
            </w:r>
            <w:r>
              <w:rPr>
                <w:rFonts w:ascii="Arial" w:cs="Arial" w:eastAsia="Arial" w:hAnsi="Arial"/>
                <w:sz w:val="8"/>
                <w:szCs w:val="8"/>
                <w:color w:val="auto"/>
                <w:w w:val="98"/>
              </w:rPr>
              <w:t>(a)</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March 31, 2013</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220"/>
        <w:spacing w:after="0" w:line="239" w:lineRule="auto"/>
        <w:rPr>
          <w:sz w:val="20"/>
          <w:szCs w:val="20"/>
          <w:color w:val="auto"/>
        </w:rPr>
      </w:pPr>
      <w:r>
        <w:rPr>
          <w:rFonts w:ascii="Arial" w:cs="Arial" w:eastAsia="Arial" w:hAnsi="Arial"/>
          <w:sz w:val="14"/>
          <w:szCs w:val="14"/>
          <w:color w:val="auto"/>
        </w:rPr>
        <w:t>All components of accumulated other comprehensive income are net of tax, except currency translation adjustments, which exclude income taxes related to indefinite investments in foreign subsidiaries and include $11 million loss, net of tax, related to the Company's hedge of its net investment in Euro-denominated foreign operations (See Note 13 - Financial Instruments).</w:t>
      </w:r>
    </w:p>
    <w:p>
      <w:pPr>
        <w:ind w:left="820" w:hanging="326"/>
        <w:spacing w:after="0" w:line="205"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For the periods ended March 31, 2014 and 2013, amounts reclassified from accumulated other comprehensive income were not material.</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247"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were as follows:</w:t>
      </w:r>
    </w:p>
    <w:p>
      <w:pPr>
        <w:spacing w:after="0" w:line="149"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Net unrealized loss on available-for-sale securities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320" w:type="dxa"/>
            <w:vAlign w:val="bottom"/>
          </w:tcPr>
          <w:p>
            <w:pPr>
              <w:ind w:left="120"/>
              <w:spacing w:after="0"/>
              <w:rPr>
                <w:sz w:val="20"/>
                <w:szCs w:val="20"/>
                <w:color w:val="auto"/>
              </w:rPr>
            </w:pPr>
            <w:r>
              <w:rPr>
                <w:rFonts w:ascii="Arial" w:cs="Arial" w:eastAsia="Arial" w:hAnsi="Arial"/>
                <w:sz w:val="18"/>
                <w:szCs w:val="18"/>
                <w:color w:val="auto"/>
              </w:rPr>
              <w:t xml:space="preserve">Net unrealized gain on cash flow hedges </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00" w:right="20"/>
        <w:spacing w:after="0" w:line="243" w:lineRule="auto"/>
        <w:rPr>
          <w:sz w:val="20"/>
          <w:szCs w:val="20"/>
          <w:color w:val="auto"/>
        </w:rPr>
      </w:pPr>
      <w:r>
        <w:rPr>
          <w:rFonts w:ascii="Arial" w:cs="Arial" w:eastAsia="Arial" w:hAnsi="Arial"/>
          <w:sz w:val="16"/>
          <w:szCs w:val="16"/>
          <w:color w:val="auto"/>
        </w:rPr>
        <w:t>All components of other comprehensive income are net of tax, except currency translation adjustments, which exclude income taxes related to indefinite investments in foreign subsidiaries.</w:t>
      </w:r>
    </w:p>
    <w:p>
      <w:pPr>
        <w:spacing w:after="0" w:line="6" w:lineRule="exact"/>
        <w:rPr>
          <w:sz w:val="20"/>
          <w:szCs w:val="20"/>
          <w:color w:val="auto"/>
        </w:rPr>
      </w:pPr>
    </w:p>
    <w:p>
      <w:pPr>
        <w:ind w:left="820" w:right="320" w:hanging="326"/>
        <w:spacing w:after="0" w:line="210" w:lineRule="auto"/>
        <w:tabs>
          <w:tab w:leader="none" w:pos="82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Company’s net unrealized gain on cash flow hedges was $1 million before tax during the three months ended March 31, 2014 and was not material for the three months ended March 31, 2013.</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records compensation expense for all stock-based awards based on the estimated fair value of the award at the grant date, which is recognized over the vesting period. The Company recorded stock-based compensation expense of $8 million and $4 million ($5 million and $3 million, net of tax) during the three months ended March 31, 2014 and 2013, respectively, related to stock-based awards that were granted by the Company. In jurisdictions with net operating loss carryforwards, tax deductions for exercises and/or vestings of stock-based awards have generated a $57 million tax benefit at March 31, 2014, with a corresponding increase to additional paid-in capital. Approximately $22 million of incremental tax benefits will be recorded in additional paid-in capital when realized in these jurisdictions.</w:t>
      </w:r>
    </w:p>
    <w:p>
      <w:pPr>
        <w:spacing w:after="0" w:line="18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Unit Awards</w:t>
      </w:r>
    </w:p>
    <w:p>
      <w:pPr>
        <w:spacing w:after="0" w:line="193" w:lineRule="exact"/>
        <w:rPr>
          <w:rFonts w:ascii="Arial" w:cs="Arial" w:eastAsia="Arial" w:hAnsi="Arial"/>
          <w:sz w:val="18"/>
          <w:szCs w:val="18"/>
          <w:b w:val="1"/>
          <w:bCs w:val="1"/>
          <w:color w:val="auto"/>
        </w:rPr>
      </w:pPr>
    </w:p>
    <w:p>
      <w:pPr>
        <w:ind w:left="50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performance-based restricted stock units granted in 2014 and 2013 incorporate a total shareholder return metric. The grant date fair value of these awards is estimated using a Monte Carlo simulation model to estimate the Company’s shareholder-return ranking relative to an applicable stock index. The weighted average assumptions used in the Monte Carlo simulation model to calculate the fair value of the Company’s stock unit awards are as follows:</w:t>
      </w:r>
    </w:p>
    <w:p>
      <w:pPr>
        <w:spacing w:after="0" w:line="133"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March 31,</w:t>
            </w:r>
          </w:p>
        </w:tc>
      </w:tr>
      <w:tr>
        <w:trPr>
          <w:trHeight w:val="257"/>
        </w:trPr>
        <w:tc>
          <w:tcPr>
            <w:tcW w:w="6880" w:type="dxa"/>
            <w:vAlign w:val="bottom"/>
          </w:tcPr>
          <w:p>
            <w:pPr>
              <w:spacing w:after="0"/>
              <w:rPr>
                <w:sz w:val="22"/>
                <w:szCs w:val="22"/>
                <w:color w:val="auto"/>
              </w:rPr>
            </w:pPr>
          </w:p>
        </w:tc>
        <w:tc>
          <w:tcPr>
            <w:tcW w:w="12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r>
      <w:tr>
        <w:trPr>
          <w:trHeight w:val="237"/>
        </w:trPr>
        <w:tc>
          <w:tcPr>
            <w:tcW w:w="688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20" w:type="dxa"/>
            <w:vAlign w:val="bottom"/>
          </w:tcPr>
          <w:p>
            <w:pPr>
              <w:jc w:val="center"/>
              <w:ind w:left="339"/>
              <w:spacing w:after="0"/>
              <w:rPr>
                <w:sz w:val="20"/>
                <w:szCs w:val="20"/>
                <w:color w:val="auto"/>
              </w:rPr>
            </w:pPr>
            <w:r>
              <w:rPr>
                <w:rFonts w:ascii="Arial" w:cs="Arial" w:eastAsia="Arial" w:hAnsi="Arial"/>
                <w:sz w:val="16"/>
                <w:szCs w:val="16"/>
                <w:color w:val="auto"/>
                <w:w w:val="99"/>
              </w:rPr>
              <w:t>40%</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43%</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20" w:type="dxa"/>
            <w:vAlign w:val="bottom"/>
          </w:tcPr>
          <w:p>
            <w:pPr>
              <w:jc w:val="center"/>
              <w:ind w:left="319"/>
              <w:spacing w:after="0"/>
              <w:rPr>
                <w:sz w:val="20"/>
                <w:szCs w:val="20"/>
                <w:color w:val="auto"/>
              </w:rPr>
            </w:pPr>
            <w:r>
              <w:rPr>
                <w:rFonts w:ascii="Arial" w:cs="Arial" w:eastAsia="Arial" w:hAnsi="Arial"/>
                <w:sz w:val="16"/>
                <w:szCs w:val="16"/>
                <w:color w:val="auto"/>
              </w:rPr>
              <w:t>0.85%</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0.39%</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220" w:type="dxa"/>
            <w:vAlign w:val="bottom"/>
          </w:tcPr>
          <w:p>
            <w:pPr>
              <w:ind w:left="560"/>
              <w:spacing w:after="0"/>
              <w:rPr>
                <w:sz w:val="20"/>
                <w:szCs w:val="20"/>
                <w:color w:val="auto"/>
              </w:rPr>
            </w:pPr>
            <w:r>
              <w:rPr>
                <w:rFonts w:ascii="Arial" w:cs="Arial" w:eastAsia="Arial" w:hAnsi="Arial"/>
                <w:sz w:val="16"/>
                <w:szCs w:val="16"/>
                <w:color w:val="auto"/>
              </w:rPr>
              <w:t>3 years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Dividend yield</w:t>
            </w:r>
          </w:p>
        </w:tc>
        <w:tc>
          <w:tcPr>
            <w:tcW w:w="1220" w:type="dxa"/>
            <w:vAlign w:val="bottom"/>
          </w:tcPr>
          <w:p>
            <w:pPr>
              <w:jc w:val="center"/>
              <w:ind w:left="339"/>
              <w:spacing w:after="0"/>
              <w:rPr>
                <w:sz w:val="20"/>
                <w:szCs w:val="20"/>
                <w:color w:val="auto"/>
              </w:rPr>
            </w:pPr>
            <w:r>
              <w:rPr>
                <w:rFonts w:ascii="Arial" w:cs="Arial" w:eastAsia="Arial" w:hAnsi="Arial"/>
                <w:sz w:val="16"/>
                <w:szCs w:val="16"/>
                <w:color w:val="auto"/>
                <w:w w:val="98"/>
              </w:rPr>
              <w:t>0.0%</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2014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3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39.37</w:t>
            </w:r>
          </w:p>
        </w:tc>
        <w:tc>
          <w:tcPr>
            <w:tcW w:w="1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2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March 31, 2014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80" w:hanging="326"/>
        <w:spacing w:after="0" w:line="220"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performance-based and market-based RSUs, and cash units granted in 2013 was $21.20, $20.30 and $17.14,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three months ended March 31, 2014 and 2013 was $14 million and $14 million, respectively.</w:t>
      </w:r>
    </w:p>
    <w:p>
      <w:pPr>
        <w:ind w:left="820" w:right="40" w:hanging="326"/>
        <w:spacing w:after="0"/>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$49 million, $88 million and $13 million, respectively. Aggregate unrecognized compensation expense related to time-based RSUs and performance-based and market-based RSUs amounted to $43 million and will be recognized over a weighted average vesting period of 1.3 years. The Company assumes that substantially all outstanding awards will vest over time.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Outstanding at January 1,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4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2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4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Outstanding at March 31, 2014 </w:t>
            </w:r>
            <w:r>
              <w:rPr>
                <w:rFonts w:ascii="Arial" w:cs="Arial" w:eastAsia="Arial" w:hAnsi="Arial"/>
                <w:sz w:val="21"/>
                <w:szCs w:val="21"/>
                <w:color w:val="auto"/>
                <w:vertAlign w:val="superscript"/>
              </w:rPr>
              <w:t>(a)</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4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4"/>
        </w:trPr>
        <w:tc>
          <w:tcPr>
            <w:tcW w:w="4620" w:type="dxa"/>
            <w:vAlign w:val="bottom"/>
          </w:tcPr>
          <w:p>
            <w:pPr>
              <w:ind w:left="20"/>
              <w:spacing w:after="0"/>
              <w:rPr>
                <w:sz w:val="20"/>
                <w:szCs w:val="20"/>
                <w:color w:val="auto"/>
              </w:rPr>
            </w:pPr>
            <w:r>
              <w:rPr>
                <w:rFonts w:ascii="Arial" w:cs="Arial" w:eastAsia="Arial" w:hAnsi="Arial"/>
                <w:sz w:val="16"/>
                <w:szCs w:val="16"/>
                <w:color w:val="auto"/>
              </w:rPr>
              <w:t>Exercisable at March 31,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4"/>
        </w:trPr>
        <w:tc>
          <w:tcPr>
            <w:tcW w:w="4620" w:type="dxa"/>
            <w:vAlign w:val="bottom"/>
          </w:tcPr>
          <w:p>
            <w:pPr>
              <w:spacing w:after="0"/>
              <w:rPr>
                <w:sz w:val="20"/>
                <w:szCs w:val="20"/>
                <w:color w:val="auto"/>
              </w:rPr>
            </w:pPr>
            <w:r>
              <w:rPr>
                <w:rFonts w:ascii="Arial" w:cs="Arial" w:eastAsia="Arial" w:hAnsi="Arial"/>
                <w:sz w:val="14"/>
                <w:szCs w:val="14"/>
                <w:color w:val="auto"/>
              </w:rPr>
              <w:t>__________</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ind w:left="820" w:hanging="326"/>
        <w:spacing w:after="0" w:line="219" w:lineRule="auto"/>
        <w:tabs>
          <w:tab w:leader="none" w:pos="820" w:val="left"/>
        </w:tabs>
        <w:numPr>
          <w:ilvl w:val="1"/>
          <w:numId w:val="26"/>
        </w:numPr>
        <w:rPr>
          <w:rFonts w:ascii="Arial" w:cs="Arial" w:eastAsia="Arial" w:hAnsi="Arial"/>
          <w:sz w:val="18"/>
          <w:szCs w:val="18"/>
          <w:color w:val="auto"/>
          <w:vertAlign w:val="superscript"/>
        </w:rPr>
      </w:pPr>
      <w:r>
        <w:rPr>
          <w:rFonts w:ascii="Arial" w:cs="Arial" w:eastAsia="Arial" w:hAnsi="Arial"/>
          <w:sz w:val="14"/>
          <w:szCs w:val="14"/>
          <w:color w:val="auto"/>
        </w:rPr>
        <w:t>The Company assumes that substantially all outstanding stock options will vest over time.</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20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three months ended March 31, 2014, the Company recorded no gain or loss in accumulated other comprehensive income as part of currency translation adjustments. There was no ineffectiveness related to the Company's cash flow or net investment hedges during the three months ended March 31, 2014 and the Company does not expect to reclassify any amounts from accumulated other comprehensive income into earnings over the next 12 months.</w:t>
      </w:r>
    </w:p>
    <w:p>
      <w:pPr>
        <w:spacing w:after="0" w:line="205" w:lineRule="exact"/>
        <w:rPr>
          <w:rFonts w:ascii="Arial" w:cs="Arial" w:eastAsia="Arial" w:hAnsi="Arial"/>
          <w:sz w:val="18"/>
          <w:szCs w:val="18"/>
          <w:b w:val="1"/>
          <w:bCs w:val="1"/>
          <w:color w:val="auto"/>
        </w:rPr>
      </w:pPr>
    </w:p>
    <w:p>
      <w:pPr>
        <w:ind w:left="500" w:right="1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 Company estimates that $6 million of losses currently recorded in accumulated other comprehensive income will be recognized in earnings over the next 12 months.</w:t>
      </w:r>
    </w:p>
    <w:p>
      <w:pPr>
        <w:spacing w:after="0" w:line="212"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derivative instruments contain collateral support provisions that require the Company to post cash collateral to the extent that such derivatives are in a liability position. The aggregate fair value of such derivatives and the aggregate fair value of assets needed to settle these derivatives as of March 31, 2014 was approximately $1 million, for which the Company has posted cash collateral in the normal course of business.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89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jc w:val="right"/>
              <w:ind w:right="519"/>
              <w:spacing w:after="0"/>
              <w:rPr>
                <w:sz w:val="20"/>
                <w:szCs w:val="20"/>
                <w:color w:val="auto"/>
              </w:rPr>
            </w:pPr>
            <w:r>
              <w:rPr>
                <w:rFonts w:ascii="Arial" w:cs="Arial" w:eastAsia="Arial" w:hAnsi="Arial"/>
                <w:sz w:val="16"/>
                <w:szCs w:val="16"/>
                <w:b w:val="1"/>
                <w:bCs w:val="1"/>
                <w:color w:val="auto"/>
              </w:rPr>
              <w:t>March 31, 2014</w:t>
            </w:r>
          </w:p>
        </w:tc>
        <w:tc>
          <w:tcPr>
            <w:tcW w:w="0" w:type="dxa"/>
            <w:vAlign w:val="bottom"/>
          </w:tcPr>
          <w:p>
            <w:pPr>
              <w:spacing w:after="0"/>
              <w:rPr>
                <w:sz w:val="1"/>
                <w:szCs w:val="1"/>
                <w:color w:val="auto"/>
              </w:rPr>
            </w:pPr>
          </w:p>
        </w:tc>
      </w:tr>
      <w:tr>
        <w:trPr>
          <w:trHeight w:val="47"/>
        </w:trPr>
        <w:tc>
          <w:tcPr>
            <w:tcW w:w="7900" w:type="dxa"/>
            <w:vAlign w:val="bottom"/>
            <w:vMerge w:val="restart"/>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7900" w:type="dxa"/>
            <w:vAlign w:val="bottom"/>
            <w:vMerge w:val="continue"/>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11,981</w:t>
            </w:r>
          </w:p>
        </w:tc>
        <w:tc>
          <w:tcPr>
            <w:tcW w:w="0" w:type="dxa"/>
            <w:vAlign w:val="bottom"/>
          </w:tcPr>
          <w:p>
            <w:pPr>
              <w:spacing w:after="0"/>
              <w:rPr>
                <w:sz w:val="1"/>
                <w:szCs w:val="1"/>
                <w:color w:val="auto"/>
              </w:rPr>
            </w:pPr>
          </w:p>
        </w:tc>
      </w:tr>
      <w:tr>
        <w:trPr>
          <w:trHeight w:val="195"/>
        </w:trPr>
        <w:tc>
          <w:tcPr>
            <w:tcW w:w="79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Foreign exchange swaps</w:t>
            </w:r>
          </w:p>
        </w:tc>
        <w:tc>
          <w:tcPr>
            <w:tcW w:w="3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Foreign exchange forward contracts</w:t>
            </w:r>
          </w:p>
        </w:tc>
        <w:tc>
          <w:tcPr>
            <w:tcW w:w="3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540"/>
        </w:trPr>
        <w:tc>
          <w:tcPr>
            <w:tcW w:w="790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3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5"/>
        </w:trPr>
        <w:tc>
          <w:tcPr>
            <w:tcW w:w="790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8"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$9.7 billion of interest rate caps sold, partially offset by approximately $2.3 billion of interest rate caps purchased. These amounts exclude $7.5 billion of interest rate caps purchased by the Company’s Avis Budget Rental Car Funding subsidiary.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As of March 31, 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2013</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Liability</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462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(c)</w:t>
            </w:r>
          </w:p>
        </w:tc>
        <w:tc>
          <w:tcPr>
            <w:tcW w:w="1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4620" w:type="dxa"/>
            <w:vAlign w:val="bottom"/>
          </w:tcPr>
          <w:p>
            <w:pPr>
              <w:ind w:left="22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1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as discussed in Note 11—Stockholders’ Equity.</w:t>
      </w:r>
    </w:p>
    <w:p>
      <w:pPr>
        <w:ind w:left="820" w:hanging="326"/>
        <w:spacing w:after="0" w:line="195"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125" w:right="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19050</wp:posOffset>
            </wp:positionV>
            <wp:extent cx="1783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1"/>
        </w:trPr>
        <w:tc>
          <w:tcPr>
            <w:tcW w:w="74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26"/>
        </w:trPr>
        <w:tc>
          <w:tcPr>
            <w:tcW w:w="742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5"/>
        </w:trPr>
        <w:tc>
          <w:tcPr>
            <w:tcW w:w="742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42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94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420" w:type="dxa"/>
            <w:vAlign w:val="bottom"/>
          </w:tcPr>
          <w:p>
            <w:pPr>
              <w:ind w:left="10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(d)</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19"/>
        </w:trPr>
        <w:tc>
          <w:tcPr>
            <w:tcW w:w="742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7420" w:type="dxa"/>
            <w:vAlign w:val="bottom"/>
          </w:tcPr>
          <w:p>
            <w:pPr>
              <w:ind w:left="10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3810</wp:posOffset>
            </wp:positionV>
            <wp:extent cx="17837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w:t>
      </w:r>
    </w:p>
    <w:p>
      <w:pPr>
        <w:ind w:left="820" w:right="120" w:hanging="326"/>
        <w:spacing w:after="0" w:line="211"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2014, included a $14 million loss in interest expense and a $4 million loss in operating expenses. For the three months ended March 31, 2013, included a $1 million loss in interest expense and a $2 million gain in operating expenses.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March 31, 2014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2013</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excluding convertible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Convertible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5,732</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contracts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1"/>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two of its operating segments into each of its North America and International reportable segments.</w:t>
      </w:r>
    </w:p>
    <w:p>
      <w:pPr>
        <w:spacing w:after="0" w:line="150"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 In the first quarter of 2014, the Company revised its definition of Adjusted EBITDA to exclude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right="300"/>
        <w:spacing w:after="0" w:line="256" w:lineRule="auto"/>
        <w:rPr>
          <w:sz w:val="20"/>
          <w:szCs w:val="20"/>
          <w:color w:val="auto"/>
        </w:rPr>
      </w:pPr>
      <w:r>
        <w:rPr>
          <w:rFonts w:ascii="Arial" w:cs="Arial" w:eastAsia="Arial" w:hAnsi="Arial"/>
          <w:sz w:val="18"/>
          <w:szCs w:val="18"/>
          <w:color w:val="auto"/>
        </w:rPr>
        <w:t>restructuring expense and has recast its 2013 Adjusted EBITDA to conform with the revised definition, consistent with the manner in which management assesses performance and allocates resources. The Company’s presentation of Adjusted EBITDA may not be comparable to similarly-titled measures used by other companies.</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Truck Rental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580" w:type="dxa"/>
            <w:vAlign w:val="bottom"/>
            <w:gridSpan w:val="2"/>
          </w:tcPr>
          <w:p>
            <w:pPr>
              <w:ind w:left="420"/>
              <w:spacing w:after="0"/>
              <w:rPr>
                <w:sz w:val="20"/>
                <w:szCs w:val="20"/>
                <w:color w:val="auto"/>
              </w:rPr>
            </w:pPr>
            <w:r>
              <w:rPr>
                <w:rFonts w:ascii="Arial" w:cs="Arial" w:eastAsia="Arial" w:hAnsi="Arial"/>
                <w:sz w:val="18"/>
                <w:szCs w:val="18"/>
                <w:color w:val="auto"/>
              </w:rPr>
              <w:t>Total Company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 w:type="dxa"/>
            <w:vAlign w:val="bottom"/>
          </w:tcPr>
          <w:p>
            <w:pPr>
              <w:ind w:left="20"/>
              <w:spacing w:after="0"/>
              <w:rPr>
                <w:sz w:val="20"/>
                <w:szCs w:val="20"/>
                <w:color w:val="auto"/>
              </w:rPr>
            </w:pPr>
            <w:r>
              <w:rPr>
                <w:rFonts w:ascii="Arial" w:cs="Arial" w:eastAsia="Arial" w:hAnsi="Arial"/>
                <w:sz w:val="18"/>
                <w:szCs w:val="18"/>
                <w:color w:val="auto"/>
              </w:rPr>
              <w:t>Less:</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3"/>
        </w:trPr>
        <w:tc>
          <w:tcPr>
            <w:tcW w:w="64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60" w:hanging="326"/>
        <w:spacing w:after="0" w:line="219"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Amounts reflect the Company’s realignment of its operating segments (see Note 1 - Basis of Presentation for details). As a result, previously reported amounts were recast decreasing North America revenues and increasing International revenues by $2 million in the three months ended March 31, 2013.</w:t>
      </w:r>
    </w:p>
    <w:p>
      <w:pPr>
        <w:ind w:left="820" w:hanging="326"/>
        <w:spacing w:after="0" w:line="219"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Amounts reflect the revised definition of Adjusted EBITDA to exclude restructuring expense, which resulted in an increase in Adjusted EBITDA in North America, International and Truck Rental of $3 million, $3 million and $4 million, respectively, in the three months ended March 31, 2013. The realignment of the Company's operating segments had no effect on Adjusted EBITDA for the three months ended March 31, 2013.</w:t>
      </w:r>
    </w:p>
    <w:p>
      <w:pPr>
        <w:ind w:left="820" w:hanging="326"/>
        <w:spacing w:after="0" w:line="187" w:lineRule="auto"/>
        <w:tabs>
          <w:tab w:leader="none" w:pos="82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Includes unallocated corporate overhead which is not attributable to a particular segment.</w:t>
      </w:r>
    </w:p>
    <w:p>
      <w:pPr>
        <w:jc w:val="both"/>
        <w:ind w:left="820" w:right="40" w:hanging="326"/>
        <w:spacing w:after="0" w:line="221"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2014, transaction-related costs primarily comprised of a non-cash charge for re-acquired license rights and acquisition integration expenses. During the three months ended March 31, 2013, transaction-related costs primarily related to the integration of Avis Europe and the acquisition of Zipcar.</w:t>
      </w:r>
    </w:p>
    <w:p>
      <w:pPr>
        <w:spacing w:after="0" w:line="182"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Since December 31, 2013, there have been no significant changes in segment assets other than in the Company’s North America segment. As of March 31, 2014 and December 31, 2013, North America assets under vehicle programs were approximately $8.8 billion and $7.9 billion, respectively.</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months ended March 31, 2014 and 2013, Consolidating Condensed Balance Sheets as of March 31, 2014 and December 31, 2013, and Consolidating Condensed Statements of Cash Flows for the three months ended March 31, 2014 and 2013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senior notes issued by the Subsidiary Issuers. These senior notes consist of Floating rate notes due 2017, 4⅞% notes due 2017, 8¼% notes due 2019, 9¾% notes due 2020 and 5½% notes due April 2023 (collectively, the “Notes”). See Note 8—Long-term Debt and Borrowing Arrangements for additional information regarding these Notes. The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 Certain reclassifications have been made to the 2013 consolidating condensed financial statements to report intercompany transactions on a gross basis and to conform to the current-year presentation. The reclassified amounts had no impact on reported net income, stockholders’ equity, or the net change in cash for the periods presented for the Parent, Subsidiary Issuer, Guarantor Subsidiaries, Non-Guarantor Subsidiaries, Eliminations or the Company on a consolidated basis.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66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488"/>
        </w:trPr>
        <w:tc>
          <w:tcPr>
            <w:tcW w:w="35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8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10,617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11,323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17,369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6,359</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393"/>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393"/>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393"/>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393"/>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43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43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43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43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3,762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2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April 2014, the Company's Board of Directors authorized a $235 million increase to the Company's share repurchase program.</w:t>
      </w:r>
    </w:p>
    <w:p>
      <w:pPr>
        <w:spacing w:after="0" w:line="225" w:lineRule="exact"/>
        <w:rPr>
          <w:sz w:val="20"/>
          <w:szCs w:val="20"/>
          <w:color w:val="auto"/>
        </w:rPr>
      </w:pPr>
    </w:p>
    <w:p>
      <w:pPr>
        <w:ind w:left="500" w:right="80" w:firstLine="648"/>
        <w:spacing w:after="0" w:line="256" w:lineRule="auto"/>
        <w:rPr>
          <w:sz w:val="20"/>
          <w:szCs w:val="20"/>
          <w:color w:val="auto"/>
        </w:rPr>
      </w:pPr>
      <w:r>
        <w:rPr>
          <w:rFonts w:ascii="Arial" w:cs="Arial" w:eastAsia="Arial" w:hAnsi="Arial"/>
          <w:sz w:val="18"/>
          <w:szCs w:val="18"/>
          <w:color w:val="auto"/>
        </w:rPr>
        <w:t>In April 2014, the Company used proceeds from its issuance of €200 million of additional 6% Euro-denominated Senior Notes to repurchase $292 million principal amount of its 8¼% Senior Notes. In connection with this repurchase, the Company expects to record debt extinguishment costs of approximately $26 million.</w:t>
      </w:r>
    </w:p>
    <w:p>
      <w:pPr>
        <w:spacing w:after="0" w:line="351" w:lineRule="exact"/>
        <w:rPr>
          <w:sz w:val="20"/>
          <w:szCs w:val="20"/>
          <w:color w:val="auto"/>
        </w:rPr>
      </w:pPr>
    </w:p>
    <w:p>
      <w:pPr>
        <w:jc w:val="center"/>
        <w:ind w:right="-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The following discussion should be read in conjunction with our Consolidated Condensed Financial Statements and accompanying Notes thereto included elsewhere herein and with our 2013 Annual Report on Form 10-K filed with the Securities and Exchange Commission on February 20, 2014 (the “2013 Form 10-K”). Our actual results of operations may differ materially from those discussed in the forward-looking statements as a result of various factors, including but not limited to those included elsewhere in this Quarterly Report on Form 10-Q and those included in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set forth in Item 1A of our 2013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48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fleet of approximately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categorize our operations into three reportable business segments: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consisting of our Avis and Budget car rental operations in the United States, our Avis and Budget vehicle rental operations in Canada, and our Zipcar car sharing operations in North America;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of our Avis and Budget vehicle rental operations in Europe, the Middle East, Africa, Asia, South America, Central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 the Caribbean, Australia and New Zealand, and our car sharing operations in certain of these markets; and </w:t>
      </w:r>
      <w:r>
        <w:rPr>
          <w:rFonts w:ascii="Arial" w:cs="Arial" w:eastAsia="Arial" w:hAnsi="Arial"/>
          <w:sz w:val="18"/>
          <w:szCs w:val="18"/>
          <w:i w:val="1"/>
          <w:iCs w:val="1"/>
          <w:color w:val="auto"/>
        </w:rPr>
        <w:t>Truck Rental</w:t>
      </w:r>
      <w:r>
        <w:rPr>
          <w:rFonts w:ascii="Arial" w:cs="Arial" w:eastAsia="Arial" w:hAnsi="Arial"/>
          <w:sz w:val="18"/>
          <w:szCs w:val="18"/>
          <w:color w:val="auto"/>
        </w:rPr>
        <w:t>, consisting of our Budget truck rental operations in the United States. Our segments include the financial results of Zipcar since our acquisition of such business in March 2013. In conjunction with a change in our management structure in first quarter 2014, we re-aligned components of our Zipcar operations among our business segments. Segment financial information presented below has been recast to conform with our current business segment reporting alignment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car and truck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and/or impact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worldwide enplanements;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acquisitions, our integration of acquired operations and our realization of synergies, particularly with respect to Zipcar and Avis Europe;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demand for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price of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demand for truck rentals.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Thus far in 2014, we continue to operate in an uncertain and uneven economic environment. Nonetheless, we anticipate that worldwide demand for vehicle rental and car sharing services will increase in 2014, most likely against a backdrop of modest economic growth in most of the geographic markets in which we operate directly. We also expect that our access to new fleet vehicles will be adequate to meet our needs for both replacement of existing vehicles in the normal course and for growth to meet incremental demand. We will look to pursue opportunities for further pricing increases in 2014 in order to maintain our returns on invested capital and to enhance our profitability.</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2014:</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net revenues increased 10% year-over-year to $1.9 billion in 2014.</w:t>
      </w:r>
    </w:p>
    <w:p>
      <w:pPr>
        <w:spacing w:after="0" w:line="225" w:lineRule="exact"/>
        <w:rPr>
          <w:rFonts w:ascii="Arial" w:cs="Arial" w:eastAsia="Arial" w:hAnsi="Arial"/>
          <w:sz w:val="18"/>
          <w:szCs w:val="18"/>
          <w:color w:val="auto"/>
        </w:rPr>
      </w:pPr>
    </w:p>
    <w:p>
      <w:pPr>
        <w:ind w:left="660" w:right="90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(our average T&amp;M revenue per rental day) increased 2% in North America, excluding Zipcar and Payless Car Rental (“Payless”) driven by increases in both commercial and leisure pricing.</w:t>
      </w:r>
    </w:p>
    <w:p>
      <w:pPr>
        <w:spacing w:after="0" w:line="196"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increased 26% to $117 million in 2014, as a result of increased revenue (excluding acquisitions) as well as our acquisitions of Zipcar and Payless.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repurchased $75 million of our common stock, reducing our diluted shares outstanding by approximately 1.6 million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acquired our Budget licensee in Edmonton, Alberta, Canada and also re-acquired the right to operate the Budget brand in Portugal.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We also measure our ancillary revenues (rental-transaction revenue other than T&amp;M revenue), such as from the sale of collision and loss damage waivers, insurance products and fuel service options and portable GPS navigation unit rentals. </w:t>
      </w:r>
      <w:r>
        <w:rPr>
          <w:rFonts w:ascii="Arial" w:cs="Arial" w:eastAsia="Arial" w:hAnsi="Arial"/>
          <w:sz w:val="16"/>
          <w:szCs w:val="16"/>
          <w:color w:val="auto"/>
        </w:rPr>
        <w:t>O</w:t>
      </w:r>
      <w:r>
        <w:rPr>
          <w:rFonts w:ascii="Arial" w:cs="Arial" w:eastAsia="Arial" w:hAnsi="Arial"/>
          <w:sz w:val="18"/>
          <w:szCs w:val="18"/>
          <w:color w:val="auto"/>
        </w:rPr>
        <w:t>ur vehicle rental operating statistics (rental days and T&amp;M revenue per rental day) are all calculated based on the actual rental of the vehicle during a 24-hour period. We believe that this methodology, while conservative, provides our management with the most relevant statistics in order to manage the business. Our calculation may not be comparable to other companies’ calculation of similarly-titled statistics.</w:t>
      </w:r>
    </w:p>
    <w:p>
      <w:pPr>
        <w:spacing w:after="0" w:line="207"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Our presentation of Adjusted EBITDA may not be comparable to similarly-titled measures used by other companies. In the first quarter of 2014, we revised our definition of Adjusted EBITDA to exclude restructuring expense and have recast our 2013 Adjusted EBITDA amounts to conform with the revised definition. For additional information regarding the impact of the change in our definition of Adjusted EBITDA, refer to Note 14 -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vs. Three Months Ended March 31,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During first quarter 2014, our net revenues increased principally as a result of a 4% increase in total rental days (excluding Zipcar and Payless), $54 million of incremental revenue from Zipcar, $30 million of revenue from</w:t>
      </w:r>
    </w:p>
    <w:p>
      <w:pPr>
        <w:sectPr>
          <w:pgSz w:w="11900" w:h="16838" w:orient="portrait"/>
          <w:cols w:equalWidth="0" w:num="1">
            <w:col w:w="11420"/>
          </w:cols>
          <w:pgMar w:left="240" w:top="125"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Payless and a 7% increase in ancillary revenues (excluding Zipcar and Payless). Movements in currency exchange rates did not have a significant impact on revenues during first quarter 2014 compared to 2013.</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Total expenses increased as a result of higher operating expenses resulting from increased volumes; higher vehicle depreciation and lease charges as a result of a 2% increase in our car rental fleet and a 6% increase in our per-unit fleet costs (excluding Zipcar and Payless); and higher selling, general and administrative costs, driven by the acquisition of Zipcar. These increases were partially offset by the decrease in debt extinguishment costs. As a result, despite a $9 million negative pretax impact from currency exchange rate movements, our net income increased by $50 million. Our effective tax rates were a provision of 20% and a benefit of 19% for the three months ended March 31, 2014 and 2013, respectively, principally due to a discrete $1 million state income tax item in 2014 and the treatment of the expenses for the early extinguishment of corporate debt in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2014:</w:t>
      </w:r>
    </w:p>
    <w:p>
      <w:pPr>
        <w:spacing w:after="0" w:line="225" w:lineRule="exact"/>
        <w:rPr>
          <w:sz w:val="20"/>
          <w:szCs w:val="20"/>
          <w:color w:val="auto"/>
        </w:rPr>
      </w:pPr>
    </w:p>
    <w:p>
      <w:pPr>
        <w:ind w:left="660" w:right="54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expenses decreased to 53.7% of revenue from 55.1% in first quarter 2013, driven by higher rental volumes, increased ancillary revenues and our continued cost-reduction efforts.</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23.2% of revenue from 22.8% in first quarter 2013, principally due to higher per-unit fleet costs in North America.</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13.3% of revenue from 13.2% in first quarter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interest costs were 3.5% of revenue compared to 3.4%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13%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6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62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 non-cash charge for re-acquired license rights and acquisition integration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w:t>
            </w:r>
          </w:p>
        </w:tc>
      </w:tr>
    </w:tbl>
    <w:p>
      <w:pPr>
        <w:spacing w:after="0" w:line="2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increased 13% in first quarter 2014 compared with first quarter 2013, primarily due to the acquisitions of Zipcar and Payless, as well as 4% growth in rental volumes and a 2% increase in pricing (excluding Zipcar and Payless).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Adjusted EBITDA increased 23% in first quarter 2014 compared with first quarter 2013, primarily due to the acquisitions of Zipcar and Payless as well as increased pricing and rental volumes (excluding Zipcar and Payless), partially offset by 8% higher per-unit fleet costs (excluding Zipcar and Payless).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2014:</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were 51.2% of revenue, a decrease from 51.7% in the prior-year period, primarily due to increased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24.2% of revenue from 24.0% in first quarter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11.3% of revenue from 11.6%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declined to 4.1% of revenue compared to 4.2% in first quarter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Revenues increased 7% during first quarter 2014 compared to first quarter 2013, primarily due to a 3% increase in rental volumes and an 8% increase in ancillary revenues.</w:t>
      </w:r>
    </w:p>
    <w:p>
      <w:pPr>
        <w:spacing w:after="0" w:line="19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Adjusted EBITDA remained level in first quarter 2014 compared to first quarter 2013, with the benefit of higher revenue offset by a $9 million negative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2014:</w:t>
      </w:r>
    </w:p>
    <w:p>
      <w:pPr>
        <w:spacing w:after="0" w:line="225" w:lineRule="exact"/>
        <w:rPr>
          <w:sz w:val="20"/>
          <w:szCs w:val="20"/>
          <w:color w:val="auto"/>
        </w:rPr>
      </w:pPr>
    </w:p>
    <w:p>
      <w:pPr>
        <w:ind w:left="660" w:right="5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were 57.4% of revenue, a decrease from 58.9% in the prior-year period, primarily due to increased ancillary revenues.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at 21.3% of revenue, remained level compared to first quarter 2013.</w:t>
      </w:r>
    </w:p>
    <w:p>
      <w:pPr>
        <w:spacing w:after="0" w:line="225"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16.2% of revenue from 15.1% in the prior-year period, primarily due to the acquisition of Zipcar and increased advertising and brand investments.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increased to 2.1% of revenue compared to 1.6% in first quarter 2013, due to lower cash balances in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DDDDDD"/>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w:t>
            </w:r>
          </w:p>
        </w:tc>
      </w:tr>
      <w:tr>
        <w:trPr>
          <w:trHeight w:val="191"/>
        </w:trPr>
        <w:tc>
          <w:tcPr>
            <w:tcW w:w="740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$1 million due to a 3% decrease in total rental days and lower ancillary sales, largely offset by a 4% increase in pricing.</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Adjusted EBITDA increased in first quarter 2014 compared with first quarter 2013, principally due to increased pricing and lower maintenance costs as we realize the benefits of our previous restructuring initiative.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8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assets exclusive of assets under vehicle programs increased primarily due to a temporary increase in cash from the issuance of additional 6% Euro-denominated Senior Notes due 2021 (see “Liquidity and Capital Resources”).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Total liabilities exclusive of liabilities under vehicle programs increased primarily due to a temporary increase in corporate debt (see “Liquidity and Capital Resources” regarding the changes in our corporate financings).</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associated funding.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the repurchase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the three months ended March 31, 2014, we issued €200 million (approximately $275 million) of additional 6% Euro-denominated Senior Notes due 2021 at 106.75% of their face value, for aggregate proceeds of approximately $295 million. Proceeds from the offering were used in April 2014 to repurchase $292 million principal amount of our 8¼% Senior Notes due 2019 for $316 million plus accrued interest. In addition, we repurchased approximately 1.6 million shares of our outstanding common stock during the three months ended March 31, 2014, and increased our borrowings under vehicle programs to fund the seasonal increase in our rental fleet.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CASH FLOWS</w:t>
            </w:r>
          </w:p>
        </w:tc>
        <w:tc>
          <w:tcPr>
            <w:tcW w:w="5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provided by (used in):</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Investing activities</w:t>
            </w: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three months ended March 31, 2014, we generated $90 million more cash from operating activities compared with the same period in 2013 principally due to an increase in our net income and a decrease in our income tax payments.</w:t>
      </w:r>
    </w:p>
    <w:p>
      <w:pPr>
        <w:spacing w:after="0" w:line="19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decrease in cash used in investing activities during the three months ended March 31, 2014 compared with the same period in 2013 is primarily due to the use of cash in 2013 for our acquisition of Zipcar, partially offset by the acquisition of our Budget licensee in Edmonton in 2014.</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decrease in cash provided by financing activities during the three months ended March 31, 2014 compared with the same period in 2013 is primarily due to higher corporate borrowings in 2013 to fund the acquisition of Zipcar, as well as the use of cash in 2014 to repurchase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At March 31, 2014, we had approximately $11.7 billion of indebtedness, including corporate indebtedness of approximately $3.7 billion and debt under vehicle programs of approximately $8.0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13"/>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2014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8¼% Senior Notes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2019</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(d)</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193" w:lineRule="auto"/>
        <w:tabs>
          <w:tab w:leader="none" w:pos="4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As of March 31, 2014, the 3½% convertible notes are convertible by the holders into approximately 4 million shares of the Company’s common stock.</w:t>
      </w:r>
    </w:p>
    <w:p>
      <w:pPr>
        <w:ind w:left="420" w:right="160" w:hanging="412"/>
        <w:spacing w:after="0" w:line="211" w:lineRule="auto"/>
        <w:tabs>
          <w:tab w:leader="none" w:pos="4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3.00% at March 31, 2014; the Company has entered into an interest rate swap to hedge its interest rate exposure related to these notes at an aggregate rate of 3.58%.</w:t>
      </w:r>
    </w:p>
    <w:p>
      <w:pPr>
        <w:ind w:left="420" w:right="240" w:hanging="412"/>
        <w:spacing w:after="0" w:line="211" w:lineRule="auto"/>
        <w:tabs>
          <w:tab w:leader="none" w:pos="4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As of March 31, 2014, the Company called $292 million of the 8¼% Senior Notes due 2019 for redemption; accordingly, these are included in current portion of long-term debt.</w:t>
      </w:r>
    </w:p>
    <w:p>
      <w:pPr>
        <w:ind w:left="420" w:right="40" w:hanging="412"/>
        <w:spacing w:after="0" w:line="229" w:lineRule="auto"/>
        <w:tabs>
          <w:tab w:leader="none" w:pos="4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ectPr>
          <w:pgSz w:w="11900" w:h="16838" w:orient="portrait"/>
          <w:cols w:equalWidth="0" w:num="1">
            <w:col w:w="11420"/>
          </w:cols>
          <w:pgMar w:left="240" w:top="108"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08"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(a)( b)</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(c)</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6"/>
                <w:szCs w:val="16"/>
                <w:color w:val="auto"/>
              </w:rPr>
              <w:t>Truck Rental - Debt borrowings</w:t>
            </w:r>
          </w:p>
        </w:tc>
        <w:tc>
          <w:tcPr>
            <w:tcW w:w="3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83"/>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an increase in the Company’s fleet driven by increased rental volume.</w:t>
      </w:r>
    </w:p>
    <w:p>
      <w:pPr>
        <w:ind w:left="340" w:hanging="332"/>
        <w:spacing w:after="0" w:line="187"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an increase in the Company’s fleet driven by the acquisition of its Budget licensee for Edmonton.</w:t>
      </w:r>
    </w:p>
    <w:p>
      <w:pPr>
        <w:ind w:left="340" w:hanging="332"/>
        <w:spacing w:after="0" w:line="199"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decrease is principally related to the timing of borrowings related to recently acquired fleet.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 committed corporate credit facilities available to us and/or our subsidiaries included: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200" w:type="dxa"/>
            <w:vAlign w:val="bottom"/>
          </w:tcPr>
          <w:p>
            <w:pPr>
              <w:jc w:val="center"/>
              <w:ind w:left="459"/>
              <w:spacing w:after="0"/>
              <w:rPr>
                <w:sz w:val="20"/>
                <w:szCs w:val="20"/>
                <w:color w:val="auto"/>
              </w:rPr>
            </w:pPr>
            <w:r>
              <w:rPr>
                <w:rFonts w:ascii="Arial" w:cs="Arial" w:eastAsia="Arial" w:hAnsi="Arial"/>
                <w:sz w:val="16"/>
                <w:szCs w:val="16"/>
                <w:b w:val="1"/>
                <w:bCs w:val="1"/>
                <w:color w:val="auto"/>
                <w:w w:val="99"/>
              </w:rPr>
              <w:t>Total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left="239"/>
              <w:spacing w:after="0"/>
              <w:rPr>
                <w:sz w:val="20"/>
                <w:szCs w:val="20"/>
                <w:color w:val="auto"/>
              </w:rPr>
            </w:pPr>
            <w:r>
              <w:rPr>
                <w:rFonts w:ascii="Arial" w:cs="Arial" w:eastAsia="Arial" w:hAnsi="Arial"/>
                <w:sz w:val="16"/>
                <w:szCs w:val="16"/>
                <w:b w:val="1"/>
                <w:bCs w:val="1"/>
                <w:color w:val="auto"/>
                <w:w w:val="99"/>
              </w:rPr>
              <w:t>Outstanding</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Letters of</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00" w:type="dxa"/>
            <w:vAlign w:val="bottom"/>
          </w:tcPr>
          <w:p>
            <w:pPr>
              <w:spacing w:after="0"/>
              <w:rPr>
                <w:sz w:val="19"/>
                <w:szCs w:val="19"/>
                <w:color w:val="auto"/>
              </w:rPr>
            </w:pPr>
          </w:p>
        </w:tc>
        <w:tc>
          <w:tcPr>
            <w:tcW w:w="12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Capacity</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Borrowings</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00" w:type="dxa"/>
            <w:vAlign w:val="bottom"/>
          </w:tcPr>
          <w:p>
            <w:pPr>
              <w:spacing w:after="0"/>
              <w:rPr>
                <w:sz w:val="20"/>
                <w:szCs w:val="20"/>
                <w:color w:val="auto"/>
              </w:rPr>
            </w:pPr>
            <w:r>
              <w:rPr>
                <w:rFonts w:ascii="Arial" w:cs="Arial" w:eastAsia="Arial" w:hAnsi="Arial"/>
                <w:sz w:val="16"/>
                <w:szCs w:val="16"/>
                <w:color w:val="auto"/>
              </w:rPr>
              <w:t xml:space="preserve">Revolving credit facility maturing 2018 </w:t>
            </w:r>
            <w:r>
              <w:rPr>
                <w:rFonts w:ascii="Arial" w:cs="Arial" w:eastAsia="Arial" w:hAnsi="Arial"/>
                <w:sz w:val="21"/>
                <w:szCs w:val="21"/>
                <w:color w:val="auto"/>
                <w:vertAlign w:val="superscript"/>
              </w:rPr>
              <w:t>(a)</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1,650</w:t>
            </w:r>
          </w:p>
        </w:tc>
        <w:tc>
          <w:tcPr>
            <w:tcW w:w="120" w:type="dxa"/>
            <w:vAlign w:val="bottom"/>
          </w:tcPr>
          <w:p>
            <w:pPr>
              <w:spacing w:after="0"/>
              <w:rPr>
                <w:sz w:val="24"/>
                <w:szCs w:val="24"/>
                <w:color w:val="auto"/>
              </w:rPr>
            </w:pP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218"/>
        </w:trPr>
        <w:tc>
          <w:tcPr>
            <w:tcW w:w="4200" w:type="dxa"/>
            <w:vAlign w:val="bottom"/>
          </w:tcPr>
          <w:p>
            <w:pPr>
              <w:spacing w:after="0" w:line="219"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12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420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5" w:lineRule="exact"/>
        <w:rPr>
          <w:sz w:val="20"/>
          <w:szCs w:val="20"/>
          <w:color w:val="auto"/>
        </w:rPr>
      </w:pPr>
    </w:p>
    <w:p>
      <w:pPr>
        <w:ind w:left="340" w:right="100" w:hanging="332"/>
        <w:spacing w:after="0" w:line="220"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225 basis points. The senior revolving credit facility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5.14% to 5.69% as of March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March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(f)</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11,487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$8.1 billion of underlying vehicles and related assets.</w:t>
      </w:r>
    </w:p>
    <w:p>
      <w:pPr>
        <w:ind w:left="340" w:hanging="332"/>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$604 million of underlying vehicles and related assets.</w:t>
      </w:r>
    </w:p>
    <w:p>
      <w:pPr>
        <w:ind w:left="340" w:hanging="332"/>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$1.0 billion of underlying vehicles and related assets.</w:t>
      </w:r>
    </w:p>
    <w:p>
      <w:pPr>
        <w:ind w:left="340" w:hanging="332"/>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$387 million of underlying vehicles and related assets.</w:t>
      </w:r>
    </w:p>
    <w:p>
      <w:pPr>
        <w:ind w:left="340" w:hanging="332"/>
        <w:spacing w:after="0" w:line="199"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$351 million of underlying vehicles and related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above, as of March 31, 2014, we have cash and cash equivalents of $841 million, available borrowing capacity under our committed credit facilities of $1.0 billion and available capacity under our vehicle programs of approximately $3.5 billion. In April 2014, we repurchased $292 million principal amount of our 8¼% Senior Notes for $316 million plus accrued interest and obtained Board approval to expand our $200 million share repurchase authorization by $235 million. We intend to fund share repurchases under the program with our cash flow from operations.</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180"/>
        <w:spacing w:after="0" w:line="253"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Kia, Fiat, Subaru, BMW and Toyota being unable or unwilling to honor their obligations to repurchase or guarantee the depreciation on the related program vehicles, (iv) disruption in our ability to obtain financing due to negative credit events specific to us or affecting the overall debt market and (v) the effect of Realogy or Wyndham being unable or unwilling to honor its respective obligations under the agreements governing their disposition.</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March 31, 2014, we were in compliance with the financial covenants in our senior credit facility. For additional information regarding our liquidity risks, see Part I, Item 1A, “Risk Factors” of our 2013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2013 Form 10-K with the exception of our commitment to purchase vehicles, which decreased by approximately $810 million from December 31, 2013, to approximately $5.6 billion at March 31, 2014. Changes to our obligations related to corporate indebtedness and debt under vehicle programs are presented above within the section titled “Liquidity and Capital Resources—Debt and Financing Arrangements” and also within Notes 8 and 9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2013 Form 10-K are the accounting policies (related to goodwill and other indefinite-lived intangible assets, business combinations, vehicles, income taxes and public liability, property damage and other insurance liabilities) that we believe require subjective and/or complex judgments that could potentially affect 2014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foreign currency forward contracts to manage and reduce currency exchange-rate risk; and derivative commodity instruments to manage and reduce the risk of changing unleaded gasoline prices.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presented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long-term borrowings and financial instruments, see Notes 8, 9 and 13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currency exchange rate exposure to exchange rate fluctuations worldwide and particularly with respect to the Australian, Canadian and New Zealand dollars, the Euro and the British pound sterling. We use currency forward contracts and currency swaps to manage exchange rate risk that arises from certain intercompany transactions, and from non-functional currency denominated assets and liabilities and earnings denominated in non-U.S. dollar currencies. Our foreign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Based on our currency forward contracts as of March 31, 2014, we estimate that a 10% change in currency exchange rates would not have a material impact on our earnings. Because gains or losses related to currency forward contracts are expected to be offset by corresponding gains or losses on the underlying exposures being hedged, when combined, these currency forward contracts and the underlying exposures do not create a material impact to our results of operations, balance sheet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4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Our primary interest rate exposure at March 31, 2014, was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derivatives as of March 31, 2014, we estimate that a 10% change in interest rates would not have a material impact on our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to our results of operations, balance sheet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unleaded gasoline. We anticipate that such commodity risk will remain a market risk exposure for the foreseeable future. We determined that a hypothetical 10% change in the price of unleaded gasoline would not have a material impact on our earnings for the period ended March 31, 2014.</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period ended March 31, 2014.</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For the quarter ended March 31, 2014, the Company had no material developments to report with respect to its legal proceedings. For additional information regarding the Company’s legal proceedings, please refer to the Company’s 2013 Annual Report on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Avis Budget Group’s common stock repurchases by month for the quarter ended March 31, 2014: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r>
      <w:tr>
        <w:trPr>
          <w:trHeight w:val="203"/>
        </w:trPr>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r>
      <w:tr>
        <w:trPr>
          <w:trHeight w:val="203"/>
        </w:trPr>
        <w:tc>
          <w:tcPr>
            <w:tcW w:w="340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r>
      <w:tr>
        <w:trPr>
          <w:trHeight w:val="239"/>
        </w:trPr>
        <w:tc>
          <w:tcPr>
            <w:tcW w:w="3400" w:type="dxa"/>
            <w:vAlign w:val="bottom"/>
          </w:tcPr>
          <w:p>
            <w:pPr>
              <w:spacing w:after="0"/>
              <w:rPr>
                <w:sz w:val="20"/>
                <w:szCs w:val="20"/>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r>
      <w:tr>
        <w:trPr>
          <w:trHeight w:val="95"/>
        </w:trPr>
        <w:tc>
          <w:tcPr>
            <w:tcW w:w="34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January 1-31,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216,809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216,809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140,912,111</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February 1-28,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259,980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259,980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129,800,643</w:t>
            </w:r>
          </w:p>
        </w:tc>
      </w:tr>
      <w:tr>
        <w:trPr>
          <w:trHeight w:val="277"/>
        </w:trPr>
        <w:tc>
          <w:tcPr>
            <w:tcW w:w="3400" w:type="dxa"/>
            <w:vAlign w:val="bottom"/>
          </w:tcPr>
          <w:p>
            <w:pPr>
              <w:spacing w:after="0"/>
              <w:rPr>
                <w:sz w:val="20"/>
                <w:szCs w:val="20"/>
                <w:color w:val="auto"/>
              </w:rPr>
            </w:pPr>
            <w:r>
              <w:rPr>
                <w:rFonts w:ascii="Arial" w:cs="Arial" w:eastAsia="Arial" w:hAnsi="Arial"/>
                <w:sz w:val="18"/>
                <w:szCs w:val="18"/>
                <w:color w:val="auto"/>
              </w:rPr>
              <w:t>March 1-31, 2014</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1,157,910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1,157,910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74,555,037</w:t>
            </w:r>
          </w:p>
        </w:tc>
      </w:tr>
      <w:tr>
        <w:trPr>
          <w:trHeight w:val="257"/>
        </w:trPr>
        <w:tc>
          <w:tcPr>
            <w:tcW w:w="3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1,634,699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74,555,037</w:t>
            </w:r>
          </w:p>
        </w:tc>
      </w:tr>
      <w:tr>
        <w:trPr>
          <w:trHeight w:val="20"/>
        </w:trPr>
        <w:tc>
          <w:tcPr>
            <w:tcW w:w="34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62626"/>
        </w:rPr>
        <w:t>In August 2013, the Company obtained Board approval to repurchase up to $200 million of its common stock. In April 2014, t</w:t>
      </w:r>
      <w:r>
        <w:rPr>
          <w:rFonts w:ascii="Arial" w:cs="Arial" w:eastAsia="Arial" w:hAnsi="Arial"/>
          <w:sz w:val="18"/>
          <w:szCs w:val="18"/>
          <w:color w:val="000000"/>
        </w:rPr>
        <w:t>he Company's</w:t>
      </w:r>
      <w:r>
        <w:rPr>
          <w:rFonts w:ascii="Arial" w:cs="Arial" w:eastAsia="Arial" w:hAnsi="Arial"/>
          <w:sz w:val="18"/>
          <w:szCs w:val="18"/>
          <w:color w:val="262626"/>
        </w:rPr>
        <w:t xml:space="preserve"> </w:t>
      </w:r>
      <w:r>
        <w:rPr>
          <w:rFonts w:ascii="Arial" w:cs="Arial" w:eastAsia="Arial" w:hAnsi="Arial"/>
          <w:sz w:val="18"/>
          <w:szCs w:val="18"/>
          <w:color w:val="000000"/>
        </w:rPr>
        <w:t>Board of Directors authorized a $235 million increase to the share repurchase program. The Company's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Izilda P. Martins</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Acting 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125" w:right="5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Fifth Global Amendment dated as of February 27, 2014, among Aviscar Inc., Budgetcar Inc., Zipcar Canada, Inc., WTH Car</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Rental ULC, WTH Funding Limited Partnership, BNY Trust Company Of Canada as Indenture Trustee, Bay Street Funding</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Trust, Canadian Master Trust, Plaza Trust and Avis Budget Car Rental, LLC (Incorporated by reference to Exhibit 10.105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Company’s Registration Statement on Form S-4 dated March 28, 2014).</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Amended and Restated Employment Agreement between Avis Budget Group, Inc. and Ronald L. Nelson (Incorporated by</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referenced to Exhibit 10.1 to the Company's Current Report on Form 8-K dated April 22, 2014).</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689"/>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ind w:left="4540"/>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rPr>
                <w:sz w:val="20"/>
                <w:szCs w:val="20"/>
                <w:color w:val="auto"/>
              </w:rPr>
            </w:pPr>
            <w:r>
              <w:rPr>
                <w:rFonts w:ascii="Arial" w:cs="Arial" w:eastAsia="Arial" w:hAnsi="Arial"/>
                <w:sz w:val="18"/>
                <w:szCs w:val="18"/>
                <w:color w:val="auto"/>
              </w:rPr>
              <w:t>Income (loss) from continuing operations before income taxes</w:t>
            </w:r>
          </w:p>
        </w:tc>
        <w:tc>
          <w:tcPr>
            <w:tcW w:w="98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1.03x</w:t>
            </w:r>
          </w:p>
        </w:tc>
        <w:tc>
          <w:tcPr>
            <w:tcW w:w="46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40" w:right="1140" w:hanging="168"/>
        <w:spacing w:after="0" w:line="451" w:lineRule="auto"/>
        <w:tabs>
          <w:tab w:leader="none" w:pos="1540"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1380" w:hanging="170"/>
        <w:spacing w:after="0"/>
        <w:tabs>
          <w:tab w:leader="none" w:pos="1380" w:val="left"/>
        </w:tabs>
        <w:numPr>
          <w:ilvl w:val="0"/>
          <w:numId w:val="52"/>
        </w:numPr>
        <w:rPr>
          <w:rFonts w:ascii="Arial" w:cs="Arial" w:eastAsia="Arial" w:hAnsi="Arial"/>
          <w:sz w:val="19"/>
          <w:szCs w:val="19"/>
          <w:color w:val="auto"/>
          <w:vertAlign w:val="superscript"/>
        </w:rPr>
      </w:pPr>
      <w:r>
        <w:rPr>
          <w:rFonts w:ascii="Arial" w:cs="Arial" w:eastAsia="Arial" w:hAnsi="Arial"/>
          <w:sz w:val="15"/>
          <w:szCs w:val="15"/>
          <w:color w:val="auto"/>
        </w:rPr>
        <w:t>Earnings were not sufficient to cover fixed charges for the three months ended March 31, 2013 by $57 million.</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903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387" w:lineRule="exact"/>
        <w:rPr>
          <w:sz w:val="20"/>
          <w:szCs w:val="20"/>
          <w:color w:val="auto"/>
        </w:rPr>
      </w:pPr>
    </w:p>
    <w:p>
      <w:pPr>
        <w:ind w:left="4820"/>
        <w:spacing w:after="0"/>
        <w:tabs>
          <w:tab w:leader="none" w:pos="5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2014,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8, 2014</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8,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lvl w:ilvl="1">
      <w:lvlJc w:val="left"/>
      <w:lvlText w:val="•"/>
      <w:numFmt w:val="bullet"/>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1"/>
    </w:lvl>
    <w:lvl w:ilvl="1">
      <w:lvlJc w:val="left"/>
      <w:lvlText w:val="(%2)"/>
      <w:numFmt w:val="lowerLetter"/>
      <w:start w:val="1"/>
    </w:lvl>
  </w:abstractNum>
  <w:abstractNum w:abstractNumId="6">
    <w:nsid w:val="7C3DBD3D"/>
    <w:multiLevelType w:val="hybridMultilevel"/>
    <w:lvl w:ilvl="0">
      <w:lvlJc w:val="left"/>
      <w:lvlText w:val="%1."/>
      <w:numFmt w:val="decimal"/>
      <w:start w:val="4"/>
    </w:lvl>
    <w:lvl w:ilvl="1">
      <w:lvlJc w:val="left"/>
      <w:lvlText w:val="%2"/>
      <w:numFmt w:val="lowerLetter"/>
      <w:start w:val="1"/>
    </w:lvl>
  </w:abstractNum>
  <w:abstractNum w:abstractNumId="7">
    <w:nsid w:val="737B8DDC"/>
    <w:multiLevelType w:val="hybridMultilevel"/>
    <w:lvl w:ilvl="0">
      <w:lvlJc w:val="left"/>
      <w:lvlText w:val="%1."/>
      <w:numFmt w:val="decimal"/>
      <w:start w:val="5"/>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decimal"/>
      <w:start w:val="9"/>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0"/>
    </w:lvl>
  </w:abstractNum>
  <w:abstractNum w:abstractNumId="20">
    <w:nsid w:val="5C482A97"/>
    <w:multiLevelType w:val="hybridMultilevel"/>
    <w:lvl w:ilvl="0">
      <w:lvlJc w:val="left"/>
      <w:lvlText w:val="%1."/>
      <w:numFmt w:val="decimal"/>
      <w:start w:val="1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decimal"/>
      <w:start w:val="12"/>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decimal"/>
      <w:start w:val="1"/>
    </w:lvl>
    <w:lvl w:ilvl="1">
      <w:lvlJc w:val="left"/>
      <w:lvlText w:val="(%2)"/>
      <w:numFmt w:val="lowerLetter"/>
      <w:start w:val="1"/>
    </w:lvl>
  </w:abstractNum>
  <w:abstractNum w:abstractNumId="26">
    <w:nsid w:val="153EA438"/>
    <w:multiLevelType w:val="hybridMultilevel"/>
    <w:lvl w:ilvl="0">
      <w:lvlJc w:val="left"/>
      <w:lvlText w:val="%1."/>
      <w:numFmt w:val="decimal"/>
      <w:start w:val="13"/>
    </w:lvl>
    <w:lvl w:ilvl="1">
      <w:lvlJc w:val="left"/>
      <w:lvlText w:val="%2"/>
      <w:numFmt w:val="lowerLetter"/>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decimal"/>
      <w:start w:val="1"/>
    </w:lvl>
    <w:lvl w:ilvl="1">
      <w:lvlJc w:val="left"/>
      <w:lvlText w:val="(%2)"/>
      <w:numFmt w:val="lowerLetter"/>
      <w:start w:val="1"/>
    </w:lvl>
  </w:abstractNum>
  <w:abstractNum w:abstractNumId="31">
    <w:nsid w:val="1D4ED43B"/>
    <w:multiLevelType w:val="hybridMultilevel"/>
    <w:lvl w:ilvl="0">
      <w:lvlJc w:val="left"/>
      <w:lvlText w:val="%1."/>
      <w:numFmt w:val="decimal"/>
      <w:start w:val="14"/>
    </w:lvl>
    <w:lvl w:ilvl="1">
      <w:lvlJc w:val="left"/>
      <w:lvlText w:val="%2"/>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decimal"/>
      <w:start w:val="15"/>
    </w:lvl>
  </w:abstractNum>
  <w:abstractNum w:abstractNumId="34">
    <w:nsid w:val="57E4CCAF"/>
    <w:multiLevelType w:val="hybridMultilevel"/>
    <w:lvl w:ilvl="0">
      <w:lvlJc w:val="left"/>
      <w:lvlText w:val="%1."/>
      <w:numFmt w:val="decimal"/>
      <w:start w:val="16"/>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2019-12-05T19:49:38Z</dcterms:created>
  <dcterms:modified xsi:type="dcterms:W3CDTF">2019-12-05T19:49:38Z</dcterms:modified>
</cp:coreProperties>
</file>