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740410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766445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27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9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April 29, 2026</w:t>
      </w:r>
    </w:p>
    <w:p>
      <w:pPr>
        <w:spacing w:after="0" w:line="3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6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Avis Budget Group, Inc.</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24" w:lineRule="exact"/>
        <w:rPr>
          <w:sz w:val="24"/>
          <w:szCs w:val="24"/>
          <w:color w:val="auto"/>
        </w:rPr>
      </w:pPr>
    </w:p>
    <w:tbl>
      <w:tblPr>
        <w:tblLayout w:type="fixed"/>
        <w:tblInd w:w="540" w:type="dxa"/>
        <w:tblCellMar>
          <w:top w:w="0" w:type="dxa"/>
          <w:left w:w="0" w:type="dxa"/>
          <w:bottom w:w="0" w:type="dxa"/>
          <w:right w:w="0" w:type="dxa"/>
        </w:tblCellMar>
      </w:tblPr>
      <w:tr>
        <w:trPr>
          <w:trHeight w:val="230"/>
        </w:trPr>
        <w:tc>
          <w:tcPr>
            <w:tcW w:w="3740" w:type="dxa"/>
            <w:vAlign w:val="bottom"/>
          </w:tcPr>
          <w:p>
            <w:pPr>
              <w:jc w:val="center"/>
              <w:ind w:right="214"/>
              <w:spacing w:after="0"/>
              <w:rPr>
                <w:sz w:val="20"/>
                <w:szCs w:val="20"/>
                <w:color w:val="auto"/>
              </w:rPr>
            </w:pPr>
            <w:r>
              <w:rPr>
                <w:rFonts w:ascii="Arial" w:cs="Arial" w:eastAsia="Arial" w:hAnsi="Arial"/>
                <w:sz w:val="18"/>
                <w:szCs w:val="18"/>
                <w:b w:val="1"/>
                <w:bCs w:val="1"/>
                <w:color w:val="auto"/>
              </w:rPr>
              <w:t>Delaware</w:t>
            </w:r>
          </w:p>
        </w:tc>
        <w:tc>
          <w:tcPr>
            <w:tcW w:w="2820" w:type="dxa"/>
            <w:vAlign w:val="bottom"/>
          </w:tcPr>
          <w:p>
            <w:pPr>
              <w:jc w:val="right"/>
              <w:ind w:right="975"/>
              <w:spacing w:after="0"/>
              <w:rPr>
                <w:sz w:val="20"/>
                <w:szCs w:val="20"/>
                <w:color w:val="auto"/>
              </w:rPr>
            </w:pPr>
            <w:r>
              <w:rPr>
                <w:rFonts w:ascii="Arial" w:cs="Arial" w:eastAsia="Arial" w:hAnsi="Arial"/>
                <w:sz w:val="18"/>
                <w:szCs w:val="18"/>
                <w:b w:val="1"/>
                <w:bCs w:val="1"/>
                <w:color w:val="auto"/>
              </w:rPr>
              <w:t>001-10308</w:t>
            </w:r>
          </w:p>
        </w:tc>
        <w:tc>
          <w:tcPr>
            <w:tcW w:w="3320" w:type="dxa"/>
            <w:vAlign w:val="bottom"/>
          </w:tcPr>
          <w:p>
            <w:pPr>
              <w:jc w:val="right"/>
              <w:ind w:right="875"/>
              <w:spacing w:after="0"/>
              <w:rPr>
                <w:sz w:val="20"/>
                <w:szCs w:val="20"/>
                <w:color w:val="auto"/>
              </w:rPr>
            </w:pPr>
            <w:r>
              <w:rPr>
                <w:rFonts w:ascii="Arial" w:cs="Arial" w:eastAsia="Arial" w:hAnsi="Arial"/>
                <w:sz w:val="18"/>
                <w:szCs w:val="18"/>
                <w:b w:val="1"/>
                <w:bCs w:val="1"/>
                <w:color w:val="auto"/>
              </w:rPr>
              <w:t>06-0918165</w:t>
            </w:r>
          </w:p>
        </w:tc>
      </w:tr>
      <w:tr>
        <w:trPr>
          <w:trHeight w:val="223"/>
        </w:trPr>
        <w:tc>
          <w:tcPr>
            <w:tcW w:w="3740" w:type="dxa"/>
            <w:vAlign w:val="bottom"/>
          </w:tcPr>
          <w:p>
            <w:pPr>
              <w:jc w:val="center"/>
              <w:ind w:right="214"/>
              <w:spacing w:after="0"/>
              <w:rPr>
                <w:sz w:val="20"/>
                <w:szCs w:val="20"/>
                <w:color w:val="auto"/>
              </w:rPr>
            </w:pPr>
            <w:r>
              <w:rPr>
                <w:rFonts w:ascii="Arial" w:cs="Arial" w:eastAsia="Arial" w:hAnsi="Arial"/>
                <w:sz w:val="16"/>
                <w:szCs w:val="16"/>
                <w:b w:val="1"/>
                <w:bCs w:val="1"/>
                <w:color w:val="auto"/>
              </w:rPr>
              <w:t>(State or Other Jurisdiction of Incorporation)</w:t>
            </w:r>
          </w:p>
        </w:tc>
        <w:tc>
          <w:tcPr>
            <w:tcW w:w="2820" w:type="dxa"/>
            <w:vAlign w:val="bottom"/>
          </w:tcPr>
          <w:p>
            <w:pPr>
              <w:jc w:val="center"/>
              <w:ind w:right="75"/>
              <w:spacing w:after="0"/>
              <w:rPr>
                <w:sz w:val="20"/>
                <w:szCs w:val="20"/>
                <w:color w:val="auto"/>
              </w:rPr>
            </w:pPr>
            <w:r>
              <w:rPr>
                <w:rFonts w:ascii="Arial" w:cs="Arial" w:eastAsia="Arial" w:hAnsi="Arial"/>
                <w:sz w:val="16"/>
                <w:szCs w:val="16"/>
                <w:b w:val="1"/>
                <w:bCs w:val="1"/>
                <w:color w:val="auto"/>
              </w:rPr>
              <w:t>(Commission File Number)</w:t>
            </w:r>
          </w:p>
        </w:tc>
        <w:tc>
          <w:tcPr>
            <w:tcW w:w="3320" w:type="dxa"/>
            <w:vAlign w:val="bottom"/>
          </w:tcPr>
          <w:p>
            <w:pPr>
              <w:jc w:val="center"/>
              <w:ind w:left="355"/>
              <w:spacing w:after="0"/>
              <w:rPr>
                <w:sz w:val="20"/>
                <w:szCs w:val="20"/>
                <w:color w:val="auto"/>
              </w:rPr>
            </w:pPr>
            <w:r>
              <w:rPr>
                <w:rFonts w:ascii="Arial" w:cs="Arial" w:eastAsia="Arial" w:hAnsi="Arial"/>
                <w:sz w:val="16"/>
                <w:szCs w:val="16"/>
                <w:b w:val="1"/>
                <w:bCs w:val="1"/>
                <w:color w:val="auto"/>
              </w:rPr>
              <w:t>(IRS Employer Identification Number)</w:t>
            </w:r>
          </w:p>
        </w:tc>
      </w:tr>
      <w:tr>
        <w:trPr>
          <w:trHeight w:val="505"/>
        </w:trPr>
        <w:tc>
          <w:tcPr>
            <w:tcW w:w="3740" w:type="dxa"/>
            <w:vAlign w:val="bottom"/>
          </w:tcPr>
          <w:p>
            <w:pPr>
              <w:jc w:val="center"/>
              <w:ind w:right="214"/>
              <w:spacing w:after="0"/>
              <w:rPr>
                <w:sz w:val="20"/>
                <w:szCs w:val="20"/>
                <w:color w:val="auto"/>
              </w:rPr>
            </w:pPr>
            <w:r>
              <w:rPr>
                <w:rFonts w:ascii="Arial" w:cs="Arial" w:eastAsia="Arial" w:hAnsi="Arial"/>
                <w:sz w:val="18"/>
                <w:szCs w:val="18"/>
                <w:b w:val="1"/>
                <w:bCs w:val="1"/>
                <w:color w:val="auto"/>
                <w:w w:val="99"/>
              </w:rPr>
              <w:t>379 Interpace Parkway</w:t>
            </w:r>
          </w:p>
        </w:tc>
        <w:tc>
          <w:tcPr>
            <w:tcW w:w="2820" w:type="dxa"/>
            <w:vAlign w:val="bottom"/>
          </w:tcPr>
          <w:p>
            <w:pPr>
              <w:spacing w:after="0"/>
              <w:rPr>
                <w:sz w:val="24"/>
                <w:szCs w:val="24"/>
                <w:color w:val="auto"/>
              </w:rPr>
            </w:pPr>
          </w:p>
        </w:tc>
        <w:tc>
          <w:tcPr>
            <w:tcW w:w="3320" w:type="dxa"/>
            <w:vAlign w:val="bottom"/>
          </w:tcPr>
          <w:p>
            <w:pPr>
              <w:jc w:val="right"/>
              <w:ind w:right="1095"/>
              <w:spacing w:after="0"/>
              <w:rPr>
                <w:sz w:val="20"/>
                <w:szCs w:val="20"/>
                <w:color w:val="auto"/>
              </w:rPr>
            </w:pPr>
            <w:r>
              <w:rPr>
                <w:rFonts w:ascii="Arial" w:cs="Arial" w:eastAsia="Arial" w:hAnsi="Arial"/>
                <w:sz w:val="18"/>
                <w:szCs w:val="18"/>
                <w:b w:val="1"/>
                <w:bCs w:val="1"/>
                <w:color w:val="auto"/>
              </w:rPr>
              <w:t>07054</w:t>
            </w:r>
          </w:p>
        </w:tc>
      </w:tr>
      <w:tr>
        <w:trPr>
          <w:trHeight w:val="311"/>
        </w:trPr>
        <w:tc>
          <w:tcPr>
            <w:tcW w:w="3740" w:type="dxa"/>
            <w:vAlign w:val="bottom"/>
          </w:tcPr>
          <w:p>
            <w:pPr>
              <w:jc w:val="center"/>
              <w:ind w:right="214"/>
              <w:spacing w:after="0"/>
              <w:rPr>
                <w:sz w:val="20"/>
                <w:szCs w:val="20"/>
                <w:color w:val="auto"/>
              </w:rPr>
            </w:pPr>
            <w:r>
              <w:rPr>
                <w:rFonts w:ascii="Arial" w:cs="Arial" w:eastAsia="Arial" w:hAnsi="Arial"/>
                <w:sz w:val="18"/>
                <w:szCs w:val="18"/>
                <w:b w:val="1"/>
                <w:bCs w:val="1"/>
                <w:color w:val="auto"/>
                <w:w w:val="98"/>
              </w:rPr>
              <w:t>Parsippany, NJ</w:t>
            </w:r>
          </w:p>
        </w:tc>
        <w:tc>
          <w:tcPr>
            <w:tcW w:w="28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3"/>
        </w:trPr>
        <w:tc>
          <w:tcPr>
            <w:tcW w:w="3740" w:type="dxa"/>
            <w:vAlign w:val="bottom"/>
          </w:tcPr>
          <w:p>
            <w:pPr>
              <w:jc w:val="center"/>
              <w:ind w:right="214"/>
              <w:spacing w:after="0"/>
              <w:rPr>
                <w:sz w:val="20"/>
                <w:szCs w:val="20"/>
                <w:color w:val="auto"/>
              </w:rPr>
            </w:pPr>
            <w:r>
              <w:rPr>
                <w:rFonts w:ascii="Arial" w:cs="Arial" w:eastAsia="Arial" w:hAnsi="Arial"/>
                <w:sz w:val="16"/>
                <w:szCs w:val="16"/>
                <w:b w:val="1"/>
                <w:bCs w:val="1"/>
                <w:color w:val="auto"/>
              </w:rPr>
              <w:t>(Address of Principal Executive Offices)</w:t>
            </w:r>
          </w:p>
        </w:tc>
        <w:tc>
          <w:tcPr>
            <w:tcW w:w="2820" w:type="dxa"/>
            <w:vAlign w:val="bottom"/>
          </w:tcPr>
          <w:p>
            <w:pPr>
              <w:spacing w:after="0"/>
              <w:rPr>
                <w:sz w:val="19"/>
                <w:szCs w:val="19"/>
                <w:color w:val="auto"/>
              </w:rPr>
            </w:pPr>
          </w:p>
        </w:tc>
        <w:tc>
          <w:tcPr>
            <w:tcW w:w="3320" w:type="dxa"/>
            <w:vAlign w:val="bottom"/>
          </w:tcPr>
          <w:p>
            <w:pPr>
              <w:jc w:val="center"/>
              <w:ind w:left="355"/>
              <w:spacing w:after="0"/>
              <w:rPr>
                <w:sz w:val="20"/>
                <w:szCs w:val="20"/>
                <w:color w:val="auto"/>
              </w:rPr>
            </w:pPr>
            <w:r>
              <w:rPr>
                <w:rFonts w:ascii="Arial" w:cs="Arial" w:eastAsia="Arial" w:hAnsi="Arial"/>
                <w:sz w:val="16"/>
                <w:szCs w:val="16"/>
                <w:b w:val="1"/>
                <w:bCs w:val="1"/>
                <w:color w:val="auto"/>
              </w:rPr>
              <w:t>(Zip Code)</w:t>
            </w:r>
          </w:p>
        </w:tc>
      </w:tr>
    </w:tbl>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(973) 496-4700</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w:t>
      </w:r>
    </w:p>
    <w:p>
      <w:pPr>
        <w:spacing w:after="0" w:line="1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07"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4"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95"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060"/>
          </w:cols>
          <w:pgMar w:left="320" w:top="1380" w:right="519" w:bottom="1440" w:gutter="0" w:footer="0" w:header="0"/>
        </w:sectPr>
      </w:pPr>
    </w:p>
    <w:p>
      <w:pPr>
        <w:spacing w:after="0" w:line="55"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340" w:space="720"/>
            <w:col w:w="2100" w:space="720"/>
            <w:col w:w="3180"/>
          </w:cols>
          <w:pgMar w:left="320" w:top="1380" w:right="51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820" w:space="720"/>
            <w:col w:w="2000" w:space="720"/>
            <w:col w:w="2800"/>
          </w:cols>
          <w:pgMar w:left="320" w:top="1380" w:right="519" w:bottom="1440" w:gutter="0" w:footer="0" w:header="0"/>
          <w:type w:val="continuous"/>
        </w:sectPr>
      </w:pPr>
    </w:p>
    <w:p>
      <w:pPr>
        <w:spacing w:after="0" w:line="341"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18415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60"/>
          </w:cols>
          <w:pgMar w:left="320" w:top="1380"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29, 2026, Avis Budget Group, Inc. (the “Company,” “we,” “our” or “us”) reported our first quarter 2026 results. Our first quarter 2026 results are discussed in detail in the press release attached hereto as Exhibit 99.1, which is incorporated herein by reference.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in this Item 2.02, including Exhibit 99.1,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Exhibit No.</w:t>
            </w:r>
          </w:p>
        </w:tc>
        <w:tc>
          <w:tcPr>
            <w:tcW w:w="99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94"/>
        </w:trPr>
        <w:tc>
          <w:tcPr>
            <w:tcW w:w="1340" w:type="dxa"/>
            <w:vAlign w:val="bottom"/>
          </w:tcPr>
          <w:p>
            <w:pPr>
              <w:ind w:left="20"/>
              <w:spacing w:after="0" w:line="195" w:lineRule="exact"/>
              <w:rPr>
                <w:sz w:val="20"/>
                <w:szCs w:val="20"/>
                <w:color w:val="auto"/>
              </w:rPr>
            </w:pPr>
            <w:r>
              <w:rPr>
                <w:rFonts w:ascii="Arial" w:cs="Arial" w:eastAsia="Arial" w:hAnsi="Arial"/>
                <w:sz w:val="18"/>
                <w:szCs w:val="18"/>
                <w:color w:val="auto"/>
              </w:rPr>
              <w:t>99.1</w:t>
            </w:r>
          </w:p>
        </w:tc>
        <w:tc>
          <w:tcPr>
            <w:tcW w:w="288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9"/>
              </w:rPr>
              <w:t>Press Release dated April 29, 2026.</w:t>
            </w:r>
          </w:p>
        </w:tc>
        <w:tc>
          <w:tcPr>
            <w:tcW w:w="7020" w:type="dxa"/>
            <w:vAlign w:val="bottom"/>
          </w:tcPr>
          <w:p>
            <w:pPr>
              <w:spacing w:after="0"/>
              <w:rPr>
                <w:sz w:val="16"/>
                <w:szCs w:val="16"/>
                <w:color w:val="auto"/>
              </w:rPr>
            </w:pPr>
          </w:p>
        </w:tc>
      </w:tr>
      <w:tr>
        <w:trPr>
          <w:trHeight w:val="254"/>
        </w:trPr>
        <w:tc>
          <w:tcPr>
            <w:tcW w:w="1340" w:type="dxa"/>
            <w:vAlign w:val="bottom"/>
          </w:tcPr>
          <w:p>
            <w:pPr>
              <w:ind w:left="20"/>
              <w:spacing w:after="0"/>
              <w:rPr>
                <w:sz w:val="20"/>
                <w:szCs w:val="20"/>
                <w:color w:val="auto"/>
              </w:rPr>
            </w:pPr>
            <w:r>
              <w:rPr>
                <w:rFonts w:ascii="Arial" w:cs="Arial" w:eastAsia="Arial" w:hAnsi="Arial"/>
                <w:sz w:val="18"/>
                <w:szCs w:val="18"/>
                <w:color w:val="auto"/>
              </w:rPr>
              <w:t>104</w:t>
            </w:r>
          </w:p>
        </w:tc>
        <w:tc>
          <w:tcPr>
            <w:tcW w:w="9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9"/>
        </w:trPr>
        <w:tc>
          <w:tcPr>
            <w:tcW w:w="13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AVIS BUDGET GROUP, INC.</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12065</wp:posOffset>
            </wp:positionV>
            <wp:extent cx="3394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Cathleen DeGenova</w:t>
      </w:r>
    </w:p>
    <w:p>
      <w:pPr>
        <w:ind w:left="640"/>
        <w:spacing w:after="0"/>
        <w:rPr>
          <w:sz w:val="20"/>
          <w:szCs w:val="20"/>
          <w:color w:val="auto"/>
        </w:rPr>
      </w:pPr>
      <w:r>
        <w:rPr>
          <w:rFonts w:ascii="Arial" w:cs="Arial" w:eastAsia="Arial" w:hAnsi="Arial"/>
          <w:sz w:val="18"/>
          <w:szCs w:val="18"/>
          <w:color w:val="auto"/>
        </w:rPr>
        <w:t>Senior Vice President and Chief Accounting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2026</w:t>
      </w:r>
    </w:p>
    <w:p>
      <w:pPr>
        <w:sectPr>
          <w:pgSz w:w="11900" w:h="16838" w:orient="portrait"/>
          <w:cols w:equalWidth="0" w:num="1">
            <w:col w:w="11120"/>
          </w:cols>
          <w:pgMar w:left="320" w:top="1309"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860425</wp:posOffset>
            </wp:positionV>
            <wp:extent cx="5006340"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00634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Avis Budget Group Reports First Quarter 2026 Results</w:t>
      </w:r>
    </w:p>
    <w:p>
      <w:pPr>
        <w:spacing w:after="0" w:line="34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b w:val="1"/>
          <w:bCs w:val="1"/>
          <w:color w:val="auto"/>
        </w:rPr>
        <w:t xml:space="preserve">PARSIPPANY, N.J., April 29, 2026 </w:t>
      </w:r>
      <w:r>
        <w:rPr>
          <w:rFonts w:ascii="Arial" w:cs="Arial" w:eastAsia="Arial" w:hAnsi="Arial"/>
          <w:sz w:val="20"/>
          <w:szCs w:val="20"/>
          <w:color w:val="auto"/>
        </w:rPr>
        <w:t>- Avis Budget Group, Inc. (</w:t>
      </w:r>
      <w:r>
        <w:rPr>
          <w:rFonts w:ascii="Arial" w:cs="Arial" w:eastAsia="Arial" w:hAnsi="Arial"/>
          <w:sz w:val="20"/>
          <w:szCs w:val="20"/>
          <w:b w:val="1"/>
          <w:bCs w:val="1"/>
          <w:color w:val="auto"/>
        </w:rPr>
        <w:t>NASDAQ: CAR</w:t>
      </w:r>
      <w:r>
        <w:rPr>
          <w:rFonts w:ascii="Arial" w:cs="Arial" w:eastAsia="Arial" w:hAnsi="Arial"/>
          <w:sz w:val="20"/>
          <w:szCs w:val="20"/>
          <w:color w:val="auto"/>
        </w:rPr>
        <w:t>) announced financial results for the first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ended March 31, 2026 today. We ended the quarter with revenues of $2.5 billion, a net loss of $234 million, and an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loss of $113 million.</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executed on the changes we outlined last quarter, and the first quarter reflects a meaningful inflection in our operating performance,” said Brian Choi, Avis Budget Group CEO. “With tighter fleet discipline, improving pricing, and stronger utilization, we are building a more resilient business with clear momentum heading into the rest of the year.”</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OPERATIONAL HIGHLIGHTS</w:t>
      </w:r>
    </w:p>
    <w:p>
      <w:pPr>
        <w:spacing w:after="0" w:line="110" w:lineRule="exact"/>
        <w:rPr>
          <w:sz w:val="20"/>
          <w:szCs w:val="20"/>
          <w:color w:val="auto"/>
        </w:rPr>
      </w:pPr>
    </w:p>
    <w:p>
      <w:pPr>
        <w:ind w:left="660" w:hanging="328"/>
        <w:spacing w:after="0" w:line="286"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per day, excluding exchange rate effect, increased 3% in both Americas and International compared to first quarter 2025.</w:t>
      </w:r>
    </w:p>
    <w:p>
      <w:pPr>
        <w:spacing w:after="0" w:line="45" w:lineRule="exact"/>
        <w:rPr>
          <w:rFonts w:ascii="Arial" w:cs="Arial" w:eastAsia="Arial" w:hAnsi="Arial"/>
          <w:sz w:val="20"/>
          <w:szCs w:val="20"/>
          <w:color w:val="auto"/>
        </w:rPr>
      </w:pPr>
    </w:p>
    <w:p>
      <w:pPr>
        <w:ind w:left="660" w:right="20" w:hanging="328"/>
        <w:spacing w:after="0" w:line="271"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Vehicle Utilization reached 70% for both Americas and International, a first quarter record for both segments in over fifteen years.</w:t>
      </w:r>
    </w:p>
    <w:p>
      <w:pPr>
        <w:spacing w:after="0" w:line="61" w:lineRule="exact"/>
        <w:rPr>
          <w:rFonts w:ascii="Arial" w:cs="Arial" w:eastAsia="Arial" w:hAnsi="Arial"/>
          <w:sz w:val="20"/>
          <w:szCs w:val="20"/>
          <w:color w:val="auto"/>
        </w:rPr>
      </w:pPr>
    </w:p>
    <w:p>
      <w:pPr>
        <w:ind w:left="660" w:hanging="328"/>
        <w:spacing w:after="0" w:line="271" w:lineRule="auto"/>
        <w:tabs>
          <w:tab w:leader="none" w:pos="621"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Company per-unit fleet costs were $351 per month, excluding exchange rate effect, flat compared to first quarter of 2025.</w:t>
      </w:r>
    </w:p>
    <w:p>
      <w:pPr>
        <w:spacing w:after="0" w:line="61"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free cash flow was $80 million, an improvement of more than $570 million versus first quarter 2025.</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liquidity position at the end of the quarter was $915 million, with an additional $2.9 billion of fleet funding capacity.</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FINANCIALS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Investors may access our first quarter 2026 supplemental financials on our investor relations website at ir.avisbudgetgroup.com.</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CONFERENCE CALL</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will host a conference call to discuss our first quarter results on April 29, 2026, at 8:30 a.m. (ET). Investors may access the call on our investor relations website at ir.avisbudgetgroup.com or by dialing (877) 407-2991. A replay of the call will be available on our website and at (877) 660-6853 using conference code 13760060.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_________________________</w:t>
      </w:r>
    </w:p>
    <w:p>
      <w:pPr>
        <w:spacing w:after="0" w:line="32" w:lineRule="exact"/>
        <w:rPr>
          <w:sz w:val="20"/>
          <w:szCs w:val="20"/>
          <w:color w:val="auto"/>
        </w:rPr>
      </w:pPr>
    </w:p>
    <w:p>
      <w:pPr>
        <w:ind w:left="20" w:right="20"/>
        <w:spacing w:after="0" w:line="212"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Adjusted EBITDA and certain other measures in this release are non-GAAP financial measures. See "Non-GAAP Financial Measures and Key Metrics" and the tables that accompany this release for the definitions and reconciliations of these non-GAAP measures to the most comparable GAAP measures.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AVIS BUDGET GROUP</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are a leading global provider of mobility solutions through our three most recognized brands, Avis, Budget and Zipcar, as well as several other brands, well recognized in their respective markets. We license the use of the Avis, Budget, Zipcar and other brands’ trademarks to licensees in areas in which we do not operate directly. We and our licensees operate our brands in approximately 180 countries throughout the world. Our brands and mobility solutions have an extended global reach with approximately 10,000 rental locations throughout the world. We operate most of our car rental locations in North America, Europe and Australasia. We are headquartered in Parsippany, N.J. More information is available at avisbudgetgroup.com.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AND KEY METRICS</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This release includes financial measures such as Adjusted EBITDA and Adjusted Free Cash Flow, as well as other financial measures, that are not considered generally accepted accounting principle (“GAAP”) measures as defined under SEC rules. Important information regarding such non-GAAP measures is contained in the tables within this release and in Appendix I, including the definitions of these measures and reconciliations to the most comparable U.S. GAAP measures.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i w:val="1"/>
          <w:iCs w:val="1"/>
          <w:color w:val="auto"/>
        </w:rPr>
        <w:t>We measure performance principally using the following key metrics: (i) rental days, (ii) revenue per day, (iii) vehicle utilization, and (iv) per-unit fleet costs.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our business. Our calculations may not be comparable to the calculations of similarly-titled metrics by other companies. We present currency exchange rate effects on our key metrics to provide a method of assessing how our business performed excluding the effects of foreign currency rate fluctuations. Currency exchange rate effects are calculated by translating the current-period's results at the prior-period average exchange rates plus any related gains and losses on currency hedges.</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Certain statements in this press release constitute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225" w:lineRule="exact"/>
        <w:rPr>
          <w:sz w:val="20"/>
          <w:szCs w:val="20"/>
          <w:color w:val="auto"/>
        </w:rPr>
      </w:pPr>
    </w:p>
    <w:p>
      <w:pPr>
        <w:ind w:left="660" w:hanging="328"/>
        <w:spacing w:after="0" w:line="283" w:lineRule="auto"/>
        <w:tabs>
          <w:tab w:leader="none" w:pos="62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high level of competition in the mobility industry, including from new companies or technology, and the impact such competition may have on pricing and rental volume;</w:t>
      </w:r>
    </w:p>
    <w:p>
      <w:pPr>
        <w:spacing w:after="0" w:line="200" w:lineRule="exact"/>
        <w:rPr>
          <w:rFonts w:ascii="Arial" w:cs="Arial" w:eastAsia="Arial" w:hAnsi="Arial"/>
          <w:sz w:val="16"/>
          <w:szCs w:val="16"/>
          <w:i w:val="1"/>
          <w:iCs w:val="1"/>
          <w:color w:val="auto"/>
        </w:rPr>
      </w:pPr>
    </w:p>
    <w:p>
      <w:pPr>
        <w:jc w:val="both"/>
        <w:ind w:left="660" w:hanging="328"/>
        <w:spacing w:after="0" w:line="264" w:lineRule="auto"/>
        <w:tabs>
          <w:tab w:leader="none" w:pos="62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202" w:lineRule="exact"/>
        <w:rPr>
          <w:rFonts w:ascii="Arial" w:cs="Arial" w:eastAsia="Arial" w:hAnsi="Arial"/>
          <w:sz w:val="16"/>
          <w:szCs w:val="16"/>
          <w:i w:val="1"/>
          <w:iCs w:val="1"/>
          <w:color w:val="auto"/>
        </w:rPr>
      </w:pPr>
    </w:p>
    <w:p>
      <w:pPr>
        <w:jc w:val="both"/>
        <w:ind w:left="660" w:hanging="328"/>
        <w:spacing w:after="0" w:line="274" w:lineRule="auto"/>
        <w:tabs>
          <w:tab w:leader="none" w:pos="62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31" w:right="339" w:bottom="1440" w:gutter="0" w:footer="0" w:header="0"/>
        </w:sectPr>
      </w:pPr>
    </w:p>
    <w:bookmarkStart w:id="5" w:name="page6"/>
    <w:bookmarkEnd w:id="5"/>
    <w:p>
      <w:pPr>
        <w:spacing w:after="0" w:line="146" w:lineRule="exact"/>
        <w:rPr>
          <w:sz w:val="20"/>
          <w:szCs w:val="20"/>
          <w:color w:val="auto"/>
        </w:rPr>
      </w:pPr>
    </w:p>
    <w:p>
      <w:pPr>
        <w:ind w:left="288" w:hanging="288"/>
        <w:spacing w:after="0"/>
        <w:tabs>
          <w:tab w:leader="none" w:pos="28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levels of and volatility in travel demand, including volatility in airline passenger traffic;</w:t>
      </w:r>
    </w:p>
    <w:p>
      <w:pPr>
        <w:spacing w:after="0" w:line="248" w:lineRule="exact"/>
        <w:rPr>
          <w:rFonts w:ascii="Arial" w:cs="Arial" w:eastAsia="Arial" w:hAnsi="Arial"/>
          <w:sz w:val="16"/>
          <w:szCs w:val="16"/>
          <w:i w:val="1"/>
          <w:iCs w:val="1"/>
          <w:color w:val="auto"/>
        </w:rPr>
      </w:pPr>
    </w:p>
    <w:p>
      <w:pPr>
        <w:ind w:left="328" w:hanging="328"/>
        <w:spacing w:after="0" w:line="301"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 deterioration or fluctuation in economic conditions, resulting in a recession, decreased levels of discretionary consumer spending for travel, or otherwise, particularly during our peak season or in key market segments;</w:t>
      </w:r>
    </w:p>
    <w:p>
      <w:pPr>
        <w:spacing w:after="0" w:line="173" w:lineRule="exact"/>
        <w:rPr>
          <w:rFonts w:ascii="Arial" w:cs="Arial" w:eastAsia="Arial" w:hAnsi="Arial"/>
          <w:sz w:val="16"/>
          <w:szCs w:val="16"/>
          <w:i w:val="1"/>
          <w:iCs w:val="1"/>
          <w:color w:val="auto"/>
        </w:rPr>
      </w:pPr>
    </w:p>
    <w:p>
      <w:pPr>
        <w:jc w:val="both"/>
        <w:ind w:left="328" w:right="20" w:hanging="328"/>
        <w:spacing w:after="0" w:line="274"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193" w:lineRule="exact"/>
        <w:rPr>
          <w:rFonts w:ascii="Arial" w:cs="Arial" w:eastAsia="Arial" w:hAnsi="Arial"/>
          <w:sz w:val="16"/>
          <w:szCs w:val="16"/>
          <w:i w:val="1"/>
          <w:iCs w:val="1"/>
          <w:color w:val="auto"/>
        </w:rPr>
      </w:pPr>
    </w:p>
    <w:p>
      <w:pPr>
        <w:jc w:val="both"/>
        <w:ind w:left="328" w:hanging="328"/>
        <w:spacing w:after="0" w:line="274"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 any embargoes on oil sales imposed on or by the Russian government;</w:t>
      </w:r>
    </w:p>
    <w:p>
      <w:pPr>
        <w:spacing w:after="0" w:line="193" w:lineRule="exact"/>
        <w:rPr>
          <w:rFonts w:ascii="Arial" w:cs="Arial" w:eastAsia="Arial" w:hAnsi="Arial"/>
          <w:sz w:val="16"/>
          <w:szCs w:val="16"/>
          <w:i w:val="1"/>
          <w:iCs w:val="1"/>
          <w:color w:val="auto"/>
        </w:rPr>
      </w:pPr>
    </w:p>
    <w:p>
      <w:pPr>
        <w:ind w:left="328" w:hanging="328"/>
        <w:spacing w:after="0" w:line="266"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199" w:lineRule="exact"/>
        <w:rPr>
          <w:rFonts w:ascii="Arial" w:cs="Arial" w:eastAsia="Arial" w:hAnsi="Arial"/>
          <w:sz w:val="16"/>
          <w:szCs w:val="16"/>
          <w:i w:val="1"/>
          <w:iCs w:val="1"/>
          <w:color w:val="auto"/>
        </w:rPr>
      </w:pPr>
    </w:p>
    <w:p>
      <w:pPr>
        <w:ind w:left="328" w:hanging="328"/>
        <w:spacing w:after="0" w:line="301"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173" w:lineRule="exact"/>
        <w:rPr>
          <w:rFonts w:ascii="Arial" w:cs="Arial" w:eastAsia="Arial" w:hAnsi="Arial"/>
          <w:sz w:val="16"/>
          <w:szCs w:val="16"/>
          <w:i w:val="1"/>
          <w:iCs w:val="1"/>
          <w:color w:val="auto"/>
        </w:rPr>
      </w:pPr>
    </w:p>
    <w:p>
      <w:pPr>
        <w:ind w:left="328" w:hanging="328"/>
        <w:spacing w:after="0" w:line="301"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performance of the used vehicle market from time to time, including our ability to dispose of vehicles in the used vehicle market on attractive terms;</w:t>
      </w:r>
    </w:p>
    <w:p>
      <w:pPr>
        <w:spacing w:after="0" w:line="173" w:lineRule="exact"/>
        <w:rPr>
          <w:rFonts w:ascii="Arial" w:cs="Arial" w:eastAsia="Arial" w:hAnsi="Arial"/>
          <w:sz w:val="16"/>
          <w:szCs w:val="16"/>
          <w:i w:val="1"/>
          <w:iCs w:val="1"/>
          <w:color w:val="auto"/>
        </w:rPr>
      </w:pPr>
    </w:p>
    <w:p>
      <w:pPr>
        <w:ind w:left="288" w:hanging="288"/>
        <w:spacing w:after="0"/>
        <w:tabs>
          <w:tab w:leader="none" w:pos="28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dependence on third-party distribution channels, third-party suppliers of other services and co-marketing arrangements with third parties;</w:t>
      </w:r>
    </w:p>
    <w:p>
      <w:pPr>
        <w:spacing w:after="0" w:line="248" w:lineRule="exact"/>
        <w:rPr>
          <w:rFonts w:ascii="Arial" w:cs="Arial" w:eastAsia="Arial" w:hAnsi="Arial"/>
          <w:sz w:val="16"/>
          <w:szCs w:val="16"/>
          <w:i w:val="1"/>
          <w:iCs w:val="1"/>
          <w:color w:val="auto"/>
        </w:rPr>
      </w:pPr>
    </w:p>
    <w:p>
      <w:pPr>
        <w:jc w:val="both"/>
        <w:ind w:left="328" w:hanging="328"/>
        <w:spacing w:after="0" w:line="274"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6" w:lineRule="exact"/>
        <w:rPr>
          <w:rFonts w:ascii="Arial" w:cs="Arial" w:eastAsia="Arial" w:hAnsi="Arial"/>
          <w:sz w:val="16"/>
          <w:szCs w:val="16"/>
          <w:i w:val="1"/>
          <w:iCs w:val="1"/>
          <w:color w:val="auto"/>
        </w:rPr>
      </w:pPr>
    </w:p>
    <w:p>
      <w:pPr>
        <w:ind w:left="328" w:hanging="328"/>
        <w:spacing w:after="0" w:line="283"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87" w:lineRule="exact"/>
        <w:rPr>
          <w:rFonts w:ascii="Arial" w:cs="Arial" w:eastAsia="Arial" w:hAnsi="Arial"/>
          <w:sz w:val="16"/>
          <w:szCs w:val="16"/>
          <w:i w:val="1"/>
          <w:iCs w:val="1"/>
          <w:color w:val="auto"/>
        </w:rPr>
      </w:pPr>
    </w:p>
    <w:p>
      <w:pPr>
        <w:ind w:left="328" w:hanging="328"/>
        <w:spacing w:after="0" w:line="301"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173" w:lineRule="exact"/>
        <w:rPr>
          <w:rFonts w:ascii="Arial" w:cs="Arial" w:eastAsia="Arial" w:hAnsi="Arial"/>
          <w:sz w:val="16"/>
          <w:szCs w:val="16"/>
          <w:i w:val="1"/>
          <w:iCs w:val="1"/>
          <w:color w:val="auto"/>
        </w:rPr>
      </w:pPr>
    </w:p>
    <w:p>
      <w:pPr>
        <w:jc w:val="both"/>
        <w:ind w:left="328" w:hanging="328"/>
        <w:spacing w:after="0" w:line="274"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3" w:lineRule="exact"/>
        <w:rPr>
          <w:rFonts w:ascii="Arial" w:cs="Arial" w:eastAsia="Arial" w:hAnsi="Arial"/>
          <w:sz w:val="16"/>
          <w:szCs w:val="16"/>
          <w:i w:val="1"/>
          <w:iCs w:val="1"/>
          <w:color w:val="auto"/>
        </w:rPr>
      </w:pPr>
    </w:p>
    <w:p>
      <w:pPr>
        <w:jc w:val="both"/>
        <w:ind w:left="328" w:hanging="328"/>
        <w:spacing w:after="0" w:line="264"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16" w:lineRule="exact"/>
        <w:rPr>
          <w:rFonts w:ascii="Arial" w:cs="Arial" w:eastAsia="Arial" w:hAnsi="Arial"/>
          <w:sz w:val="16"/>
          <w:szCs w:val="16"/>
          <w:i w:val="1"/>
          <w:iCs w:val="1"/>
          <w:color w:val="auto"/>
        </w:rPr>
      </w:pPr>
    </w:p>
    <w:p>
      <w:pPr>
        <w:ind w:left="328" w:hanging="328"/>
        <w:spacing w:after="0" w:line="283" w:lineRule="auto"/>
        <w:tabs>
          <w:tab w:leader="none" w:pos="29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any impact on us from the actions of our third-party vendors, licensees, dealers, independent operators and independent contractors and/or disputes that may arise out of our agreements with such parties;</w:t>
      </w:r>
    </w:p>
    <w:p>
      <w:pPr>
        <w:spacing w:after="0" w:line="200" w:lineRule="exact"/>
        <w:rPr>
          <w:rFonts w:ascii="Arial" w:cs="Arial" w:eastAsia="Arial" w:hAnsi="Arial"/>
          <w:sz w:val="16"/>
          <w:szCs w:val="16"/>
          <w:i w:val="1"/>
          <w:iCs w:val="1"/>
          <w:color w:val="auto"/>
        </w:rPr>
      </w:pPr>
    </w:p>
    <w:p>
      <w:pPr>
        <w:ind w:left="288" w:hanging="288"/>
        <w:spacing w:after="0"/>
        <w:tabs>
          <w:tab w:leader="none" w:pos="28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any major disruptions in our communication networks or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1440" w:right="339" w:bottom="1440" w:gutter="0" w:footer="0" w:header="0"/>
        </w:sectPr>
      </w:pPr>
    </w:p>
    <w:bookmarkStart w:id="6" w:name="page7"/>
    <w:bookmarkEnd w:id="6"/>
    <w:p>
      <w:pPr>
        <w:ind w:left="620" w:hanging="288"/>
        <w:spacing w:after="0"/>
        <w:tabs>
          <w:tab w:leader="none" w:pos="6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tax obligations and the effect of future changes in tax laws, including the expiration of tax credits, and accounting standards;</w:t>
      </w:r>
    </w:p>
    <w:p>
      <w:pPr>
        <w:spacing w:after="0" w:line="248" w:lineRule="exact"/>
        <w:rPr>
          <w:rFonts w:ascii="Arial" w:cs="Arial" w:eastAsia="Arial" w:hAnsi="Arial"/>
          <w:sz w:val="16"/>
          <w:szCs w:val="16"/>
          <w:i w:val="1"/>
          <w:iCs w:val="1"/>
          <w:color w:val="auto"/>
        </w:rPr>
      </w:pPr>
    </w:p>
    <w:p>
      <w:pPr>
        <w:ind w:left="660" w:hanging="328"/>
        <w:spacing w:after="0" w:line="301" w:lineRule="auto"/>
        <w:tabs>
          <w:tab w:leader="none" w:pos="62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3" w:lineRule="exact"/>
        <w:rPr>
          <w:rFonts w:ascii="Arial" w:cs="Arial" w:eastAsia="Arial" w:hAnsi="Arial"/>
          <w:sz w:val="16"/>
          <w:szCs w:val="16"/>
          <w:i w:val="1"/>
          <w:iCs w:val="1"/>
          <w:color w:val="auto"/>
        </w:rPr>
      </w:pPr>
    </w:p>
    <w:p>
      <w:pPr>
        <w:ind w:left="660" w:hanging="328"/>
        <w:spacing w:after="0" w:line="301" w:lineRule="auto"/>
        <w:tabs>
          <w:tab w:leader="none" w:pos="62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obtain financing for our global operations, including the funding of our vehicle fleet through the issuance of asset-backed securities and use of the global lending markets;</w:t>
      </w:r>
    </w:p>
    <w:p>
      <w:pPr>
        <w:spacing w:after="0" w:line="173" w:lineRule="exact"/>
        <w:rPr>
          <w:rFonts w:ascii="Arial" w:cs="Arial" w:eastAsia="Arial" w:hAnsi="Arial"/>
          <w:sz w:val="16"/>
          <w:szCs w:val="16"/>
          <w:i w:val="1"/>
          <w:iCs w:val="1"/>
          <w:color w:val="auto"/>
        </w:rPr>
      </w:pPr>
    </w:p>
    <w:p>
      <w:pPr>
        <w:ind w:left="660" w:hanging="328"/>
        <w:spacing w:after="0" w:line="283" w:lineRule="auto"/>
        <w:tabs>
          <w:tab w:leader="none" w:pos="62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meet the financial and other covenants contained in the agreements governing our indebtedness, or to obtain a waiver or amendment of such covenants should we be unable to meet such covenants;</w:t>
      </w:r>
    </w:p>
    <w:p>
      <w:pPr>
        <w:spacing w:after="0" w:line="200" w:lineRule="exact"/>
        <w:rPr>
          <w:rFonts w:ascii="Arial" w:cs="Arial" w:eastAsia="Arial" w:hAnsi="Arial"/>
          <w:sz w:val="16"/>
          <w:szCs w:val="16"/>
          <w:i w:val="1"/>
          <w:iCs w:val="1"/>
          <w:color w:val="auto"/>
        </w:rPr>
      </w:pPr>
    </w:p>
    <w:p>
      <w:pPr>
        <w:jc w:val="both"/>
        <w:ind w:left="660" w:hanging="328"/>
        <w:spacing w:after="0" w:line="274" w:lineRule="auto"/>
        <w:tabs>
          <w:tab w:leader="none" w:pos="62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193" w:lineRule="exact"/>
        <w:rPr>
          <w:rFonts w:ascii="Arial" w:cs="Arial" w:eastAsia="Arial" w:hAnsi="Arial"/>
          <w:sz w:val="16"/>
          <w:szCs w:val="16"/>
          <w:i w:val="1"/>
          <w:iCs w:val="1"/>
          <w:color w:val="auto"/>
        </w:rPr>
      </w:pPr>
    </w:p>
    <w:p>
      <w:pPr>
        <w:ind w:left="620" w:hanging="288"/>
        <w:spacing w:after="0"/>
        <w:tabs>
          <w:tab w:leader="none" w:pos="6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other business, economic, competitive, governmental, regulatory, political or technological factors affecting our operations, pricing or services.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set forth in Part II, Item 7, in "Risk Factors," set forth in Part I, Item 1A, and in other portions of our 2025 Annual Report on Form 10-K filed with the Securities and Exchange Commission (the “SEC”) on February 19, 2026 (the “2025 Form 10-K”), as well as in similarly titled sections set forth in Part I, Item 2 and Part II, Item 1A of our subsequently filed quarterly reports, may contain forward-looking statements and involve uncertainties that could cause actual results to differ materially from those projected in any forward-looking statements.</w:t>
      </w: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 For additional information concerning forward-looking statements and other important factors, refer to our 2025 Form 10-K, Quarterly Reports on Form 10-Q and other filings with the SEC.</w:t>
      </w:r>
    </w:p>
    <w:p>
      <w:pPr>
        <w:sectPr>
          <w:pgSz w:w="11900" w:h="16838" w:orient="portrait"/>
          <w:cols w:equalWidth="0" w:num="1">
            <w:col w:w="11240"/>
          </w:cols>
          <w:pgMar w:left="320" w:top="1342"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Relations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Calabria, IR@avisbudget.com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Media Relations Team, ABGPress@coynepr.com</w:t>
      </w:r>
    </w:p>
    <w:p>
      <w:pPr>
        <w:spacing w:after="0" w:line="200" w:lineRule="exact"/>
        <w:rPr>
          <w:sz w:val="20"/>
          <w:szCs w:val="20"/>
          <w:color w:val="auto"/>
        </w:rPr>
      </w:pPr>
    </w:p>
    <w:p>
      <w:pPr>
        <w:sectPr>
          <w:pgSz w:w="11900" w:h="16838" w:orient="portrait"/>
          <w:cols w:equalWidth="0" w:num="2">
            <w:col w:w="4440" w:space="720"/>
            <w:col w:w="6080"/>
          </w:cols>
          <w:pgMar w:left="320" w:top="1342" w:right="339" w:bottom="1440" w:gutter="0" w:footer="0" w:header="0"/>
          <w:type w:val="continuous"/>
        </w:sectPr>
      </w:pPr>
    </w:p>
    <w:p>
      <w:pPr>
        <w:spacing w:after="0" w:line="89" w:lineRule="exact"/>
        <w:rPr>
          <w:sz w:val="20"/>
          <w:szCs w:val="20"/>
          <w:color w:val="auto"/>
        </w:rPr>
      </w:pPr>
    </w:p>
    <w:p>
      <w:pPr>
        <w:jc w:val="center"/>
        <w:ind w:right="200"/>
        <w:spacing w:after="0"/>
        <w:rPr>
          <w:sz w:val="20"/>
          <w:szCs w:val="20"/>
          <w:color w:val="auto"/>
        </w:rPr>
      </w:pPr>
      <w:r>
        <w:rPr>
          <w:rFonts w:ascii="Arial" w:cs="Arial" w:eastAsia="Arial" w:hAnsi="Arial"/>
          <w:sz w:val="17"/>
          <w:szCs w:val="17"/>
          <w:i w:val="1"/>
          <w:iCs w:val="1"/>
          <w:color w:val="auto"/>
        </w:rPr>
        <w:t>*** Tables 1 - 6 and Appendix I attached ***</w:t>
      </w:r>
    </w:p>
    <w:p>
      <w:pPr>
        <w:sectPr>
          <w:pgSz w:w="11900" w:h="16838" w:orient="portrait"/>
          <w:cols w:equalWidth="0" w:num="1">
            <w:col w:w="11240"/>
          </w:cols>
          <w:pgMar w:left="320" w:top="1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42" w:right="339" w:bottom="1440" w:gutter="0" w:footer="0" w:header="0"/>
          <w:type w:val="continuous"/>
        </w:sectPr>
      </w:pPr>
    </w:p>
    <w:bookmarkStart w:id="7" w:name="page8"/>
    <w:bookmarkEnd w:id="7"/>
    <w:tbl>
      <w:tblPr>
        <w:tblLayout w:type="fixed"/>
        <w:tblInd w:w="40" w:type="dxa"/>
        <w:tblCellMar>
          <w:top w:w="0" w:type="dxa"/>
          <w:left w:w="0" w:type="dxa"/>
          <w:bottom w:w="0" w:type="dxa"/>
          <w:right w:w="0" w:type="dxa"/>
        </w:tblCellMar>
      </w:tblPr>
      <w:tr>
        <w:trPr>
          <w:trHeight w:val="247"/>
        </w:trPr>
        <w:tc>
          <w:tcPr>
            <w:tcW w:w="7240" w:type="dxa"/>
            <w:vAlign w:val="bottom"/>
            <w:vMerge w:val="restart"/>
          </w:tcPr>
          <w:p>
            <w:pPr>
              <w:jc w:val="center"/>
              <w:ind w:left="3830"/>
              <w:spacing w:after="0"/>
              <w:rPr>
                <w:sz w:val="20"/>
                <w:szCs w:val="20"/>
                <w:color w:val="auto"/>
              </w:rPr>
            </w:pPr>
            <w:r>
              <w:rPr>
                <w:rFonts w:ascii="Arial" w:cs="Arial" w:eastAsia="Arial" w:hAnsi="Arial"/>
                <w:sz w:val="18"/>
                <w:szCs w:val="18"/>
                <w:b w:val="1"/>
                <w:bCs w:val="1"/>
                <w:color w:val="auto"/>
                <w:w w:val="99"/>
              </w:rPr>
              <w:t>Avis Budget Group, Inc.</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2"/>
          </w:tcPr>
          <w:p>
            <w:pPr>
              <w:ind w:left="760"/>
              <w:spacing w:after="0"/>
              <w:rPr>
                <w:sz w:val="20"/>
                <w:szCs w:val="20"/>
                <w:color w:val="auto"/>
              </w:rPr>
            </w:pPr>
            <w:r>
              <w:rPr>
                <w:rFonts w:ascii="Arial" w:cs="Arial" w:eastAsia="Arial" w:hAnsi="Arial"/>
                <w:sz w:val="18"/>
                <w:szCs w:val="18"/>
                <w:b w:val="1"/>
                <w:bCs w:val="1"/>
                <w:color w:val="auto"/>
                <w:w w:val="96"/>
              </w:rPr>
              <w:t>Table 1</w:t>
            </w:r>
          </w:p>
        </w:tc>
        <w:tc>
          <w:tcPr>
            <w:tcW w:w="0" w:type="dxa"/>
            <w:vAlign w:val="bottom"/>
          </w:tcPr>
          <w:p>
            <w:pPr>
              <w:spacing w:after="0"/>
              <w:rPr>
                <w:sz w:val="1"/>
                <w:szCs w:val="1"/>
                <w:color w:val="auto"/>
              </w:rPr>
            </w:pPr>
          </w:p>
        </w:tc>
      </w:tr>
      <w:tr>
        <w:trPr>
          <w:trHeight w:val="185"/>
        </w:trPr>
        <w:tc>
          <w:tcPr>
            <w:tcW w:w="7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jc w:val="center"/>
              <w:ind w:left="3850"/>
              <w:spacing w:after="0"/>
              <w:rPr>
                <w:sz w:val="20"/>
                <w:szCs w:val="20"/>
                <w:color w:val="auto"/>
              </w:rPr>
            </w:pPr>
            <w:r>
              <w:rPr>
                <w:rFonts w:ascii="Arial" w:cs="Arial" w:eastAsia="Arial" w:hAnsi="Arial"/>
                <w:sz w:val="18"/>
                <w:szCs w:val="18"/>
                <w:b w:val="1"/>
                <w:bCs w:val="1"/>
                <w:color w:val="auto"/>
                <w:w w:val="98"/>
              </w:rPr>
              <w:t>SUMMARY DATA SHEET (Unaudited)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240" w:type="dxa"/>
            <w:vAlign w:val="bottom"/>
          </w:tcPr>
          <w:p>
            <w:pPr>
              <w:jc w:val="center"/>
              <w:ind w:left="3830"/>
              <w:spacing w:after="0"/>
              <w:rPr>
                <w:sz w:val="20"/>
                <w:szCs w:val="20"/>
                <w:color w:val="auto"/>
              </w:rPr>
            </w:pPr>
            <w:r>
              <w:rPr>
                <w:rFonts w:ascii="Arial" w:cs="Arial" w:eastAsia="Arial" w:hAnsi="Arial"/>
                <w:sz w:val="18"/>
                <w:szCs w:val="18"/>
                <w:b w:val="1"/>
                <w:bCs w:val="1"/>
                <w:color w:val="auto"/>
                <w:w w:val="98"/>
              </w:rPr>
              <w:t>(In millions)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8"/>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Income Statement and Other Items</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2026</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Avis Budget Group, Inc.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7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December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Items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Program cash and restricted cash</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Vehicles, net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line="230" w:lineRule="exact"/>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3"/>
                <w:szCs w:val="23"/>
                <w:color w:val="auto"/>
                <w:vertAlign w:val="superscript"/>
              </w:rPr>
              <w:t>(b)</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40" w:type="dxa"/>
            <w:vAlign w:val="bottom"/>
          </w:tcPr>
          <w:p>
            <w:pPr>
              <w:spacing w:after="0"/>
              <w:rPr>
                <w:sz w:val="20"/>
                <w:szCs w:val="20"/>
                <w:color w:val="auto"/>
              </w:rPr>
            </w:pPr>
            <w:r>
              <w:rPr>
                <w:rFonts w:ascii="Arial" w:cs="Arial" w:eastAsia="Arial" w:hAnsi="Arial"/>
                <w:sz w:val="18"/>
                <w:szCs w:val="18"/>
                <w:color w:val="auto"/>
              </w:rPr>
              <w:t>Stockholders' equity attributable to Avis Budget Group, Inc.</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8"/>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8"/>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Results</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2026</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4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(c)</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 w:lineRule="exact"/>
        <w:rPr>
          <w:sz w:val="20"/>
          <w:szCs w:val="20"/>
          <w:color w:val="auto"/>
        </w:rPr>
      </w:pPr>
    </w:p>
    <w:p>
      <w:pPr>
        <w:ind w:left="340" w:right="20" w:hanging="332"/>
        <w:spacing w:after="0" w:line="219"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Refer to Table 5 for the reconciliation of net loss to Adjusted EBITDA and Appendix I for the related definition of the non-GAAP financial measure.</w:t>
      </w:r>
    </w:p>
    <w:p>
      <w:pPr>
        <w:spacing w:after="0" w:line="1" w:lineRule="exact"/>
        <w:rPr>
          <w:rFonts w:ascii="Arial" w:cs="Arial" w:eastAsia="Arial" w:hAnsi="Arial"/>
          <w:sz w:val="23"/>
          <w:szCs w:val="23"/>
          <w:color w:val="auto"/>
          <w:vertAlign w:val="superscript"/>
        </w:rPr>
      </w:pPr>
    </w:p>
    <w:p>
      <w:pPr>
        <w:ind w:left="340" w:hanging="332"/>
        <w:spacing w:after="0" w:line="219" w:lineRule="auto"/>
        <w:tabs>
          <w:tab w:leader="none" w:pos="321"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$736 million and $826 million of Class R notes due to Avis Budget Rental Car Funding (AESOP) LLC as of March 31, 2026 and December 31, 2025, respectively, which are held by us.</w:t>
      </w:r>
    </w:p>
    <w:p>
      <w:pPr>
        <w:spacing w:after="0" w:line="1" w:lineRule="exact"/>
        <w:rPr>
          <w:rFonts w:ascii="Arial" w:cs="Arial" w:eastAsia="Arial" w:hAnsi="Arial"/>
          <w:sz w:val="23"/>
          <w:szCs w:val="23"/>
          <w:color w:val="auto"/>
          <w:vertAlign w:val="superscript"/>
        </w:rPr>
      </w:pPr>
    </w:p>
    <w:p>
      <w:pPr>
        <w:ind w:left="320" w:hanging="312"/>
        <w:spacing w:after="0" w:line="200"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unallocated corporate expenses which are not attributable to a particular segment.</w:t>
      </w:r>
    </w:p>
    <w:p>
      <w:pPr>
        <w:sectPr>
          <w:pgSz w:w="11900" w:h="16838" w:orient="portrait"/>
          <w:cols w:equalWidth="0" w:num="1">
            <w:col w:w="11240"/>
          </w:cols>
          <w:pgMar w:left="320" w:top="769"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Table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04" w:lineRule="exact"/>
        <w:rPr>
          <w:sz w:val="20"/>
          <w:szCs w:val="20"/>
          <w:color w:val="auto"/>
        </w:rPr>
      </w:pPr>
    </w:p>
    <w:p>
      <w:pPr>
        <w:jc w:val="center"/>
        <w:ind w:left="8680"/>
        <w:spacing w:after="0"/>
        <w:rPr>
          <w:sz w:val="20"/>
          <w:szCs w:val="20"/>
          <w:color w:val="auto"/>
        </w:rPr>
      </w:pPr>
      <w:r>
        <w:rPr>
          <w:rFonts w:ascii="Arial" w:cs="Arial" w:eastAsia="Arial" w:hAnsi="Arial"/>
          <w:sz w:val="18"/>
          <w:szCs w:val="18"/>
          <w:b w:val="1"/>
          <w:bCs w:val="1"/>
          <w:color w:val="auto"/>
        </w:rPr>
        <w:t>Three Months Ended</w:t>
      </w:r>
    </w:p>
    <w:p>
      <w:pPr>
        <w:jc w:val="center"/>
        <w:ind w:left="87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479"/>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740" w:type="dxa"/>
            <w:vAlign w:val="bottom"/>
          </w:tcPr>
          <w:p>
            <w:pPr>
              <w:ind w:left="1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740" w:type="dxa"/>
            <w:vAlign w:val="bottom"/>
          </w:tcPr>
          <w:p>
            <w:pPr>
              <w:ind w:left="1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Transaction-related costs,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50"/>
        </w:trPr>
        <w:tc>
          <w:tcPr>
            <w:tcW w:w="8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8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Avis Budget Group,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9"/>
        </w:trPr>
        <w:tc>
          <w:tcPr>
            <w:tcW w:w="8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490"/>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9"/>
        </w:trPr>
        <w:tc>
          <w:tcPr>
            <w:tcW w:w="8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60" w:type="dxa"/>
            <w:vAlign w:val="bottom"/>
            <w:vMerge w:val="restart"/>
          </w:tcPr>
          <w:p>
            <w:pPr>
              <w:ind w:left="460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560"/>
              <w:spacing w:after="0"/>
              <w:rPr>
                <w:sz w:val="20"/>
                <w:szCs w:val="20"/>
                <w:color w:val="auto"/>
              </w:rPr>
            </w:pPr>
            <w:r>
              <w:rPr>
                <w:rFonts w:ascii="Arial" w:cs="Arial" w:eastAsia="Arial" w:hAnsi="Arial"/>
                <w:sz w:val="18"/>
                <w:szCs w:val="18"/>
                <w:b w:val="1"/>
                <w:bCs w:val="1"/>
                <w:color w:val="auto"/>
                <w:w w:val="96"/>
              </w:rPr>
              <w:t>Table 3</w:t>
            </w:r>
          </w:p>
        </w:tc>
        <w:tc>
          <w:tcPr>
            <w:tcW w:w="0" w:type="dxa"/>
            <w:vAlign w:val="bottom"/>
          </w:tcPr>
          <w:p>
            <w:pPr>
              <w:spacing w:after="0"/>
              <w:rPr>
                <w:sz w:val="1"/>
                <w:szCs w:val="1"/>
                <w:color w:val="auto"/>
              </w:rPr>
            </w:pPr>
          </w:p>
        </w:tc>
      </w:tr>
      <w:tr>
        <w:trPr>
          <w:trHeight w:val="185"/>
        </w:trPr>
        <w:tc>
          <w:tcPr>
            <w:tcW w:w="7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380" w:type="dxa"/>
            <w:vAlign w:val="bottom"/>
            <w:gridSpan w:val="2"/>
          </w:tcPr>
          <w:p>
            <w:pPr>
              <w:ind w:left="4000"/>
              <w:spacing w:after="0"/>
              <w:rPr>
                <w:sz w:val="20"/>
                <w:szCs w:val="20"/>
                <w:color w:val="auto"/>
              </w:rPr>
            </w:pPr>
            <w:r>
              <w:rPr>
                <w:rFonts w:ascii="Arial" w:cs="Arial" w:eastAsia="Arial" w:hAnsi="Arial"/>
                <w:sz w:val="18"/>
                <w:szCs w:val="18"/>
                <w:b w:val="1"/>
                <w:bCs w:val="1"/>
                <w:color w:val="auto"/>
              </w:rPr>
              <w:t>KEY METRICS SUMMARY (Unaudited)</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7"/>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9"/>
              </w:rPr>
              <w:t>Three Months Ended</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8"/>
              </w:rPr>
              <w:t>March 31,</w:t>
            </w: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Americas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Rental Days (000’s)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29,453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Revenue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66.62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per Day, excluding exchange rate effects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Average Rental Fleet</w:t>
            </w:r>
          </w:p>
        </w:tc>
        <w:tc>
          <w:tcPr>
            <w:tcW w:w="3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467,420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470,125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Vehicle Utilization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0.4 pps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Per-Unit Fleet Costs per Month </w:t>
            </w:r>
            <w:r>
              <w:rPr>
                <w:rFonts w:ascii="Arial" w:cs="Arial" w:eastAsia="Arial" w:hAnsi="Arial"/>
                <w:sz w:val="23"/>
                <w:szCs w:val="23"/>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Per-Unit Fleet Costs per Month, excluding exchange rate effects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Rental Days (000’s)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Revenue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59.01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per Day, excluding exchange rate effects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Average Rental Fleet</w:t>
            </w:r>
          </w:p>
        </w:tc>
        <w:tc>
          <w:tcPr>
            <w:tcW w:w="3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152,249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161,250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Vehicle Utilization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1.2 pps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Per-Unit Fleet Costs per Month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Per-Unit Fleet Costs per Month, excluding exchange rate effects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Rental Days (000’s)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39,078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Revenue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64.74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per Day, excluding exchange rate effects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Average Rental Fleet</w:t>
            </w:r>
          </w:p>
        </w:tc>
        <w:tc>
          <w:tcPr>
            <w:tcW w:w="3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619,669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631,375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Vehicle Utilization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0.7 pps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Per-Unit Fleet Costs per Month </w:t>
            </w:r>
            <w:r>
              <w:rPr>
                <w:rFonts w:ascii="Arial" w:cs="Arial" w:eastAsia="Arial" w:hAnsi="Arial"/>
                <w:sz w:val="23"/>
                <w:szCs w:val="23"/>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Per-Unit Fleet Costs per Month, excluding exchange rate effects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Refer to Table 6 for key metrics calculations and Appendix I for key metrics definitions.</w:t>
      </w:r>
    </w:p>
    <w:p>
      <w:pPr>
        <w:spacing w:after="0" w:line="2" w:lineRule="exact"/>
        <w:rPr>
          <w:sz w:val="20"/>
          <w:szCs w:val="20"/>
          <w:color w:val="auto"/>
        </w:rPr>
      </w:pPr>
    </w:p>
    <w:p>
      <w:pPr>
        <w:ind w:left="340" w:hanging="332"/>
        <w:spacing w:after="0" w:line="220" w:lineRule="auto"/>
        <w:tabs>
          <w:tab w:leader="none" w:pos="33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per-unit fleet costs excludes costs reported within vehicle depreciation and lease charges, net related to the disposal of certain fleet in our Americas reportable segment.</w:t>
      </w:r>
    </w:p>
    <w:p>
      <w:pPr>
        <w:sectPr>
          <w:pgSz w:w="11900" w:h="16838" w:orient="portrait"/>
          <w:cols w:equalWidth="0" w:num="1">
            <w:col w:w="11240"/>
          </w:cols>
          <w:pgMar w:left="320" w:top="76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7"/>
        </w:trPr>
        <w:tc>
          <w:tcPr>
            <w:tcW w:w="9020" w:type="dxa"/>
            <w:vAlign w:val="bottom"/>
            <w:vMerge w:val="restart"/>
          </w:tcPr>
          <w:p>
            <w:pPr>
              <w:jc w:val="center"/>
              <w:ind w:left="2130"/>
              <w:spacing w:after="0"/>
              <w:rPr>
                <w:sz w:val="20"/>
                <w:szCs w:val="20"/>
                <w:color w:val="auto"/>
              </w:rPr>
            </w:pPr>
            <w:r>
              <w:rPr>
                <w:rFonts w:ascii="Arial" w:cs="Arial" w:eastAsia="Arial" w:hAnsi="Arial"/>
                <w:sz w:val="18"/>
                <w:szCs w:val="18"/>
                <w:b w:val="1"/>
                <w:bCs w:val="1"/>
                <w:color w:val="auto"/>
                <w:w w:val="99"/>
              </w:rPr>
              <w:t>Avis Budget Group, Inc.</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Table 4</w:t>
            </w:r>
          </w:p>
        </w:tc>
        <w:tc>
          <w:tcPr>
            <w:tcW w:w="0" w:type="dxa"/>
            <w:vAlign w:val="bottom"/>
          </w:tcPr>
          <w:p>
            <w:pPr>
              <w:spacing w:after="0"/>
              <w:rPr>
                <w:sz w:val="1"/>
                <w:szCs w:val="1"/>
                <w:color w:val="auto"/>
              </w:rPr>
            </w:pPr>
          </w:p>
        </w:tc>
      </w:tr>
      <w:tr>
        <w:trPr>
          <w:trHeight w:val="185"/>
        </w:trPr>
        <w:tc>
          <w:tcPr>
            <w:tcW w:w="9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CONDENSED CONSOLIDATED SCHEDULE OF CASH FLOWS AND ADJUSTED FREE CASH FLOW (Unaudited)</w:t>
            </w:r>
          </w:p>
        </w:tc>
        <w:tc>
          <w:tcPr>
            <w:tcW w:w="0" w:type="dxa"/>
            <w:vAlign w:val="bottom"/>
          </w:tcPr>
          <w:p>
            <w:pPr>
              <w:spacing w:after="0"/>
              <w:rPr>
                <w:sz w:val="1"/>
                <w:szCs w:val="1"/>
                <w:color w:val="auto"/>
              </w:rPr>
            </w:pPr>
          </w:p>
        </w:tc>
      </w:tr>
      <w:tr>
        <w:trPr>
          <w:trHeight w:val="247"/>
        </w:trPr>
        <w:tc>
          <w:tcPr>
            <w:tcW w:w="9020" w:type="dxa"/>
            <w:vAlign w:val="bottom"/>
          </w:tcPr>
          <w:p>
            <w:pPr>
              <w:jc w:val="center"/>
              <w:ind w:left="2130"/>
              <w:spacing w:after="0"/>
              <w:rPr>
                <w:sz w:val="20"/>
                <w:szCs w:val="20"/>
                <w:color w:val="auto"/>
              </w:rPr>
            </w:pPr>
            <w:r>
              <w:rPr>
                <w:rFonts w:ascii="Arial" w:cs="Arial" w:eastAsia="Arial" w:hAnsi="Arial"/>
                <w:sz w:val="18"/>
                <w:szCs w:val="18"/>
                <w:b w:val="1"/>
                <w:bCs w:val="1"/>
                <w:color w:val="auto"/>
                <w:w w:val="98"/>
              </w:rPr>
              <w:t>(In millions)</w:t>
            </w:r>
          </w:p>
        </w:tc>
        <w:tc>
          <w:tcPr>
            <w:tcW w:w="1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7"/>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SCHEDULE OF CASH FLOWS</w:t>
            </w:r>
          </w:p>
        </w:tc>
        <w:tc>
          <w:tcPr>
            <w:tcW w:w="160" w:type="dxa"/>
            <w:vAlign w:val="bottom"/>
          </w:tcPr>
          <w:p>
            <w:pPr>
              <w:spacing w:after="0"/>
              <w:rPr>
                <w:sz w:val="24"/>
                <w:szCs w:val="24"/>
                <w:color w:val="auto"/>
              </w:rPr>
            </w:pPr>
          </w:p>
        </w:tc>
        <w:tc>
          <w:tcPr>
            <w:tcW w:w="2060" w:type="dxa"/>
            <w:vAlign w:val="bottom"/>
          </w:tcPr>
          <w:p>
            <w:pPr>
              <w:jc w:val="center"/>
              <w:ind w:right="71"/>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9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9"/>
              </w:rPr>
              <w:t>March 31, 2026</w:t>
            </w: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Net cash used in investing activities exclusive of vehicle programs</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investing activities of vehicle programs</w:t>
            </w: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9020" w:type="dxa"/>
            <w:vAlign w:val="bottom"/>
          </w:tcPr>
          <w:p>
            <w:pPr>
              <w:ind w:left="140"/>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Net cash used in financing activities exclusive of vehicle programs</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 of vehicle programs</w:t>
            </w: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9020" w:type="dxa"/>
            <w:vAlign w:val="bottom"/>
          </w:tcPr>
          <w:p>
            <w:pPr>
              <w:ind w:left="1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0" w:type="dxa"/>
            <w:vAlign w:val="bottom"/>
          </w:tcPr>
          <w:p>
            <w:pPr>
              <w:spacing w:after="0"/>
              <w:rPr>
                <w:sz w:val="1"/>
                <w:szCs w:val="1"/>
                <w:color w:val="auto"/>
              </w:rPr>
            </w:pPr>
          </w:p>
        </w:tc>
      </w:tr>
      <w:tr>
        <w:trPr>
          <w:trHeight w:val="21"/>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FREE CASH FLOW </w:t>
            </w:r>
            <w:r>
              <w:rPr>
                <w:rFonts w:ascii="Arial" w:cs="Arial" w:eastAsia="Arial" w:hAnsi="Arial"/>
                <w:sz w:val="23"/>
                <w:szCs w:val="23"/>
                <w:b w:val="1"/>
                <w:bCs w:val="1"/>
                <w:color w:val="auto"/>
                <w:vertAlign w:val="superscript"/>
              </w:rPr>
              <w:t>(a)</w:t>
            </w:r>
          </w:p>
        </w:tc>
        <w:tc>
          <w:tcPr>
            <w:tcW w:w="160" w:type="dxa"/>
            <w:vAlign w:val="bottom"/>
          </w:tcPr>
          <w:p>
            <w:pPr>
              <w:spacing w:after="0"/>
              <w:rPr>
                <w:sz w:val="24"/>
                <w:szCs w:val="24"/>
                <w:color w:val="auto"/>
              </w:rPr>
            </w:pPr>
          </w:p>
        </w:tc>
        <w:tc>
          <w:tcPr>
            <w:tcW w:w="2060" w:type="dxa"/>
            <w:vAlign w:val="bottom"/>
          </w:tcPr>
          <w:p>
            <w:pPr>
              <w:jc w:val="center"/>
              <w:ind w:right="71"/>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35"/>
        </w:trPr>
        <w:tc>
          <w:tcPr>
            <w:tcW w:w="90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jc w:val="center"/>
              <w:ind w:right="91"/>
              <w:spacing w:after="0" w:line="135" w:lineRule="exact"/>
              <w:rPr>
                <w:sz w:val="20"/>
                <w:szCs w:val="20"/>
                <w:color w:val="auto"/>
              </w:rPr>
            </w:pPr>
            <w:r>
              <w:rPr>
                <w:rFonts w:ascii="Arial" w:cs="Arial" w:eastAsia="Arial" w:hAnsi="Arial"/>
                <w:sz w:val="15"/>
                <w:szCs w:val="15"/>
                <w:b w:val="1"/>
                <w:bCs w:val="1"/>
                <w:color w:val="auto"/>
              </w:rPr>
              <w:t>March 31, 2026</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30"/>
        </w:trPr>
        <w:tc>
          <w:tcPr>
            <w:tcW w:w="902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 (excluding early extinguishment of debt)</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Working capital and other</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90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b w:val="1"/>
                <w:bCs w:val="1"/>
                <w:color w:val="auto"/>
                <w:vertAlign w:val="superscript"/>
              </w:rPr>
              <w:t>(c)</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payments, net of refunds</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Vehicle programs and related </w:t>
            </w:r>
            <w:r>
              <w:rPr>
                <w:rFonts w:ascii="Arial" w:cs="Arial" w:eastAsia="Arial" w:hAnsi="Arial"/>
                <w:sz w:val="23"/>
                <w:szCs w:val="23"/>
                <w:b w:val="1"/>
                <w:bCs w:val="1"/>
                <w:color w:val="auto"/>
                <w:vertAlign w:val="superscript"/>
              </w:rPr>
              <w:t>(d)</w:t>
            </w: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Free Cash Flow </w:t>
            </w:r>
            <w:r>
              <w:rPr>
                <w:rFonts w:ascii="Arial" w:cs="Arial" w:eastAsia="Arial" w:hAnsi="Arial"/>
                <w:sz w:val="23"/>
                <w:szCs w:val="23"/>
                <w:b w:val="1"/>
                <w:bCs w:val="1"/>
                <w:color w:val="auto"/>
                <w:vertAlign w:val="superscript"/>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30"/>
        </w:trPr>
        <w:tc>
          <w:tcPr>
            <w:tcW w:w="9020" w:type="dxa"/>
            <w:vAlign w:val="bottom"/>
          </w:tcPr>
          <w:p>
            <w:pPr>
              <w:ind w:left="240"/>
              <w:spacing w:after="0"/>
              <w:rPr>
                <w:sz w:val="20"/>
                <w:szCs w:val="20"/>
                <w:color w:val="auto"/>
              </w:rPr>
            </w:pPr>
            <w:r>
              <w:rPr>
                <w:rFonts w:ascii="Arial" w:cs="Arial" w:eastAsia="Arial" w:hAnsi="Arial"/>
                <w:sz w:val="18"/>
                <w:szCs w:val="18"/>
                <w:color w:val="auto"/>
              </w:rPr>
              <w:t>Acquisition and related payments, net of acquired cash</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Borrowings, net of debt repayments</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020" w:type="dxa"/>
            <w:vAlign w:val="bottom"/>
          </w:tcPr>
          <w:p>
            <w:pPr>
              <w:ind w:left="24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program and restricted cash</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020" w:type="dxa"/>
            <w:vAlign w:val="bottom"/>
          </w:tcPr>
          <w:p>
            <w:pPr>
              <w:ind w:left="240"/>
              <w:spacing w:after="0"/>
              <w:rPr>
                <w:sz w:val="20"/>
                <w:szCs w:val="20"/>
                <w:color w:val="auto"/>
              </w:rPr>
            </w:pPr>
            <w:r>
              <w:rPr>
                <w:rFonts w:ascii="Arial" w:cs="Arial" w:eastAsia="Arial" w:hAnsi="Arial"/>
                <w:sz w:val="18"/>
                <w:szCs w:val="18"/>
                <w:color w:val="auto"/>
              </w:rPr>
              <w:t>Other receipts (payments), net</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effects, financing costs and other</w:t>
            </w: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 program and restricted cash (per above)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Refer to Appendix I for the definitions of non-GAAP financial measures Adjusted EBITDA and Adjusted Free Cash Flow.</w:t>
      </w:r>
    </w:p>
    <w:p>
      <w:pPr>
        <w:spacing w:after="0" w:line="15" w:lineRule="exact"/>
        <w:rPr>
          <w:sz w:val="20"/>
          <w:szCs w:val="20"/>
          <w:color w:val="auto"/>
        </w:rPr>
      </w:pPr>
    </w:p>
    <w:p>
      <w:pPr>
        <w:jc w:val="both"/>
        <w:ind w:left="340" w:hanging="332"/>
        <w:spacing w:after="0" w:line="228" w:lineRule="auto"/>
        <w:tabs>
          <w:tab w:leader="none" w:pos="33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This presentation demonstrates the relationship between Adjusted EBITDA and Adjusted Free Cash Flow. We believe it is useful to understand this relationship because it demonstrates how cash generated by our operations is used. This presentation is not intended to be reconciliations of these non-GAAP measures, which are provided on Table 5.</w:t>
      </w:r>
    </w:p>
    <w:p>
      <w:pPr>
        <w:spacing w:after="0" w:line="1" w:lineRule="exact"/>
        <w:rPr>
          <w:rFonts w:ascii="Arial" w:cs="Arial" w:eastAsia="Arial" w:hAnsi="Arial"/>
          <w:sz w:val="21"/>
          <w:szCs w:val="21"/>
          <w:color w:val="auto"/>
          <w:vertAlign w:val="superscript"/>
        </w:rPr>
      </w:pPr>
    </w:p>
    <w:p>
      <w:pPr>
        <w:ind w:left="320" w:hanging="312"/>
        <w:spacing w:after="0" w:line="191" w:lineRule="auto"/>
        <w:tabs>
          <w:tab w:leader="none" w:pos="3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Refer to Table 5 for the reconciliations of net loss to Adjusted EBITDA and net cash provided by operating activities to Adjusted Free Cash Flow.</w:t>
      </w:r>
    </w:p>
    <w:p>
      <w:pPr>
        <w:ind w:left="320" w:hanging="312"/>
        <w:spacing w:after="0" w:line="197" w:lineRule="auto"/>
        <w:tabs>
          <w:tab w:leader="none" w:pos="3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$1 million of cloud computing implementation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vehicle-backed borrowings (repayments) that are incremental to amounts required to fund vehicle and vehicle-related assets.</w:t>
      </w:r>
    </w:p>
    <w:p>
      <w:pPr>
        <w:sectPr>
          <w:pgSz w:w="11900" w:h="16838" w:orient="portrait"/>
          <w:cols w:equalWidth="0" w:num="1">
            <w:col w:w="11240"/>
          </w:cols>
          <w:pgMar w:left="320" w:top="769"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Table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jc w:val="center"/>
        <w:ind w:left="85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net loss to Adjusted EBITDA:</w:t>
            </w: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1"/>
        </w:trPr>
        <w:tc>
          <w:tcPr>
            <w:tcW w:w="86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8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from income taxes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related to corporate debt, net: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fleet charges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Restructuring and other related charges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Transaction-related costs, net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Legal matters, net </w:t>
            </w:r>
            <w:r>
              <w:rPr>
                <w:rFonts w:ascii="Arial" w:cs="Arial" w:eastAsia="Arial" w:hAnsi="Arial"/>
                <w:sz w:val="23"/>
                <w:szCs w:val="23"/>
                <w:color w:val="auto"/>
                <w:vertAlign w:val="superscript"/>
              </w:rPr>
              <w:t>(b)</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Cloud computing costs </w:t>
            </w:r>
            <w:r>
              <w:rPr>
                <w:rFonts w:ascii="Arial" w:cs="Arial" w:eastAsia="Arial" w:hAnsi="Arial"/>
                <w:sz w:val="23"/>
                <w:szCs w:val="23"/>
                <w:color w:val="auto"/>
                <w:vertAlign w:val="superscript"/>
              </w:rPr>
              <w:t>(c)</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(d)</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net cash provided by operating activities to Adjusted Free Cash Flow:</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8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 of vehicle programs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 of vehicle programs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received on asset sales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Change in program and restricted cash</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from equity method investments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receipts (payments), net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Refer to Appendix I for the definitions of Adjusted EBITDA and Adjusted Free Cash Flow, non-GAAP financial measures.</w:t>
      </w:r>
    </w:p>
    <w:p>
      <w:pPr>
        <w:ind w:left="320" w:hanging="312"/>
        <w:spacing w:after="0" w:line="206" w:lineRule="auto"/>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Costs reported within vehicle depreciation and lease charges, net related to the disposal of certain fleet in our Americas reportable segment.</w:t>
      </w:r>
    </w:p>
    <w:p>
      <w:pPr>
        <w:ind w:left="320" w:hanging="312"/>
        <w:spacing w:after="0" w:line="187" w:lineRule="auto"/>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Consists of $1 million reported within selling, general and administrative expenses for the three months ended March 31, 2026 and 2025, in each period.</w:t>
      </w:r>
    </w:p>
    <w:p>
      <w:pPr>
        <w:ind w:left="320" w:hanging="312"/>
        <w:spacing w:after="0" w:line="197" w:lineRule="auto"/>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Reported within operating expenses.</w:t>
      </w:r>
    </w:p>
    <w:p>
      <w:pPr>
        <w:spacing w:after="0" w:line="4" w:lineRule="exact"/>
        <w:rPr>
          <w:rFonts w:ascii="Arial" w:cs="Arial" w:eastAsia="Arial" w:hAnsi="Arial"/>
          <w:sz w:val="21"/>
          <w:szCs w:val="21"/>
          <w:color w:val="auto"/>
          <w:vertAlign w:val="superscript"/>
        </w:rPr>
      </w:pPr>
    </w:p>
    <w:p>
      <w:pPr>
        <w:ind w:left="340" w:hanging="332"/>
        <w:spacing w:after="0" w:line="218" w:lineRule="auto"/>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and vehicle related deferred financing fee amortization in the aggregate totaling $10 million and $14 million in the three months ended March 31, 2026 and 2025, respectively.</w:t>
      </w:r>
    </w:p>
    <w:p>
      <w:pPr>
        <w:sectPr>
          <w:pgSz w:w="11900" w:h="16838" w:orient="portrait"/>
          <w:cols w:equalWidth="0" w:num="1">
            <w:col w:w="11240"/>
          </w:cols>
          <w:pgMar w:left="320" w:top="769" w:right="339" w:bottom="1440" w:gutter="0" w:footer="0" w:header="0"/>
        </w:sectPr>
      </w:pPr>
    </w:p>
    <w:bookmarkStart w:id="12" w:name="page13"/>
    <w:bookmarkEnd w:id="12"/>
    <w:tbl>
      <w:tblPr>
        <w:tblLayout w:type="fixed"/>
        <w:tblInd w:w="80" w:type="dxa"/>
        <w:tblCellMar>
          <w:top w:w="0" w:type="dxa"/>
          <w:left w:w="0" w:type="dxa"/>
          <w:bottom w:w="0" w:type="dxa"/>
          <w:right w:w="0" w:type="dxa"/>
        </w:tblCellMar>
      </w:tblPr>
      <w:tr>
        <w:trPr>
          <w:trHeight w:val="247"/>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6"/>
            <w:vMerge w:val="restart"/>
          </w:tcPr>
          <w:p>
            <w:pPr>
              <w:jc w:val="center"/>
              <w:ind w:right="500"/>
              <w:spacing w:after="0"/>
              <w:rPr>
                <w:sz w:val="20"/>
                <w:szCs w:val="20"/>
                <w:color w:val="auto"/>
              </w:rPr>
            </w:pPr>
            <w:r>
              <w:rPr>
                <w:rFonts w:ascii="Arial" w:cs="Arial" w:eastAsia="Arial" w:hAnsi="Arial"/>
                <w:sz w:val="18"/>
                <w:szCs w:val="18"/>
                <w:b w:val="1"/>
                <w:bCs w:val="1"/>
                <w:color w:val="auto"/>
                <w:w w:val="99"/>
              </w:rPr>
              <w:t>Avis Budget Group, Inc.</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b w:val="1"/>
                <w:bCs w:val="1"/>
                <w:color w:val="auto"/>
                <w:w w:val="93"/>
              </w:rPr>
              <w:t>Table 6</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9"/>
          </w:tcPr>
          <w:p>
            <w:pPr>
              <w:jc w:val="center"/>
              <w:ind w:left="306"/>
              <w:spacing w:after="0"/>
              <w:rPr>
                <w:sz w:val="20"/>
                <w:szCs w:val="20"/>
                <w:color w:val="auto"/>
              </w:rPr>
            </w:pPr>
            <w:r>
              <w:rPr>
                <w:rFonts w:ascii="Arial" w:cs="Arial" w:eastAsia="Arial" w:hAnsi="Arial"/>
                <w:sz w:val="18"/>
                <w:szCs w:val="18"/>
                <w:b w:val="1"/>
                <w:bCs w:val="1"/>
                <w:color w:val="auto"/>
                <w:w w:val="99"/>
              </w:rPr>
              <w:t>KEY METRICS CALCULATIONS (Unaudited)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40" w:type="dxa"/>
            <w:vAlign w:val="bottom"/>
            <w:gridSpan w:val="8"/>
          </w:tcPr>
          <w:p>
            <w:pPr>
              <w:jc w:val="center"/>
              <w:ind w:left="586"/>
              <w:spacing w:after="0"/>
              <w:rPr>
                <w:sz w:val="20"/>
                <w:szCs w:val="20"/>
                <w:color w:val="auto"/>
              </w:rPr>
            </w:pPr>
            <w:r>
              <w:rPr>
                <w:rFonts w:ascii="Arial" w:cs="Arial" w:eastAsia="Arial" w:hAnsi="Arial"/>
                <w:sz w:val="18"/>
                <w:szCs w:val="18"/>
                <w:b w:val="1"/>
                <w:bCs w:val="1"/>
                <w:color w:val="auto"/>
                <w:w w:val="99"/>
              </w:rPr>
              <w:t>($ in millions, except as noted)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3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center"/>
              <w:ind w:right="128"/>
              <w:spacing w:after="0"/>
              <w:rPr>
                <w:sz w:val="20"/>
                <w:szCs w:val="20"/>
                <w:color w:val="auto"/>
              </w:rPr>
            </w:pPr>
            <w:r>
              <w:rPr>
                <w:rFonts w:ascii="Arial" w:cs="Arial" w:eastAsia="Arial" w:hAnsi="Arial"/>
                <w:sz w:val="14"/>
                <w:szCs w:val="14"/>
                <w:b w:val="1"/>
                <w:bCs w:val="1"/>
                <w:color w:val="auto"/>
              </w:rPr>
              <w:t>Three Months Ended March 31, 2026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right="227"/>
              <w:spacing w:after="0"/>
              <w:rPr>
                <w:sz w:val="20"/>
                <w:szCs w:val="20"/>
                <w:color w:val="auto"/>
              </w:rPr>
            </w:pPr>
            <w:r>
              <w:rPr>
                <w:rFonts w:ascii="Arial" w:cs="Arial" w:eastAsia="Arial" w:hAnsi="Arial"/>
                <w:sz w:val="14"/>
                <w:szCs w:val="14"/>
                <w:b w:val="1"/>
                <w:bCs w:val="1"/>
                <w:color w:val="auto"/>
              </w:rPr>
              <w:t>Three Months Ended March 31, 2025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Revenue per Day (RPD)</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1,962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2,430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Currency exchange rate effects</w:t>
            </w:r>
          </w:p>
        </w:tc>
        <w:tc>
          <w:tcPr>
            <w:tcW w:w="180" w:type="dxa"/>
            <w:vAlign w:val="bottom"/>
          </w:tcPr>
          <w:p>
            <w:pPr>
              <w:spacing w:after="0"/>
              <w:rPr>
                <w:sz w:val="17"/>
                <w:szCs w:val="17"/>
                <w:color w:val="auto"/>
              </w:rPr>
            </w:pPr>
          </w:p>
        </w:tc>
        <w:tc>
          <w:tcPr>
            <w:tcW w:w="1040" w:type="dxa"/>
            <w:vAlign w:val="bottom"/>
          </w:tcPr>
          <w:p>
            <w:pPr>
              <w:jc w:val="right"/>
              <w:ind w:right="86"/>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excluding exchange rate effects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4"/>
                <w:szCs w:val="14"/>
                <w:color w:val="auto"/>
              </w:rPr>
              <w:t>1,959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2,479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2,430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Rental days (000's)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29,453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9,625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39,078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29,447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10,008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39,455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RPD excluding exchange rate effects (in $'s)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4"/>
                <w:szCs w:val="14"/>
                <w:color w:val="auto"/>
              </w:rPr>
              <w:t>66.52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53.97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63.43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64.78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61.59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Vehicle Utilization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1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days (000's)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29,453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39,078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39,455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Average rental fleet</w:t>
            </w:r>
          </w:p>
        </w:tc>
        <w:tc>
          <w:tcPr>
            <w:tcW w:w="180" w:type="dxa"/>
            <w:vAlign w:val="bottom"/>
          </w:tcPr>
          <w:p>
            <w:pPr>
              <w:spacing w:after="0"/>
              <w:rPr>
                <w:sz w:val="17"/>
                <w:szCs w:val="17"/>
                <w:color w:val="auto"/>
              </w:rPr>
            </w:pPr>
          </w:p>
        </w:tc>
        <w:tc>
          <w:tcPr>
            <w:tcW w:w="1040" w:type="dxa"/>
            <w:vAlign w:val="bottom"/>
          </w:tcPr>
          <w:p>
            <w:pPr>
              <w:jc w:val="right"/>
              <w:ind w:right="126"/>
              <w:spacing w:after="0"/>
              <w:rPr>
                <w:sz w:val="20"/>
                <w:szCs w:val="20"/>
                <w:color w:val="auto"/>
              </w:rPr>
            </w:pPr>
            <w:r>
              <w:rPr>
                <w:rFonts w:ascii="Arial" w:cs="Arial" w:eastAsia="Arial" w:hAnsi="Arial"/>
                <w:sz w:val="14"/>
                <w:szCs w:val="14"/>
                <w:color w:val="auto"/>
              </w:rPr>
              <w:t>467,420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152,249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619,669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470,125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161,250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631,375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days in period</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20" w:type="dxa"/>
            <w:vAlign w:val="bottom"/>
          </w:tcPr>
          <w:p>
            <w:pPr>
              <w:ind w:left="20"/>
              <w:spacing w:after="0"/>
              <w:rPr>
                <w:sz w:val="20"/>
                <w:szCs w:val="20"/>
                <w:color w:val="auto"/>
              </w:rPr>
            </w:pPr>
            <w:r>
              <w:rPr>
                <w:rFonts w:ascii="Arial" w:cs="Arial" w:eastAsia="Arial" w:hAnsi="Arial"/>
                <w:sz w:val="14"/>
                <w:szCs w:val="14"/>
                <w:color w:val="auto"/>
              </w:rPr>
              <w:t>Available rental days (000's)</w:t>
            </w:r>
          </w:p>
        </w:tc>
        <w:tc>
          <w:tcPr>
            <w:tcW w:w="180" w:type="dxa"/>
            <w:vAlign w:val="bottom"/>
          </w:tcPr>
          <w:p>
            <w:pPr>
              <w:spacing w:after="0"/>
              <w:rPr>
                <w:sz w:val="16"/>
                <w:szCs w:val="16"/>
                <w:color w:val="auto"/>
              </w:rPr>
            </w:pPr>
          </w:p>
        </w:tc>
        <w:tc>
          <w:tcPr>
            <w:tcW w:w="1040" w:type="dxa"/>
            <w:vAlign w:val="bottom"/>
          </w:tcPr>
          <w:p>
            <w:pPr>
              <w:jc w:val="right"/>
              <w:ind w:right="126"/>
              <w:spacing w:after="0"/>
              <w:rPr>
                <w:sz w:val="20"/>
                <w:szCs w:val="20"/>
                <w:color w:val="auto"/>
              </w:rPr>
            </w:pPr>
            <w:r>
              <w:rPr>
                <w:rFonts w:ascii="Arial" w:cs="Arial" w:eastAsia="Arial" w:hAnsi="Arial"/>
                <w:sz w:val="14"/>
                <w:szCs w:val="14"/>
                <w:color w:val="auto"/>
              </w:rPr>
              <w:t>42,068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13,702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55,770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42,311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14,513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56,824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 utilization</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 xml:space="preserve">Per-Unit Fleet Costs </w:t>
            </w:r>
            <w:r>
              <w:rPr>
                <w:rFonts w:ascii="Arial" w:cs="Arial" w:eastAsia="Arial" w:hAnsi="Arial"/>
                <w:sz w:val="18"/>
                <w:szCs w:val="18"/>
                <w:b w:val="1"/>
                <w:bCs w:val="1"/>
                <w:color w:val="auto"/>
                <w:vertAlign w:val="superscript"/>
              </w:rPr>
              <w:t>(a)</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 depreciation and lease charges, net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665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20" w:type="dxa"/>
            <w:vAlign w:val="bottom"/>
          </w:tcPr>
          <w:p>
            <w:pPr>
              <w:ind w:left="20"/>
              <w:spacing w:after="0"/>
              <w:rPr>
                <w:sz w:val="20"/>
                <w:szCs w:val="20"/>
                <w:color w:val="auto"/>
              </w:rPr>
            </w:pPr>
            <w:r>
              <w:rPr>
                <w:rFonts w:ascii="Arial" w:cs="Arial" w:eastAsia="Arial" w:hAnsi="Arial"/>
                <w:sz w:val="14"/>
                <w:szCs w:val="14"/>
                <w:color w:val="auto"/>
              </w:rPr>
              <w:t>Currency exchange rate effects</w:t>
            </w:r>
          </w:p>
        </w:tc>
        <w:tc>
          <w:tcPr>
            <w:tcW w:w="180" w:type="dxa"/>
            <w:vAlign w:val="bottom"/>
          </w:tcPr>
          <w:p>
            <w:pPr>
              <w:spacing w:after="0"/>
              <w:rPr>
                <w:sz w:val="17"/>
                <w:szCs w:val="17"/>
                <w:color w:val="auto"/>
              </w:rPr>
            </w:pPr>
          </w:p>
        </w:tc>
        <w:tc>
          <w:tcPr>
            <w:tcW w:w="1040" w:type="dxa"/>
            <w:vAlign w:val="bottom"/>
          </w:tcPr>
          <w:p>
            <w:pPr>
              <w:jc w:val="right"/>
              <w:ind w:right="86"/>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31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Vehicle depreciation excluding exchange rate</w:t>
            </w: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4"/>
                <w:szCs w:val="14"/>
                <w:color w:val="auto"/>
              </w:rPr>
              <w:t>532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652</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533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132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CEEFF"/>
          </w:tcPr>
          <w:p>
            <w:pPr>
              <w:jc w:val="right"/>
              <w:ind w:right="127"/>
              <w:spacing w:after="0"/>
              <w:rPr>
                <w:sz w:val="20"/>
                <w:szCs w:val="20"/>
                <w:color w:val="auto"/>
              </w:rPr>
            </w:pPr>
            <w:r>
              <w:rPr>
                <w:rFonts w:ascii="Arial" w:cs="Arial" w:eastAsia="Arial" w:hAnsi="Arial"/>
                <w:sz w:val="14"/>
                <w:szCs w:val="14"/>
                <w:color w:val="auto"/>
              </w:rPr>
              <w:t>665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effects</w:t>
            </w:r>
          </w:p>
        </w:tc>
        <w:tc>
          <w:tcPr>
            <w:tcW w:w="18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rental fleet</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467,420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152,249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619,669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470,125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161,250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631,375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Per-unit fleet costs (in $'s)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1,053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Number of months in period</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1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Per-unit fleet costs per month excluding</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ind w:right="126"/>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exchange rate effects (in $'s)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calculation of rental days and revenue per day may not be comparable to the calculation of similarly-titled metrics by other companies. Currency exchange rate effects are calculated by translating the current-period's results at the prior-period average exchange rates plus any related gains and losses on currency hedges.</w:t>
      </w:r>
    </w:p>
    <w:p>
      <w:pPr>
        <w:ind w:left="340" w:hanging="332"/>
        <w:spacing w:after="0" w:line="227" w:lineRule="auto"/>
        <w:tabs>
          <w:tab w:leader="none" w:pos="325" w:val="left"/>
        </w:tabs>
        <w:numPr>
          <w:ilvl w:val="0"/>
          <w:numId w:val="10"/>
        </w:numPr>
        <w:rPr>
          <w:rFonts w:ascii="Arial" w:cs="Arial" w:eastAsia="Arial" w:hAnsi="Arial"/>
          <w:sz w:val="18"/>
          <w:szCs w:val="18"/>
          <w:color w:val="auto"/>
          <w:vertAlign w:val="superscript"/>
        </w:rPr>
      </w:pPr>
      <w:r>
        <w:rPr>
          <w:rFonts w:ascii="Arial" w:cs="Arial" w:eastAsia="Arial" w:hAnsi="Arial"/>
          <w:sz w:val="13"/>
          <w:szCs w:val="13"/>
          <w:color w:val="auto"/>
        </w:rPr>
        <w:t>For the three months ended March 31, 2025, per-unit fleet costs excludes costs reported within vehicle depreciation and lease charges, net related to the disposal of certain fleet in our Americas reportable segment.</w:t>
      </w:r>
    </w:p>
    <w:p>
      <w:pPr>
        <w:sectPr>
          <w:pgSz w:w="11900" w:h="16838" w:orient="portrait"/>
          <w:cols w:equalWidth="0" w:num="1">
            <w:col w:w="11240"/>
          </w:cols>
          <w:pgMar w:left="320" w:top="76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Appendix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OF NON-GAAP MEASURES AND KEY METRICS</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w:t>
      </w:r>
    </w:p>
    <w:p>
      <w:pPr>
        <w:spacing w:after="0" w:line="15"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The accompanying press release presents Adjusted EBITDA, which is a non-GAAP measure most directly comparable to net income (loss). Adjusted EBITDA is defined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$5 million, related to unprecedented self-insurance reserves for allocated loss adjustment expense, class action lawsuits and personal</w:t>
      </w:r>
    </w:p>
    <w:p>
      <w:pPr>
        <w:spacing w:after="0" w:line="1"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 A reconciliation of Adjusted EBITDA from net loss recognized under U.S. GAAP is provided on Table 5.</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Free Cash Flow</w:t>
      </w:r>
    </w:p>
    <w:p>
      <w:pPr>
        <w:spacing w:after="0" w:line="1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Represents net cash provided by operating activities adjusted to reflect the cash inflows and outflows relating to capital expenditures, the investing and financing activities of our vehicle programs, asset sales, if any, and to exclude restructuring and other related charges; early extinguishment of debt costs; transaction-related costs; legal matters; non-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operational charges related to shareholder activist activity; COVID-19 charges; other (income) expense; and severe weather-related damages.</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believe that Adjusted Free Cash Flow is useful in measuring the cash generated that is available to be used to repay debt obligations, repurchase stock, pay dividends and invest in future growth through new business development activities or acquisitions. Adjusted Free Cash Flow should not be construed as a substitute in measuring operating results or liquidity, and our presentation of Adjusted Free Cash Flow may not be comparable to similarly-titled measures used by other companies. A reconciliation of Adjusted Free Cash Flow from net cash provided by operating activities recognized under U.S. GAAP is provided on Table 5.</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 Margin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Adjusted EBITDA as a percentage of revenues.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Rental Days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Defined as Average Rental Fleet times the numbers of days in a given period.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Rental Fleet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the average number of vehicles in our fleet during a given period of time.</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Currency Exchange Rate Effects</w:t>
      </w:r>
    </w:p>
    <w:p>
      <w:pPr>
        <w:spacing w:after="0" w:line="29"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Represents the difference between current-period results as reported and current-period results translated at the prior-period average exchange rates plus any related currency hedges.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Adjusted EBITDA</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Adjusted EBITDA with the add-back of vehicle depreciation excluding other fleet charges and vehicle interest.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Corporate Debt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corporate debt minus cash and cash equivalents.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Corporate Leverage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Net Corporate Debt divided by Adjusted EBITDA for the twelve months prior to the date of calculation.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Net Debt Ratio</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total debt less cash and cash equivalents divided by Gross Adjusted EBITDA for the twelve months prior to the date of calculation.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Per-Unit Fleet Costs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Represents vehicle depreciation, lease charges and gain or loss on vehicles sales, divided by Average Rental Fleet.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Days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the total number of days (or portion thereof) a vehicle was rented during a 24-hour period.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per Day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revenues divided by Rental Days.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Vehicle Utilization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Represents Rental Days divided by Available Rental Days.</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2026-04-29T06:05:39Z</dcterms:created>
  <dcterms:modified xsi:type="dcterms:W3CDTF">2026-04-29T06:05:39Z</dcterms:modified>
</cp:coreProperties>
</file>