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pPr>
      <w:r>
        <w:rPr>
          <w:rFonts w:ascii="Arial;sans-serif" w:hAnsi="Arial;sans-serif"/>
          <w:b/>
          <w:color w:val="000000"/>
          <w:sz w:val="16"/>
        </w:rPr>
        <w:t>WASHINGTON, D.C. 20549</w:t>
      </w:r>
      <w:r>
        <w:rPr>
          <w:color w:val="000000"/>
        </w:rPr>
        <w:t xml:space="preserv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before="0" w:after="0"/>
        <w:jc w:val="center"/>
        <w:rPr/>
      </w:pPr>
      <w:r>
        <w:rPr/>
      </w:r>
    </w:p>
    <w:tbl>
      <w:tblPr>
        <w:tblW w:w="8996" w:type="dxa"/>
        <w:jc w:val="center"/>
        <w:tblInd w:w="0" w:type="dxa"/>
        <w:tblCellMar>
          <w:top w:w="28" w:type="dxa"/>
          <w:left w:w="28" w:type="dxa"/>
          <w:bottom w:w="28" w:type="dxa"/>
          <w:right w:w="28" w:type="dxa"/>
        </w:tblCellMar>
      </w:tblPr>
      <w:tblGrid>
        <w:gridCol w:w="124"/>
        <w:gridCol w:w="109"/>
        <w:gridCol w:w="109"/>
        <w:gridCol w:w="2532"/>
        <w:gridCol w:w="2532"/>
        <w:gridCol w:w="35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2" w:type="dxa"/>
            <w:tcBorders/>
            <w:shd w:fill="auto" w:val="clear"/>
            <w:vAlign w:val="center"/>
          </w:tcPr>
          <w:p>
            <w:pPr>
              <w:pStyle w:val="TableContents"/>
              <w:spacing w:before="0" w:after="283"/>
              <w:rPr>
                <w:sz w:val="4"/>
                <w:szCs w:val="4"/>
              </w:rPr>
            </w:pPr>
            <w:r>
              <w:rPr>
                <w:sz w:val="4"/>
                <w:szCs w:val="4"/>
              </w:rPr>
            </w:r>
          </w:p>
        </w:tc>
        <w:tc>
          <w:tcPr>
            <w:tcW w:w="2532" w:type="dxa"/>
            <w:tcBorders/>
            <w:shd w:fill="auto" w:val="clear"/>
            <w:vAlign w:val="center"/>
          </w:tcPr>
          <w:p>
            <w:pPr>
              <w:pStyle w:val="TableContents"/>
              <w:spacing w:before="0" w:after="283"/>
              <w:rPr>
                <w:sz w:val="4"/>
                <w:szCs w:val="4"/>
              </w:rPr>
            </w:pPr>
            <w:r>
              <w:rPr>
                <w:sz w:val="4"/>
                <w:szCs w:val="4"/>
              </w:rPr>
            </w:r>
          </w:p>
        </w:tc>
        <w:tc>
          <w:tcPr>
            <w:tcW w:w="35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6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For the quarterly period ended March 31, 2023</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OR</w:t>
      </w:r>
    </w:p>
    <w:tbl>
      <w:tblPr>
        <w:tblW w:w="8982" w:type="dxa"/>
        <w:jc w:val="center"/>
        <w:tblInd w:w="0" w:type="dxa"/>
        <w:tblCellMar>
          <w:top w:w="28" w:type="dxa"/>
          <w:left w:w="28" w:type="dxa"/>
          <w:bottom w:w="28" w:type="dxa"/>
          <w:right w:w="28" w:type="dxa"/>
        </w:tblCellMar>
      </w:tblPr>
      <w:tblGrid>
        <w:gridCol w:w="124"/>
        <w:gridCol w:w="109"/>
        <w:gridCol w:w="109"/>
        <w:gridCol w:w="2531"/>
        <w:gridCol w:w="2531"/>
        <w:gridCol w:w="35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35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For the transition period from _____ to _____</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Commission File No. 001-10308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tbl>
      <w:tblPr>
        <w:tblW w:w="4290" w:type="dxa"/>
        <w:jc w:val="center"/>
        <w:tblInd w:w="0" w:type="dxa"/>
        <w:tblCellMar>
          <w:top w:w="28" w:type="dxa"/>
          <w:left w:w="28" w:type="dxa"/>
          <w:bottom w:w="28" w:type="dxa"/>
          <w:right w:w="28" w:type="dxa"/>
        </w:tblCellMar>
      </w:tblPr>
      <w:tblGrid>
        <w:gridCol w:w="1374"/>
        <w:gridCol w:w="1205"/>
        <w:gridCol w:w="1711"/>
      </w:tblGrid>
      <w:tr>
        <w:trPr/>
        <w:tc>
          <w:tcPr>
            <w:tcW w:w="137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180" w:after="283"/>
              <w:jc w:val="center"/>
              <w:rPr>
                <w:rFonts w:ascii="Arial;sans-serif" w:hAnsi="Arial;sans-serif"/>
                <w:b/>
                <w:color w:val="000000"/>
                <w:sz w:val="28"/>
              </w:rPr>
            </w:pPr>
            <w:r>
              <w:rPr>
                <w:rFonts w:ascii="Arial;sans-serif" w:hAnsi="Arial;sans-serif"/>
                <w:b/>
                <w:color w:val="000000"/>
                <w:sz w:val="28"/>
              </w:rPr>
              <w:t>Avis Budget Group, Inc.</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180" w:after="283"/>
              <w:jc w:val="center"/>
              <w:rPr>
                <w:rFonts w:ascii="Arial;sans-serif" w:hAnsi="Arial;sans-serif"/>
                <w:b/>
                <w:i/>
                <w:color w:val="000000"/>
                <w:sz w:val="16"/>
              </w:rPr>
            </w:pPr>
            <w:r>
              <w:rPr>
                <w:rFonts w:ascii="Arial;sans-serif" w:hAnsi="Arial;sans-serif"/>
                <w:b/>
                <w:i/>
                <w:color w:val="000000"/>
                <w:sz w:val="16"/>
              </w:rPr>
              <w:t>(Exact name of registrant as specified in its charter) </w:t>
            </w:r>
          </w:p>
        </w:tc>
      </w:tr>
    </w:tbl>
    <w:tbl>
      <w:tblPr>
        <w:tblW w:w="8627" w:type="dxa"/>
        <w:jc w:val="center"/>
        <w:tblInd w:w="0" w:type="dxa"/>
        <w:tblCellMar>
          <w:top w:w="28" w:type="dxa"/>
          <w:left w:w="28" w:type="dxa"/>
          <w:bottom w:w="28" w:type="dxa"/>
          <w:right w:w="28" w:type="dxa"/>
        </w:tblCellMar>
      </w:tblPr>
      <w:tblGrid>
        <w:gridCol w:w="206"/>
        <w:gridCol w:w="181"/>
        <w:gridCol w:w="181"/>
        <w:gridCol w:w="381"/>
        <w:gridCol w:w="381"/>
        <w:gridCol w:w="383"/>
        <w:gridCol w:w="228"/>
        <w:gridCol w:w="228"/>
        <w:gridCol w:w="235"/>
        <w:gridCol w:w="181"/>
        <w:gridCol w:w="181"/>
        <w:gridCol w:w="181"/>
        <w:gridCol w:w="221"/>
        <w:gridCol w:w="221"/>
        <w:gridCol w:w="221"/>
        <w:gridCol w:w="333"/>
        <w:gridCol w:w="333"/>
        <w:gridCol w:w="337"/>
        <w:gridCol w:w="536"/>
        <w:gridCol w:w="536"/>
        <w:gridCol w:w="540"/>
        <w:gridCol w:w="221"/>
        <w:gridCol w:w="221"/>
        <w:gridCol w:w="221"/>
        <w:gridCol w:w="506"/>
        <w:gridCol w:w="506"/>
        <w:gridCol w:w="727"/>
      </w:tblGrid>
      <w:tr>
        <w:trPr/>
        <w:tc>
          <w:tcPr>
            <w:tcW w:w="2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06-0918165</w:t>
            </w:r>
          </w:p>
        </w:tc>
      </w:tr>
      <w:tr>
        <w:trPr/>
        <w:tc>
          <w:tcPr>
            <w:tcW w:w="294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w:t>
              <w:br/>
              <w:t>incorporation or organization)</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w:t>
              <w:br/>
              <w:t>Identification Number)</w:t>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6 Sylvan Way</w:t>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Parsippany,</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NJ</w:t>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07054</w:t>
            </w:r>
          </w:p>
        </w:tc>
      </w:tr>
      <w:tr>
        <w:trPr/>
        <w:tc>
          <w:tcPr>
            <w:tcW w:w="294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(Zip Code)</w:t>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(973)</w:t>
            </w:r>
          </w:p>
        </w:tc>
        <w:tc>
          <w:tcPr>
            <w:tcW w:w="16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496-4700</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80" w:after="283"/>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723" w:type="dxa"/>
        <w:jc w:val="center"/>
        <w:tblInd w:w="0" w:type="dxa"/>
        <w:tblCellMar>
          <w:top w:w="28" w:type="dxa"/>
          <w:left w:w="28" w:type="dxa"/>
          <w:bottom w:w="28" w:type="dxa"/>
          <w:right w:w="28" w:type="dxa"/>
        </w:tblCellMar>
      </w:tblPr>
      <w:tblGrid>
        <w:gridCol w:w="900"/>
        <w:gridCol w:w="790"/>
        <w:gridCol w:w="800"/>
        <w:gridCol w:w="524"/>
        <w:gridCol w:w="524"/>
        <w:gridCol w:w="526"/>
        <w:gridCol w:w="1071"/>
        <w:gridCol w:w="1071"/>
        <w:gridCol w:w="1517"/>
      </w:tblGrid>
      <w:tr>
        <w:trPr/>
        <w:tc>
          <w:tcPr>
            <w:tcW w:w="90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w:t>
            </w:r>
          </w:p>
        </w:tc>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spacing w:before="0" w:after="0"/>
        <w:rPr/>
      </w:pPr>
      <w:r>
        <w:rPr/>
      </w:r>
    </w:p>
    <w:p>
      <w:pPr>
        <w:pStyle w:val="TextBody"/>
        <w:spacing w:lineRule="auto" w:line="288" w:before="80" w:after="283"/>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Arial;sans-serif" w:hAnsi="Arial;sans-serif"/>
          <w:b w:val="false"/>
          <w:color w:val="000000"/>
          <w:sz w:val="16"/>
        </w:rPr>
        <w:t>No</w:t>
      </w:r>
      <w:r>
        <w:rPr>
          <w:color w:val="000000"/>
        </w:rPr>
        <w:t>  ☐</w:t>
      </w:r>
    </w:p>
    <w:p>
      <w:pPr>
        <w:pStyle w:val="TextBody"/>
        <w:spacing w:lineRule="auto" w:line="288" w:before="180" w:after="283"/>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ial;sans-serif" w:hAnsi="Arial;sans-serif"/>
          <w:b w:val="false"/>
          <w:color w:val="000000"/>
          <w:sz w:val="16"/>
        </w:rPr>
        <w:t>No</w:t>
      </w:r>
      <w:r>
        <w:rPr>
          <w:color w:val="000000"/>
        </w:rPr>
        <w:t>  ☐</w:t>
      </w:r>
    </w:p>
    <w:p>
      <w:pPr>
        <w:pStyle w:val="TextBody"/>
        <w:spacing w:lineRule="auto" w:line="288" w:before="180" w:after="283"/>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6995" w:type="dxa"/>
        <w:jc w:val="center"/>
        <w:tblInd w:w="0" w:type="dxa"/>
        <w:tblCellMar>
          <w:top w:w="28" w:type="dxa"/>
          <w:left w:w="28" w:type="dxa"/>
          <w:bottom w:w="28" w:type="dxa"/>
          <w:right w:w="28" w:type="dxa"/>
        </w:tblCellMar>
      </w:tblPr>
      <w:tblGrid>
        <w:gridCol w:w="782"/>
        <w:gridCol w:w="686"/>
        <w:gridCol w:w="693"/>
        <w:gridCol w:w="109"/>
        <w:gridCol w:w="109"/>
        <w:gridCol w:w="109"/>
        <w:gridCol w:w="709"/>
        <w:gridCol w:w="709"/>
        <w:gridCol w:w="711"/>
        <w:gridCol w:w="109"/>
        <w:gridCol w:w="109"/>
        <w:gridCol w:w="109"/>
        <w:gridCol w:w="559"/>
        <w:gridCol w:w="559"/>
        <w:gridCol w:w="561"/>
        <w:gridCol w:w="109"/>
        <w:gridCol w:w="109"/>
        <w:gridCol w:w="154"/>
      </w:tblGrid>
      <w:tr>
        <w:trPr/>
        <w:tc>
          <w:tcPr>
            <w:tcW w:w="7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1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rPr/>
      </w:pPr>
      <w:r>
        <w:rPr>
          <w:rFonts w:ascii="Arial;sans-serif" w:hAnsi="Arial;sans-serif"/>
          <w:b w:val="false"/>
          <w:color w:val="000000"/>
          <w:sz w:val="16"/>
        </w:rPr>
        <w:t>Indicate by check mark whether the registrant is a shell company (as defined in Rule 12b-2 of the Exchange Act).   Yes</w:t>
      </w:r>
      <w:r>
        <w:rPr>
          <w:color w:val="000000"/>
        </w:rPr>
        <w:t>  ☐    </w:t>
      </w:r>
      <w:r>
        <w:rPr>
          <w:rFonts w:ascii="Arial;sans-serif" w:hAnsi="Arial;sans-serif"/>
          <w:b w:val="false"/>
          <w:color w:val="000000"/>
          <w:sz w:val="16"/>
        </w:rPr>
        <w:t>No</w:t>
      </w:r>
      <w:r>
        <w:rPr>
          <w:color w:val="000000"/>
        </w:rPr>
        <w:t>  ☒</w:t>
      </w:r>
    </w:p>
    <w:p>
      <w:pPr>
        <w:pStyle w:val="TextBody"/>
        <w:spacing w:before="0" w:after="0"/>
        <w:rPr/>
      </w:pPr>
      <w:r>
        <w:rPr/>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The number of shares outstanding of the issuer’s common stock was 39,762,342 shares as of April 28, 2023.</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CellMar>
          <w:top w:w="28" w:type="dxa"/>
          <w:left w:w="28" w:type="dxa"/>
          <w:bottom w:w="28" w:type="dxa"/>
          <w:right w:w="28" w:type="dxa"/>
        </w:tblCellMar>
      </w:tblPr>
      <w:tblGrid>
        <w:gridCol w:w="293"/>
        <w:gridCol w:w="257"/>
        <w:gridCol w:w="259"/>
        <w:gridCol w:w="2990"/>
        <w:gridCol w:w="2937"/>
        <w:gridCol w:w="2924"/>
        <w:gridCol w:w="158"/>
        <w:gridCol w:w="158"/>
        <w:gridCol w:w="229"/>
      </w:tblGrid>
      <w:tr>
        <w:trPr/>
        <w:tc>
          <w:tcPr>
            <w:tcW w:w="29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c>
          <w:tcPr>
            <w:tcW w:w="2937" w:type="dxa"/>
            <w:tcBorders/>
            <w:shd w:fill="auto" w:val="clear"/>
            <w:vAlign w:val="center"/>
          </w:tcPr>
          <w:p>
            <w:pPr>
              <w:pStyle w:val="TableContents"/>
              <w:spacing w:before="0" w:after="283"/>
              <w:rPr>
                <w:sz w:val="4"/>
                <w:szCs w:val="4"/>
              </w:rPr>
            </w:pPr>
            <w:r>
              <w:rPr>
                <w:sz w:val="4"/>
                <w:szCs w:val="4"/>
              </w:rPr>
            </w:r>
          </w:p>
        </w:tc>
        <w:tc>
          <w:tcPr>
            <w:tcW w:w="29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u w:val="single"/>
              </w:rPr>
            </w:pPr>
            <w:r>
              <w:rPr>
                <w:rFonts w:ascii="Arial;sans-serif" w:hAnsi="Arial;sans-serif"/>
                <w:b/>
                <w:color w:val="000000"/>
                <w:sz w:val="16"/>
                <w:u w:val="single"/>
              </w:rPr>
              <w:t>Page</w:t>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3">
              <w:r>
                <w:rPr>
                  <w:rStyle w:val="InternetLink"/>
                  <w:rFonts w:ascii="Arial;sans-serif" w:hAnsi="Arial;sans-serif"/>
                  <w:b w:val="false"/>
                  <w:color w:val="0000FF"/>
                  <w:sz w:val="20"/>
                  <w:u w:val="single"/>
                </w:rPr>
                <w:t>Financial Information</w:t>
              </w:r>
            </w:hyperlink>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6">
              <w:r>
                <w:rPr>
                  <w:rStyle w:val="InternetLink"/>
                </w:rPr>
                <w:t>Financial Statement</w:t>
              </w:r>
            </w:hyperlink>
            <w:r>
              <w:rPr>
                <w:rFonts w:ascii="Arial;sans-serif" w:hAnsi="Arial;sans-serif"/>
                <w:b w:val="false"/>
                <w:color w:val="0000FF"/>
                <w:sz w:val="20"/>
                <w:u w:val="single"/>
              </w:rPr>
              <w:t>s</w:t>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4c83a07b879466bb0370715b8e07bdf_19">
              <w:r>
                <w:rPr>
                  <w:rStyle w:val="InternetLink"/>
                </w:rPr>
                <w:t>Consolidated Condensed Statements of Comprehensive Income for the Three</w:t>
              </w:r>
            </w:hyperlink>
            <w:hyperlink w:anchor="ie4c83a07b879466bb0370715b8e07bdf_19">
              <w:r>
                <w:rPr>
                  <w:rStyle w:val="InternetLink"/>
                </w:rPr>
                <w:t xml:space="preserve"> Months Ended </w:t>
              </w:r>
            </w:hyperlink>
            <w:hyperlink w:anchor="ie4c83a07b879466bb0370715b8e07bdf_19">
              <w:r>
                <w:rPr>
                  <w:rStyle w:val="InternetLink"/>
                </w:rPr>
                <w:t>March</w:t>
              </w:r>
            </w:hyperlink>
            <w:hyperlink w:anchor="ie4c83a07b879466bb0370715b8e07bdf_19">
              <w:r>
                <w:rPr>
                  <w:rStyle w:val="InternetLink"/>
                </w:rPr>
                <w:t xml:space="preserve"> 3</w:t>
              </w:r>
            </w:hyperlink>
            <w:hyperlink w:anchor="ie4c83a07b879466bb0370715b8e07bdf_19">
              <w:r>
                <w:rPr>
                  <w:rStyle w:val="InternetLink"/>
                </w:rPr>
                <w:t>1</w:t>
              </w:r>
            </w:hyperlink>
            <w:hyperlink w:anchor="ie4c83a07b879466bb0370715b8e07bdf_19">
              <w:r>
                <w:rPr>
                  <w:rStyle w:val="InternetLink"/>
                </w:rPr>
                <w:t>, 202</w:t>
              </w:r>
            </w:hyperlink>
            <w:hyperlink w:anchor="ie4c83a07b879466bb0370715b8e07bdf_19">
              <w:r>
                <w:rPr>
                  <w:rStyle w:val="InternetLink"/>
                </w:rPr>
                <w:t>3</w:t>
              </w:r>
            </w:hyperlink>
            <w:hyperlink w:anchor="ie4c83a07b879466bb0370715b8e07bdf_19">
              <w:r>
                <w:rPr>
                  <w:rStyle w:val="InternetLink"/>
                </w:rPr>
                <w:t xml:space="preserve"> and 2022</w:t>
              </w:r>
            </w:hyperlink>
            <w:hyperlink w:anchor="ie4c83a07b879466bb0370715b8e07bdf_19">
              <w:r>
                <w:rPr>
                  <w:rStyle w:val="InternetLink"/>
                </w:rPr>
                <w:t xml:space="preserve"> </w:t>
              </w:r>
            </w:hyperlink>
            <w:hyperlink w:anchor="ie4c83a07b879466bb0370715b8e07bdf_19">
              <w:r>
                <w:rPr>
                  <w:rStyle w:val="InternetLink"/>
                </w:rPr>
                <w:t>(Unaudited)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9">
              <w:r>
                <w:rPr>
                  <w:rStyle w:val="InternetLink"/>
                  <w:rFonts w:ascii="Arial;sans-serif" w:hAnsi="Arial;sans-serif"/>
                  <w:b w:val="false"/>
                  <w:color w:val="0000FF"/>
                  <w:sz w:val="20"/>
                  <w:u w:val="single"/>
                </w:rPr>
                <w:t>4</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4c83a07b879466bb0370715b8e07bdf_22">
              <w:r>
                <w:rPr>
                  <w:rStyle w:val="InternetLink"/>
                </w:rPr>
                <w:t xml:space="preserve">Consolidated Condensed Balance Sheets as of </w:t>
              </w:r>
            </w:hyperlink>
            <w:hyperlink w:anchor="ie4c83a07b879466bb0370715b8e07bdf_22">
              <w:r>
                <w:rPr>
                  <w:rStyle w:val="InternetLink"/>
                </w:rPr>
                <w:t>March 31</w:t>
              </w:r>
            </w:hyperlink>
            <w:hyperlink w:anchor="ie4c83a07b879466bb0370715b8e07bdf_22">
              <w:r>
                <w:rPr>
                  <w:rStyle w:val="InternetLink"/>
                </w:rPr>
                <w:t>, 202</w:t>
              </w:r>
            </w:hyperlink>
            <w:hyperlink w:anchor="ie4c83a07b879466bb0370715b8e07bdf_22">
              <w:r>
                <w:rPr>
                  <w:rStyle w:val="InternetLink"/>
                </w:rPr>
                <w:t>3</w:t>
              </w:r>
            </w:hyperlink>
            <w:hyperlink w:anchor="ie4c83a07b879466bb0370715b8e07bdf_22">
              <w:r>
                <w:rPr>
                  <w:rStyle w:val="InternetLink"/>
                </w:rPr>
                <w:t xml:space="preserve"> and December 31, 202</w:t>
              </w:r>
            </w:hyperlink>
            <w:hyperlink w:anchor="ie4c83a07b879466bb0370715b8e07bdf_22">
              <w:r>
                <w:rPr>
                  <w:rStyle w:val="InternetLink"/>
                </w:rPr>
                <w:t>2</w:t>
              </w:r>
            </w:hyperlink>
            <w:hyperlink w:anchor="ie4c83a07b879466bb0370715b8e07bdf_22">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22">
              <w:r>
                <w:rPr>
                  <w:rStyle w:val="InternetLink"/>
                  <w:rFonts w:ascii="Arial;sans-serif" w:hAnsi="Arial;sans-serif"/>
                  <w:b w:val="false"/>
                  <w:color w:val="0000FF"/>
                  <w:sz w:val="20"/>
                  <w:u w:val="single"/>
                </w:rPr>
                <w:t>5</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4c83a07b879466bb0370715b8e07bdf_25">
              <w:r>
                <w:rPr>
                  <w:rStyle w:val="InternetLink"/>
                </w:rPr>
                <w:t xml:space="preserve">Consolidated Condensed Statements of Cash Flows for the </w:t>
              </w:r>
            </w:hyperlink>
            <w:hyperlink w:anchor="ie4c83a07b879466bb0370715b8e07bdf_25">
              <w:r>
                <w:rPr>
                  <w:rStyle w:val="InternetLink"/>
                </w:rPr>
                <w:t>Three</w:t>
              </w:r>
            </w:hyperlink>
            <w:hyperlink w:anchor="ie4c83a07b879466bb0370715b8e07bdf_25">
              <w:r>
                <w:rPr>
                  <w:rStyle w:val="InternetLink"/>
                </w:rPr>
                <w:t xml:space="preserve"> Months Ended </w:t>
              </w:r>
            </w:hyperlink>
            <w:hyperlink w:anchor="ie4c83a07b879466bb0370715b8e07bdf_25">
              <w:r>
                <w:rPr>
                  <w:rStyle w:val="InternetLink"/>
                </w:rPr>
                <w:t>March</w:t>
              </w:r>
            </w:hyperlink>
            <w:hyperlink w:anchor="ie4c83a07b879466bb0370715b8e07bdf_25">
              <w:r>
                <w:rPr>
                  <w:rStyle w:val="InternetLink"/>
                </w:rPr>
                <w:t xml:space="preserve"> 3</w:t>
              </w:r>
            </w:hyperlink>
            <w:hyperlink w:anchor="ie4c83a07b879466bb0370715b8e07bdf_25">
              <w:r>
                <w:rPr>
                  <w:rStyle w:val="InternetLink"/>
                </w:rPr>
                <w:t>1</w:t>
              </w:r>
            </w:hyperlink>
            <w:hyperlink w:anchor="ie4c83a07b879466bb0370715b8e07bdf_25">
              <w:r>
                <w:rPr>
                  <w:rStyle w:val="InternetLink"/>
                </w:rPr>
                <w:t>, 202</w:t>
              </w:r>
            </w:hyperlink>
            <w:hyperlink w:anchor="ie4c83a07b879466bb0370715b8e07bdf_25">
              <w:r>
                <w:rPr>
                  <w:rStyle w:val="InternetLink"/>
                </w:rPr>
                <w:t>3</w:t>
              </w:r>
            </w:hyperlink>
            <w:hyperlink w:anchor="ie4c83a07b879466bb0370715b8e07bdf_25">
              <w:r>
                <w:rPr>
                  <w:rStyle w:val="InternetLink"/>
                </w:rPr>
                <w:t xml:space="preserve"> and 202</w:t>
              </w:r>
            </w:hyperlink>
            <w:hyperlink w:anchor="ie4c83a07b879466bb0370715b8e07bdf_25">
              <w:r>
                <w:rPr>
                  <w:rStyle w:val="InternetLink"/>
                </w:rPr>
                <w:t>2</w:t>
              </w:r>
            </w:hyperlink>
            <w:hyperlink w:anchor="ie4c83a07b879466bb0370715b8e07bdf_25">
              <w:r>
                <w:rPr>
                  <w:rStyle w:val="InternetLink"/>
                </w:rPr>
                <w:t xml:space="preserve">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25">
              <w:r>
                <w:rPr>
                  <w:rStyle w:val="InternetLink"/>
                  <w:rFonts w:ascii="Arial;sans-serif" w:hAnsi="Arial;sans-serif"/>
                  <w:b w:val="false"/>
                  <w:color w:val="0000FF"/>
                  <w:sz w:val="20"/>
                  <w:u w:val="single"/>
                </w:rPr>
                <w:t>6</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4c83a07b879466bb0370715b8e07bdf_28">
              <w:r>
                <w:rPr>
                  <w:rStyle w:val="InternetLink"/>
                </w:rPr>
                <w:t xml:space="preserve">Consolidated Condensed Statements of Stockholders’ Equity for the Three </w:t>
              </w:r>
            </w:hyperlink>
            <w:hyperlink w:anchor="ie4c83a07b879466bb0370715b8e07bdf_28">
              <w:r>
                <w:rPr>
                  <w:rStyle w:val="InternetLink"/>
                </w:rPr>
                <w:t xml:space="preserve">Months Ended </w:t>
              </w:r>
            </w:hyperlink>
            <w:hyperlink w:anchor="ie4c83a07b879466bb0370715b8e07bdf_28">
              <w:r>
                <w:rPr>
                  <w:rStyle w:val="InternetLink"/>
                </w:rPr>
                <w:t>March 31</w:t>
              </w:r>
            </w:hyperlink>
            <w:hyperlink w:anchor="ie4c83a07b879466bb0370715b8e07bdf_28">
              <w:r>
                <w:rPr>
                  <w:rStyle w:val="InternetLink"/>
                </w:rPr>
                <w:t>, 202</w:t>
              </w:r>
            </w:hyperlink>
            <w:hyperlink w:anchor="ie4c83a07b879466bb0370715b8e07bdf_28">
              <w:r>
                <w:rPr>
                  <w:rStyle w:val="InternetLink"/>
                </w:rPr>
                <w:t>3</w:t>
              </w:r>
            </w:hyperlink>
            <w:hyperlink w:anchor="ie4c83a07b879466bb0370715b8e07bdf_28">
              <w:r>
                <w:rPr>
                  <w:rStyle w:val="InternetLink"/>
                </w:rPr>
                <w:t xml:space="preserve"> and 2022</w:t>
              </w:r>
            </w:hyperlink>
            <w:hyperlink w:anchor="ie4c83a07b879466bb0370715b8e07bdf_28">
              <w:r>
                <w:rPr>
                  <w:rStyle w:val="InternetLink"/>
                </w:rPr>
                <w:t xml:space="preserve"> </w:t>
              </w:r>
            </w:hyperlink>
            <w:hyperlink w:anchor="ie4c83a07b879466bb0370715b8e07bdf_28">
              <w:r>
                <w:rPr>
                  <w:rStyle w:val="InternetLink"/>
                </w:rPr>
                <w:t>(Unaudited)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28">
              <w:r>
                <w:rPr>
                  <w:rStyle w:val="InternetLink"/>
                  <w:rFonts w:ascii="Arial;sans-serif" w:hAnsi="Arial;sans-serif"/>
                  <w:b w:val="false"/>
                  <w:color w:val="0000FF"/>
                  <w:sz w:val="20"/>
                  <w:u w:val="single"/>
                </w:rPr>
                <w:t>8</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31">
              <w:r>
                <w:rPr>
                  <w:rStyle w:val="InternetLink"/>
                  <w:rFonts w:ascii="Arial;sans-serif" w:hAnsi="Arial;sans-serif"/>
                  <w:b w:val="false"/>
                  <w:color w:val="0000FF"/>
                  <w:sz w:val="20"/>
                  <w:u w:val="single"/>
                </w:rPr>
                <w:t>Notes to Consolidated Condensed Financial Statements (Unaudited)</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31">
              <w:r>
                <w:rPr>
                  <w:rStyle w:val="InternetLink"/>
                  <w:rFonts w:ascii="Arial;sans-serif" w:hAnsi="Arial;sans-serif"/>
                  <w:b w:val="false"/>
                  <w:color w:val="0000FF"/>
                  <w:sz w:val="20"/>
                  <w:u w:val="single"/>
                </w:rPr>
                <w:t>9</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97">
              <w:r>
                <w:rPr>
                  <w:rStyle w:val="InternetLink"/>
                  <w:rFonts w:ascii="Arial;sans-serif" w:hAnsi="Arial;sans-serif"/>
                  <w:b w:val="false"/>
                  <w:color w:val="0000FF"/>
                  <w:sz w:val="20"/>
                  <w:u w:val="single"/>
                </w:rPr>
                <w:t>Management’s Discussion and Analysis of Financial Condition and Results of Operations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97">
              <w:r>
                <w:rPr>
                  <w:rStyle w:val="InternetLink"/>
                  <w:rFonts w:ascii="Arial;sans-serif" w:hAnsi="Arial;sans-serif"/>
                  <w:b w:val="false"/>
                  <w:color w:val="0000FF"/>
                  <w:sz w:val="20"/>
                  <w:u w:val="single"/>
                </w:rPr>
                <w:t>26</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18">
              <w:r>
                <w:rPr>
                  <w:rStyle w:val="InternetLink"/>
                  <w:rFonts w:ascii="Arial;sans-serif" w:hAnsi="Arial;sans-serif"/>
                  <w:b w:val="false"/>
                  <w:color w:val="0000FF"/>
                  <w:sz w:val="20"/>
                  <w:u w:val="single"/>
                </w:rPr>
                <w:t>Quantitative and Qualitative Disclosures about Market Risk</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18">
              <w:r>
                <w:rPr>
                  <w:rStyle w:val="InternetLink"/>
                  <w:rFonts w:ascii="Arial;sans-serif" w:hAnsi="Arial;sans-serif"/>
                  <w:b w:val="false"/>
                  <w:color w:val="0000FF"/>
                  <w:sz w:val="20"/>
                  <w:u w:val="single"/>
                </w:rPr>
                <w:t>32</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21">
              <w:r>
                <w:rPr>
                  <w:rStyle w:val="InternetLink"/>
                  <w:rFonts w:ascii="Arial;sans-serif" w:hAnsi="Arial;sans-serif"/>
                  <w:b w:val="false"/>
                  <w:color w:val="0000FF"/>
                  <w:sz w:val="20"/>
                  <w:u w:val="single"/>
                </w:rPr>
                <w:t>Controls and Procedures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21">
              <w:r>
                <w:rPr>
                  <w:rStyle w:val="InternetLink"/>
                  <w:rFonts w:ascii="Arial;sans-serif" w:hAnsi="Arial;sans-serif"/>
                  <w:b w:val="false"/>
                  <w:color w:val="0000FF"/>
                  <w:sz w:val="20"/>
                  <w:u w:val="single"/>
                </w:rPr>
                <w:t>33</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24">
              <w:r>
                <w:rPr>
                  <w:rStyle w:val="InternetLink"/>
                  <w:rFonts w:ascii="Arial;sans-serif" w:hAnsi="Arial;sans-serif"/>
                  <w:b w:val="false"/>
                  <w:color w:val="0000FF"/>
                  <w:sz w:val="20"/>
                  <w:u w:val="single"/>
                </w:rPr>
                <w:t>Other Information</w:t>
              </w:r>
            </w:hyperlink>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27">
              <w:r>
                <w:rPr>
                  <w:rStyle w:val="InternetLink"/>
                  <w:rFonts w:ascii="Arial;sans-serif" w:hAnsi="Arial;sans-serif"/>
                  <w:b w:val="false"/>
                  <w:color w:val="0000FF"/>
                  <w:sz w:val="20"/>
                  <w:u w:val="single"/>
                </w:rPr>
                <w:t>Legal Proceedings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27">
              <w:r>
                <w:rPr>
                  <w:rStyle w:val="InternetLink"/>
                  <w:rFonts w:ascii="Arial;sans-serif" w:hAnsi="Arial;sans-serif"/>
                  <w:b w:val="false"/>
                  <w:color w:val="0000FF"/>
                  <w:sz w:val="20"/>
                  <w:u w:val="single"/>
                </w:rPr>
                <w:t>34</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30">
              <w:r>
                <w:rPr>
                  <w:rStyle w:val="InternetLink"/>
                  <w:rFonts w:ascii="Arial;sans-serif" w:hAnsi="Arial;sans-serif"/>
                  <w:b w:val="false"/>
                  <w:color w:val="0000FF"/>
                  <w:sz w:val="20"/>
                  <w:u w:val="single"/>
                </w:rPr>
                <w:t>Risk Factors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30">
              <w:r>
                <w:rPr>
                  <w:rStyle w:val="InternetLink"/>
                  <w:rFonts w:ascii="Arial;sans-serif" w:hAnsi="Arial;sans-serif"/>
                  <w:b w:val="false"/>
                  <w:color w:val="0000FF"/>
                  <w:sz w:val="20"/>
                  <w:u w:val="single"/>
                </w:rPr>
                <w:t>34</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33">
              <w:r>
                <w:rPr>
                  <w:rStyle w:val="InternetLink"/>
                  <w:rFonts w:ascii="Arial;sans-serif" w:hAnsi="Arial;sans-serif"/>
                  <w:b w:val="false"/>
                  <w:color w:val="0000FF"/>
                  <w:sz w:val="20"/>
                  <w:u w:val="single"/>
                </w:rPr>
                <w:t>Unregistered Sales of Equity Securities and Use of Proceeds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33">
              <w:r>
                <w:rPr>
                  <w:rStyle w:val="InternetLink"/>
                  <w:rFonts w:ascii="Arial;sans-serif" w:hAnsi="Arial;sans-serif"/>
                  <w:b w:val="false"/>
                  <w:color w:val="0000FF"/>
                  <w:sz w:val="20"/>
                  <w:u w:val="single"/>
                </w:rPr>
                <w:t>34</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36">
              <w:r>
                <w:rPr>
                  <w:rStyle w:val="InternetLink"/>
                  <w:rFonts w:ascii="Arial;sans-serif" w:hAnsi="Arial;sans-serif"/>
                  <w:b w:val="false"/>
                  <w:color w:val="0000FF"/>
                  <w:sz w:val="20"/>
                  <w:u w:val="single"/>
                </w:rPr>
                <w:t>Exhibits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36">
              <w:r>
                <w:rPr>
                  <w:rStyle w:val="InternetLink"/>
                  <w:rFonts w:ascii="Arial;sans-serif" w:hAnsi="Arial;sans-serif"/>
                  <w:b w:val="false"/>
                  <w:color w:val="0000FF"/>
                  <w:sz w:val="20"/>
                  <w:u w:val="single"/>
                </w:rPr>
                <w:t>34</w:t>
              </w:r>
            </w:hyperlink>
          </w:p>
        </w:tc>
      </w:tr>
      <w:tr>
        <w:trPr/>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c83a07b879466bb0370715b8e07bdf_139">
              <w:r>
                <w:rPr>
                  <w:rStyle w:val="InternetLink"/>
                  <w:rFonts w:ascii="Arial;sans-serif" w:hAnsi="Arial;sans-serif"/>
                  <w:b w:val="false"/>
                  <w:color w:val="0000FF"/>
                  <w:sz w:val="20"/>
                  <w:u w:val="single"/>
                </w:rPr>
                <w:t>Signatures</w:t>
              </w:r>
            </w:hyperlink>
          </w:p>
        </w:tc>
        <w:tc>
          <w:tcPr>
            <w:tcW w:w="54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c83a07b879466bb0370715b8e07bdf_139">
              <w:r>
                <w:rPr>
                  <w:rStyle w:val="InternetLink"/>
                  <w:rFonts w:ascii="Arial;sans-serif" w:hAnsi="Arial;sans-serif"/>
                  <w:b w:val="false"/>
                  <w:color w:val="0000FF"/>
                  <w:sz w:val="20"/>
                  <w:u w:val="single"/>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spacing w:before="0" w:after="0"/>
        <w:rPr/>
      </w:pPr>
      <w:r>
        <w:rPr/>
      </w:r>
    </w:p>
    <w:p>
      <w:pPr>
        <w:pStyle w:val="TextBody"/>
        <w:spacing w:lineRule="auto" w:line="268" w:before="0" w:after="0"/>
        <w:jc w:val="both"/>
        <w:rPr/>
      </w:pPr>
      <w:r>
        <w:rPr>
          <w:rFonts w:ascii="Arial;sans-serif" w:hAnsi="Arial;sans-serif"/>
          <w:b w:val="false"/>
          <w:color w:val="000000"/>
          <w:sz w:val="20"/>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w:t>
      </w:r>
      <w:r>
        <w:rPr>
          <w:color w:val="000000"/>
          <w:highlight w:val="white"/>
        </w:rPr>
        <w:t xml:space="preserve"> </w:t>
      </w:r>
      <w:r>
        <w:rPr>
          <w:rFonts w:ascii="Arial;sans-serif" w:hAnsi="Arial;sans-serif"/>
          <w:b w:val="false"/>
          <w:color w:val="000000"/>
          <w:sz w:val="20"/>
          <w:highlight w:val="white"/>
        </w:rPr>
        <w:t>These factors include, but are not limited to:</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the high level of competition in the mobility industry, including from new companies or technology, and the impact such competition may have on pricing and rental volume;</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levels of and volatility in travel demand, including future volatility in airline passenger traffic;</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a deterioration in economic conditions, resulting in a recession or otherwise, particularly during our peak season or in key market segments;</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 xml:space="preserve">an occurrence or threat of terrorism, the current and any future pandemic diseases, natural disasters, military conflict, </w:t>
      </w:r>
      <w:r>
        <w:rPr>
          <w:rFonts w:ascii="Arial;sans-serif" w:hAnsi="Arial;sans-serif"/>
          <w:b w:val="false"/>
          <w:color w:val="000000"/>
          <w:sz w:val="20"/>
        </w:rPr>
        <w:t xml:space="preserve">including the ongoing military conflict between Russia and Ukraine, </w:t>
      </w:r>
      <w:r>
        <w:rPr>
          <w:rFonts w:ascii="Arial;sans-serif" w:hAnsi="Arial;sans-serif"/>
          <w:b w:val="false"/>
          <w:color w:val="000000"/>
          <w:sz w:val="20"/>
          <w:highlight w:val="white"/>
        </w:rPr>
        <w:t>or civil unrest in the locations in which we operate, and</w:t>
      </w:r>
      <w:r>
        <w:rPr>
          <w:color w:val="000000"/>
        </w:rPr>
        <w:t xml:space="preserve"> </w:t>
      </w:r>
      <w:r>
        <w:rPr>
          <w:rFonts w:ascii="Arial;sans-serif" w:hAnsi="Arial;sans-serif"/>
          <w:b w:val="false"/>
          <w:color w:val="000000"/>
          <w:sz w:val="20"/>
        </w:rPr>
        <w:t>the potential effects of sanctions on the world economy and markets and/or international trade</w:t>
      </w:r>
      <w:r>
        <w:rPr>
          <w:rFonts w:ascii="Arial;sans-serif" w:hAnsi="Arial;sans-serif"/>
          <w:b w:val="false"/>
          <w:color w:val="000000"/>
          <w:sz w:val="20"/>
          <w:highlight w:val="white"/>
        </w:rPr>
        <w:t>;</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any substantial changes in the cost or supply of fuel, vehicle parts, energy, labor or other resources on which we depend to operate our business, including as a result of COVID-19, inflation, the ongoing military conflict between Russia and Ukraine, and</w:t>
      </w:r>
      <w:r>
        <w:rPr>
          <w:color w:val="000000"/>
        </w:rPr>
        <w:t xml:space="preserve"> </w:t>
      </w:r>
      <w:r>
        <w:rPr>
          <w:rFonts w:ascii="Arial;sans-serif" w:hAnsi="Arial;sans-serif"/>
          <w:b w:val="false"/>
          <w:color w:val="000000"/>
          <w:sz w:val="20"/>
        </w:rPr>
        <w:t>any embargos on oil sales imposed on or by the Russian government</w:t>
      </w:r>
      <w:r>
        <w:rPr>
          <w:rFonts w:ascii="Arial;sans-serif" w:hAnsi="Arial;sans-serif"/>
          <w:b w:val="false"/>
          <w:color w:val="000000"/>
          <w:sz w:val="20"/>
          <w:highlight w:val="white"/>
        </w:rPr>
        <w:t>;</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our ability to continue to successfully implement or achieve our business plans and strategies, achieve and maintain cost savings and adapt our business to changes in mobility;</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political, economic or commercial instability in the countries in which we operate, and our ability to conform to multiple and conflicting laws or regulations in tho</w:t>
      </w:r>
      <w:r>
        <w:rPr>
          <w:rFonts w:ascii="Arial;sans-serif" w:hAnsi="Arial;sans-serif"/>
          <w:b w:val="false"/>
          <w:color w:val="000000"/>
          <w:sz w:val="20"/>
        </w:rPr>
        <w:t>se countries;</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our ability to dispose of vehicles in the used-vehicle market on attractive terms;</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Arial;sans-serif" w:hAnsi="Arial;sans-serif"/>
          <w:b w:val="false"/>
          <w:color w:val="000000"/>
          <w:sz w:val="20"/>
          <w:highlight w:val="white"/>
        </w:rPr>
        <w:t>our dependence on third-party distribution channels, third-party suppliers of other services an</w:t>
      </w:r>
      <w:r>
        <w:rPr>
          <w:rFonts w:ascii="Arial;sans-serif" w:hAnsi="Arial;sans-serif"/>
          <w:b w:val="false"/>
          <w:color w:val="000000"/>
          <w:sz w:val="20"/>
        </w:rPr>
        <w:t>d co-marketing arrangements with third parties;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utilize derivative instruments, and the impact of derivative instruments we utilize, which can be affected by fluctuations in interest rates, gasoline prices and exchange rates, changes in government regulations and other factors;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exposure to uninsured or unpaid claims in excess of historical levels and our ability to obtain insurance at desired levels and the cost of that insurance;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any impact on us from the actions of our third-party vendors, licensees, dealers, independent operators and independent contractors and/or disputes that may arise out of our agreements with such parties;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any major disruptions in our communication networks or information systems;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risks related to tax obligations and the effect of future changes in tax laws and accounting standards;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risks related to our indebtedness, including our substantial outstanding debt obligations, recent and future interest rate increases, which increase our financing costs, downgrades by rating agencies and our ability to incur substantially more debt;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obtain financing for our global operations, including the funding of our vehicle fleet through the issuance of asset-backed securities and use of the global lending markets;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our ability to meet the financial and other covenants contained in the agreements governing our indebtedness, or to obtain a waiver or amendment of such covenants should we be unable to meet such covenants;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significant changes in the assumptions and estimates that are used in our impairment testing for goodwill or intangible assets, which could result in a significant impairment of our goodwill or intangible assets;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other business, economic, competitive, governmental, regulatory, political or technological factors affecting our operations, pricing or services.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2022 Annual Report on Form 10-K filed with the Securities and Exchange Commission on February 16, 2023 (the “2022 Form 10-K”), may cause actual results to differ materially from those projected in any forward-looking statements.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ind w:left="0" w:right="0" w:hanging="900"/>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Avis Budget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COMPREHENSIVE INCOME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data)</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8380" w:type="dxa"/>
        <w:jc w:val="left"/>
        <w:tblInd w:w="0" w:type="dxa"/>
        <w:tblCellMar>
          <w:top w:w="28" w:type="dxa"/>
          <w:left w:w="28" w:type="dxa"/>
          <w:bottom w:w="28" w:type="dxa"/>
          <w:right w:w="28" w:type="dxa"/>
        </w:tblCellMar>
      </w:tblPr>
      <w:tblGrid>
        <w:gridCol w:w="129"/>
        <w:gridCol w:w="112"/>
        <w:gridCol w:w="112"/>
        <w:gridCol w:w="1006"/>
        <w:gridCol w:w="1006"/>
        <w:gridCol w:w="1006"/>
        <w:gridCol w:w="842"/>
        <w:gridCol w:w="842"/>
        <w:gridCol w:w="912"/>
        <w:gridCol w:w="211"/>
        <w:gridCol w:w="646"/>
        <w:gridCol w:w="109"/>
        <w:gridCol w:w="109"/>
        <w:gridCol w:w="109"/>
        <w:gridCol w:w="109"/>
        <w:gridCol w:w="211"/>
        <w:gridCol w:w="646"/>
        <w:gridCol w:w="109"/>
        <w:gridCol w:w="154"/>
      </w:tblGrid>
      <w:tr>
        <w:trPr/>
        <w:tc>
          <w:tcPr>
            <w:tcW w:w="12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vAlign w:val="center"/>
          </w:tcPr>
          <w:p>
            <w:pPr>
              <w:pStyle w:val="TableContents"/>
              <w:spacing w:before="0" w:after="283"/>
              <w:rPr>
                <w:sz w:val="4"/>
                <w:szCs w:val="4"/>
              </w:rPr>
            </w:pPr>
            <w:r>
              <w:rPr>
                <w:sz w:val="4"/>
                <w:szCs w:val="4"/>
              </w:rPr>
            </w:r>
          </w:p>
        </w:tc>
        <w:tc>
          <w:tcPr>
            <w:tcW w:w="3018"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vAlign w:val="center"/>
          </w:tcPr>
          <w:p>
            <w:pPr>
              <w:pStyle w:val="TableContents"/>
              <w:spacing w:before="0" w:after="283"/>
              <w:rPr>
                <w:sz w:val="4"/>
                <w:szCs w:val="4"/>
              </w:rPr>
            </w:pPr>
            <w:r>
              <w:rPr>
                <w:sz w:val="4"/>
                <w:szCs w:val="4"/>
              </w:rPr>
            </w:r>
          </w:p>
        </w:tc>
        <w:tc>
          <w:tcPr>
            <w:tcW w:w="3018"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(loss) attributable to non-controlling interests</w:t>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Net income attributable to Avis Budget Group, Inc.</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Comprehensive income attributable to Avis Budget Group, Inc.</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36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 except par value)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29"/>
        <w:gridCol w:w="290"/>
        <w:gridCol w:w="290"/>
        <w:gridCol w:w="2178"/>
        <w:gridCol w:w="2137"/>
        <w:gridCol w:w="2167"/>
        <w:gridCol w:w="196"/>
        <w:gridCol w:w="646"/>
        <w:gridCol w:w="109"/>
        <w:gridCol w:w="109"/>
        <w:gridCol w:w="109"/>
        <w:gridCol w:w="109"/>
        <w:gridCol w:w="301"/>
        <w:gridCol w:w="995"/>
        <w:gridCol w:w="240"/>
      </w:tblGrid>
      <w:tr>
        <w:trPr/>
        <w:tc>
          <w:tcPr>
            <w:tcW w:w="32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intangibles, net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exclusive of assets under vehicle programs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8,499 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vehicle programs: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cash</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Vehicles, net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15,961 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from vehicle manufacturers and other</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Avis Budget Rental Car Funding (AESOP) LLC—related party</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17,428 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25,927 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current liabilities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4,644 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exclusive of liabilities under vehicle programs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9,656 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under vehicle programs: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due to Avis Budget Rental Car Funding (AESOP) LLC—related party</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11,275 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16,971 </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12)</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$0.01 par value—authorized 10 shares; none issued and outstanding, respectively</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value—authorized 250 shares; issued 137 shares, respectively</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6,666 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at cost— 97 and 98 shares, respectively</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(9,848)</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Stockholders’ equity attributable to Avis Budget Group, Inc.</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25,927 </w:t>
            </w:r>
          </w:p>
        </w:tc>
        <w:tc>
          <w:tcPr>
            <w:tcW w:w="2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4"/>
        </w:rPr>
      </w:pPr>
      <w:r>
        <w:rPr>
          <w:rFonts w:ascii="Arial;sans-serif" w:hAnsi="Arial;sans-serif"/>
          <w:b w:val="false"/>
          <w:color w:val="000000"/>
          <w:sz w:val="14"/>
        </w:rPr>
      </w:r>
    </w:p>
    <w:p>
      <w:pPr>
        <w:pStyle w:val="TextBody"/>
        <w:spacing w:lineRule="auto" w:line="288" w:before="0" w:after="20"/>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Avis Budget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671"/>
        <w:gridCol w:w="583"/>
        <w:gridCol w:w="560"/>
        <w:gridCol w:w="935"/>
        <w:gridCol w:w="724"/>
        <w:gridCol w:w="724"/>
        <w:gridCol w:w="1420"/>
        <w:gridCol w:w="1254"/>
        <w:gridCol w:w="1242"/>
        <w:gridCol w:w="223"/>
        <w:gridCol w:w="508"/>
        <w:gridCol w:w="115"/>
        <w:gridCol w:w="115"/>
        <w:gridCol w:w="115"/>
        <w:gridCol w:w="115"/>
        <w:gridCol w:w="223"/>
        <w:gridCol w:w="508"/>
        <w:gridCol w:w="170"/>
      </w:tblGrid>
      <w:tr>
        <w:trPr/>
        <w:tc>
          <w:tcPr>
            <w:tcW w:w="671"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r>
      <w:tr>
        <w:trPr/>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70"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right-of-use assets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vehicles, net</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vAlign w:val="center"/>
          </w:tcPr>
          <w:p>
            <w:pPr>
              <w:pStyle w:val="TableContents"/>
              <w:spacing w:before="0" w:after="283"/>
              <w:rPr>
                <w:sz w:val="4"/>
                <w:szCs w:val="4"/>
              </w:rPr>
            </w:pPr>
            <w:r>
              <w:rPr>
                <w:sz w:val="4"/>
                <w:szCs w:val="4"/>
              </w:rPr>
            </w:r>
          </w:p>
        </w:tc>
        <w:tc>
          <w:tcPr>
            <w:tcW w:w="2383" w:type="dxa"/>
            <w:gridSpan w:val="3"/>
            <w:tcBorders/>
            <w:shd w:fill="auto" w:val="clear"/>
            <w:vAlign w:val="center"/>
          </w:tcPr>
          <w:p>
            <w:pPr>
              <w:pStyle w:val="TableContents"/>
              <w:spacing w:before="0" w:after="283"/>
              <w:rPr>
                <w:sz w:val="4"/>
                <w:szCs w:val="4"/>
              </w:rPr>
            </w:pPr>
            <w:r>
              <w:rPr>
                <w:sz w:val="4"/>
                <w:szCs w:val="4"/>
              </w:rPr>
            </w:r>
          </w:p>
        </w:tc>
        <w:tc>
          <w:tcPr>
            <w:tcW w:w="3916"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financing fees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vAlign w:val="center"/>
          </w:tcPr>
          <w:p>
            <w:pPr>
              <w:pStyle w:val="TableContents"/>
              <w:spacing w:before="0" w:after="283"/>
              <w:rPr>
                <w:sz w:val="4"/>
                <w:szCs w:val="4"/>
              </w:rPr>
            </w:pPr>
            <w:r>
              <w:rPr>
                <w:sz w:val="4"/>
                <w:szCs w:val="4"/>
              </w:rPr>
            </w:r>
          </w:p>
        </w:tc>
        <w:tc>
          <w:tcPr>
            <w:tcW w:w="2383" w:type="dxa"/>
            <w:gridSpan w:val="3"/>
            <w:tcBorders/>
            <w:shd w:fill="auto" w:val="clear"/>
            <w:vAlign w:val="center"/>
          </w:tcPr>
          <w:p>
            <w:pPr>
              <w:pStyle w:val="TableContents"/>
              <w:spacing w:before="0" w:after="283"/>
              <w:rPr>
                <w:sz w:val="4"/>
                <w:szCs w:val="4"/>
              </w:rPr>
            </w:pPr>
            <w:r>
              <w:rPr>
                <w:sz w:val="4"/>
                <w:szCs w:val="4"/>
              </w:rPr>
            </w:r>
          </w:p>
        </w:tc>
        <w:tc>
          <w:tcPr>
            <w:tcW w:w="3916"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assets and liabilities:</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and deferred income taxes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additions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received on asset sales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 (net of cash acquired)</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vAlign w:val="center"/>
          </w:tcPr>
          <w:p>
            <w:pPr>
              <w:pStyle w:val="TableContents"/>
              <w:spacing w:before="0" w:after="283"/>
              <w:rPr>
                <w:sz w:val="4"/>
                <w:szCs w:val="4"/>
              </w:rPr>
            </w:pPr>
            <w:r>
              <w:rPr>
                <w:sz w:val="4"/>
                <w:szCs w:val="4"/>
              </w:rPr>
            </w:r>
          </w:p>
        </w:tc>
        <w:tc>
          <w:tcPr>
            <w:tcW w:w="2383" w:type="dxa"/>
            <w:gridSpan w:val="3"/>
            <w:tcBorders/>
            <w:shd w:fill="auto" w:val="clear"/>
            <w:vAlign w:val="center"/>
          </w:tcPr>
          <w:p>
            <w:pPr>
              <w:pStyle w:val="TableContents"/>
              <w:spacing w:before="0" w:after="283"/>
              <w:rPr>
                <w:sz w:val="4"/>
                <w:szCs w:val="4"/>
              </w:rPr>
            </w:pPr>
            <w:r>
              <w:rPr>
                <w:sz w:val="4"/>
                <w:szCs w:val="4"/>
              </w:rPr>
            </w:r>
          </w:p>
        </w:tc>
        <w:tc>
          <w:tcPr>
            <w:tcW w:w="3916"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246" w:type="dxa"/>
            <w:gridSpan w:val="6"/>
            <w:tcBorders/>
            <w:shd w:fill="auto" w:val="clea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 exclusive of vehicle programs</w:t>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Vehicle programs:</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vehicles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received on disposition of vehicles</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2,283 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debt securities of Avis Budget Rental Car Funding (AESOP) LLC—related party</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 securities of Avis Budget Rental Car Funding (AESOP) LLC—related party</w:t>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w:t>
            </w:r>
          </w:p>
        </w:tc>
        <w:tc>
          <w:tcPr>
            <w:tcW w:w="1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73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w:t>
            </w:r>
          </w:p>
        </w:tc>
        <w:tc>
          <w:tcPr>
            <w:tcW w:w="11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w:t>
            </w:r>
          </w:p>
        </w:tc>
        <w:tc>
          <w:tcPr>
            <w:tcW w:w="17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CASH FLOWS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495"/>
        <w:gridCol w:w="1305"/>
        <w:gridCol w:w="1305"/>
        <w:gridCol w:w="1336"/>
        <w:gridCol w:w="1305"/>
        <w:gridCol w:w="1323"/>
        <w:gridCol w:w="227"/>
        <w:gridCol w:w="519"/>
        <w:gridCol w:w="117"/>
        <w:gridCol w:w="117"/>
        <w:gridCol w:w="117"/>
        <w:gridCol w:w="117"/>
        <w:gridCol w:w="227"/>
        <w:gridCol w:w="519"/>
        <w:gridCol w:w="176"/>
      </w:tblGrid>
      <w:tr>
        <w:trPr/>
        <w:tc>
          <w:tcPr>
            <w:tcW w:w="149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long-term borrowings</w:t>
            </w:r>
          </w:p>
        </w:tc>
        <w:tc>
          <w:tcPr>
            <w:tcW w:w="22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borrowings</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short-term borrowings</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3964"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financing fees</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3964"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3964"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ind w:left="0" w:right="0" w:hanging="180"/>
              <w:rPr>
                <w:sz w:val="4"/>
                <w:szCs w:val="4"/>
              </w:rPr>
            </w:pPr>
            <w:r>
              <w:rPr>
                <w:sz w:val="4"/>
                <w:szCs w:val="4"/>
              </w:rPr>
            </w:r>
          </w:p>
        </w:tc>
        <w:tc>
          <w:tcPr>
            <w:tcW w:w="922" w:type="dxa"/>
            <w:gridSpan w:val="3"/>
            <w:tcBorders/>
            <w:shd w:fill="auto" w:val="clea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 exclusive of vehicle programs</w:t>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Vehicle programs:</w:t>
            </w:r>
          </w:p>
        </w:tc>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borrowings</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(3,403)</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financing fees</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financing activities</w:t>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changes in exchange rates on cash and cash equivalents, program and restricted cash</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program and restricted cash</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program and restricted cash, beginning of period</w:t>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program and restricted cash, end of period</w:t>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54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rPr/>
      </w:pPr>
      <w:hyperlink w:anchor="ie4c83a07b879466bb0370715b8e07bdf_7">
        <w:r>
          <w:rPr>
            <w:rStyle w:val="InternetLink"/>
            <w:rFonts w:ascii="Arial;sans-serif" w:hAnsi="Arial;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STOCKHOLDERS’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center"/>
        <w:rPr/>
      </w:pPr>
      <w:r>
        <w:rPr/>
      </w:r>
    </w:p>
    <w:tbl>
      <w:tblPr>
        <w:tblW w:w="11750" w:type="dxa"/>
        <w:jc w:val="center"/>
        <w:tblInd w:w="0" w:type="dxa"/>
        <w:tblCellMar>
          <w:top w:w="28" w:type="dxa"/>
          <w:left w:w="28" w:type="dxa"/>
          <w:bottom w:w="28" w:type="dxa"/>
          <w:right w:w="28" w:type="dxa"/>
        </w:tblCellMar>
      </w:tblPr>
      <w:tblGrid>
        <w:gridCol w:w="560"/>
        <w:gridCol w:w="215"/>
        <w:gridCol w:w="216"/>
        <w:gridCol w:w="203"/>
        <w:gridCol w:w="203"/>
        <w:gridCol w:w="161"/>
        <w:gridCol w:w="109"/>
        <w:gridCol w:w="109"/>
        <w:gridCol w:w="109"/>
        <w:gridCol w:w="201"/>
        <w:gridCol w:w="237"/>
        <w:gridCol w:w="133"/>
        <w:gridCol w:w="109"/>
        <w:gridCol w:w="109"/>
        <w:gridCol w:w="109"/>
        <w:gridCol w:w="168"/>
        <w:gridCol w:w="411"/>
        <w:gridCol w:w="112"/>
        <w:gridCol w:w="109"/>
        <w:gridCol w:w="109"/>
        <w:gridCol w:w="109"/>
        <w:gridCol w:w="215"/>
        <w:gridCol w:w="528"/>
        <w:gridCol w:w="143"/>
        <w:gridCol w:w="109"/>
        <w:gridCol w:w="109"/>
        <w:gridCol w:w="109"/>
        <w:gridCol w:w="267"/>
        <w:gridCol w:w="533"/>
        <w:gridCol w:w="176"/>
        <w:gridCol w:w="109"/>
        <w:gridCol w:w="109"/>
        <w:gridCol w:w="109"/>
        <w:gridCol w:w="166"/>
        <w:gridCol w:w="361"/>
        <w:gridCol w:w="109"/>
        <w:gridCol w:w="109"/>
        <w:gridCol w:w="109"/>
        <w:gridCol w:w="109"/>
        <w:gridCol w:w="166"/>
        <w:gridCol w:w="421"/>
        <w:gridCol w:w="109"/>
        <w:gridCol w:w="109"/>
        <w:gridCol w:w="109"/>
        <w:gridCol w:w="109"/>
        <w:gridCol w:w="238"/>
        <w:gridCol w:w="475"/>
        <w:gridCol w:w="158"/>
        <w:gridCol w:w="109"/>
        <w:gridCol w:w="109"/>
        <w:gridCol w:w="109"/>
        <w:gridCol w:w="314"/>
        <w:gridCol w:w="485"/>
        <w:gridCol w:w="207"/>
        <w:gridCol w:w="109"/>
        <w:gridCol w:w="109"/>
        <w:gridCol w:w="109"/>
        <w:gridCol w:w="233"/>
        <w:gridCol w:w="465"/>
        <w:gridCol w:w="218"/>
      </w:tblGrid>
      <w:tr>
        <w:trPr/>
        <w:tc>
          <w:tcPr>
            <w:tcW w:w="5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Stockholders’ Equity Attributable to Avis Budget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 Stockholders’ Equity</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2022</w:t>
            </w:r>
          </w:p>
        </w:tc>
        <w:tc>
          <w:tcPr>
            <w:tcW w:w="4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6,666 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2,579 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(97.6)</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(9,848)</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(703)</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2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Comprehensive income:</w:t>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 (loss)</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March 31,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(444)</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2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(441)</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2021</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(209)</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Comprehensive income:</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527 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w:t>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w:t>
            </w:r>
          </w:p>
        </w:tc>
        <w:tc>
          <w:tcPr>
            <w:tcW w:w="218"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Repurchases of common stock</w:t>
            </w:r>
          </w:p>
        </w:tc>
        <w:tc>
          <w:tcPr>
            <w:tcW w:w="56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(1,307)</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(1,307)</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March 31, 2022</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6,646 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(983)</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320" w:after="283"/>
        <w:jc w:val="center"/>
        <w:rPr/>
      </w:pPr>
      <w:r>
        <w:rPr/>
      </w:r>
    </w:p>
    <w:p>
      <w:pPr>
        <w:pStyle w:val="TextBody"/>
        <w:spacing w:before="1320" w:after="283"/>
        <w:jc w:val="center"/>
        <w:rPr/>
      </w:pPr>
      <w:r>
        <w:rPr/>
      </w:r>
    </w:p>
    <w:p>
      <w:pPr>
        <w:pStyle w:val="TextBody"/>
        <w:spacing w:before="1320" w:after="283"/>
        <w:jc w:val="center"/>
        <w:rPr/>
      </w:pPr>
      <w:r>
        <w:rPr/>
      </w:r>
    </w:p>
    <w:p>
      <w:pPr>
        <w:pStyle w:val="TextBody"/>
        <w:spacing w:lineRule="auto" w:line="288" w:before="222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CONDENSED FINANCIAL STATEMENTS (Unaudited)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(Unless otherwise noted, all dollar amounts in tables are in millions, except per share amounts)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color w:val="000000"/>
        </w:rPr>
        <w:t> </w:t>
      </w:r>
      <w:r>
        <w:rPr>
          <w:rFonts w:ascii="Arial;sans-serif" w:hAnsi="Arial;sans-serif"/>
          <w:b/>
          <w:color w:val="000000"/>
          <w:sz w:val="20"/>
        </w:rPr>
        <w:t>1.</w:t>
      </w:r>
      <w:r>
        <w:rPr>
          <w:color w:val="000000"/>
        </w:rPr>
        <w:t>    </w:t>
      </w:r>
      <w:r>
        <w:rPr>
          <w:rFonts w:ascii="Arial;sans-serif" w:hAnsi="Arial;sans-serif"/>
          <w:b/>
          <w:color w:val="000000"/>
          <w:sz w:val="20"/>
        </w:rPr>
        <w:t xml:space="preserve">Basis of Presentation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the following reportable business segments:</w:t>
      </w:r>
    </w:p>
    <w:p>
      <w:pPr>
        <w:pStyle w:val="TextBody"/>
        <w:spacing w:before="0" w:after="0"/>
        <w:jc w:val="both"/>
        <w:rPr/>
      </w:pPr>
      <w:r>
        <w:rPr/>
      </w:r>
    </w:p>
    <w:p>
      <w:pPr>
        <w:pStyle w:val="TextBody"/>
        <w:spacing w:lineRule="auto" w:line="288" w:before="0" w:after="0"/>
        <w:ind w:left="0" w:right="0" w:hanging="540"/>
        <w:jc w:val="both"/>
        <w:rPr/>
      </w:pPr>
      <w:r>
        <w:rPr>
          <w:color w:val="000000"/>
        </w:rPr>
        <w:t>•</w:t>
      </w:r>
      <w:r>
        <w:rPr>
          <w:rFonts w:ascii="Arial;sans-serif" w:hAnsi="Arial;sans-serif"/>
          <w:b/>
          <w:color w:val="000000"/>
          <w:sz w:val="20"/>
        </w:rPr>
        <w:t xml:space="preserve">Americas </w:t>
      </w:r>
      <w:r>
        <w:rPr>
          <w:rFonts w:ascii="Arial;sans-serif" w:hAnsi="Arial;sans-serif"/>
          <w:b w:val="false"/>
          <w:color w:val="000000"/>
          <w:sz w:val="20"/>
        </w:rPr>
        <w:t xml:space="preserve">- consisting primarily of (i) vehicle rental operations in North America, South America, Central America and the Caribbean, (ii) car sharing operations in certain of these markets, and (iii) licensees in the areas in which we do not operate directly. </w:t>
      </w:r>
    </w:p>
    <w:p>
      <w:pPr>
        <w:pStyle w:val="TextBody"/>
        <w:spacing w:lineRule="auto" w:line="288" w:before="120" w:after="283"/>
        <w:ind w:left="0" w:right="0" w:hanging="540"/>
        <w:jc w:val="both"/>
        <w:rPr/>
      </w:pPr>
      <w:r>
        <w:rPr>
          <w:color w:val="000000"/>
        </w:rPr>
        <w:t>•</w:t>
      </w:r>
      <w:r>
        <w:rPr>
          <w:rFonts w:ascii="Arial;sans-serif" w:hAnsi="Arial;sans-serif"/>
          <w:b/>
          <w:color w:val="000000"/>
          <w:sz w:val="20"/>
        </w:rPr>
        <w:t>International</w:t>
      </w:r>
      <w:r>
        <w:rPr>
          <w:color w:val="000000"/>
        </w:rPr>
        <w:t xml:space="preserve"> </w:t>
      </w:r>
      <w:r>
        <w:rPr>
          <w:rFonts w:ascii="Arial;sans-serif" w:hAnsi="Arial;sans-serif"/>
          <w:b w:val="false"/>
          <w:color w:val="000000"/>
          <w:sz w:val="20"/>
        </w:rPr>
        <w:t xml:space="preserve">- consisting primarily of (i) vehicle rental operations in Europe, the Middle East, Africa, Asia and Australasia, (ii) car sharing operations in certain of these markets, and (iii) licensees in the areas in which we do not operate directly.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of acquired businesses are included in the accompanying Consolidated Condensed Financial Statements from the dates of acquisition. Differences between the preliminary allocation of purchase price and the final allocation for our 2022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2022 Annual Report on Form 10-K (the “2022 Form 10-K”).</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Summary of Significant Accounting Policies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significant accounting policies are fully described in Note 2 – Summary of Significant Accounting Policies in our 2022 Form 10-K.</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Cash and cash equivalents, Program cash and Restricted cash. </w:t>
      </w:r>
      <w:r>
        <w:rPr>
          <w:rFonts w:ascii="Arial;sans-serif" w:hAnsi="Arial;sans-serif"/>
          <w:b w:val="false"/>
          <w:color w:val="000000"/>
          <w:sz w:val="20"/>
        </w:rPr>
        <w:t>The following table provides a detail of cash and cash equivalents, program and restricted cash reported within the Consolidated Condensed Balance Sheets to the amounts shown in the Consolidated Condensed Statements of Cash Flows.</w:t>
      </w:r>
    </w:p>
    <w:p>
      <w:pPr>
        <w:pStyle w:val="TextBody"/>
        <w:spacing w:before="0" w:after="0"/>
        <w:jc w:val="both"/>
        <w:rPr/>
      </w:pPr>
      <w:r>
        <w:rPr/>
      </w:r>
    </w:p>
    <w:tbl>
      <w:tblPr>
        <w:tblW w:w="7059" w:type="dxa"/>
        <w:jc w:val="left"/>
        <w:tblInd w:w="0" w:type="dxa"/>
        <w:tblCellMar>
          <w:top w:w="28" w:type="dxa"/>
          <w:left w:w="28" w:type="dxa"/>
          <w:bottom w:w="28" w:type="dxa"/>
          <w:right w:w="28" w:type="dxa"/>
        </w:tblCellMar>
      </w:tblPr>
      <w:tblGrid>
        <w:gridCol w:w="1852"/>
        <w:gridCol w:w="1627"/>
        <w:gridCol w:w="1636"/>
        <w:gridCol w:w="211"/>
        <w:gridCol w:w="466"/>
        <w:gridCol w:w="109"/>
        <w:gridCol w:w="109"/>
        <w:gridCol w:w="109"/>
        <w:gridCol w:w="109"/>
        <w:gridCol w:w="211"/>
        <w:gridCol w:w="466"/>
        <w:gridCol w:w="154"/>
      </w:tblGrid>
      <w:tr>
        <w:trPr/>
        <w:tc>
          <w:tcPr>
            <w:tcW w:w="1852"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 March 31,</w:t>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cash</w:t>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Restricted cash </w:t>
            </w:r>
            <w:r>
              <w:rPr>
                <w:rFonts w:ascii="Arial;sans-serif" w:hAnsi="Arial;sans-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cash equivalents, program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________</w:t>
      </w:r>
    </w:p>
    <w:p>
      <w:pPr>
        <w:pStyle w:val="TextBody"/>
        <w:spacing w:lineRule="auto" w:line="288" w:before="0" w:after="0"/>
        <w:ind w:left="0" w:right="0" w:hanging="360"/>
        <w:rPr/>
      </w:pPr>
      <w:r>
        <w:rPr>
          <w:rFonts w:ascii="Arial;sans-serif" w:hAnsi="Arial;sans-serif"/>
          <w:b w:val="false"/>
          <w:color w:val="000000"/>
          <w:sz w:val="10"/>
        </w:rPr>
        <w:t>(a)</w:t>
      </w:r>
      <w:r>
        <w:rPr>
          <w:rFonts w:ascii="Arial;sans-serif" w:hAnsi="Arial;sans-serif"/>
          <w:b w:val="false"/>
          <w:color w:val="000000"/>
          <w:sz w:val="16"/>
        </w:rPr>
        <w:t>Included within other current assets.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Arial;sans-serif" w:hAnsi="Arial;sans-serif"/>
          <w:b w:val="false"/>
          <w:i/>
          <w:color w:val="000000"/>
          <w:sz w:val="20"/>
        </w:rPr>
        <w:t>Vehicle Programs.</w:t>
      </w:r>
      <w:r>
        <w:rPr>
          <w:color w:val="000000"/>
        </w:rPr>
        <w:t> </w:t>
      </w:r>
      <w:r>
        <w:rPr>
          <w:rFonts w:ascii="Arial;sans-serif" w:hAnsi="Arial;sans-serif"/>
          <w:b w:val="false"/>
          <w:color w:val="000000"/>
          <w:sz w:val="20"/>
        </w:rPr>
        <w:t>We present separately the financial data of our vehicle programs. These programs are distinct from our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Transaction-related costs, net. </w:t>
      </w:r>
      <w:r>
        <w:rPr>
          <w:rFonts w:ascii="Arial;sans-serif" w:hAnsi="Arial;sans-serif"/>
          <w:b w:val="false"/>
          <w:color w:val="000000"/>
          <w:sz w:val="20"/>
        </w:rPr>
        <w:t>Transaction-related costs, net are classified separately in the Consolidated Condensed Statements of 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Currency Transactions. </w:t>
      </w:r>
      <w:r>
        <w:rPr>
          <w:rFonts w:ascii="Arial;sans-serif" w:hAnsi="Arial;sans-serif"/>
          <w:b w:val="false"/>
          <w:color w:val="000000"/>
          <w:sz w:val="20"/>
        </w:rPr>
        <w:t>We record the gain or loss on foreign currency transactions on certain intercompany loans and the gain or loss on intercompany loan hedges within interest expense related to corporate debt, net.</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Divestitures. </w:t>
      </w:r>
      <w:r>
        <w:rPr>
          <w:rFonts w:ascii="Arial;sans-serif" w:hAnsi="Arial;sans-serif"/>
          <w:b w:val="false"/>
          <w:color w:val="000000"/>
          <w:sz w:val="20"/>
        </w:rPr>
        <w:t>In February 2022, we completed the sale of our operations in the United States Virgin Islands for $13 million, for the right to operate the Avis brand. During the three months ended March 31, 2022, we recorded a gain of $2 million within restructuring and other related charges.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March 2022, we completed the sale of our operations in the Netherlands for $15 million, subject to working capital adjustments, for the right to operate the Avis and Budget brands. During the three months ended March 31, 2022, we recorded a loss of $7 million, net of impact of foreign currency adjustments, within restructuring and other related charges. The Netherlands operations were reported within our International reporting segment.</w:t>
      </w:r>
    </w:p>
    <w:p>
      <w:pPr>
        <w:pStyle w:val="TextBody"/>
        <w:spacing w:before="0" w:after="0"/>
        <w:jc w:val="both"/>
        <w:rPr/>
      </w:pPr>
      <w:r>
        <w:rPr/>
      </w:r>
    </w:p>
    <w:p>
      <w:pPr>
        <w:pStyle w:val="TextBody"/>
        <w:spacing w:lineRule="auto" w:line="276" w:before="0" w:after="0"/>
        <w:jc w:val="both"/>
        <w:rPr/>
      </w:pPr>
      <w:r>
        <w:rPr>
          <w:rFonts w:ascii="Arial;sans-serif" w:hAnsi="Arial;sans-serif"/>
          <w:b w:val="false"/>
          <w:i/>
          <w:color w:val="000000"/>
          <w:sz w:val="20"/>
        </w:rPr>
        <w:t xml:space="preserve">Variable Interest Entity (“VIE”). </w:t>
      </w:r>
      <w:r>
        <w:rPr>
          <w:rFonts w:ascii="Arial;sans-serif" w:hAnsi="Arial;sans-serif"/>
          <w:b w:val="false"/>
          <w:color w:val="000000"/>
          <w:sz w:val="20"/>
        </w:rPr>
        <w:t xml:space="preserve">We review our investments to determine if they are VIEs. </w:t>
      </w:r>
      <w:r>
        <w:rPr>
          <w:rFonts w:ascii="Arial;sans-serif" w:hAnsi="Arial;sans-serif"/>
          <w:b w:val="false"/>
          <w:color w:val="212529"/>
          <w:sz w:val="20"/>
        </w:rPr>
        <w:t xml:space="preserve">A VIE is an entity in which either (i) the equity 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sans-serif" w:hAnsi="Arial;sans-serif"/>
          <w:b w:val="false"/>
          <w:color w:val="000000"/>
          <w:sz w:val="20"/>
        </w:rPr>
        <w:t>Entities that are determined to be VIEs are consolidated if we are the primary beneficiary of the entity. 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14 – Related Party Transactions for our VIE investment in our former subsidiary.</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Investments.</w:t>
      </w:r>
      <w:r>
        <w:rPr>
          <w:color w:val="000000"/>
        </w:rPr>
        <w:t xml:space="preserve"> </w:t>
      </w:r>
      <w:r>
        <w:rPr>
          <w:rFonts w:ascii="Arial;sans-serif" w:hAnsi="Arial;sans-serif"/>
          <w:b w:val="false"/>
          <w:color w:val="000000"/>
          <w:sz w:val="20"/>
        </w:rPr>
        <w:t>As of March 31, 2023 and December 31, 2022, we had equity method investments with a carrying value o</w:t>
      </w:r>
      <w:r>
        <w:rPr>
          <w:rFonts w:ascii="Arial;sans-serif" w:hAnsi="Arial;sans-serif"/>
          <w:b w:val="false"/>
          <w:color w:val="000000"/>
          <w:sz w:val="20"/>
          <w:highlight w:val="white"/>
        </w:rPr>
        <w:t>f</w:t>
      </w:r>
      <w:r>
        <w:rPr>
          <w:color w:val="000000"/>
        </w:rPr>
        <w:t xml:space="preserve"> </w:t>
      </w:r>
      <w:r>
        <w:rPr>
          <w:rFonts w:ascii="Arial;sans-serif" w:hAnsi="Arial;sans-serif"/>
          <w:b w:val="false"/>
          <w:color w:val="000000"/>
          <w:sz w:val="20"/>
        </w:rPr>
        <w:t>$80 million and $77 million, respectively, which are included in other non-current assets. Earnings from our equity method investments are included within operating expenses. For the three months ended March 31, 2023 and 2022, we recorded an immaterial amount related to our equity method investments, in each period. See Note 14 – Related Party Transactions for our equity method investment in our former subsidiary.</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Revenues. </w:t>
      </w:r>
      <w:r>
        <w:rPr>
          <w:rFonts w:ascii="Arial;sans-serif" w:hAnsi="Arial;sans-serif"/>
          <w:b w:val="false"/>
          <w:color w:val="000000"/>
          <w:sz w:val="20"/>
        </w:rPr>
        <w:t>Revenues are recognized under “Leases (Topic 842),” with the exception of royalty fee revenue derived from our licensees and revenue related to our customer loyalty program, which were approximately $44 million and $34 million during the three months ended March 31, 2023 and 2022, respectively.</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presents our revenues disaggregated by geography: </w:t>
      </w:r>
    </w:p>
    <w:tbl>
      <w:tblPr>
        <w:tblW w:w="4992" w:type="dxa"/>
        <w:jc w:val="left"/>
        <w:tblInd w:w="0" w:type="dxa"/>
        <w:tblCellMar>
          <w:top w:w="28" w:type="dxa"/>
          <w:left w:w="28" w:type="dxa"/>
          <w:bottom w:w="28" w:type="dxa"/>
          <w:right w:w="28" w:type="dxa"/>
        </w:tblCellMar>
      </w:tblPr>
      <w:tblGrid>
        <w:gridCol w:w="956"/>
        <w:gridCol w:w="840"/>
        <w:gridCol w:w="843"/>
        <w:gridCol w:w="211"/>
        <w:gridCol w:w="616"/>
        <w:gridCol w:w="109"/>
        <w:gridCol w:w="109"/>
        <w:gridCol w:w="109"/>
        <w:gridCol w:w="109"/>
        <w:gridCol w:w="211"/>
        <w:gridCol w:w="616"/>
        <w:gridCol w:w="109"/>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Middle East and Africa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and Australasia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our revenues disaggregated by brand:</w:t>
      </w:r>
    </w:p>
    <w:tbl>
      <w:tblPr>
        <w:tblW w:w="3687" w:type="dxa"/>
        <w:jc w:val="left"/>
        <w:tblInd w:w="0" w:type="dxa"/>
        <w:tblCellMar>
          <w:top w:w="28" w:type="dxa"/>
          <w:left w:w="28" w:type="dxa"/>
          <w:bottom w:w="28" w:type="dxa"/>
          <w:right w:w="28" w:type="dxa"/>
        </w:tblCellMar>
      </w:tblPr>
      <w:tblGrid>
        <w:gridCol w:w="479"/>
        <w:gridCol w:w="423"/>
        <w:gridCol w:w="432"/>
        <w:gridCol w:w="211"/>
        <w:gridCol w:w="616"/>
        <w:gridCol w:w="109"/>
        <w:gridCol w:w="109"/>
        <w:gridCol w:w="109"/>
        <w:gridCol w:w="109"/>
        <w:gridCol w:w="211"/>
        <w:gridCol w:w="616"/>
        <w:gridCol w:w="109"/>
        <w:gridCol w:w="154"/>
      </w:tblGrid>
      <w:tr>
        <w:trPr/>
        <w:tc>
          <w:tcPr>
            <w:tcW w:w="47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Budget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________</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Other includes Zipcar and other operating brands.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Accounting for Contract Assets and Contract Liabilities from Contracts with Customers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2021, the Financial Accounting Standards Board (“FASB”) issued Accounting Standard Update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became effective for us on January 1, 2023. The adoption of this accounting pronouncement did not have a material impact on our Consolidated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2.    Leases</w:t>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Lessor</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our lease revenues disaggregated by geography:</w:t>
      </w:r>
    </w:p>
    <w:tbl>
      <w:tblPr>
        <w:tblW w:w="4992" w:type="dxa"/>
        <w:jc w:val="left"/>
        <w:tblInd w:w="0" w:type="dxa"/>
        <w:tblCellMar>
          <w:top w:w="28" w:type="dxa"/>
          <w:left w:w="28" w:type="dxa"/>
          <w:bottom w:w="28" w:type="dxa"/>
          <w:right w:w="28" w:type="dxa"/>
        </w:tblCellMar>
      </w:tblPr>
      <w:tblGrid>
        <w:gridCol w:w="956"/>
        <w:gridCol w:w="840"/>
        <w:gridCol w:w="843"/>
        <w:gridCol w:w="211"/>
        <w:gridCol w:w="616"/>
        <w:gridCol w:w="109"/>
        <w:gridCol w:w="109"/>
        <w:gridCol w:w="109"/>
        <w:gridCol w:w="109"/>
        <w:gridCol w:w="211"/>
        <w:gridCol w:w="616"/>
        <w:gridCol w:w="109"/>
        <w:gridCol w:w="154"/>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Middle East and Africa</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and Australasia</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revenues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our lease revenues disaggregated by brand:</w:t>
      </w:r>
    </w:p>
    <w:tbl>
      <w:tblPr>
        <w:tblW w:w="4183" w:type="dxa"/>
        <w:jc w:val="left"/>
        <w:tblInd w:w="0" w:type="dxa"/>
        <w:tblCellMar>
          <w:top w:w="28" w:type="dxa"/>
          <w:left w:w="28" w:type="dxa"/>
          <w:bottom w:w="28" w:type="dxa"/>
          <w:right w:w="28" w:type="dxa"/>
        </w:tblCellMar>
      </w:tblPr>
      <w:tblGrid>
        <w:gridCol w:w="657"/>
        <w:gridCol w:w="580"/>
        <w:gridCol w:w="593"/>
        <w:gridCol w:w="211"/>
        <w:gridCol w:w="616"/>
        <w:gridCol w:w="109"/>
        <w:gridCol w:w="109"/>
        <w:gridCol w:w="109"/>
        <w:gridCol w:w="109"/>
        <w:gridCol w:w="211"/>
        <w:gridCol w:w="616"/>
        <w:gridCol w:w="109"/>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Budget</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revenues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_______</w:t>
      </w:r>
    </w:p>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Other includes Zipcar and other operating brands.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Lessee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components of lease expense are as follows:</w:t>
      </w:r>
    </w:p>
    <w:tbl>
      <w:tblPr>
        <w:tblW w:w="4800" w:type="dxa"/>
        <w:jc w:val="left"/>
        <w:tblInd w:w="0" w:type="dxa"/>
        <w:tblCellMar>
          <w:top w:w="28" w:type="dxa"/>
          <w:left w:w="28" w:type="dxa"/>
          <w:bottom w:w="28" w:type="dxa"/>
          <w:right w:w="28" w:type="dxa"/>
        </w:tblCellMar>
      </w:tblPr>
      <w:tblGrid>
        <w:gridCol w:w="943"/>
        <w:gridCol w:w="830"/>
        <w:gridCol w:w="836"/>
        <w:gridCol w:w="226"/>
        <w:gridCol w:w="500"/>
        <w:gridCol w:w="117"/>
        <w:gridCol w:w="117"/>
        <w:gridCol w:w="117"/>
        <w:gridCol w:w="117"/>
        <w:gridCol w:w="226"/>
        <w:gridCol w:w="500"/>
        <w:gridCol w:w="117"/>
        <w:gridCol w:w="154"/>
      </w:tblGrid>
      <w:tr>
        <w:trPr/>
        <w:tc>
          <w:tcPr>
            <w:tcW w:w="94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Property leases </w:t>
            </w:r>
            <w:r>
              <w:rPr>
                <w:rFonts w:ascii="Arial;sans-serif" w:hAnsi="Arial;sans-serif"/>
                <w:b/>
                <w:color w:val="000000"/>
                <w:sz w:val="12"/>
              </w:rPr>
              <w:t>(a)</w:t>
            </w:r>
          </w:p>
        </w:tc>
        <w:tc>
          <w:tcPr>
            <w:tcW w:w="8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property lease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w:t>
      </w:r>
    </w:p>
    <w:p>
      <w:pPr>
        <w:pStyle w:val="TextBody"/>
        <w:spacing w:lineRule="auto" w:line="288" w:before="0" w:after="0"/>
        <w:ind w:left="0" w:right="0" w:hanging="360"/>
        <w:jc w:val="both"/>
        <w:rPr/>
      </w:pPr>
      <w:r>
        <w:rPr>
          <w:rFonts w:ascii="Arial;sans-serif" w:hAnsi="Arial;sans-serif"/>
          <w:b w:val="false"/>
          <w:color w:val="000000"/>
          <w:sz w:val="10"/>
        </w:rPr>
        <w:t>(a)</w:t>
      </w:r>
      <w:r>
        <w:rPr>
          <w:color w:val="000000"/>
        </w:rPr>
        <w:t>    </w:t>
      </w:r>
      <w:r>
        <w:rPr>
          <w:rFonts w:ascii="Arial;sans-serif" w:hAnsi="Arial;sans-serif"/>
          <w:b w:val="false"/>
          <w:color w:val="000000"/>
          <w:sz w:val="16"/>
        </w:rPr>
        <w:t>Primarily within operating expenses.</w:t>
      </w:r>
    </w:p>
    <w:p>
      <w:pPr>
        <w:pStyle w:val="TextBody"/>
        <w:spacing w:before="0" w:after="0"/>
        <w:ind w:left="0" w:right="0" w:hanging="36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Supplemental balance sheet information related to leases is as follows:</w:t>
      </w:r>
    </w:p>
    <w:tbl>
      <w:tblPr>
        <w:tblW w:w="7091" w:type="dxa"/>
        <w:jc w:val="left"/>
        <w:tblInd w:w="0" w:type="dxa"/>
        <w:tblCellMar>
          <w:top w:w="28" w:type="dxa"/>
          <w:left w:w="28" w:type="dxa"/>
          <w:bottom w:w="28" w:type="dxa"/>
          <w:right w:w="28" w:type="dxa"/>
        </w:tblCellMar>
      </w:tblPr>
      <w:tblGrid>
        <w:gridCol w:w="1228"/>
        <w:gridCol w:w="1078"/>
        <w:gridCol w:w="1084"/>
        <w:gridCol w:w="529"/>
        <w:gridCol w:w="272"/>
        <w:gridCol w:w="683"/>
        <w:gridCol w:w="109"/>
        <w:gridCol w:w="109"/>
        <w:gridCol w:w="109"/>
        <w:gridCol w:w="626"/>
        <w:gridCol w:w="323"/>
        <w:gridCol w:w="941"/>
      </w:tblGrid>
      <w:tr>
        <w:trPr/>
        <w:tc>
          <w:tcPr>
            <w:tcW w:w="1228"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 </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 </w:t>
              <w:br/>
              <w:t>December 31, 2022</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Property leases</w:t>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ROU assets</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Short-term operating lease liabilities </w:t>
            </w:r>
            <w:r>
              <w:rPr>
                <w:rFonts w:ascii="Arial;sans-serif" w:hAnsi="Arial;sans-serif"/>
                <w:b w:val="false"/>
                <w:color w:val="000000"/>
                <w:sz w:val="12"/>
              </w:rPr>
              <w:t>(a)</w:t>
            </w:r>
          </w:p>
        </w:tc>
        <w:tc>
          <w:tcPr>
            <w:tcW w:w="5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5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years</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68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9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w:t>
      </w:r>
    </w:p>
    <w:p>
      <w:pPr>
        <w:pStyle w:val="TextBody"/>
        <w:spacing w:lineRule="auto" w:line="288" w:before="0" w:after="0"/>
        <w:ind w:left="0" w:right="0" w:hanging="360"/>
        <w:rPr/>
      </w:pPr>
      <w:r>
        <w:rPr>
          <w:rFonts w:ascii="Arial;sans-serif" w:hAnsi="Arial;sans-serif"/>
          <w:b w:val="false"/>
          <w:color w:val="000000"/>
          <w:sz w:val="10"/>
        </w:rPr>
        <w:t>(a)</w:t>
      </w:r>
      <w:r>
        <w:rPr>
          <w:color w:val="000000"/>
        </w:rPr>
        <w:t>    </w:t>
      </w:r>
      <w:r>
        <w:rPr>
          <w:rFonts w:ascii="Arial;sans-serif" w:hAnsi="Arial;sans-serif"/>
          <w:b w:val="false"/>
          <w:color w:val="000000"/>
          <w:sz w:val="16"/>
        </w:rPr>
        <w:t>Included in accounts payable and other current liabilities.</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Supplemental cash flow information related to leases is as follows:</w:t>
      </w:r>
    </w:p>
    <w:tbl>
      <w:tblPr>
        <w:tblW w:w="9416" w:type="dxa"/>
        <w:jc w:val="left"/>
        <w:tblInd w:w="0" w:type="dxa"/>
        <w:tblCellMar>
          <w:top w:w="28" w:type="dxa"/>
          <w:left w:w="28" w:type="dxa"/>
          <w:bottom w:w="28" w:type="dxa"/>
          <w:right w:w="28" w:type="dxa"/>
        </w:tblCellMar>
      </w:tblPr>
      <w:tblGrid>
        <w:gridCol w:w="2636"/>
        <w:gridCol w:w="2311"/>
        <w:gridCol w:w="2327"/>
        <w:gridCol w:w="232"/>
        <w:gridCol w:w="514"/>
        <w:gridCol w:w="120"/>
        <w:gridCol w:w="120"/>
        <w:gridCol w:w="120"/>
        <w:gridCol w:w="120"/>
        <w:gridCol w:w="232"/>
        <w:gridCol w:w="514"/>
        <w:gridCol w:w="170"/>
      </w:tblGrid>
      <w:tr>
        <w:trPr/>
        <w:tc>
          <w:tcPr>
            <w:tcW w:w="263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232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March 31,</w:t>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 for lease liabilities within operating activities:</w:t>
            </w:r>
          </w:p>
        </w:tc>
        <w:tc>
          <w:tcPr>
            <w:tcW w:w="8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operating leases</w:t>
            </w:r>
          </w:p>
        </w:tc>
        <w:tc>
          <w:tcPr>
            <w:tcW w:w="2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activities - increase (decrease) in ROU assets in exchange for lease liabilities:</w:t>
            </w:r>
          </w:p>
        </w:tc>
        <w:tc>
          <w:tcPr>
            <w:tcW w:w="8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operating leases</w:t>
            </w:r>
          </w:p>
        </w:tc>
        <w:tc>
          <w:tcPr>
            <w:tcW w:w="2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3.    Restructuring and Other Related Charges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second quarter 2022, we initiated a restructuring plan to focus on consolidating our global operations by designing new processes and implementing new systems (“Cost Optimization”). As of March 31, 2023, we formally communicated the termination of employment to approximately 265 employees as part of this process, and terminated approximately 225 of these employees. We expect further restructuring expense of approximately $2 million related to this initiative to be incurred this year.</w:t>
      </w:r>
    </w:p>
    <w:p>
      <w:pPr>
        <w:pStyle w:val="TextBody"/>
        <w:spacing w:before="0" w:after="0"/>
        <w:jc w:val="both"/>
        <w:rPr/>
      </w:pPr>
      <w:r>
        <w:rPr/>
      </w:r>
    </w:p>
    <w:p>
      <w:pPr>
        <w:pStyle w:val="TextBody"/>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our restructuring liabilities and related activities by reportable segment as it relates to our Cost Optimization plan, which are all personnel related in nature:</w:t>
      </w:r>
    </w:p>
    <w:tbl>
      <w:tblPr>
        <w:tblW w:w="8590" w:type="dxa"/>
        <w:jc w:val="left"/>
        <w:tblInd w:w="0" w:type="dxa"/>
        <w:tblCellMar>
          <w:top w:w="28" w:type="dxa"/>
          <w:left w:w="28" w:type="dxa"/>
          <w:bottom w:w="28" w:type="dxa"/>
          <w:right w:w="28" w:type="dxa"/>
        </w:tblCellMar>
      </w:tblPr>
      <w:tblGrid>
        <w:gridCol w:w="479"/>
        <w:gridCol w:w="420"/>
        <w:gridCol w:w="420"/>
        <w:gridCol w:w="1064"/>
        <w:gridCol w:w="1064"/>
        <w:gridCol w:w="1097"/>
        <w:gridCol w:w="109"/>
        <w:gridCol w:w="109"/>
        <w:gridCol w:w="109"/>
        <w:gridCol w:w="109"/>
        <w:gridCol w:w="109"/>
        <w:gridCol w:w="109"/>
        <w:gridCol w:w="346"/>
        <w:gridCol w:w="420"/>
        <w:gridCol w:w="180"/>
        <w:gridCol w:w="109"/>
        <w:gridCol w:w="109"/>
        <w:gridCol w:w="109"/>
        <w:gridCol w:w="428"/>
        <w:gridCol w:w="520"/>
        <w:gridCol w:w="223"/>
        <w:gridCol w:w="109"/>
        <w:gridCol w:w="109"/>
        <w:gridCol w:w="109"/>
        <w:gridCol w:w="211"/>
        <w:gridCol w:w="256"/>
        <w:gridCol w:w="154"/>
      </w:tblGrid>
      <w:tr>
        <w:trPr/>
        <w:tc>
          <w:tcPr>
            <w:tcW w:w="47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International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54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January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payments and utilization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4.    Earnings Per Share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 (“EPS”) (shares in millions): </w:t>
      </w:r>
    </w:p>
    <w:tbl>
      <w:tblPr>
        <w:tblW w:w="9945" w:type="dxa"/>
        <w:jc w:val="left"/>
        <w:tblInd w:w="0" w:type="dxa"/>
        <w:tblCellMar>
          <w:top w:w="28" w:type="dxa"/>
          <w:left w:w="28" w:type="dxa"/>
          <w:bottom w:w="28" w:type="dxa"/>
          <w:right w:w="28" w:type="dxa"/>
        </w:tblCellMar>
      </w:tblPr>
      <w:tblGrid>
        <w:gridCol w:w="1259"/>
        <w:gridCol w:w="1101"/>
        <w:gridCol w:w="1101"/>
        <w:gridCol w:w="1101"/>
        <w:gridCol w:w="1101"/>
        <w:gridCol w:w="1131"/>
        <w:gridCol w:w="309"/>
        <w:gridCol w:w="792"/>
        <w:gridCol w:w="159"/>
        <w:gridCol w:w="159"/>
        <w:gridCol w:w="159"/>
        <w:gridCol w:w="159"/>
        <w:gridCol w:w="309"/>
        <w:gridCol w:w="792"/>
        <w:gridCol w:w="159"/>
        <w:gridCol w:w="154"/>
      </w:tblGrid>
      <w:tr>
        <w:trPr/>
        <w:tc>
          <w:tcPr>
            <w:tcW w:w="125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4"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income attributable to Avis Budget Group, Inc. for basic and diluted EPS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Non-vested stock </w:t>
            </w:r>
            <w:r>
              <w:rPr>
                <w:rFonts w:ascii="Arial;sans-serif" w:hAnsi="Arial;sans-serif"/>
                <w:b w:val="false"/>
                <w:color w:val="000000"/>
                <w:sz w:val="13"/>
              </w:rPr>
              <w:t>(a)</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5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Earnings per share:</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
        <w:jc w:val="both"/>
        <w:rPr>
          <w:rFonts w:ascii="Arial;sans-serif" w:hAnsi="Arial;sans-serif"/>
          <w:b w:val="false"/>
          <w:color w:val="000000"/>
          <w:sz w:val="20"/>
        </w:rPr>
      </w:pPr>
      <w:r>
        <w:rPr>
          <w:rFonts w:ascii="Arial;sans-serif" w:hAnsi="Arial;sans-serif"/>
          <w:b w:val="false"/>
          <w:color w:val="000000"/>
          <w:sz w:val="20"/>
        </w:rPr>
        <w:t>________</w:t>
      </w:r>
    </w:p>
    <w:p>
      <w:pPr>
        <w:pStyle w:val="TextBody"/>
        <w:spacing w:lineRule="auto" w:line="288" w:before="0" w:after="20"/>
        <w:ind w:left="0" w:right="0" w:hanging="360"/>
        <w:jc w:val="both"/>
        <w:rPr/>
      </w:pPr>
      <w:r>
        <w:rPr>
          <w:rFonts w:ascii="Arial;sans-serif" w:hAnsi="Arial;sans-serif"/>
          <w:b w:val="false"/>
          <w:color w:val="000000"/>
          <w:sz w:val="10"/>
        </w:rPr>
        <w:t>(a)</w:t>
      </w:r>
      <w:r>
        <w:rPr>
          <w:color w:val="000000"/>
        </w:rPr>
        <w:t>    </w:t>
      </w:r>
      <w:r>
        <w:rPr>
          <w:rFonts w:ascii="Arial;sans-serif" w:hAnsi="Arial;sans-serif"/>
          <w:b w:val="false"/>
          <w:color w:val="000000"/>
          <w:sz w:val="16"/>
        </w:rPr>
        <w:t>For the three months ended March 31, 2023 and 2022, 0.1 million non-vested stock awards, in each period, have an anti-dilutive effect and therefore are excluded from the computation of diluted weighted average shares outstanding.</w:t>
      </w:r>
    </w:p>
    <w:p>
      <w:pPr>
        <w:pStyle w:val="TextBody"/>
        <w:spacing w:before="0" w:after="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5.    Other Current Assets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Other current assets consisted of:</w:t>
      </w:r>
    </w:p>
    <w:tbl>
      <w:tblPr>
        <w:tblW w:w="6684" w:type="dxa"/>
        <w:jc w:val="left"/>
        <w:tblInd w:w="0" w:type="dxa"/>
        <w:tblCellMar>
          <w:top w:w="28" w:type="dxa"/>
          <w:left w:w="28" w:type="dxa"/>
          <w:bottom w:w="28" w:type="dxa"/>
          <w:right w:w="28" w:type="dxa"/>
        </w:tblCellMar>
      </w:tblPr>
      <w:tblGrid>
        <w:gridCol w:w="689"/>
        <w:gridCol w:w="606"/>
        <w:gridCol w:w="609"/>
        <w:gridCol w:w="533"/>
        <w:gridCol w:w="1216"/>
        <w:gridCol w:w="275"/>
        <w:gridCol w:w="109"/>
        <w:gridCol w:w="109"/>
        <w:gridCol w:w="109"/>
        <w:gridCol w:w="604"/>
        <w:gridCol w:w="1380"/>
        <w:gridCol w:w="445"/>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2022</w:t>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4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use taxes</w:t>
            </w:r>
          </w:p>
        </w:tc>
        <w:tc>
          <w:tcPr>
            <w:tcW w:w="1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4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4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6.    Intangible Assets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Intangible assets consisted of:</w:t>
      </w:r>
    </w:p>
    <w:tbl>
      <w:tblPr>
        <w:tblW w:w="10205" w:type="dxa"/>
        <w:jc w:val="left"/>
        <w:tblInd w:w="0" w:type="dxa"/>
        <w:tblCellMar>
          <w:top w:w="28" w:type="dxa"/>
          <w:left w:w="28" w:type="dxa"/>
          <w:bottom w:w="28" w:type="dxa"/>
          <w:right w:w="28" w:type="dxa"/>
        </w:tblCellMar>
      </w:tblPr>
      <w:tblGrid>
        <w:gridCol w:w="901"/>
        <w:gridCol w:w="771"/>
        <w:gridCol w:w="776"/>
        <w:gridCol w:w="211"/>
        <w:gridCol w:w="616"/>
        <w:gridCol w:w="109"/>
        <w:gridCol w:w="109"/>
        <w:gridCol w:w="109"/>
        <w:gridCol w:w="109"/>
        <w:gridCol w:w="334"/>
        <w:gridCol w:w="738"/>
        <w:gridCol w:w="174"/>
        <w:gridCol w:w="109"/>
        <w:gridCol w:w="109"/>
        <w:gridCol w:w="109"/>
        <w:gridCol w:w="229"/>
        <w:gridCol w:w="507"/>
        <w:gridCol w:w="120"/>
        <w:gridCol w:w="109"/>
        <w:gridCol w:w="109"/>
        <w:gridCol w:w="109"/>
        <w:gridCol w:w="211"/>
        <w:gridCol w:w="616"/>
        <w:gridCol w:w="109"/>
        <w:gridCol w:w="109"/>
        <w:gridCol w:w="109"/>
        <w:gridCol w:w="109"/>
        <w:gridCol w:w="334"/>
        <w:gridCol w:w="738"/>
        <w:gridCol w:w="174"/>
        <w:gridCol w:w="109"/>
        <w:gridCol w:w="109"/>
        <w:gridCol w:w="109"/>
        <w:gridCol w:w="228"/>
        <w:gridCol w:w="505"/>
        <w:gridCol w:w="169"/>
      </w:tblGrid>
      <w:tr>
        <w:trPr/>
        <w:tc>
          <w:tcPr>
            <w:tcW w:w="90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2022</w:t>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Net</w:t>
              <w:b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Amortized Intangible Assets</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agreements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6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Unamortized Intangible Assets</w:t>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0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both"/>
        <w:rPr/>
      </w:pPr>
      <w:r>
        <w:rPr/>
      </w:r>
    </w:p>
    <w:p>
      <w:pPr>
        <w:pStyle w:val="TextBody"/>
        <w:spacing w:lineRule="auto" w:line="288" w:before="0" w:after="0"/>
        <w:jc w:val="both"/>
        <w:rPr/>
      </w:pPr>
      <w:r>
        <w:rPr>
          <w:rFonts w:ascii="Arial;sans-serif" w:hAnsi="Arial;sans-serif"/>
          <w:b w:val="false"/>
          <w:color w:val="000000"/>
          <w:sz w:val="20"/>
        </w:rPr>
        <w:t>For the three months ended March 31, 2023 and 2022, amortization expense related to amortizable intangible assets was approximat</w:t>
      </w:r>
      <w:r>
        <w:rPr>
          <w:rFonts w:ascii="Arial;sans-serif" w:hAnsi="Arial;sans-serif"/>
          <w:b w:val="false"/>
          <w:color w:val="000000"/>
          <w:sz w:val="20"/>
          <w:highlight w:val="white"/>
        </w:rPr>
        <w:t>el</w:t>
      </w:r>
      <w:r>
        <w:rPr>
          <w:rFonts w:ascii="Arial;sans-serif" w:hAnsi="Arial;sans-serif"/>
          <w:b w:val="false"/>
          <w:color w:val="000000"/>
          <w:sz w:val="20"/>
        </w:rPr>
        <w:t>y $8 million and $16 million, respectively. Based on our amortizable intangible assets at March 31, 2023, we expect amortization expense of approximately $19 million for the remainder of 2023, $22 million for 2024, $16 million for 2025, $15 million for 2026, $11 million for 2027 and $9 million for 2028, excluding effects of currency exchange rates.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7.    Vehicle Rental Activities</w:t>
      </w:r>
    </w:p>
    <w:p>
      <w:pPr>
        <w:pStyle w:val="TextBody"/>
        <w:spacing w:before="0" w:after="0"/>
        <w:ind w:left="0" w:right="0" w:hanging="540"/>
        <w:rPr/>
      </w:pPr>
      <w:r>
        <w:rPr/>
      </w:r>
    </w:p>
    <w:p>
      <w:pPr>
        <w:pStyle w:val="TextBody"/>
        <w:spacing w:lineRule="auto" w:line="288" w:before="0" w:after="0"/>
        <w:rPr/>
      </w:pPr>
      <w:r>
        <w:rPr>
          <w:rFonts w:ascii="Arial;sans-serif" w:hAnsi="Arial;sans-serif"/>
          <w:b w:val="false"/>
          <w:color w:val="000000"/>
          <w:sz w:val="20"/>
        </w:rPr>
        <w:t>The components of vehicles, net within assets under vehicle programs are as follows:</w:t>
      </w:r>
      <w:r>
        <w:rPr>
          <w:color w:val="000000"/>
        </w:rPr>
        <w:t> </w:t>
      </w:r>
    </w:p>
    <w:tbl>
      <w:tblPr>
        <w:tblW w:w="5702" w:type="dxa"/>
        <w:jc w:val="left"/>
        <w:tblInd w:w="0" w:type="dxa"/>
        <w:tblCellMar>
          <w:top w:w="28" w:type="dxa"/>
          <w:left w:w="28" w:type="dxa"/>
          <w:bottom w:w="28" w:type="dxa"/>
          <w:right w:w="28" w:type="dxa"/>
        </w:tblCellMar>
      </w:tblPr>
      <w:tblGrid>
        <w:gridCol w:w="1080"/>
        <w:gridCol w:w="948"/>
        <w:gridCol w:w="957"/>
        <w:gridCol w:w="211"/>
        <w:gridCol w:w="721"/>
        <w:gridCol w:w="109"/>
        <w:gridCol w:w="109"/>
        <w:gridCol w:w="109"/>
        <w:gridCol w:w="109"/>
        <w:gridCol w:w="262"/>
        <w:gridCol w:w="896"/>
        <w:gridCol w:w="191"/>
      </w:tblGrid>
      <w:tr>
        <w:trPr/>
        <w:tc>
          <w:tcPr>
            <w:tcW w:w="1080"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vehicles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17,819 </w:t>
            </w:r>
          </w:p>
        </w:tc>
        <w:tc>
          <w:tcPr>
            <w:tcW w:w="1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15,608 </w:t>
            </w:r>
          </w:p>
        </w:tc>
        <w:tc>
          <w:tcPr>
            <w:tcW w:w="1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held for 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Vehicles, net investment in lease </w:t>
            </w:r>
            <w:r>
              <w:rPr>
                <w:rFonts w:ascii="Arial;sans-serif" w:hAnsi="Arial;sans-serif"/>
                <w:b w:val="false"/>
                <w:color w:val="000000"/>
                <w:sz w:val="12"/>
              </w:rPr>
              <w:t>(a)</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15,961 </w:t>
            </w:r>
          </w:p>
        </w:tc>
        <w:tc>
          <w:tcPr>
            <w:tcW w:w="1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jc w:val="both"/>
        <w:rPr>
          <w:rFonts w:ascii="Arial;sans-serif" w:hAnsi="Arial;sans-serif"/>
          <w:b w:val="false"/>
          <w:color w:val="000000"/>
          <w:sz w:val="20"/>
        </w:rPr>
      </w:pPr>
      <w:r>
        <w:rPr>
          <w:rFonts w:ascii="Arial;sans-serif" w:hAnsi="Arial;sans-serif"/>
          <w:b w:val="false"/>
          <w:color w:val="000000"/>
          <w:sz w:val="20"/>
        </w:rPr>
        <w:t>________</w:t>
      </w:r>
    </w:p>
    <w:p>
      <w:pPr>
        <w:pStyle w:val="TextBody"/>
        <w:spacing w:lineRule="auto" w:line="288" w:before="0" w:after="0"/>
        <w:ind w:left="0" w:right="0" w:hanging="360"/>
        <w:jc w:val="both"/>
        <w:rPr/>
      </w:pPr>
      <w:r>
        <w:rPr>
          <w:rFonts w:ascii="Arial;sans-serif" w:hAnsi="Arial;sans-serif"/>
          <w:b w:val="false"/>
          <w:color w:val="000000"/>
          <w:sz w:val="10"/>
        </w:rPr>
        <w:t>(a)    </w:t>
      </w:r>
      <w:r>
        <w:rPr>
          <w:rFonts w:ascii="Arial;sans-serif" w:hAnsi="Arial;sans-serif"/>
          <w:b w:val="false"/>
          <w:color w:val="000000"/>
          <w:sz w:val="16"/>
        </w:rPr>
        <w:t>See Note 14 – Related Party Transactions.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The components of vehicle depreciation and lease charges, net are summarized below:</w:t>
      </w:r>
      <w:r>
        <w:rPr>
          <w:color w:val="000000"/>
        </w:rPr>
        <w:t> </w:t>
      </w:r>
    </w:p>
    <w:tbl>
      <w:tblPr>
        <w:tblW w:w="5759" w:type="dxa"/>
        <w:jc w:val="left"/>
        <w:tblInd w:w="0" w:type="dxa"/>
        <w:tblCellMar>
          <w:top w:w="28" w:type="dxa"/>
          <w:left w:w="28" w:type="dxa"/>
          <w:bottom w:w="28" w:type="dxa"/>
          <w:right w:w="28" w:type="dxa"/>
        </w:tblCellMar>
      </w:tblPr>
      <w:tblGrid>
        <w:gridCol w:w="1341"/>
        <w:gridCol w:w="1180"/>
        <w:gridCol w:w="1183"/>
        <w:gridCol w:w="211"/>
        <w:gridCol w:w="467"/>
        <w:gridCol w:w="109"/>
        <w:gridCol w:w="109"/>
        <w:gridCol w:w="109"/>
        <w:gridCol w:w="109"/>
        <w:gridCol w:w="211"/>
        <w:gridCol w:w="467"/>
        <w:gridCol w:w="109"/>
        <w:gridCol w:w="154"/>
      </w:tblGrid>
      <w:tr>
        <w:trPr/>
        <w:tc>
          <w:tcPr>
            <w:tcW w:w="1341"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charges</w:t>
            </w:r>
          </w:p>
        </w:tc>
        <w:tc>
          <w:tcPr>
            <w:tcW w:w="6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loss on sale of vehicles, net </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depreciation and lease charges,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March 31, 2023 and 2022, we had payables related to vehicle purchases included in liabilities under vehicle programs - other of $314 million and $150 million, respectively, and receivables related to vehicle sales included in assets under vehicle programs - receivables from vehicle manufacturers and other of $137 million and $64 million,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8.    Income Taxes</w:t>
      </w:r>
    </w:p>
    <w:p>
      <w:pPr>
        <w:pStyle w:val="TextBody"/>
        <w:spacing w:before="0" w:after="0"/>
        <w:ind w:left="0" w:right="0" w:hanging="54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effective tax rate for the three months ended March 31, 2023 was a provision of 21.4%. Such rate differed from the Federal Statutory rate of 21.0% primarily due to foreign taxes on our International operations and state taxes, partially offset by the effect of certain tax credits and the favorable adjustments related to stock-based compensation.</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effective tax rate for the three months ended March 31, 2022 was a provision of 24.2%. Such rate differed from the Federal Statutory rate of 21.0% primarily due to foreign taxes on our International operations and state taxes.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9.    Accounts Payable and Other Current Liabilities</w:t>
      </w:r>
    </w:p>
    <w:p>
      <w:pPr>
        <w:pStyle w:val="TextBody"/>
        <w:spacing w:before="0" w:after="0"/>
        <w:ind w:left="0" w:right="0" w:hanging="540"/>
        <w:rPr/>
      </w:pPr>
      <w:r>
        <w:rPr/>
      </w:r>
    </w:p>
    <w:p>
      <w:pPr>
        <w:pStyle w:val="TextBody"/>
        <w:spacing w:lineRule="auto" w:line="288" w:before="0" w:after="0"/>
        <w:rPr/>
      </w:pPr>
      <w:r>
        <w:rPr>
          <w:rFonts w:ascii="Arial;sans-serif" w:hAnsi="Arial;sans-serif"/>
          <w:b w:val="false"/>
          <w:color w:val="000000"/>
          <w:sz w:val="20"/>
        </w:rPr>
        <w:t>Accounts payable and other current liabilities consisted of:</w:t>
      </w:r>
      <w:r>
        <w:rPr>
          <w:color w:val="000000"/>
        </w:rPr>
        <w:t> </w:t>
      </w:r>
    </w:p>
    <w:tbl>
      <w:tblPr>
        <w:tblW w:w="8051" w:type="dxa"/>
        <w:jc w:val="left"/>
        <w:tblInd w:w="0" w:type="dxa"/>
        <w:tblCellMar>
          <w:top w:w="28" w:type="dxa"/>
          <w:left w:w="28" w:type="dxa"/>
          <w:bottom w:w="28" w:type="dxa"/>
          <w:right w:w="28" w:type="dxa"/>
        </w:tblCellMar>
      </w:tblPr>
      <w:tblGrid>
        <w:gridCol w:w="1962"/>
        <w:gridCol w:w="1728"/>
        <w:gridCol w:w="1739"/>
        <w:gridCol w:w="213"/>
        <w:gridCol w:w="622"/>
        <w:gridCol w:w="110"/>
        <w:gridCol w:w="109"/>
        <w:gridCol w:w="109"/>
        <w:gridCol w:w="109"/>
        <w:gridCol w:w="290"/>
        <w:gridCol w:w="847"/>
        <w:gridCol w:w="213"/>
      </w:tblGrid>
      <w:tr>
        <w:trPr/>
        <w:tc>
          <w:tcPr>
            <w:tcW w:w="1962"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5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operating lease liabilities</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lease revenues - current</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advertising and marketing</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sales and use taxes</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related</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 liability and property damage insurance liabilities – current</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current liabilities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ind w:left="0" w:right="0" w:hanging="540"/>
        <w:rPr/>
      </w:pPr>
      <w:r>
        <w:rPr>
          <w:color w:val="000000"/>
        </w:rPr>
        <w:t> </w:t>
      </w:r>
      <w:r>
        <w:rPr>
          <w:rFonts w:ascii="Arial;sans-serif" w:hAnsi="Arial;sans-serif"/>
          <w:b/>
          <w:color w:val="000000"/>
          <w:sz w:val="20"/>
        </w:rPr>
        <w:t>10.</w:t>
      </w:r>
      <w:r>
        <w:rPr>
          <w:color w:val="000000"/>
        </w:rPr>
        <w:t>    </w:t>
      </w:r>
      <w:r>
        <w:rPr>
          <w:rFonts w:ascii="Arial;sans-serif" w:hAnsi="Arial;sans-serif"/>
          <w:b/>
          <w:color w:val="000000"/>
          <w:sz w:val="20"/>
        </w:rPr>
        <w:t>Long-term Corporate Debt and Borrowing Arrangements</w:t>
      </w:r>
    </w:p>
    <w:p>
      <w:pPr>
        <w:pStyle w:val="TextBody"/>
        <w:spacing w:before="0" w:after="0"/>
        <w:ind w:left="0" w:right="0" w:hanging="45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Long-term corporate debt and borrowing arrangements consisted of:</w:t>
      </w:r>
    </w:p>
    <w:tbl>
      <w:tblPr>
        <w:tblW w:w="9249" w:type="dxa"/>
        <w:jc w:val="left"/>
        <w:tblInd w:w="0" w:type="dxa"/>
        <w:tblCellMar>
          <w:top w:w="28" w:type="dxa"/>
          <w:left w:w="28" w:type="dxa"/>
          <w:bottom w:w="28" w:type="dxa"/>
          <w:right w:w="28" w:type="dxa"/>
        </w:tblCellMar>
      </w:tblPr>
      <w:tblGrid>
        <w:gridCol w:w="1766"/>
        <w:gridCol w:w="1551"/>
        <w:gridCol w:w="1558"/>
        <w:gridCol w:w="473"/>
        <w:gridCol w:w="473"/>
        <w:gridCol w:w="479"/>
        <w:gridCol w:w="109"/>
        <w:gridCol w:w="109"/>
        <w:gridCol w:w="109"/>
        <w:gridCol w:w="213"/>
        <w:gridCol w:w="622"/>
        <w:gridCol w:w="110"/>
        <w:gridCol w:w="109"/>
        <w:gridCol w:w="109"/>
        <w:gridCol w:w="109"/>
        <w:gridCol w:w="290"/>
        <w:gridCol w:w="847"/>
        <w:gridCol w:w="213"/>
      </w:tblGrid>
      <w:tr>
        <w:trPr/>
        <w:tc>
          <w:tcPr>
            <w:tcW w:w="1766"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Maturity</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4.125% euro-denominated Senior Notes</w:t>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November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4.500% euro-denominated Senior Notes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May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4.750% euro-denominated Senior Notes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5.750% Senior Notes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4.750% Senior Notes</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5.375% Senior Notes</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Floating Rate Term Loan </w:t>
            </w:r>
            <w:r>
              <w:rPr>
                <w:rFonts w:ascii="Arial;sans-serif" w:hAnsi="Arial;sans-serif"/>
                <w:b w:val="false"/>
                <w:color w:val="000000"/>
                <w:sz w:val="12"/>
              </w:rPr>
              <w:t>(a)</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Floating Rate Term Loan </w:t>
            </w:r>
            <w:r>
              <w:rPr>
                <w:rFonts w:ascii="Arial;sans-serif" w:hAnsi="Arial;sans-serif"/>
                <w:b w:val="false"/>
                <w:color w:val="000000"/>
                <w:sz w:val="12"/>
              </w:rPr>
              <w:t>(b)</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(c)</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fees</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4,671 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debt and current portion of long-term debt</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4,644 </w:t>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The floating rate term loan is part of our senior revolving credit facility, which is secured by pledges of capital stock of certain of our subsidiaries, and liens on substantially all of our intellectual property and certain other real and personal property. As of March 31, 2023, the floating rate term loan due 2027 bears interest at one-month LIBOR plus 175 basis points, for an aggregate rate of 6.60%. We have entered into a swap to hedge $700 million of its interest rate exposure related to the floating rate term loan at an aggregate rate of 4.75%.</w:t>
      </w:r>
    </w:p>
    <w:p>
      <w:pPr>
        <w:pStyle w:val="TextBody"/>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The floating rate term loan is part of our senior revolving credit facility, which is secured by pledges of capital stock of certain of our subsidiaries, and liens on substantially all of our intellectual property and certain other real and personal property. As of March 31, 2023, the floating rate term loan due 2029 bears interest at one-month Secured Overnight Financing Rate (“SOFR”) plus 350 basis points for an aggregate rate of 8.41%.</w:t>
      </w:r>
    </w:p>
    <w:p>
      <w:pPr>
        <w:pStyle w:val="TextBody"/>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Primarily includes finance leases, which are secured by liens on the related assets.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Committed Credit Facilities and Available Funding Arrangements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As of March 31, 2023, the committed corporate credit facilities available to us and/or our subsidiaries were as follows:</w:t>
      </w:r>
      <w:r>
        <w:rPr>
          <w:color w:val="000000"/>
        </w:rPr>
        <w:t> </w:t>
      </w:r>
    </w:p>
    <w:tbl>
      <w:tblPr>
        <w:tblW w:w="10108" w:type="dxa"/>
        <w:jc w:val="left"/>
        <w:tblInd w:w="0" w:type="dxa"/>
        <w:tblCellMar>
          <w:top w:w="28" w:type="dxa"/>
          <w:left w:w="28" w:type="dxa"/>
          <w:bottom w:w="28" w:type="dxa"/>
          <w:right w:w="28" w:type="dxa"/>
        </w:tblCellMar>
      </w:tblPr>
      <w:tblGrid>
        <w:gridCol w:w="1443"/>
        <w:gridCol w:w="1269"/>
        <w:gridCol w:w="1278"/>
        <w:gridCol w:w="211"/>
        <w:gridCol w:w="616"/>
        <w:gridCol w:w="109"/>
        <w:gridCol w:w="109"/>
        <w:gridCol w:w="109"/>
        <w:gridCol w:w="109"/>
        <w:gridCol w:w="331"/>
        <w:gridCol w:w="638"/>
        <w:gridCol w:w="172"/>
        <w:gridCol w:w="109"/>
        <w:gridCol w:w="109"/>
        <w:gridCol w:w="109"/>
        <w:gridCol w:w="475"/>
        <w:gridCol w:w="1392"/>
        <w:gridCol w:w="247"/>
        <w:gridCol w:w="109"/>
        <w:gridCol w:w="109"/>
        <w:gridCol w:w="109"/>
        <w:gridCol w:w="240"/>
        <w:gridCol w:w="530"/>
        <w:gridCol w:w="176"/>
      </w:tblGrid>
      <w:tr>
        <w:trPr/>
        <w:tc>
          <w:tcPr>
            <w:tcW w:w="1443"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br/>
              <w:t>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Outstanding</w:t>
              <w:br/>
              <w:t>Borrowings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Letters of Credit 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Available</w:t>
              <w:br/>
              <w:t>Capacity</w:t>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Senior revolving credit facility maturing 2026 </w:t>
            </w:r>
            <w:r>
              <w:rPr>
                <w:rFonts w:ascii="Arial;sans-serif" w:hAnsi="Arial;sans-serif"/>
                <w:b w:val="false"/>
                <w:color w:val="000000"/>
                <w:sz w:val="12"/>
              </w:rPr>
              <w:t>(a)</w:t>
            </w:r>
            <w:r>
              <w:rPr>
                <w:color w:val="000000"/>
              </w:rPr>
              <w:t xml:space="preserve">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2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40"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The senior revolving credit facility bears interest at one-month LIBOR plus 175 basis points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Debt Covenants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March 31, 2023, we were in compliance with the financial covenants governing our indebtedness.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11.    Debt Under Vehicle Programs and Borrowing Arrangements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Debt under vehicle programs, including related party debt due to Avis Budget Rental Car Funding (AESOP) LLC (“Avis Budget Rental Car Funding”), consisted of:</w:t>
      </w:r>
    </w:p>
    <w:tbl>
      <w:tblPr>
        <w:tblW w:w="7786" w:type="dxa"/>
        <w:jc w:val="left"/>
        <w:tblInd w:w="0" w:type="dxa"/>
        <w:tblCellMar>
          <w:top w:w="28" w:type="dxa"/>
          <w:left w:w="28" w:type="dxa"/>
          <w:bottom w:w="28" w:type="dxa"/>
          <w:right w:w="28" w:type="dxa"/>
        </w:tblCellMar>
      </w:tblPr>
      <w:tblGrid>
        <w:gridCol w:w="1800"/>
        <w:gridCol w:w="1584"/>
        <w:gridCol w:w="1595"/>
        <w:gridCol w:w="211"/>
        <w:gridCol w:w="751"/>
        <w:gridCol w:w="109"/>
        <w:gridCol w:w="109"/>
        <w:gridCol w:w="109"/>
        <w:gridCol w:w="109"/>
        <w:gridCol w:w="266"/>
        <w:gridCol w:w="949"/>
        <w:gridCol w:w="194"/>
      </w:tblGrid>
      <w:tr>
        <w:trPr/>
        <w:tc>
          <w:tcPr>
            <w:tcW w:w="1800"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 Debt due to Avis Budget Rental Car Funding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11,322 </w:t>
            </w:r>
          </w:p>
        </w:tc>
        <w:tc>
          <w:tcPr>
            <w:tcW w:w="1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Americas - Debt borrowings </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International - Debt borrowings </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International - Finance leases </w:t>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Deferred financing fees </w:t>
            </w:r>
            <w:r>
              <w:rPr>
                <w:rFonts w:ascii="Arial;sans-serif" w:hAnsi="Arial;sans-serif"/>
                <w:b w:val="false"/>
                <w:color w:val="000000"/>
                <w:sz w:val="13"/>
              </w:rPr>
              <w:t>(a)</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13,809 </w:t>
            </w:r>
          </w:p>
        </w:tc>
        <w:tc>
          <w:tcPr>
            <w:tcW w:w="1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Deferred financing fees related to Debt due to Avis Budget Rental Car Funding as of March 31, 2023 and December 31, 2022 were $53 million and $47 million, respectively.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January 2023, our Avis Budget Rental Car Funding (AESOP) LLC subsidiary issued $500 million and $350 million of asset-backed notes to investors with an expected final payment date of April 2028 and October 2026, respectively, and a weighted average interest rate of 5.36% and 5.31%, respectively. </w:t>
      </w:r>
    </w:p>
    <w:p>
      <w:pPr>
        <w:pStyle w:val="TextBody"/>
        <w:spacing w:before="0" w:after="0"/>
        <w:jc w:val="both"/>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Debt Maturities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the contractual maturities of our debt under vehicle programs, including related party debt due to Avis Budget Rental Car Funding, at March 31, 2023:</w:t>
      </w:r>
    </w:p>
    <w:tbl>
      <w:tblPr>
        <w:tblW w:w="5460" w:type="dxa"/>
        <w:jc w:val="left"/>
        <w:tblInd w:w="0" w:type="dxa"/>
        <w:tblCellMar>
          <w:top w:w="28" w:type="dxa"/>
          <w:left w:w="28" w:type="dxa"/>
          <w:bottom w:w="28" w:type="dxa"/>
          <w:right w:w="28" w:type="dxa"/>
        </w:tblCellMar>
      </w:tblPr>
      <w:tblGrid>
        <w:gridCol w:w="846"/>
        <w:gridCol w:w="744"/>
        <w:gridCol w:w="750"/>
        <w:gridCol w:w="590"/>
        <w:gridCol w:w="2100"/>
        <w:gridCol w:w="430"/>
      </w:tblGrid>
      <w:tr>
        <w:trPr/>
        <w:tc>
          <w:tcPr>
            <w:tcW w:w="84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10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20"/>
              </w:rPr>
              <w:t xml:space="preserve">Debt under Vehicle Programs </w:t>
            </w:r>
            <w:r>
              <w:rPr>
                <w:rFonts w:ascii="Arial;sans-serif" w:hAnsi="Arial;sans-serif"/>
                <w:b/>
                <w:color w:val="000000"/>
                <w:sz w:val="13"/>
              </w:rPr>
              <w:t>(a)</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Within 1 year </w:t>
            </w:r>
            <w:r>
              <w:rPr>
                <w:rFonts w:ascii="Arial;sans-serif" w:hAnsi="Arial;sans-serif"/>
                <w:b w:val="false"/>
                <w:color w:val="000000"/>
                <w:sz w:val="13"/>
              </w:rPr>
              <w:t>(b)</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Between 1 and 2 years </w:t>
            </w:r>
            <w:r>
              <w:rPr>
                <w:rFonts w:ascii="Arial;sans-serif" w:hAnsi="Arial;sans-serif"/>
                <w:b w:val="false"/>
                <w:color w:val="000000"/>
                <w:sz w:val="13"/>
              </w:rPr>
              <w:t>(c)</w:t>
            </w:r>
          </w:p>
        </w:tc>
        <w:tc>
          <w:tcPr>
            <w:tcW w:w="2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5,803 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Between 2 and 3 years </w:t>
            </w:r>
            <w:r>
              <w:rPr>
                <w:rFonts w:ascii="Arial;sans-serif" w:hAnsi="Arial;sans-serif"/>
                <w:b w:val="false"/>
                <w:color w:val="000000"/>
                <w:sz w:val="13"/>
              </w:rPr>
              <w:t>(d)</w:t>
            </w:r>
          </w:p>
        </w:tc>
        <w:tc>
          <w:tcPr>
            <w:tcW w:w="2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Between 3 and 4 years</w:t>
            </w:r>
          </w:p>
        </w:tc>
        <w:tc>
          <w:tcPr>
            <w:tcW w:w="2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Between 4 and 5 years</w:t>
            </w:r>
          </w:p>
        </w:tc>
        <w:tc>
          <w:tcPr>
            <w:tcW w:w="2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2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14,834 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0" w:after="0"/>
        <w:ind w:left="0" w:right="0" w:hanging="360"/>
        <w:rPr/>
      </w:pPr>
      <w:r>
        <w:rPr>
          <w:rFonts w:ascii="Arial;sans-serif" w:hAnsi="Arial;sans-serif"/>
          <w:b w:val="false"/>
          <w:color w:val="000000"/>
          <w:sz w:val="10"/>
        </w:rPr>
        <w:t>(a)</w:t>
      </w:r>
      <w:r>
        <w:rPr>
          <w:color w:val="000000"/>
        </w:rPr>
        <w:t>    </w:t>
      </w:r>
      <w:r>
        <w:rPr>
          <w:rFonts w:ascii="Arial;sans-serif" w:hAnsi="Arial;sans-serif"/>
          <w:b w:val="false"/>
          <w:color w:val="000000"/>
          <w:sz w:val="16"/>
        </w:rPr>
        <w:t>Vehicle-backed debt primarily represents asset-backed securities.</w:t>
      </w:r>
    </w:p>
    <w:p>
      <w:pPr>
        <w:pStyle w:val="TextBody"/>
        <w:spacing w:lineRule="auto" w:line="288" w:before="0" w:after="0"/>
        <w:ind w:left="0" w:right="0" w:hanging="360"/>
        <w:rPr/>
      </w:pPr>
      <w:r>
        <w:rPr>
          <w:rFonts w:ascii="Arial;sans-serif" w:hAnsi="Arial;sans-serif"/>
          <w:b w:val="false"/>
          <w:color w:val="000000"/>
          <w:sz w:val="10"/>
        </w:rPr>
        <w:t>(b)</w:t>
      </w:r>
      <w:r>
        <w:rPr>
          <w:color w:val="000000"/>
        </w:rPr>
        <w:t>    </w:t>
      </w:r>
      <w:r>
        <w:rPr>
          <w:rFonts w:ascii="Arial;sans-serif" w:hAnsi="Arial;sans-serif"/>
          <w:b w:val="false"/>
          <w:color w:val="000000"/>
          <w:sz w:val="16"/>
        </w:rPr>
        <w:t>Includes $1.2 billion of bank and bank-sponsored facilities.</w:t>
      </w:r>
    </w:p>
    <w:p>
      <w:pPr>
        <w:pStyle w:val="TextBody"/>
        <w:spacing w:lineRule="auto" w:line="288" w:before="0" w:after="0"/>
        <w:ind w:left="0" w:right="0" w:hanging="360"/>
        <w:rPr/>
      </w:pPr>
      <w:r>
        <w:rPr>
          <w:rFonts w:ascii="Arial;sans-serif" w:hAnsi="Arial;sans-serif"/>
          <w:b w:val="false"/>
          <w:color w:val="000000"/>
          <w:sz w:val="10"/>
        </w:rPr>
        <w:t>(c)</w:t>
      </w:r>
      <w:r>
        <w:rPr>
          <w:color w:val="000000"/>
        </w:rPr>
        <w:t>    </w:t>
      </w:r>
      <w:r>
        <w:rPr>
          <w:rFonts w:ascii="Arial;sans-serif" w:hAnsi="Arial;sans-serif"/>
          <w:b w:val="false"/>
          <w:color w:val="000000"/>
          <w:sz w:val="16"/>
        </w:rPr>
        <w:t>Includes $3.9 billion of bank and bank-sponsored facilities.</w:t>
      </w:r>
    </w:p>
    <w:p>
      <w:pPr>
        <w:pStyle w:val="TextBody"/>
        <w:spacing w:lineRule="auto" w:line="288" w:before="0" w:after="0"/>
        <w:ind w:left="0" w:right="0" w:hanging="360"/>
        <w:rPr/>
      </w:pPr>
      <w:r>
        <w:rPr>
          <w:rFonts w:ascii="Arial;sans-serif" w:hAnsi="Arial;sans-serif"/>
          <w:b w:val="false"/>
          <w:color w:val="000000"/>
          <w:sz w:val="10"/>
        </w:rPr>
        <w:t>(d)</w:t>
      </w:r>
      <w:r>
        <w:rPr>
          <w:color w:val="000000"/>
        </w:rPr>
        <w:t>    </w:t>
      </w:r>
      <w:r>
        <w:rPr>
          <w:rFonts w:ascii="Arial;sans-serif" w:hAnsi="Arial;sans-serif"/>
          <w:b w:val="false"/>
          <w:color w:val="000000"/>
          <w:sz w:val="16"/>
        </w:rPr>
        <w:t>Includes $0.1 billion of bank and bank-sponsored facilities.</w:t>
      </w:r>
    </w:p>
    <w:p>
      <w:pPr>
        <w:pStyle w:val="TextBody"/>
        <w:spacing w:before="0" w:after="0"/>
        <w:ind w:left="0" w:right="0" w:hanging="360"/>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Committed Credit Facilities and Available Funding Arrangements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available funding under our debt arrangements related to our vehicle programs, including related party debt due to Avis Budget Rental Car Funding, consisted of: </w:t>
      </w:r>
    </w:p>
    <w:tbl>
      <w:tblPr>
        <w:tblW w:w="8655" w:type="dxa"/>
        <w:jc w:val="left"/>
        <w:tblInd w:w="0" w:type="dxa"/>
        <w:tblCellMar>
          <w:top w:w="28" w:type="dxa"/>
          <w:left w:w="28" w:type="dxa"/>
          <w:bottom w:w="28" w:type="dxa"/>
          <w:right w:w="28" w:type="dxa"/>
        </w:tblCellMar>
      </w:tblPr>
      <w:tblGrid>
        <w:gridCol w:w="1685"/>
        <w:gridCol w:w="1480"/>
        <w:gridCol w:w="1485"/>
        <w:gridCol w:w="216"/>
        <w:gridCol w:w="738"/>
        <w:gridCol w:w="111"/>
        <w:gridCol w:w="109"/>
        <w:gridCol w:w="109"/>
        <w:gridCol w:w="109"/>
        <w:gridCol w:w="264"/>
        <w:gridCol w:w="904"/>
        <w:gridCol w:w="137"/>
        <w:gridCol w:w="109"/>
        <w:gridCol w:w="109"/>
        <w:gridCol w:w="109"/>
        <w:gridCol w:w="211"/>
        <w:gridCol w:w="616"/>
        <w:gridCol w:w="154"/>
      </w:tblGrid>
      <w:tr>
        <w:trPr/>
        <w:tc>
          <w:tcPr>
            <w:tcW w:w="1685"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Total</w:t>
            </w:r>
          </w:p>
          <w:p>
            <w:pPr>
              <w:pStyle w:val="TableContents"/>
              <w:spacing w:lineRule="auto" w:line="240" w:before="0" w:after="0"/>
              <w:jc w:val="center"/>
              <w:rPr/>
            </w:pPr>
            <w:r>
              <w:rPr>
                <w:rFonts w:ascii="Arial;sans-serif" w:hAnsi="Arial;sans-serif"/>
                <w:b/>
                <w:color w:val="000000"/>
                <w:sz w:val="18"/>
              </w:rPr>
              <w:t xml:space="preserve">Capacity </w:t>
            </w:r>
            <w:r>
              <w:rPr>
                <w:rFonts w:ascii="Arial;sans-serif" w:hAnsi="Arial;sans-serif"/>
                <w:b w:val="false"/>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60"/>
              <w:jc w:val="center"/>
              <w:rPr>
                <w:rFonts w:ascii="Arial;sans-serif" w:hAnsi="Arial;sans-serif"/>
                <w:b/>
                <w:color w:val="000000"/>
                <w:sz w:val="18"/>
              </w:rPr>
            </w:pPr>
            <w:r>
              <w:rPr>
                <w:rFonts w:ascii="Arial;sans-serif" w:hAnsi="Arial;sans-serif"/>
                <w:b/>
                <w:color w:val="000000"/>
                <w:sz w:val="18"/>
              </w:rPr>
              <w:t>Outstanding</w:t>
            </w:r>
          </w:p>
          <w:p>
            <w:pPr>
              <w:pStyle w:val="TableContents"/>
              <w:spacing w:lineRule="auto" w:line="240" w:before="0" w:after="0"/>
              <w:jc w:val="center"/>
              <w:rPr/>
            </w:pPr>
            <w:r>
              <w:rPr>
                <w:rFonts w:ascii="Arial;sans-serif" w:hAnsi="Arial;sans-serif"/>
                <w:b/>
                <w:color w:val="000000"/>
                <w:sz w:val="18"/>
              </w:rPr>
              <w:t>Borrowings</w:t>
            </w:r>
            <w:r>
              <w:rPr>
                <w:color w:val="000000"/>
              </w:rPr>
              <w:t xml:space="preserve"> </w:t>
            </w:r>
            <w:r>
              <w:rPr>
                <w:rFonts w:ascii="Arial;sans-serif" w:hAnsi="Arial;sans-serif"/>
                <w:b w:val="false"/>
                <w:color w:val="000000"/>
                <w:sz w:val="12"/>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Available</w:t>
              <w:br/>
              <w:t>Capacity</w:t>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 Debt due to Avis Budget Rental Car Funding</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 Debt borrowings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 Debt borrowings</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 Finance leases</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68" w:before="0" w:after="0"/>
        <w:ind w:left="0" w:right="0" w:hanging="360"/>
        <w:rPr/>
      </w:pPr>
      <w:r>
        <w:rPr>
          <w:rFonts w:ascii="Arial;sans-serif" w:hAnsi="Arial;sans-serif"/>
          <w:b w:val="false"/>
          <w:color w:val="000000"/>
          <w:sz w:val="10"/>
        </w:rPr>
        <w:t>(a)</w:t>
      </w:r>
      <w:r>
        <w:rPr>
          <w:color w:val="000000"/>
        </w:rPr>
        <w:t>    </w:t>
      </w:r>
      <w:r>
        <w:rPr>
          <w:rFonts w:ascii="Arial;sans-serif" w:hAnsi="Arial;sans-serif"/>
          <w:b w:val="false"/>
          <w:color w:val="000000"/>
          <w:sz w:val="16"/>
        </w:rPr>
        <w:t>Capacity is subject to maintaining sufficient assets to collateralize debt. The total capacity for Americas - Debt due to Avis Budget Rental Car Funding includes increases from an amendment and renewal of our asset-backed variable-funding financing facilities during March 2023.</w:t>
      </w:r>
    </w:p>
    <w:p>
      <w:pPr>
        <w:pStyle w:val="TextBody"/>
        <w:spacing w:lineRule="auto" w:line="288" w:before="0" w:after="0"/>
        <w:ind w:left="0" w:right="0" w:hanging="360"/>
        <w:jc w:val="both"/>
        <w:rPr/>
      </w:pPr>
      <w:r>
        <w:rPr>
          <w:rFonts w:ascii="Arial;sans-serif" w:hAnsi="Arial;sans-serif"/>
          <w:b w:val="false"/>
          <w:color w:val="000000"/>
          <w:sz w:val="10"/>
        </w:rPr>
        <w:t>(b)</w:t>
      </w:r>
      <w:r>
        <w:rPr>
          <w:color w:val="000000"/>
        </w:rPr>
        <w:t>    </w:t>
      </w:r>
      <w:r>
        <w:rPr>
          <w:rFonts w:ascii="Arial;sans-serif" w:hAnsi="Arial;sans-serif"/>
          <w:b w:val="false"/>
          <w:color w:val="000000"/>
          <w:sz w:val="16"/>
          <w:highlight w:val="white"/>
        </w:rPr>
        <w:t>The outstanding debt is collateralized by vehicles and related assets of $14.3 billion for Americas - Debt due to Avis Budget Rental Car Funding; $1.1 billion for Americas - Debt borrowings; $2.5 billion for International - Debt borrowings; and $0.2 billion for International - Finance leases.</w:t>
      </w:r>
    </w:p>
    <w:p>
      <w:pPr>
        <w:pStyle w:val="TextBody"/>
        <w:spacing w:before="0" w:after="0"/>
        <w:ind w:left="0" w:right="0" w:hanging="36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Debt Covenants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March 31, 2023, we are not aware of any instances of non-compliance with any of the financial or restrictive covenants contained in the debt agreements under our vehicle-backed funding programs.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12.    Commitments and Contingencies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Contingencies</w:t>
      </w:r>
    </w:p>
    <w:p>
      <w:pPr>
        <w:pStyle w:val="TextBody"/>
        <w:spacing w:before="60" w:after="283"/>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have filed a petition for rehearing and intend to vigorously pursue this matter.</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are also named in litigation that is primarily related to the businesses of our former subsidiaries, including Realogy and Wyndham. We are entitled to indemnification from such entities for any liability resulting from such litigation.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November 2011, Jose Mendez v. Avis Budget Group, Inc., et al. was filed in U.S. District Court for the District of New Jersey. The plaintiff sought to represent a purported nationwide class and two sub-classes of certain renters of vehicles from our Avis and Budget subsidiaries from April 2007 through December 2015. The plaintiff sought damages in connection with claims relating to our electronic toll service, including that administrative fees and toll charges were not properly disclosed to customers and/or were excessive.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Plaintiff’s motion for class certification was approved by the Court in November 2017. The parties have entered into a settlement agreement and the Court has entered a final order approving the settlement. We have also been named as a defendant in other purported consumer class action lawsuits, including a class action filed against us in Florida seeking damages in connection with a breach of contract claim and two purported class action suits filed against us in New Jersey, one related to fines and fees charged to car renters by us for violations incurred during the course of their rental and another related to ancillary charges at our Payless subsidiary. In the Florida lawsuit, the Court has entered a final order approving a settlement.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March 31, 2023. We do not believe that the impact should result in a material liability to us in relation to our consolidated financial condition or results of operations.</w:t>
      </w:r>
    </w:p>
    <w:p>
      <w:pPr>
        <w:pStyle w:val="TextBody"/>
        <w:spacing w:before="0" w:after="0"/>
        <w:jc w:val="both"/>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Commitments to Purchase Vehicles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highlight w:val="white"/>
        </w:rPr>
        <w:t>We maintain agreements with vehicle manufacturers under which we have agreed to purchase approximate</w:t>
      </w:r>
      <w:r>
        <w:rPr>
          <w:rFonts w:ascii="Arial;sans-serif" w:hAnsi="Arial;sans-serif"/>
          <w:b w:val="false"/>
          <w:color w:val="000000"/>
          <w:sz w:val="20"/>
        </w:rPr>
        <w:t>ly $9.3 billion of vehicles from manufacturers over the next 12 months, a $2.6 billion increase compared to December 31, 2022,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Concentrations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Concentrations of credit risk as of March 31, 2023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$36 million and $21 million, re</w:t>
      </w:r>
      <w:r>
        <w:rPr>
          <w:rFonts w:ascii="Arial;sans-serif" w:hAnsi="Arial;sans-serif"/>
          <w:b w:val="false"/>
          <w:color w:val="000000"/>
          <w:sz w:val="20"/>
          <w:highlight w:val="white"/>
        </w:rPr>
        <w:t>sp</w:t>
      </w:r>
      <w:r>
        <w:rPr>
          <w:rFonts w:ascii="Arial;sans-serif" w:hAnsi="Arial;sans-serif"/>
          <w:b w:val="false"/>
          <w:color w:val="000000"/>
          <w:sz w:val="20"/>
        </w:rPr>
        <w:t>ectively, related to certain contingent, income tax and other corporate liabilities assumed by Realogy and Wyndham in connection with their disposition.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13.    Stockholders' Equity</w:t>
      </w:r>
    </w:p>
    <w:p>
      <w:pPr>
        <w:pStyle w:val="TextBody"/>
        <w:spacing w:before="0" w:after="0"/>
        <w:ind w:left="0" w:right="0" w:hanging="54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Share Repurchases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Our Board of Directors has authorized the repurchase of up t</w:t>
      </w:r>
      <w:r>
        <w:rPr>
          <w:rFonts w:ascii="Arial;sans-serif" w:hAnsi="Arial;sans-serif"/>
          <w:b w:val="false"/>
          <w:color w:val="000000"/>
          <w:sz w:val="20"/>
          <w:highlight w:val="white"/>
        </w:rPr>
        <w:t xml:space="preserve">o </w:t>
      </w:r>
      <w:r>
        <w:rPr>
          <w:rFonts w:ascii="Arial;sans-serif" w:hAnsi="Arial;sans-serif"/>
          <w:b w:val="false"/>
          <w:color w:val="000000"/>
          <w:sz w:val="20"/>
        </w:rPr>
        <w:t>$8.1 billion</w:t>
      </w:r>
      <w:r>
        <w:rPr>
          <w:color w:val="000000"/>
          <w:highlight w:val="white"/>
        </w:rPr>
        <w:t xml:space="preserve"> </w:t>
      </w:r>
      <w:r>
        <w:rPr>
          <w:rFonts w:ascii="Arial;sans-serif" w:hAnsi="Arial;sans-serif"/>
          <w:b w:val="false"/>
          <w:color w:val="000000"/>
          <w:sz w:val="20"/>
          <w:highlight w:val="white"/>
        </w:rPr>
        <w:t xml:space="preserve">of our common stock under a plan originally approved in 2013 and subsequently expanded most recently in February 2023 (the </w:t>
      </w:r>
      <w:r>
        <w:rPr>
          <w:color w:val="000000"/>
        </w:rPr>
        <w:t>“</w:t>
      </w:r>
      <w:r>
        <w:rPr>
          <w:rFonts w:ascii="Arial;sans-serif" w:hAnsi="Arial;sans-serif"/>
          <w:b w:val="false"/>
          <w:color w:val="000000"/>
          <w:sz w:val="20"/>
        </w:rPr>
        <w:t xml:space="preserve">Stock Repurchase Program”). During the three months ended March 31, 2023, </w:t>
      </w:r>
      <w:r>
        <w:rPr>
          <w:rFonts w:ascii="Arial;sans-serif" w:hAnsi="Arial;sans-serif"/>
          <w:b w:val="false"/>
          <w:color w:val="262626"/>
          <w:sz w:val="20"/>
        </w:rPr>
        <w:t>no common stock repurchases were made under the program</w:t>
      </w:r>
      <w:r>
        <w:rPr>
          <w:rFonts w:ascii="Arial;sans-serif" w:hAnsi="Arial;sans-serif"/>
          <w:b w:val="false"/>
          <w:color w:val="000000"/>
          <w:sz w:val="20"/>
        </w:rPr>
        <w:t xml:space="preserve">. As of March 31, 2023, approximately </w:t>
      </w:r>
      <w:r>
        <w:rPr>
          <w:rFonts w:ascii="Arial;sans-serif" w:hAnsi="Arial;sans-serif"/>
          <w:b w:val="false"/>
          <w:color w:val="000000"/>
          <w:sz w:val="20"/>
          <w:highlight w:val="white"/>
        </w:rPr>
        <w:t>$1.7 billion</w:t>
      </w:r>
      <w:r>
        <w:rPr>
          <w:color w:val="000000"/>
        </w:rPr>
        <w:t xml:space="preserve"> </w:t>
      </w:r>
      <w:r>
        <w:rPr>
          <w:rFonts w:ascii="Arial;sans-serif" w:hAnsi="Arial;sans-serif"/>
          <w:b w:val="false"/>
          <w:color w:val="000000"/>
          <w:sz w:val="20"/>
        </w:rPr>
        <w:t>of authorization remains available to repurchase common stock under the program.</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Total Comprehensive Income (Loss)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Comprehensive income (loss) consists of net income and other gains and losses affecting stockholders’ equity that, under GAAP, are excluded from net income.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other comprehensive income (loss) were as follows: </w:t>
      </w:r>
    </w:p>
    <w:tbl>
      <w:tblPr>
        <w:tblW w:w="9773" w:type="dxa"/>
        <w:jc w:val="left"/>
        <w:tblInd w:w="0" w:type="dxa"/>
        <w:tblCellMar>
          <w:top w:w="28" w:type="dxa"/>
          <w:left w:w="28" w:type="dxa"/>
          <w:bottom w:w="28" w:type="dxa"/>
          <w:right w:w="28" w:type="dxa"/>
        </w:tblCellMar>
      </w:tblPr>
      <w:tblGrid>
        <w:gridCol w:w="193"/>
        <w:gridCol w:w="170"/>
        <w:gridCol w:w="170"/>
        <w:gridCol w:w="2372"/>
        <w:gridCol w:w="2372"/>
        <w:gridCol w:w="2441"/>
        <w:gridCol w:w="211"/>
        <w:gridCol w:w="467"/>
        <w:gridCol w:w="109"/>
        <w:gridCol w:w="109"/>
        <w:gridCol w:w="109"/>
        <w:gridCol w:w="109"/>
        <w:gridCol w:w="211"/>
        <w:gridCol w:w="467"/>
        <w:gridCol w:w="109"/>
        <w:gridCol w:w="154"/>
      </w:tblGrid>
      <w:tr>
        <w:trPr/>
        <w:tc>
          <w:tcPr>
            <w:tcW w:w="19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372" w:type="dxa"/>
            <w:tcBorders/>
            <w:shd w:fill="auto" w:val="clear"/>
            <w:vAlign w:val="center"/>
          </w:tcPr>
          <w:p>
            <w:pPr>
              <w:pStyle w:val="TableContents"/>
              <w:spacing w:before="0" w:after="283"/>
              <w:rPr>
                <w:sz w:val="4"/>
                <w:szCs w:val="4"/>
              </w:rPr>
            </w:pPr>
            <w:r>
              <w:rPr>
                <w:sz w:val="4"/>
                <w:szCs w:val="4"/>
              </w:rPr>
            </w:r>
          </w:p>
        </w:tc>
        <w:tc>
          <w:tcPr>
            <w:tcW w:w="2372" w:type="dxa"/>
            <w:tcBorders/>
            <w:shd w:fill="auto" w:val="clear"/>
            <w:vAlign w:val="center"/>
          </w:tcPr>
          <w:p>
            <w:pPr>
              <w:pStyle w:val="TableContents"/>
              <w:spacing w:before="0" w:after="283"/>
              <w:rPr>
                <w:sz w:val="4"/>
                <w:szCs w:val="4"/>
              </w:rPr>
            </w:pPr>
            <w:r>
              <w:rPr>
                <w:sz w:val="4"/>
                <w:szCs w:val="4"/>
              </w:rPr>
            </w:r>
          </w:p>
        </w:tc>
        <w:tc>
          <w:tcPr>
            <w:tcW w:w="2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1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7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18"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Avis Budget Group, Inc.</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1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Currency translation adjustments (net of tax of $3 and $(3), respectively)</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unrealized gain (loss) on cash flow hedges (net of tax of $2 and $(11), respectively)</w:t>
            </w:r>
          </w:p>
        </w:tc>
        <w:tc>
          <w:tcPr>
            <w:tcW w:w="6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Minimum pension liability adjustment (net of tax of $0, in each period)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18"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Comprehensive income attributable to Avis Budget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Currency translation adjustments exclude income taxes related to indefinite investments in foreign subsidiaries.</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Accumulated Other Comprehensive Income (Loss)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The components of accumulated other comprehensive income (loss) were as follows: </w:t>
      </w:r>
    </w:p>
    <w:tbl>
      <w:tblPr>
        <w:tblW w:w="10205" w:type="dxa"/>
        <w:jc w:val="left"/>
        <w:tblInd w:w="0" w:type="dxa"/>
        <w:tblCellMar>
          <w:top w:w="28" w:type="dxa"/>
          <w:left w:w="28" w:type="dxa"/>
          <w:bottom w:w="28" w:type="dxa"/>
          <w:right w:w="28" w:type="dxa"/>
        </w:tblCellMar>
      </w:tblPr>
      <w:tblGrid>
        <w:gridCol w:w="272"/>
        <w:gridCol w:w="239"/>
        <w:gridCol w:w="239"/>
        <w:gridCol w:w="1175"/>
        <w:gridCol w:w="1175"/>
        <w:gridCol w:w="1194"/>
        <w:gridCol w:w="339"/>
        <w:gridCol w:w="598"/>
        <w:gridCol w:w="189"/>
        <w:gridCol w:w="109"/>
        <w:gridCol w:w="109"/>
        <w:gridCol w:w="109"/>
        <w:gridCol w:w="386"/>
        <w:gridCol w:w="683"/>
        <w:gridCol w:w="216"/>
        <w:gridCol w:w="109"/>
        <w:gridCol w:w="109"/>
        <w:gridCol w:w="109"/>
        <w:gridCol w:w="294"/>
        <w:gridCol w:w="657"/>
        <w:gridCol w:w="165"/>
        <w:gridCol w:w="109"/>
        <w:gridCol w:w="109"/>
        <w:gridCol w:w="109"/>
        <w:gridCol w:w="348"/>
        <w:gridCol w:w="774"/>
        <w:gridCol w:w="281"/>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Net Unrealized</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Gains (Losses)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on Cash Flow</w:t>
            </w:r>
          </w:p>
          <w:p>
            <w:pPr>
              <w:pStyle w:val="TableContents"/>
              <w:spacing w:lineRule="auto" w:line="240" w:before="0" w:after="0"/>
              <w:jc w:val="center"/>
              <w:rPr/>
            </w:pPr>
            <w:r>
              <w:rPr>
                <w:rFonts w:ascii="Arial;sans-serif" w:hAnsi="Arial;sans-serif"/>
                <w:b/>
                <w:color w:val="000000"/>
                <w:sz w:val="16"/>
              </w:rPr>
              <w:t>Hedges</w:t>
            </w:r>
            <w:r>
              <w:rPr>
                <w:rFonts w:ascii="Arial;sans-serif" w:hAnsi="Arial;sans-serif"/>
                <w:b/>
                <w:color w:val="000000"/>
                <w:sz w:val="1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Minimum</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Pension</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spacing w:lineRule="auto" w:line="240" w:before="0" w:after="0"/>
              <w:jc w:val="center"/>
              <w:rPr/>
            </w:pPr>
            <w:r>
              <w:rPr>
                <w:rFonts w:ascii="Arial;sans-serif" w:hAnsi="Arial;sans-serif"/>
                <w:b/>
                <w:color w:val="000000"/>
                <w:sz w:val="16"/>
              </w:rPr>
              <w:t>Adjustment</w:t>
            </w:r>
            <w:r>
              <w:rPr>
                <w:rFonts w:ascii="Arial;sans-serif" w:hAnsi="Arial;sans-serif"/>
                <w:b/>
                <w:color w:val="000000"/>
                <w:sz w:val="10"/>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r>
      <w:tr>
        <w:trPr/>
        <w:tc>
          <w:tcPr>
            <w:tcW w:w="42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January 1, 2023</w:t>
            </w:r>
          </w:p>
        </w:tc>
        <w:tc>
          <w:tcPr>
            <w:tcW w:w="3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income</w:t>
            </w:r>
          </w:p>
        </w:tc>
        <w:tc>
          <w:tcPr>
            <w:tcW w:w="9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current-period other comprehensive income (loss)</w:t>
            </w:r>
          </w:p>
        </w:tc>
        <w:tc>
          <w:tcPr>
            <w:tcW w:w="9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March 31, 2023</w:t>
            </w:r>
          </w:p>
        </w:tc>
        <w:tc>
          <w:tcPr>
            <w:tcW w:w="3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January 1, 2022</w:t>
            </w:r>
          </w:p>
        </w:tc>
        <w:tc>
          <w:tcPr>
            <w:tcW w:w="33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income</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current-period other comprehensive income (loss)</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March 31, 2022</w:t>
            </w:r>
          </w:p>
        </w:tc>
        <w:tc>
          <w:tcPr>
            <w:tcW w:w="3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All components of accumulated other comprehensive income (loss) are net of tax, except currency translation adjustments, which exclude income taxes related to indefinite investments in foreign subsidiaries and include $105 million gain, net of tax, as of March 31, 2023 related to our hedge of our investment in euro-denominated foreign operations (see Note 16 – Financial Instruments).</w:t>
      </w:r>
    </w:p>
    <w:p>
      <w:pPr>
        <w:pStyle w:val="TextBody"/>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 xml:space="preserve">For the three months ended March 31, 2023 and 2022, the amounts reclassified from accumulated other comprehensive income (loss) into corporate interest expense were $3 million ($2 million, net of tax) and $5 million ($4 million, net of tax), respectively. </w:t>
      </w:r>
    </w:p>
    <w:p>
      <w:pPr>
        <w:pStyle w:val="TextBody"/>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 xml:space="preserve">For the three months ended March 31, 2023 and 2022, amounts reclassified from accumulated other comprehensive income (loss) into selling, general and administrative expenses were $1 million ($1 million, net of tax) and $3 million ($2 million, net of tax), respectively.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jc w:val="both"/>
        <w:rPr>
          <w:color w:val="000000"/>
        </w:rPr>
      </w:pPr>
      <w:r>
        <w:rPr>
          <w:color w:val="000000"/>
        </w:rPr>
        <w:t> </w:t>
      </w:r>
      <w:r>
        <w:rPr>
          <w:rFonts w:ascii="Arial;sans-serif" w:hAnsi="Arial;sans-serif"/>
          <w:b/>
          <w:color w:val="000000"/>
          <w:sz w:val="20"/>
        </w:rPr>
        <w:t>14.    Related Party Transactions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SRS Mobility Ventures, LLC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2021, SRS Mobility Ventures, LLC acquired a 33 1/3% Class A Membership Interest in one of our subsidiaries at fair value of $37.5 million. SRS Mobility Ventures, LLC is an affiliate of our largest shareholder, SRS Investment Management, LLC.</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 statements and began reporting our proportional share of the former subsidiary’s income or loss within other (income) expense, net in our Consolidated Condensed Statements of Comprehensive Income as we no longer have the ability to direct the significant activities of the former subsidiary and are therefore no longer primary beneficiary of the VIE.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$49 million resulting in a gain of $10 million.</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continue to provide vehicles, related fleet services and certain administrative services to AMV to support their operations. For the three months ended March 31, 2023, we recorded $8 million of related income within other (income) expense, net. As of March 31, 2023 and December 31, 2022, receivables from AMV related to these services were $4 million and $6 million, respectively, and our net investment in vehicle finance lease with AMV, which is included in vehicles, net, was $36 million, in each period. The carrying value of our equity investment in AMV as of March 31, 2023 and December 31, 2022 was approximately $43 million and $49 million, respectively, which is included in other non-current assets. For the three months ended March 31, 2023, we recorded losses of $6 million within other (income) expense, net related to our equity investment.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15.    Stock-Based Compensation</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highlight w:val="white"/>
        </w:rPr>
        <w:t xml:space="preserve">We recorded stock-based compensation expense </w:t>
      </w:r>
      <w:r>
        <w:rPr>
          <w:rFonts w:ascii="Arial;sans-serif" w:hAnsi="Arial;sans-serif"/>
          <w:b w:val="false"/>
          <w:color w:val="000000"/>
          <w:sz w:val="20"/>
        </w:rPr>
        <w:t xml:space="preserve">of $8 million and $6 million ($6 million </w:t>
      </w:r>
      <w:r>
        <w:rPr>
          <w:rFonts w:ascii="Arial;sans-serif" w:hAnsi="Arial;sans-serif"/>
          <w:b w:val="false"/>
          <w:color w:val="000000"/>
          <w:sz w:val="20"/>
          <w:highlight w:val="white"/>
        </w:rPr>
        <w:t xml:space="preserve">and </w:t>
      </w:r>
      <w:r>
        <w:rPr>
          <w:rFonts w:ascii="Arial;sans-serif" w:hAnsi="Arial;sans-serif"/>
          <w:b w:val="false"/>
          <w:color w:val="000000"/>
          <w:sz w:val="20"/>
        </w:rPr>
        <w:t>$4 million</w:t>
      </w:r>
      <w:r>
        <w:rPr>
          <w:rFonts w:ascii="Arial;sans-serif" w:hAnsi="Arial;sans-serif"/>
          <w:b w:val="false"/>
          <w:color w:val="000000"/>
          <w:sz w:val="20"/>
          <w:highlight w:val="white"/>
        </w:rPr>
        <w:t>, net of tax) during the three months ended March 31, 2023 and 2022, respectively.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In 2020, we granted market-based restricted stock units (“RSUs”) that vest based on absolute stock price attainment. The grant date fair value of this award is estimated using a Monte Carlo simulation model.</w:t>
      </w:r>
    </w:p>
    <w:p>
      <w:pPr>
        <w:pStyle w:val="TextBody"/>
        <w:spacing w:before="0" w:after="0"/>
        <w:rPr/>
      </w:pPr>
      <w:r>
        <w:rPr/>
      </w:r>
    </w:p>
    <w:p>
      <w:pPr>
        <w:pStyle w:val="TextBody"/>
        <w:spacing w:lineRule="auto" w:line="288" w:before="0" w:after="0"/>
        <w:rPr>
          <w:rFonts w:ascii="Arial;sans-serif" w:hAnsi="Arial;sans-serif"/>
          <w:b w:val="false"/>
          <w:color w:val="000000"/>
          <w:sz w:val="20"/>
          <w:highlight w:val="white"/>
        </w:rPr>
      </w:pPr>
      <w:r>
        <w:rPr>
          <w:rFonts w:ascii="Arial;sans-serif" w:hAnsi="Arial;sans-serif"/>
          <w:b w:val="false"/>
          <w:color w:val="000000"/>
          <w:sz w:val="20"/>
          <w:highlight w:val="white"/>
        </w:rPr>
        <w:t>The weighted average assumptions used in the model are as follows:</w:t>
      </w:r>
    </w:p>
    <w:p>
      <w:pPr>
        <w:pStyle w:val="TextBody"/>
        <w:spacing w:before="0" w:after="0"/>
        <w:rPr/>
      </w:pPr>
      <w:r>
        <w:rPr/>
      </w:r>
    </w:p>
    <w:tbl>
      <w:tblPr>
        <w:tblW w:w="3885" w:type="dxa"/>
        <w:jc w:val="left"/>
        <w:tblInd w:w="0" w:type="dxa"/>
        <w:tblCellMar>
          <w:top w:w="28" w:type="dxa"/>
          <w:left w:w="28" w:type="dxa"/>
          <w:bottom w:w="28" w:type="dxa"/>
          <w:right w:w="28" w:type="dxa"/>
        </w:tblCellMar>
      </w:tblPr>
      <w:tblGrid>
        <w:gridCol w:w="978"/>
        <w:gridCol w:w="859"/>
        <w:gridCol w:w="862"/>
        <w:gridCol w:w="109"/>
        <w:gridCol w:w="109"/>
        <w:gridCol w:w="109"/>
        <w:gridCol w:w="235"/>
        <w:gridCol w:w="235"/>
        <w:gridCol w:w="235"/>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 of stock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0.18%</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val="false"/>
          <w:color w:val="000000"/>
          <w:sz w:val="20"/>
          <w:highlight w:val="white"/>
        </w:rPr>
      </w:pPr>
      <w:r>
        <w:rPr>
          <w:rFonts w:ascii="Arial;sans-serif" w:hAnsi="Arial;sans-serif"/>
          <w:b w:val="false"/>
          <w:color w:val="000000"/>
          <w:sz w:val="20"/>
          <w:highlight w:val="white"/>
        </w:rPr>
        <w:t>The activity related to RSUs consisted of (in thousands of shares):</w:t>
      </w:r>
    </w:p>
    <w:tbl>
      <w:tblPr>
        <w:tblW w:w="10205" w:type="dxa"/>
        <w:jc w:val="left"/>
        <w:tblInd w:w="0" w:type="dxa"/>
        <w:tblCellMar>
          <w:top w:w="28" w:type="dxa"/>
          <w:left w:w="28" w:type="dxa"/>
          <w:bottom w:w="28" w:type="dxa"/>
          <w:right w:w="28" w:type="dxa"/>
        </w:tblCellMar>
      </w:tblPr>
      <w:tblGrid>
        <w:gridCol w:w="186"/>
        <w:gridCol w:w="138"/>
        <w:gridCol w:w="138"/>
        <w:gridCol w:w="403"/>
        <w:gridCol w:w="403"/>
        <w:gridCol w:w="403"/>
        <w:gridCol w:w="528"/>
        <w:gridCol w:w="419"/>
        <w:gridCol w:w="400"/>
        <w:gridCol w:w="366"/>
        <w:gridCol w:w="366"/>
        <w:gridCol w:w="368"/>
        <w:gridCol w:w="109"/>
        <w:gridCol w:w="109"/>
        <w:gridCol w:w="109"/>
        <w:gridCol w:w="196"/>
        <w:gridCol w:w="648"/>
        <w:gridCol w:w="109"/>
        <w:gridCol w:w="109"/>
        <w:gridCol w:w="109"/>
        <w:gridCol w:w="109"/>
        <w:gridCol w:w="868"/>
        <w:gridCol w:w="868"/>
        <w:gridCol w:w="871"/>
        <w:gridCol w:w="109"/>
        <w:gridCol w:w="109"/>
        <w:gridCol w:w="109"/>
        <w:gridCol w:w="440"/>
        <w:gridCol w:w="745"/>
        <w:gridCol w:w="361"/>
      </w:tblGrid>
      <w:tr>
        <w:trPr/>
        <w:tc>
          <w:tcPr>
            <w:tcW w:w="18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Aggregate Intrinsic Value </w:t>
              <w:br/>
              <w:t>(in millions)</w:t>
            </w:r>
          </w:p>
        </w:tc>
      </w:tr>
      <w:tr>
        <w:trPr/>
        <w:tc>
          <w:tcPr>
            <w:tcW w:w="301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Time-based RSUs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at January 1, 2023</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Granted </w:t>
            </w:r>
            <w:r>
              <w:rPr>
                <w:rFonts w:ascii="Arial;sans-serif" w:hAnsi="Arial;sans-serif"/>
                <w:b w:val="false"/>
                <w:color w:val="000000"/>
                <w:sz w:val="10"/>
              </w:rPr>
              <w:t>(a)</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Vested </w:t>
            </w:r>
            <w:r>
              <w:rPr>
                <w:rFonts w:ascii="Arial;sans-serif" w:hAnsi="Arial;sans-serif"/>
                <w:b w:val="false"/>
                <w:color w:val="000000"/>
                <w:sz w:val="10"/>
              </w:rPr>
              <w:t>(b)</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 xml:space="preserve">Outstanding and expected to vest at March 31, 2023 </w:t>
            </w:r>
            <w:r>
              <w:rPr>
                <w:rFonts w:ascii="Arial;sans-serif" w:hAnsi="Arial;sans-serif"/>
                <w:b w:val="false"/>
                <w:color w:val="000000"/>
                <w:sz w:val="10"/>
              </w:rPr>
              <w:t>(c)</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Performance-based and market-based RSUs</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at January 1, 2023</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Granted </w:t>
            </w:r>
            <w:r>
              <w:rPr>
                <w:rFonts w:ascii="Arial;sans-serif" w:hAnsi="Arial;sans-serif"/>
                <w:b w:val="false"/>
                <w:color w:val="000000"/>
                <w:sz w:val="10"/>
              </w:rPr>
              <w:t>(a)</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Vested </w:t>
            </w:r>
            <w:r>
              <w:rPr>
                <w:rFonts w:ascii="Arial;sans-serif" w:hAnsi="Arial;sans-serif"/>
                <w:b w:val="false"/>
                <w:color w:val="000000"/>
                <w:sz w:val="10"/>
              </w:rPr>
              <w:t>(b)</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March 31, 2023</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6"/>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16"/>
              </w:rPr>
              <w:t xml:space="preserve">Outstanding and expected to vest at March 31, 2023 </w:t>
            </w:r>
            <w:r>
              <w:rPr>
                <w:rFonts w:ascii="Arial;sans-serif" w:hAnsi="Arial;sans-serif"/>
                <w:b w:val="false"/>
                <w:color w:val="000000"/>
                <w:sz w:val="10"/>
              </w:rPr>
              <w:t>(c)</w:t>
            </w:r>
          </w:p>
        </w:tc>
        <w:tc>
          <w:tcPr>
            <w:tcW w:w="7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120" w:after="283"/>
        <w:ind w:left="0" w:right="0" w:hanging="360"/>
        <w:jc w:val="both"/>
        <w:rPr/>
      </w:pPr>
      <w:r>
        <w:rPr>
          <w:rFonts w:ascii="Arial;sans-serif" w:hAnsi="Arial;sans-serif"/>
          <w:b w:val="false"/>
          <w:color w:val="000000"/>
          <w:sz w:val="10"/>
          <w:highlight w:val="white"/>
        </w:rPr>
        <w:t>(a)</w:t>
      </w:r>
      <w:r>
        <w:rPr>
          <w:rFonts w:ascii="Arial;sans-serif" w:hAnsi="Arial;sans-serif"/>
          <w:b w:val="false"/>
          <w:color w:val="000000"/>
          <w:sz w:val="16"/>
          <w:highlight w:val="white"/>
        </w:rPr>
        <w:t>Reflects the maximum number of stock units assuming achievement of all performance-, market- and time-vesting criteria and does not include those for non-employee directors. The weighted-average fair value of time-based RSUs and performance-based RSUs granted during the three months ended March 31, 2022 w</w:t>
      </w:r>
      <w:r>
        <w:rPr>
          <w:rFonts w:ascii="Arial;sans-serif" w:hAnsi="Arial;sans-serif"/>
          <w:b w:val="false"/>
          <w:color w:val="000000"/>
          <w:sz w:val="16"/>
        </w:rPr>
        <w:t>as $194.74</w:t>
      </w:r>
      <w:r>
        <w:rPr>
          <w:rFonts w:ascii="Arial;sans-serif" w:hAnsi="Arial;sans-serif"/>
          <w:b w:val="false"/>
          <w:color w:val="000000"/>
          <w:sz w:val="16"/>
          <w:highlight w:val="white"/>
        </w:rPr>
        <w:t>.</w:t>
      </w:r>
    </w:p>
    <w:p>
      <w:pPr>
        <w:pStyle w:val="TextBody"/>
        <w:spacing w:lineRule="auto" w:line="288" w:before="0" w:after="0"/>
        <w:ind w:left="0" w:right="0" w:hanging="360"/>
        <w:jc w:val="both"/>
        <w:rPr/>
      </w:pPr>
      <w:r>
        <w:rPr>
          <w:rFonts w:ascii="Arial;sans-serif" w:hAnsi="Arial;sans-serif"/>
          <w:b w:val="false"/>
          <w:color w:val="000000"/>
          <w:sz w:val="10"/>
          <w:highlight w:val="white"/>
        </w:rPr>
        <w:t>(b)</w:t>
      </w:r>
      <w:r>
        <w:rPr>
          <w:rFonts w:ascii="Arial;sans-serif" w:hAnsi="Arial;sans-serif"/>
          <w:b w:val="false"/>
          <w:color w:val="000000"/>
          <w:sz w:val="16"/>
          <w:highlight w:val="white"/>
        </w:rPr>
        <w:t xml:space="preserve">The total fair value of RSUs vested during the three months ended March 31, 2023 and 2022 was </w:t>
      </w:r>
      <w:r>
        <w:rPr>
          <w:rFonts w:ascii="Arial;sans-serif" w:hAnsi="Arial;sans-serif"/>
          <w:b w:val="false"/>
          <w:color w:val="000000"/>
          <w:sz w:val="16"/>
        </w:rPr>
        <w:t xml:space="preserve">$17 million </w:t>
      </w:r>
      <w:r>
        <w:rPr>
          <w:rFonts w:ascii="Arial;sans-serif" w:hAnsi="Arial;sans-serif"/>
          <w:b w:val="false"/>
          <w:color w:val="000000"/>
          <w:sz w:val="16"/>
          <w:highlight w:val="white"/>
        </w:rPr>
        <w:t xml:space="preserve">and </w:t>
      </w:r>
      <w:r>
        <w:rPr>
          <w:rFonts w:ascii="Arial;sans-serif" w:hAnsi="Arial;sans-serif"/>
          <w:b w:val="false"/>
          <w:color w:val="000000"/>
          <w:sz w:val="16"/>
        </w:rPr>
        <w:t>$15 million</w:t>
      </w:r>
      <w:r>
        <w:rPr>
          <w:rFonts w:ascii="Arial;sans-serif" w:hAnsi="Arial;sans-serif"/>
          <w:b w:val="false"/>
          <w:color w:val="000000"/>
          <w:sz w:val="16"/>
          <w:highlight w:val="white"/>
        </w:rPr>
        <w:t>, respectively.</w:t>
      </w:r>
    </w:p>
    <w:p>
      <w:pPr>
        <w:pStyle w:val="TextBody"/>
        <w:spacing w:lineRule="auto" w:line="288" w:before="0" w:after="0"/>
        <w:ind w:left="0" w:right="0" w:hanging="360"/>
        <w:jc w:val="both"/>
        <w:rPr/>
      </w:pPr>
      <w:r>
        <w:rPr>
          <w:rFonts w:ascii="Arial;sans-serif" w:hAnsi="Arial;sans-serif"/>
          <w:b w:val="false"/>
          <w:color w:val="000000"/>
          <w:sz w:val="10"/>
          <w:highlight w:val="white"/>
        </w:rPr>
        <w:t>(c)</w:t>
      </w:r>
      <w:r>
        <w:rPr>
          <w:rFonts w:ascii="Arial;sans-serif" w:hAnsi="Arial;sans-serif"/>
          <w:b w:val="false"/>
          <w:color w:val="000000"/>
          <w:sz w:val="16"/>
          <w:highlight w:val="white"/>
        </w:rPr>
        <w:t>Aggregate unrecognized compensation expense related to time-based RSUs and performance-based and market-based RSUs amoun</w:t>
      </w:r>
      <w:r>
        <w:rPr>
          <w:rFonts w:ascii="Arial;sans-serif" w:hAnsi="Arial;sans-serif"/>
          <w:b w:val="false"/>
          <w:color w:val="000000"/>
          <w:sz w:val="16"/>
        </w:rPr>
        <w:t xml:space="preserve">ted to $69 million and will </w:t>
      </w:r>
      <w:r>
        <w:rPr>
          <w:rFonts w:ascii="Arial;sans-serif" w:hAnsi="Arial;sans-serif"/>
          <w:b w:val="false"/>
          <w:color w:val="000000"/>
          <w:sz w:val="16"/>
          <w:highlight w:val="white"/>
        </w:rPr>
        <w:t xml:space="preserve">be recognized over a weighted average vesting period of </w:t>
      </w:r>
      <w:r>
        <w:rPr>
          <w:rFonts w:ascii="Arial;sans-serif" w:hAnsi="Arial;sans-serif"/>
          <w:b w:val="false"/>
          <w:color w:val="000000"/>
          <w:sz w:val="16"/>
        </w:rPr>
        <w:t>1.5 years</w:t>
      </w:r>
      <w:r>
        <w:rPr>
          <w:rFonts w:ascii="Arial;sans-serif" w:hAnsi="Arial;sans-serif"/>
          <w:b w:val="false"/>
          <w:color w:val="000000"/>
          <w:sz w:val="16"/>
          <w:highlight w:val="white"/>
        </w:rPr>
        <w: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16.    Financial Instruments</w:t>
      </w:r>
    </w:p>
    <w:p>
      <w:pPr>
        <w:pStyle w:val="TextBody"/>
        <w:spacing w:before="0" w:after="0"/>
        <w:ind w:left="0" w:right="0" w:hanging="54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Derivative Instruments and Hedging Activities</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Currency Risk. </w:t>
      </w:r>
      <w:r>
        <w:rPr>
          <w:rFonts w:ascii="Arial;sans-serif" w:hAnsi="Arial;sans-serif"/>
          <w:b w:val="false"/>
          <w:color w:val="000000"/>
          <w:sz w:val="20"/>
        </w:rPr>
        <w:t xml:space="preserve">We use currency exchange contracts to manage our exposure to changes in currency exchange rates associated with 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estimated net amount of existing gains or losses we expect to reclassify from accumulated other comprehensive income (loss) to earnings for cash flow and net investment hedges over the next 12 months is not material.</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 xml:space="preserve">Interest Rate Risk. </w:t>
      </w:r>
      <w:r>
        <w:rPr>
          <w:rFonts w:ascii="Arial;sans-serif" w:hAnsi="Arial;sans-serif"/>
          <w:b w:val="false"/>
          <w:color w:val="000000"/>
          <w:sz w:val="20"/>
        </w:rPr>
        <w:t>We use various hedging strategies including interest rate swaps and interest rate caps to create what we deem an 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$18 million of gain curr</w:t>
      </w:r>
      <w:r>
        <w:rPr>
          <w:rFonts w:ascii="Arial;sans-serif" w:hAnsi="Arial;sans-serif"/>
          <w:b w:val="false"/>
          <w:color w:val="000000"/>
          <w:sz w:val="20"/>
          <w:highlight w:val="white"/>
        </w:rPr>
        <w:t>ently recorded in accumulated other comprehensive income (loss) will be recognized in earnings over the next 12 months.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highlight w:val="white"/>
        </w:rPr>
        <w:t>Commodity Risk.</w:t>
      </w:r>
      <w:r>
        <w:rPr>
          <w:color w:val="000000"/>
          <w:highlight w:val="white"/>
        </w:rPr>
        <w:t> </w:t>
      </w:r>
      <w:r>
        <w:rPr>
          <w:rFonts w:ascii="Arial;sans-serif" w:hAnsi="Arial;sans-serif"/>
          <w:b w:val="false"/>
          <w:color w:val="000000"/>
          <w:sz w:val="20"/>
          <w:highlight w:val="white"/>
        </w:rPr>
        <w:t>We periodically enter into derivative commodity contracts to manage our exposure to chan</w:t>
      </w:r>
      <w:r>
        <w:rPr>
          <w:rFonts w:ascii="Arial;sans-serif" w:hAnsi="Arial;sans-serif"/>
          <w:b w:val="false"/>
          <w:color w:val="000000"/>
          <w:sz w:val="20"/>
        </w:rPr>
        <w:t>ges in the price of gasoline. These instruments were designated as freestanding derivatives and the changes in fair value are recorded in earnings and are presented in the same line of the income statement expected for the hedged item.</w: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 xml:space="preserve">We </w:t>
      </w:r>
      <w:r>
        <w:rPr>
          <w:rFonts w:ascii="Arial;sans-serif" w:hAnsi="Arial;sans-serif"/>
          <w:b w:val="false"/>
          <w:color w:val="000000"/>
          <w:sz w:val="20"/>
          <w:highlight w:val="white"/>
        </w:rPr>
        <w:t xml:space="preserve">held derivative instruments with absolute notional values as follows: </w:t>
      </w:r>
    </w:p>
    <w:tbl>
      <w:tblPr>
        <w:tblW w:w="3839" w:type="dxa"/>
        <w:jc w:val="left"/>
        <w:tblInd w:w="0" w:type="dxa"/>
        <w:tblCellMar>
          <w:top w:w="28" w:type="dxa"/>
          <w:left w:w="28" w:type="dxa"/>
          <w:bottom w:w="28" w:type="dxa"/>
          <w:right w:w="28" w:type="dxa"/>
        </w:tblCellMar>
      </w:tblPr>
      <w:tblGrid>
        <w:gridCol w:w="863"/>
        <w:gridCol w:w="758"/>
        <w:gridCol w:w="763"/>
        <w:gridCol w:w="313"/>
        <w:gridCol w:w="914"/>
        <w:gridCol w:w="228"/>
      </w:tblGrid>
      <w:tr>
        <w:trPr/>
        <w:tc>
          <w:tcPr>
            <w:tcW w:w="86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w:t>
              <w:br/>
              <w:t>March 31, 2023</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w:t>
            </w:r>
          </w:p>
        </w:tc>
        <w:tc>
          <w:tcPr>
            <w:tcW w:w="3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1,224 </w:t>
            </w:r>
          </w:p>
        </w:tc>
        <w:tc>
          <w:tcPr>
            <w:tcW w:w="2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Arial;sans-serif" w:hAnsi="Arial;sans-serif"/>
                <w:b w:val="false"/>
                <w:color w:val="000000"/>
                <w:sz w:val="18"/>
              </w:rPr>
              <w:t xml:space="preserve">Interest rate caps </w:t>
            </w:r>
            <w:r>
              <w:rPr>
                <w:rFonts w:ascii="Arial;sans-serif" w:hAnsi="Arial;sans-serif"/>
                <w:b w:val="false"/>
                <w:color w:val="000000"/>
                <w:sz w:val="12"/>
              </w:rPr>
              <w:t>(a)</w:t>
            </w:r>
          </w:p>
        </w:tc>
        <w:tc>
          <w:tcPr>
            <w:tcW w:w="12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14,520 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12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0" w:after="0"/>
        <w:ind w:left="0" w:right="0" w:hanging="360"/>
        <w:jc w:val="both"/>
        <w:rPr/>
      </w:pPr>
      <w:r>
        <w:rPr>
          <w:rFonts w:ascii="Arial;sans-serif" w:hAnsi="Arial;sans-serif"/>
          <w:b w:val="false"/>
          <w:color w:val="000000"/>
          <w:sz w:val="10"/>
          <w:highlight w:val="white"/>
        </w:rPr>
        <w:t>(a)</w:t>
      </w:r>
      <w:r>
        <w:rPr>
          <w:rFonts w:ascii="Arial;sans-serif" w:hAnsi="Arial;sans-serif"/>
          <w:b w:val="false"/>
          <w:color w:val="000000"/>
          <w:sz w:val="16"/>
          <w:highlight w:val="white"/>
        </w:rPr>
        <w:t>Repres</w:t>
      </w:r>
      <w:r>
        <w:rPr>
          <w:rFonts w:ascii="Arial;sans-serif" w:hAnsi="Arial;sans-serif"/>
          <w:b w:val="false"/>
          <w:color w:val="000000"/>
          <w:sz w:val="16"/>
        </w:rPr>
        <w:t>ents $10.0 billion of interest rate caps sold, partially offset by approximately $4.6 billion of interest rate caps purchased. These amounts exclude $6.2 billion of interest rate caps purchased by our Avis Budget Rental Car Funding subsidiary as it is not consolidated by us</w:t>
      </w:r>
      <w:r>
        <w:rPr>
          <w:rFonts w:ascii="Arial;sans-serif" w:hAnsi="Arial;sans-serif"/>
          <w:b w:val="false"/>
          <w:color w:val="000000"/>
          <w:sz w:val="16"/>
          <w:highlight w:val="white"/>
        </w:rPr>
        <w: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Estimated fair values (Level 2) of derivative instruments are as follows: </w:t>
      </w:r>
    </w:p>
    <w:tbl>
      <w:tblPr>
        <w:tblW w:w="10205" w:type="dxa"/>
        <w:jc w:val="left"/>
        <w:tblInd w:w="0" w:type="dxa"/>
        <w:tblCellMar>
          <w:top w:w="28" w:type="dxa"/>
          <w:left w:w="28" w:type="dxa"/>
          <w:bottom w:w="28" w:type="dxa"/>
          <w:right w:w="28" w:type="dxa"/>
        </w:tblCellMar>
      </w:tblPr>
      <w:tblGrid>
        <w:gridCol w:w="765"/>
        <w:gridCol w:w="671"/>
        <w:gridCol w:w="671"/>
        <w:gridCol w:w="819"/>
        <w:gridCol w:w="783"/>
        <w:gridCol w:w="793"/>
        <w:gridCol w:w="427"/>
        <w:gridCol w:w="943"/>
        <w:gridCol w:w="222"/>
        <w:gridCol w:w="111"/>
        <w:gridCol w:w="111"/>
        <w:gridCol w:w="111"/>
        <w:gridCol w:w="292"/>
        <w:gridCol w:w="562"/>
        <w:gridCol w:w="152"/>
        <w:gridCol w:w="109"/>
        <w:gridCol w:w="109"/>
        <w:gridCol w:w="109"/>
        <w:gridCol w:w="270"/>
        <w:gridCol w:w="596"/>
        <w:gridCol w:w="140"/>
        <w:gridCol w:w="126"/>
        <w:gridCol w:w="126"/>
        <w:gridCol w:w="126"/>
        <w:gridCol w:w="266"/>
        <w:gridCol w:w="589"/>
        <w:gridCol w:w="206"/>
      </w:tblGrid>
      <w:tr>
        <w:trPr/>
        <w:tc>
          <w:tcPr>
            <w:tcW w:w="765"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2022</w:t>
            </w:r>
          </w:p>
        </w:tc>
      </w:tr>
      <w:tr>
        <w:trPr/>
        <w:tc>
          <w:tcPr>
            <w:tcW w:w="21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Asset Derivatives</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Derivative</w:t>
              <w:b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Derivative</w:t>
              <w:br/>
              <w:t>Assets</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Derivative</w:t>
              <w:br/>
              <w:t>Liabilities</w:t>
            </w:r>
          </w:p>
        </w:tc>
      </w:tr>
      <w:tr>
        <w:trPr/>
        <w:tc>
          <w:tcPr>
            <w:tcW w:w="45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Derivatives designated as hedging instruments</w:t>
            </w:r>
          </w:p>
        </w:tc>
        <w:tc>
          <w:tcPr>
            <w:tcW w:w="15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Interest rate swaps </w:t>
            </w:r>
            <w:r>
              <w:rPr>
                <w:rFonts w:ascii="Arial;sans-serif" w:hAnsi="Arial;sans-serif"/>
                <w:b w:val="false"/>
                <w:color w:val="000000"/>
                <w:sz w:val="12"/>
              </w:rPr>
              <w:t>(a)</w:t>
            </w:r>
          </w:p>
        </w:tc>
        <w:tc>
          <w:tcPr>
            <w:tcW w:w="42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Derivatives not designated as hedging instruments</w:t>
            </w:r>
          </w:p>
        </w:tc>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Foreign exchange contracts </w:t>
            </w:r>
            <w:r>
              <w:rPr>
                <w:rFonts w:ascii="Arial;sans-serif" w:hAnsi="Arial;sans-serif"/>
                <w:b w:val="false"/>
                <w:color w:val="000000"/>
                <w:sz w:val="12"/>
              </w:rPr>
              <w:t>(b)</w:t>
            </w:r>
          </w:p>
        </w:tc>
        <w:tc>
          <w:tcPr>
            <w:tcW w:w="13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Interest rate caps </w:t>
            </w:r>
            <w:r>
              <w:rPr>
                <w:rFonts w:ascii="Arial;sans-serif" w:hAnsi="Arial;sans-serif"/>
                <w:b w:val="false"/>
                <w:color w:val="000000"/>
                <w:sz w:val="12"/>
              </w:rPr>
              <w:t>(c)</w:t>
            </w:r>
          </w:p>
        </w:tc>
        <w:tc>
          <w:tcPr>
            <w:tcW w:w="13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auto" w:val="clear"/>
            <w:vAlign w:val="center"/>
          </w:tcPr>
          <w:p>
            <w:pPr>
              <w:pStyle w:val="TableContents"/>
              <w:spacing w:before="0" w:after="283"/>
              <w:rPr>
                <w:sz w:val="4"/>
                <w:szCs w:val="4"/>
              </w:rPr>
            </w:pPr>
            <w:r>
              <w:rPr>
                <w:sz w:val="4"/>
                <w:szCs w:val="4"/>
              </w:rPr>
            </w:r>
          </w:p>
        </w:tc>
        <w:tc>
          <w:tcPr>
            <w:tcW w:w="2395"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0" w:after="0"/>
        <w:jc w:val="both"/>
        <w:rPr/>
      </w:pPr>
      <w:r>
        <w:rPr>
          <w:rFonts w:ascii="Arial;sans-serif" w:hAnsi="Arial;sans-serif"/>
          <w:b w:val="false"/>
          <w:color w:val="000000"/>
          <w:sz w:val="16"/>
        </w:rPr>
        <w:t>Amounts in this table exclude derivatives issued by Avis Budget Rental Car Funding, as it is not consolidated by us; however, certain amounts related to the deriv</w:t>
      </w:r>
      <w:r>
        <w:rPr>
          <w:rFonts w:ascii="Arial;sans-serif" w:hAnsi="Arial;sans-serif"/>
          <w:b w:val="false"/>
          <w:color w:val="000000"/>
          <w:sz w:val="16"/>
          <w:highlight w:val="white"/>
        </w:rPr>
        <w:t>atives held by Avis Budget Rental Car Funding are included within accumulated other comprehensive income (loss), as discussed in Note 13 – Stockholders' Equity.</w:t>
      </w:r>
    </w:p>
    <w:p>
      <w:pPr>
        <w:pStyle w:val="TextBody"/>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Included in other non-current assets or other non-current liabilities.</w:t>
      </w:r>
    </w:p>
    <w:p>
      <w:pPr>
        <w:pStyle w:val="TextBody"/>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Included in other current assets or other current liabilities.</w:t>
      </w:r>
    </w:p>
    <w:p>
      <w:pPr>
        <w:pStyle w:val="TextBody"/>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Included in assets under vehicle programs or liabilities under vehicle programs.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effects of derivatives recognized in our Consolidated Condensed Financial Statements are as follows:</w:t>
      </w:r>
    </w:p>
    <w:p>
      <w:pPr>
        <w:pStyle w:val="TextBody"/>
        <w:spacing w:before="0" w:after="0"/>
        <w:jc w:val="both"/>
        <w:rPr/>
      </w:pPr>
      <w:r>
        <w:rPr/>
      </w:r>
    </w:p>
    <w:tbl>
      <w:tblPr>
        <w:tblW w:w="6895" w:type="dxa"/>
        <w:jc w:val="left"/>
        <w:tblInd w:w="0" w:type="dxa"/>
        <w:tblCellMar>
          <w:top w:w="28" w:type="dxa"/>
          <w:left w:w="28" w:type="dxa"/>
          <w:bottom w:w="28" w:type="dxa"/>
          <w:right w:w="28" w:type="dxa"/>
        </w:tblCellMar>
      </w:tblPr>
      <w:tblGrid>
        <w:gridCol w:w="818"/>
        <w:gridCol w:w="722"/>
        <w:gridCol w:w="722"/>
        <w:gridCol w:w="857"/>
        <w:gridCol w:w="857"/>
        <w:gridCol w:w="865"/>
        <w:gridCol w:w="227"/>
        <w:gridCol w:w="471"/>
        <w:gridCol w:w="117"/>
        <w:gridCol w:w="117"/>
        <w:gridCol w:w="117"/>
        <w:gridCol w:w="117"/>
        <w:gridCol w:w="227"/>
        <w:gridCol w:w="390"/>
        <w:gridCol w:w="117"/>
        <w:gridCol w:w="154"/>
      </w:tblGrid>
      <w:tr>
        <w:trPr/>
        <w:tc>
          <w:tcPr>
            <w:tcW w:w="81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1"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color w:val="000000"/>
                <w:sz w:val="18"/>
              </w:rPr>
              <w:t xml:space="preserve">Derivatives designated as hedging instruments </w:t>
            </w:r>
            <w:r>
              <w:rPr>
                <w:rFonts w:ascii="Arial;sans-serif" w:hAnsi="Arial;sans-serif"/>
                <w:b/>
                <w:color w:val="000000"/>
                <w:sz w:val="12"/>
              </w:rPr>
              <w:t>(a)</w:t>
            </w:r>
          </w:p>
        </w:tc>
        <w:tc>
          <w:tcPr>
            <w:tcW w:w="8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Interest rate swaps</w:t>
            </w:r>
            <w:r>
              <w:rPr>
                <w:color w:val="000000"/>
              </w:rPr>
              <w:t xml:space="preserve"> </w:t>
            </w:r>
            <w:r>
              <w:rPr>
                <w:rFonts w:ascii="Arial;sans-serif" w:hAnsi="Arial;sans-serif"/>
                <w:b w:val="false"/>
                <w:color w:val="000000"/>
                <w:sz w:val="12"/>
              </w:rPr>
              <w:t>(b)</w:t>
            </w:r>
          </w:p>
        </w:tc>
        <w:tc>
          <w:tcPr>
            <w:tcW w:w="22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Euro-denominated notes</w:t>
            </w:r>
            <w:r>
              <w:rPr>
                <w:color w:val="000000"/>
              </w:rPr>
              <w:t xml:space="preserve"> </w:t>
            </w:r>
            <w:r>
              <w:rPr>
                <w:rFonts w:ascii="Arial;sans-serif" w:hAnsi="Arial;sans-serif"/>
                <w:b w:val="false"/>
                <w:color w:val="000000"/>
                <w:sz w:val="12"/>
              </w:rPr>
              <w:t xml:space="preserve">(c) </w:t>
            </w:r>
          </w:p>
        </w:tc>
        <w:tc>
          <w:tcPr>
            <w:tcW w:w="6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1"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color w:val="000000"/>
                <w:sz w:val="18"/>
              </w:rPr>
              <w:t xml:space="preserve">Derivatives not designated as hedging instruments </w:t>
            </w:r>
            <w:r>
              <w:rPr>
                <w:rFonts w:ascii="Arial;sans-serif" w:hAnsi="Arial;sans-serif"/>
                <w:b/>
                <w:color w:val="000000"/>
                <w:sz w:val="12"/>
              </w:rPr>
              <w:t>(d)</w:t>
            </w:r>
          </w:p>
        </w:tc>
        <w:tc>
          <w:tcPr>
            <w:tcW w:w="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Foreign exchange contracts</w:t>
            </w:r>
            <w:r>
              <w:rPr>
                <w:color w:val="000000"/>
              </w:rPr>
              <w:t xml:space="preserve"> </w:t>
            </w:r>
            <w:r>
              <w:rPr>
                <w:rFonts w:ascii="Arial;sans-serif" w:hAnsi="Arial;sans-serif"/>
                <w:b w:val="false"/>
                <w:color w:val="000000"/>
                <w:sz w:val="12"/>
              </w:rPr>
              <w:t>(e)</w:t>
            </w:r>
          </w:p>
        </w:tc>
        <w:tc>
          <w:tcPr>
            <w:tcW w:w="6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Interest rate caps</w:t>
            </w:r>
            <w:r>
              <w:rPr>
                <w:color w:val="000000"/>
              </w:rPr>
              <w:t xml:space="preserve"> </w:t>
            </w:r>
            <w:r>
              <w:rPr>
                <w:rFonts w:ascii="Arial;sans-serif" w:hAnsi="Arial;sans-serif"/>
                <w:b w:val="false"/>
                <w:color w:val="000000"/>
                <w:sz w:val="12"/>
              </w:rPr>
              <w:t>(f)</w:t>
            </w:r>
          </w:p>
        </w:tc>
        <w:tc>
          <w:tcPr>
            <w:tcW w:w="6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vAlign w:val="center"/>
          </w:tcPr>
          <w:p>
            <w:pPr>
              <w:pStyle w:val="TableContents"/>
              <w:spacing w:before="0" w:after="283"/>
              <w:rPr>
                <w:sz w:val="4"/>
                <w:szCs w:val="4"/>
              </w:rPr>
            </w:pPr>
            <w:r>
              <w:rPr>
                <w:sz w:val="4"/>
                <w:szCs w:val="4"/>
              </w:rPr>
            </w:r>
          </w:p>
        </w:tc>
        <w:tc>
          <w:tcPr>
            <w:tcW w:w="2579"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0"/>
        <w:jc w:val="both"/>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120" w:after="20"/>
        <w:ind w:left="0" w:right="0" w:hanging="360"/>
        <w:jc w:val="both"/>
        <w:rPr/>
      </w:pPr>
      <w:r>
        <w:rPr>
          <w:rFonts w:ascii="Arial;sans-serif" w:hAnsi="Arial;sans-serif"/>
          <w:b w:val="false"/>
          <w:color w:val="000000"/>
          <w:sz w:val="10"/>
        </w:rPr>
        <w:t>(a)</w:t>
      </w:r>
      <w:r>
        <w:rPr>
          <w:rFonts w:ascii="Arial;sans-serif" w:hAnsi="Arial;sans-serif"/>
          <w:b w:val="false"/>
          <w:color w:val="000000"/>
          <w:sz w:val="16"/>
        </w:rPr>
        <w:t>Recognized, net of tax, as a component of accumulated other comprehensive income (loss) within stockholders’ equity.</w:t>
      </w:r>
    </w:p>
    <w:p>
      <w:pPr>
        <w:pStyle w:val="TextBody"/>
        <w:spacing w:lineRule="auto" w:line="288" w:before="0" w:after="0"/>
        <w:ind w:left="0" w:right="0" w:hanging="360"/>
        <w:jc w:val="both"/>
        <w:rPr/>
      </w:pPr>
      <w:r>
        <w:rPr>
          <w:rFonts w:ascii="Arial;sans-serif" w:hAnsi="Arial;sans-serif"/>
          <w:b w:val="false"/>
          <w:color w:val="000000"/>
          <w:sz w:val="10"/>
          <w:highlight w:val="white"/>
        </w:rPr>
        <w:t>(b)</w:t>
      </w:r>
      <w:r>
        <w:rPr>
          <w:rFonts w:ascii="Arial;sans-serif" w:hAnsi="Arial;sans-serif"/>
          <w:b w:val="false"/>
          <w:color w:val="000000"/>
          <w:sz w:val="16"/>
          <w:highlight w:val="white"/>
        </w:rPr>
        <w:t>Classified as a net unrealized gain (loss) on cash flow hedges in accumulated other comprehensive income (loss). Refer to Note 13 – Stockholders' Equity for amounts reclassified from accumulated other comprehensive income into earnings.</w:t>
      </w:r>
    </w:p>
    <w:p>
      <w:pPr>
        <w:pStyle w:val="TextBody"/>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 xml:space="preserve">Classified as a net investment hedge within currency translation adjustment in accumulated other comprehensive income (loss).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rFonts w:ascii="Arial;sans-serif" w:hAnsi="Arial;sans-serif"/>
          <w:b w:val="false"/>
          <w:color w:val="000000"/>
          <w:sz w:val="10"/>
        </w:rPr>
        <w:t>(d)</w:t>
      </w:r>
      <w:r>
        <w:rPr>
          <w:rFonts w:ascii="Arial;sans-serif" w:hAnsi="Arial;sans-serif"/>
          <w:b w:val="false"/>
          <w:color w:val="000000"/>
          <w:sz w:val="16"/>
        </w:rPr>
        <w:t>Gains (losses) related to derivative instruments are expected to be largely offset by (losses) gains on the underlying exposures being hedged.</w:t>
      </w:r>
    </w:p>
    <w:p>
      <w:pPr>
        <w:pStyle w:val="TextBody"/>
        <w:spacing w:lineRule="auto" w:line="288" w:before="0" w:after="0"/>
        <w:ind w:left="0" w:right="0" w:hanging="360"/>
        <w:jc w:val="both"/>
        <w:rPr/>
      </w:pPr>
      <w:r>
        <w:rPr>
          <w:rFonts w:ascii="Arial;sans-serif" w:hAnsi="Arial;sans-serif"/>
          <w:b w:val="false"/>
          <w:color w:val="000000"/>
          <w:sz w:val="10"/>
          <w:highlight w:val="white"/>
        </w:rPr>
        <w:t>(e)</w:t>
      </w:r>
      <w:r>
        <w:rPr>
          <w:rFonts w:ascii="Arial;sans-serif" w:hAnsi="Arial;sans-serif"/>
          <w:b w:val="false"/>
          <w:color w:val="000000"/>
          <w:sz w:val="16"/>
          <w:highlight w:val="white"/>
        </w:rPr>
        <w:t>Included in interest expense.</w:t>
      </w:r>
    </w:p>
    <w:p>
      <w:pPr>
        <w:pStyle w:val="TextBody"/>
        <w:spacing w:lineRule="auto" w:line="288" w:before="0" w:after="0"/>
        <w:ind w:left="0" w:right="0" w:hanging="360"/>
        <w:jc w:val="both"/>
        <w:rPr/>
      </w:pPr>
      <w:r>
        <w:rPr>
          <w:rFonts w:ascii="Arial;sans-serif" w:hAnsi="Arial;sans-serif"/>
          <w:b w:val="false"/>
          <w:color w:val="000000"/>
          <w:sz w:val="10"/>
          <w:highlight w:val="white"/>
        </w:rPr>
        <w:t>(f)</w:t>
      </w:r>
      <w:r>
        <w:rPr>
          <w:rFonts w:ascii="Arial;sans-serif" w:hAnsi="Arial;sans-serif"/>
          <w:b w:val="false"/>
          <w:color w:val="000000"/>
          <w:sz w:val="16"/>
          <w:highlight w:val="white"/>
        </w:rPr>
        <w:t>Primarily included in vehicle interest, net.</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Debt Instruments</w: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The carrying amounts and estimated fair values (Level 2) of debt instruments are as follows:</w:t>
      </w:r>
      <w:r>
        <w:rPr>
          <w:color w:val="000000"/>
        </w:rPr>
        <w:t>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5"/>
        <w:gridCol w:w="216"/>
        <w:gridCol w:w="216"/>
        <w:gridCol w:w="1507"/>
        <w:gridCol w:w="1395"/>
        <w:gridCol w:w="143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7"/>
      </w:tblGrid>
      <w:tr>
        <w:trPr/>
        <w:tc>
          <w:tcPr>
            <w:tcW w:w="24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2022</w:t>
            </w:r>
          </w:p>
        </w:tc>
      </w:tr>
      <w:tr>
        <w:trPr/>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w:t>
              <w:br/>
              <w:t>Value</w:t>
            </w:r>
          </w:p>
        </w:tc>
      </w:tr>
      <w:tr>
        <w:trPr/>
        <w:tc>
          <w:tcPr>
            <w:tcW w:w="50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Corporate debt</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Short-term debt and current portion of long-term debt</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Debt under vehicle programs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Vehicle-backed debt due to Avis Budget Rental Car Funding</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10,848 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Vehicle-backed debt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Interest rate swaps and interest rate caps </w:t>
            </w:r>
            <w:r>
              <w:rPr>
                <w:rFonts w:ascii="Arial;sans-serif" w:hAnsi="Arial;sans-serif"/>
                <w:b w:val="false"/>
                <w:color w:val="000000"/>
                <w:sz w:val="12"/>
              </w:rPr>
              <w:t>(a)</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Arial;sans-serif" w:hAnsi="Arial;sans-serif"/>
          <w:b w:val="false"/>
          <w:color w:val="000000"/>
          <w:sz w:val="18"/>
        </w:rPr>
      </w:pPr>
      <w:r>
        <w:rPr>
          <w:rFonts w:ascii="Arial;sans-serif" w:hAnsi="Arial;sans-serif"/>
          <w:b w:val="false"/>
          <w:color w:val="000000"/>
          <w:sz w:val="18"/>
        </w:rPr>
        <w:t>__________</w:t>
      </w:r>
    </w:p>
    <w:p>
      <w:pPr>
        <w:pStyle w:val="TextBody"/>
        <w:spacing w:lineRule="auto" w:line="288" w:before="120" w:after="283"/>
        <w:ind w:left="0" w:right="0" w:hanging="360"/>
        <w:rPr/>
      </w:pPr>
      <w:r>
        <w:rPr>
          <w:rFonts w:ascii="Arial;sans-serif" w:hAnsi="Arial;sans-serif"/>
          <w:b w:val="false"/>
          <w:color w:val="000000"/>
          <w:sz w:val="10"/>
        </w:rPr>
        <w:t>(a)    </w:t>
      </w:r>
      <w:r>
        <w:rPr>
          <w:rFonts w:ascii="Arial;sans-serif" w:hAnsi="Arial;sans-serif"/>
          <w:b w:val="false"/>
          <w:color w:val="000000"/>
          <w:sz w:val="16"/>
        </w:rPr>
        <w:t>Derivatives in a liability position.</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17.    Segment Information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cloud computing costs; other (income) expense, net; and income taxes.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 titled measures used by other companies.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5"/>
        <w:gridCol w:w="155"/>
        <w:gridCol w:w="155"/>
        <w:gridCol w:w="155"/>
        <w:gridCol w:w="155"/>
        <w:gridCol w:w="155"/>
        <w:gridCol w:w="345"/>
        <w:gridCol w:w="345"/>
        <w:gridCol w:w="345"/>
        <w:gridCol w:w="345"/>
        <w:gridCol w:w="345"/>
        <w:gridCol w:w="345"/>
        <w:gridCol w:w="460"/>
        <w:gridCol w:w="1415"/>
        <w:gridCol w:w="241"/>
        <w:gridCol w:w="109"/>
        <w:gridCol w:w="109"/>
        <w:gridCol w:w="109"/>
        <w:gridCol w:w="392"/>
        <w:gridCol w:w="896"/>
        <w:gridCol w:w="203"/>
        <w:gridCol w:w="109"/>
        <w:gridCol w:w="109"/>
        <w:gridCol w:w="109"/>
        <w:gridCol w:w="219"/>
        <w:gridCol w:w="672"/>
        <w:gridCol w:w="115"/>
        <w:gridCol w:w="109"/>
        <w:gridCol w:w="109"/>
        <w:gridCol w:w="109"/>
        <w:gridCol w:w="393"/>
        <w:gridCol w:w="897"/>
        <w:gridCol w:w="301"/>
      </w:tblGrid>
      <w:tr>
        <w:trPr/>
        <w:tc>
          <w:tcPr>
            <w:tcW w:w="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 xml:space="preserve">Adjusted EBITDA </w:t>
            </w:r>
          </w:p>
        </w:tc>
      </w:tr>
      <w:tr>
        <w:trPr/>
        <w:tc>
          <w:tcPr>
            <w:tcW w:w="302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(a)</w:t>
            </w:r>
          </w:p>
        </w:tc>
        <w:tc>
          <w:tcPr>
            <w:tcW w:w="1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Company</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Adjusted EBITDA to income before income taxes:</w:t>
            </w:r>
          </w:p>
        </w:tc>
      </w:tr>
      <w:tr>
        <w:trPr/>
        <w:tc>
          <w:tcPr>
            <w:tcW w:w="3020"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2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810 </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2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918" w:type="dxa"/>
            <w:gridSpan w:val="6"/>
            <w:tcBorders/>
            <w:shd w:fill="auto" w:val="clear"/>
          </w:tcPr>
          <w:p>
            <w:pPr>
              <w:pStyle w:val="TableContents"/>
              <w:spacing w:before="0" w:after="283"/>
              <w:rPr>
                <w:sz w:val="4"/>
                <w:szCs w:val="4"/>
              </w:rPr>
            </w:pPr>
            <w:r>
              <w:rPr>
                <w:sz w:val="4"/>
                <w:szCs w:val="4"/>
              </w:rPr>
            </w:r>
          </w:p>
        </w:tc>
      </w:tr>
      <w:tr>
        <w:trPr/>
        <w:tc>
          <w:tcPr>
            <w:tcW w:w="48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2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918" w:type="dxa"/>
            <w:gridSpan w:val="6"/>
            <w:tcBorders/>
            <w:shd w:fill="auto" w:val="clea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Other (income) expense, net </w:t>
            </w:r>
            <w:r>
              <w:rPr>
                <w:rFonts w:ascii="Arial;sans-serif" w:hAnsi="Arial;sans-serif"/>
                <w:b w:val="false"/>
                <w:color w:val="000000"/>
                <w:sz w:val="13"/>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Reported within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Cloud computing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COVID-19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c>
          <w:tcPr>
            <w:tcW w:w="418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Unprecedented personal-injury and other legal matters,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2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918" w:type="dxa"/>
            <w:gridSpan w:val="6"/>
            <w:tcBorders/>
            <w:shd w:fill="auto" w:val="clear"/>
          </w:tcPr>
          <w:p>
            <w:pPr>
              <w:pStyle w:val="TableContents"/>
              <w:spacing w:before="0" w:after="283"/>
              <w:rPr>
                <w:sz w:val="4"/>
                <w:szCs w:val="4"/>
              </w:rPr>
            </w:pPr>
            <w:r>
              <w:rPr>
                <w:sz w:val="4"/>
                <w:szCs w:val="4"/>
              </w:rPr>
            </w:r>
          </w:p>
        </w:tc>
      </w:tr>
      <w:tr>
        <w:trPr/>
        <w:tc>
          <w:tcPr>
            <w:tcW w:w="48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2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1" w:type="dxa"/>
            <w:gridSpan w:val="3"/>
            <w:tcBorders/>
            <w:shd w:fill="auto" w:val="clear"/>
            <w:vAlign w:val="center"/>
          </w:tcPr>
          <w:p>
            <w:pPr>
              <w:pStyle w:val="TableContents"/>
              <w:spacing w:before="0" w:after="283"/>
              <w:rPr>
                <w:sz w:val="4"/>
                <w:szCs w:val="4"/>
              </w:rPr>
            </w:pPr>
            <w:r>
              <w:rPr>
                <w:sz w:val="4"/>
                <w:szCs w:val="4"/>
              </w:rPr>
            </w:r>
          </w:p>
        </w:tc>
      </w:tr>
      <w:tr>
        <w:trPr/>
        <w:tc>
          <w:tcPr>
            <w:tcW w:w="48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2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1" w:type="dxa"/>
            <w:gridSpan w:val="3"/>
            <w:tcBorders/>
            <w:shd w:fill="auto" w:val="clear"/>
            <w:vAlign w:val="center"/>
          </w:tcPr>
          <w:p>
            <w:pPr>
              <w:pStyle w:val="TableContents"/>
              <w:spacing w:before="0" w:after="283"/>
              <w:rPr>
                <w:sz w:val="4"/>
                <w:szCs w:val="4"/>
              </w:rPr>
            </w:pPr>
            <w:r>
              <w:rPr>
                <w:sz w:val="4"/>
                <w:szCs w:val="4"/>
              </w:rPr>
            </w:r>
          </w:p>
        </w:tc>
      </w:tr>
      <w:tr>
        <w:trPr/>
        <w:tc>
          <w:tcPr>
            <w:tcW w:w="302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0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3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Includes unallocated corporate overhead which is not attributable to a particular segment.</w:t>
      </w:r>
    </w:p>
    <w:p>
      <w:pPr>
        <w:pStyle w:val="TextBody"/>
        <w:spacing w:lineRule="auto" w:line="288" w:before="0" w:after="0"/>
        <w:ind w:left="0" w:right="0" w:hanging="360"/>
        <w:jc w:val="both"/>
        <w:rPr/>
      </w:pPr>
      <w:r>
        <w:rPr>
          <w:rFonts w:ascii="Arial;sans-serif" w:hAnsi="Arial;sans-serif"/>
          <w:b w:val="false"/>
          <w:color w:val="000000"/>
          <w:sz w:val="10"/>
          <w:highlight w:val="white"/>
        </w:rPr>
        <w:t>(b)</w:t>
      </w:r>
      <w:r>
        <w:rPr>
          <w:rFonts w:ascii="Arial;sans-serif" w:hAnsi="Arial;sans-serif"/>
          <w:b w:val="false"/>
          <w:color w:val="000000"/>
          <w:sz w:val="16"/>
          <w:highlight w:val="white"/>
        </w:rPr>
        <w:t>Primarily consists of fleet related services as well as certain administrative services provided to a former subsidiary</w:t>
      </w:r>
      <w:r>
        <w:rPr>
          <w:rFonts w:ascii="Arial;sans-serif" w:hAnsi="Arial;sans-serif"/>
          <w:b w:val="false"/>
          <w:color w:val="000000"/>
          <w:sz w:val="16"/>
        </w:rPr>
        <w:t>.</w:t>
      </w:r>
    </w:p>
    <w:p>
      <w:pPr>
        <w:pStyle w:val="TextBody"/>
        <w:spacing w:before="0" w:after="0"/>
        <w:ind w:left="0" w:right="0" w:hanging="360"/>
        <w:jc w:val="both"/>
        <w:rPr/>
      </w:pPr>
      <w:r>
        <w:rPr/>
      </w:r>
    </w:p>
    <w:p>
      <w:pPr>
        <w:pStyle w:val="TextBody"/>
        <w:spacing w:lineRule="auto" w:line="288" w:before="0" w:after="0"/>
        <w:jc w:val="both"/>
        <w:rPr/>
      </w:pPr>
      <w:r>
        <w:rPr>
          <w:rFonts w:ascii="Arial;sans-serif" w:hAnsi="Arial;sans-serif"/>
          <w:b w:val="false"/>
          <w:color w:val="000000"/>
          <w:sz w:val="20"/>
        </w:rPr>
        <w:t>Since December 31, 2022, there have been no significant changes in segment assets exclusive of assets under vehicle programs. As of March 31, 2023 and December 31, 2022, Americas’ segment assets under vehicle programs were approxim</w:t>
      </w:r>
      <w:r>
        <w:rPr>
          <w:rFonts w:ascii="Arial;sans-serif" w:hAnsi="Arial;sans-serif"/>
          <w:b w:val="false"/>
          <w:color w:val="000000"/>
          <w:sz w:val="20"/>
          <w:highlight w:val="white"/>
        </w:rPr>
        <w:t>ately</w:t>
      </w:r>
      <w:r>
        <w:rPr>
          <w:color w:val="000000"/>
        </w:rPr>
        <w:t xml:space="preserve"> </w:t>
      </w:r>
      <w:r>
        <w:rPr>
          <w:rFonts w:ascii="Arial;sans-serif" w:hAnsi="Arial;sans-serif"/>
          <w:b w:val="false"/>
          <w:color w:val="000000"/>
          <w:sz w:val="20"/>
        </w:rPr>
        <w:t>$15.7 billion an</w:t>
      </w:r>
      <w:r>
        <w:rPr>
          <w:rFonts w:ascii="Arial;sans-serif" w:hAnsi="Arial;sans-serif"/>
          <w:b w:val="false"/>
          <w:color w:val="000000"/>
          <w:sz w:val="20"/>
          <w:highlight w:val="white"/>
        </w:rPr>
        <w:t xml:space="preserve">d </w:t>
      </w:r>
      <w:r>
        <w:rPr>
          <w:rFonts w:ascii="Arial;sans-serif" w:hAnsi="Arial;sans-serif"/>
          <w:b w:val="false"/>
          <w:color w:val="000000"/>
          <w:sz w:val="20"/>
        </w:rPr>
        <w:t>$14.3 billion</w:t>
      </w:r>
      <w:r>
        <w:rPr>
          <w:rFonts w:ascii="Arial;sans-serif" w:hAnsi="Arial;sans-serif"/>
          <w:b w:val="false"/>
          <w:color w:val="000000"/>
          <w:sz w:val="20"/>
          <w:highlight w:val="white"/>
        </w:rPr>
        <w:t>, respectively.</w:t>
      </w:r>
      <w:r>
        <w:rPr>
          <w:color w:val="000000"/>
        </w:rPr>
        <w:t xml:space="preserve"> </w:t>
      </w:r>
      <w:r>
        <w:rPr>
          <w:rFonts w:ascii="Arial;sans-serif" w:hAnsi="Arial;sans-serif"/>
          <w:b w:val="false"/>
          <w:color w:val="000000"/>
          <w:sz w:val="20"/>
        </w:rPr>
        <w:t>This increase in assets under vehicle programs is directly correlated to the increase in the size and cost of our vehicle rental fleet to meet demand.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40"/>
        <w:rPr>
          <w:color w:val="000000"/>
        </w:rPr>
      </w:pPr>
      <w:r>
        <w:rPr>
          <w:color w:val="000000"/>
        </w:rPr>
        <w:t> </w:t>
      </w:r>
      <w:r>
        <w:rPr>
          <w:rFonts w:ascii="Arial;sans-serif" w:hAnsi="Arial;sans-serif"/>
          <w:b/>
          <w:color w:val="000000"/>
          <w:sz w:val="20"/>
        </w:rPr>
        <w:t>18.    Subsequent Event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April 2023, our Avis Budget Rental Car Funding (AESOP) LLC subsidiary issued $450 million and $550 million of asset-backed notes to investors with an expected final payment date of February 2027 and June 2028, respectively, and a weighted average interest rate of 5.67% and 5.76%, respectively.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April 2023, our Avis Budget Rental Car Funding (AESOP) LLC subsidiary amended its asset-backed variable-funding financing facilities to increase its capacity by $750 million.</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ind w:left="0" w:right="0" w:hanging="900"/>
        <w:rPr/>
      </w:pPr>
      <w:r>
        <w:rPr>
          <w:rFonts w:ascii="Arial;sans-serif" w:hAnsi="Arial;sans-serif"/>
          <w:b/>
          <w:color w:val="000000"/>
          <w:sz w:val="20"/>
        </w:rPr>
        <w:t>Item 2.    Management’s Discussion and Analysis of Financial Condition and</w:t>
      </w:r>
      <w:r>
        <w:rPr>
          <w:color w:val="000000"/>
        </w:rPr>
        <w:t xml:space="preserve"> </w:t>
      </w:r>
      <w:r>
        <w:rPr>
          <w:rFonts w:ascii="Arial;sans-serif" w:hAnsi="Arial;sans-serif"/>
          <w:b/>
          <w:color w:val="000000"/>
          <w:sz w:val="20"/>
        </w:rPr>
        <w:t xml:space="preserve">Results of Operations </w:t>
      </w:r>
    </w:p>
    <w:p>
      <w:pPr>
        <w:pStyle w:val="TextBody"/>
        <w:spacing w:before="0" w:after="0"/>
        <w:ind w:left="0" w:right="0" w:hanging="900"/>
        <w:rPr/>
      </w:pPr>
      <w:r>
        <w:rPr/>
      </w:r>
    </w:p>
    <w:p>
      <w:pPr>
        <w:pStyle w:val="TextBody"/>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The following discussion should be read in conjunction with our Consolidated Condensed Financial Statements and accompanying Notes included in this Quarterly Report on Form 10-Q, and with our 2022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pStyle w:val="TextBody"/>
        <w:spacing w:before="0" w:after="20"/>
        <w:jc w:val="both"/>
        <w:rPr/>
      </w:pPr>
      <w:r>
        <w:rPr/>
      </w:r>
    </w:p>
    <w:tbl>
      <w:tblPr>
        <w:tblW w:w="1231" w:type="dxa"/>
        <w:jc w:val="left"/>
        <w:tblInd w:w="0" w:type="dxa"/>
        <w:tblCellMar>
          <w:top w:w="28" w:type="dxa"/>
          <w:left w:w="28" w:type="dxa"/>
          <w:bottom w:w="28" w:type="dxa"/>
          <w:right w:w="28" w:type="dxa"/>
        </w:tblCellMar>
      </w:tblPr>
      <w:tblGrid>
        <w:gridCol w:w="394"/>
        <w:gridCol w:w="346"/>
        <w:gridCol w:w="491"/>
      </w:tblGrid>
      <w:tr>
        <w:trPr/>
        <w:tc>
          <w:tcPr>
            <w:tcW w:w="3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OVERVIEW</w:t>
            </w:r>
          </w:p>
        </w:tc>
      </w:tr>
    </w:tbl>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Company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621,000 vehicles in first quarter 2023. We also license the use of our trademarks to licensees in the areas in which we do not operate directly. We and our licensees operate our brands in approximately 180 countries throughout the world. </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Our Segments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We categorize our operations into two reportable business segments: </w:t>
      </w:r>
      <w:r>
        <w:rPr>
          <w:rFonts w:ascii="Arial;sans-serif" w:hAnsi="Arial;sans-serif"/>
          <w:b w:val="false"/>
          <w:i/>
          <w:color w:val="000000"/>
          <w:sz w:val="20"/>
        </w:rPr>
        <w:t>Americas</w:t>
      </w:r>
      <w:r>
        <w:rPr>
          <w:rFonts w:ascii="Arial;sans-serif" w:hAnsi="Arial;sans-serif"/>
          <w:b w:val="false"/>
          <w:color w:val="000000"/>
          <w:sz w:val="20"/>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sans-serif" w:hAnsi="Arial;sans-serif"/>
          <w:b w:val="false"/>
          <w:i/>
          <w:color w:val="000000"/>
          <w:sz w:val="20"/>
        </w:rPr>
        <w:t>International</w:t>
      </w:r>
      <w:r>
        <w:rPr>
          <w:rFonts w:ascii="Arial;sans-serif" w:hAnsi="Arial;sans-serif"/>
          <w:b w:val="false"/>
          <w:color w:val="000000"/>
          <w:sz w:val="20"/>
        </w:rPr>
        <w:t>, consisting primarily of our vehicle rental operations in Europe, the Middle East, Africa, Asia and Australasia, car sharing operations in certain of these markets, and licensees in certain areas in which we do not operate directly.</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Business and Trends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strategy continues to primarily focus on costs and customer experience to strengthen our company, enable resilience, and deliver stakeholder value. During the three months ended March 31, 2023, we generated revenues of $2.6 billion, net income of $312 million and Adjusted EBITDA of $535 million. These results were driven by increased volume and utilization, offset by increased fleet costs and sustained inflationary pressures on costs.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used car values, and an economic downturn that may impact travel demand. We continue to monitor the potential favorable or unfavorable impacts of these and other factors on our business, operations, financial condition, and future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RESULTS OF OPERATIONS</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assess performance and allocate resources based upon the separate financial information of our operating segments. In identifying our reportable segments, we also consider the nature of services provided by our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cloud computing costs; other (income) expense, net, and income taxes.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 xml:space="preserve">Our revenues totaled $2.6 billion, an increase of 5% compared to the similar period in 2022, primarily due to increased rental volumes. </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Our net income was $312 million, representing a decrease of $215 million year-over-year, primarily due to increased fleet costs and sustained inflationary pressures on costs.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Our Adjusted EBITDA was $535 million, representing a decrease of $275 million year-over-year.</w:t>
      </w:r>
    </w:p>
    <w:p>
      <w:pPr>
        <w:pStyle w:val="TextBody"/>
        <w:spacing w:before="120" w:after="283"/>
        <w:jc w:val="both"/>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 xml:space="preserve">Three Months Ended March 31, 2023 vs. Three Months Ended March 31, 2022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consolidated condensed results of operations comprised of the following:</w:t>
      </w:r>
    </w:p>
    <w:tbl>
      <w:tblPr>
        <w:tblW w:w="9995" w:type="dxa"/>
        <w:jc w:val="left"/>
        <w:tblInd w:w="0" w:type="dxa"/>
        <w:tblCellMar>
          <w:top w:w="28" w:type="dxa"/>
          <w:left w:w="28" w:type="dxa"/>
          <w:bottom w:w="28" w:type="dxa"/>
          <w:right w:w="28" w:type="dxa"/>
        </w:tblCellMar>
      </w:tblPr>
      <w:tblGrid>
        <w:gridCol w:w="141"/>
        <w:gridCol w:w="124"/>
        <w:gridCol w:w="124"/>
        <w:gridCol w:w="529"/>
        <w:gridCol w:w="529"/>
        <w:gridCol w:w="529"/>
        <w:gridCol w:w="529"/>
        <w:gridCol w:w="529"/>
        <w:gridCol w:w="529"/>
        <w:gridCol w:w="529"/>
        <w:gridCol w:w="529"/>
        <w:gridCol w:w="535"/>
        <w:gridCol w:w="211"/>
        <w:gridCol w:w="616"/>
        <w:gridCol w:w="109"/>
        <w:gridCol w:w="109"/>
        <w:gridCol w:w="109"/>
        <w:gridCol w:w="109"/>
        <w:gridCol w:w="211"/>
        <w:gridCol w:w="616"/>
        <w:gridCol w:w="109"/>
        <w:gridCol w:w="109"/>
        <w:gridCol w:w="109"/>
        <w:gridCol w:w="109"/>
        <w:gridCol w:w="252"/>
        <w:gridCol w:w="577"/>
        <w:gridCol w:w="131"/>
        <w:gridCol w:w="109"/>
        <w:gridCol w:w="109"/>
        <w:gridCol w:w="109"/>
        <w:gridCol w:w="210"/>
        <w:gridCol w:w="211"/>
        <w:gridCol w:w="605"/>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xml:space="preserve">$ 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depreciation and lease charges,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interest,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353" w:type="dxa"/>
            <w:gridSpan w:val="6"/>
            <w:tcBorders/>
            <w:shd w:fill="auto" w:val="clea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353" w:type="dxa"/>
            <w:gridSpan w:val="6"/>
            <w:tcBorders/>
            <w:shd w:fill="auto" w:val="clea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5156"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Net income attributable to Avis Budget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___________</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n/m - Not Meaningful</w:t>
      </w:r>
    </w:p>
    <w:p>
      <w:pPr>
        <w:pStyle w:val="TextBody"/>
        <w:spacing w:before="0" w:after="0"/>
        <w:ind w:left="0" w:right="0" w:hanging="36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Revenues increased $125 million, or 5%, during the three months ended March 31, 2023 compared to the similar period in 2022, primarily due to a 6% increase in volume and a 1% increase in revenue per day, excluding exchange rate effects, partially offset by a $37 million negative impact from currency exchange rate movements.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expenses increased 24% during the three months ended March 31, 2023, compared to the similar period in 2022, primarily due to increased fleet costs and the impact of inflation. Our effective tax rates were a provision of 21.4% and 24.2% for the three months ended March 31, 2023 and 2022, respectively. As a result of these items, our net income decreased by $215 million compared to the similar period in 2022. For the three months ended March 31, 2023 and 2022, we reported earnings per diluted share of $7.72 and $9.71, respectively.</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 xml:space="preserve">Operating expenses increased to 51.1% of revenue during the three months ended March 31, 2023 compared to 47.2% during the similar period in 2022, </w:t>
      </w:r>
      <w:r>
        <w:rPr>
          <w:rFonts w:ascii="Arial;sans-serif" w:hAnsi="Arial;sans-serif"/>
          <w:b w:val="false"/>
          <w:color w:val="000000"/>
          <w:sz w:val="20"/>
          <w:highlight w:val="white"/>
        </w:rPr>
        <w:t>primarily due to increased volume and inflation</w:t>
      </w:r>
      <w:r>
        <w:rPr>
          <w:rFonts w:ascii="Arial;sans-serif" w:hAnsi="Arial;sans-serif"/>
          <w:b w:val="false"/>
          <w:color w:val="000000"/>
          <w:sz w:val="20"/>
        </w:rPr>
        <w:t>. Vehicle depreciation and lease charges increased to 10.3% of revenue during the three months ended March 31, 2023 compared to 4.5% during the similar period in 2022, primarily due to increased per unit fleet costs, excluding exchange rate effects, driven by increased fleet levels and depreciation rates. Selling, general and administrative costs increased to 12.7% of revenue during the three months ended March 31, 2023 compared to 11.6% during the similar period in 2022, primarily due to inflation. Vehicle interest costs increased to 5.2% of revenue during the three months ended March 31, 2023, compared to 3.2% during the similar period in 2022, primarily due to rising interest rates and additional funding for vehicles.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Following is a more detailed discussion of the results of each of our reportable segments and reconciliation of net income to Adjusted EBITDA: </w:t>
      </w:r>
    </w:p>
    <w:tbl>
      <w:tblPr>
        <w:tblW w:w="9186" w:type="dxa"/>
        <w:jc w:val="left"/>
        <w:tblInd w:w="0" w:type="dxa"/>
        <w:tblCellMar>
          <w:top w:w="28" w:type="dxa"/>
          <w:left w:w="28" w:type="dxa"/>
          <w:bottom w:w="28" w:type="dxa"/>
          <w:right w:w="28" w:type="dxa"/>
        </w:tblCellMar>
      </w:tblPr>
      <w:tblGrid>
        <w:gridCol w:w="187"/>
        <w:gridCol w:w="164"/>
        <w:gridCol w:w="164"/>
        <w:gridCol w:w="164"/>
        <w:gridCol w:w="164"/>
        <w:gridCol w:w="164"/>
        <w:gridCol w:w="208"/>
        <w:gridCol w:w="208"/>
        <w:gridCol w:w="208"/>
        <w:gridCol w:w="208"/>
        <w:gridCol w:w="208"/>
        <w:gridCol w:w="208"/>
        <w:gridCol w:w="279"/>
        <w:gridCol w:w="815"/>
        <w:gridCol w:w="144"/>
        <w:gridCol w:w="137"/>
        <w:gridCol w:w="137"/>
        <w:gridCol w:w="137"/>
        <w:gridCol w:w="539"/>
        <w:gridCol w:w="1197"/>
        <w:gridCol w:w="281"/>
        <w:gridCol w:w="109"/>
        <w:gridCol w:w="109"/>
        <w:gridCol w:w="109"/>
        <w:gridCol w:w="220"/>
        <w:gridCol w:w="642"/>
        <w:gridCol w:w="114"/>
        <w:gridCol w:w="109"/>
        <w:gridCol w:w="109"/>
        <w:gridCol w:w="109"/>
        <w:gridCol w:w="414"/>
        <w:gridCol w:w="916"/>
        <w:gridCol w:w="305"/>
      </w:tblGrid>
      <w:tr>
        <w:trPr/>
        <w:tc>
          <w:tcPr>
            <w:tcW w:w="1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225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0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5"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(a)</w:t>
            </w:r>
          </w:p>
        </w:tc>
        <w:tc>
          <w:tcPr>
            <w:tcW w:w="10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Company</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2,557 </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2,432 </w:t>
            </w:r>
          </w:p>
        </w:tc>
        <w:tc>
          <w:tcPr>
            <w:tcW w:w="1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1" w:type="dxa"/>
            <w:gridSpan w:val="21"/>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Reconciliation to Adjusted EBITDA</w:t>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921"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1"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1"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2017" w:type="dxa"/>
            <w:gridSpan w:val="3"/>
            <w:tcBorders/>
            <w:shd w:fill="auto" w:val="clear"/>
            <w:vAlign w:val="center"/>
          </w:tcPr>
          <w:p>
            <w:pPr>
              <w:pStyle w:val="TableContents"/>
              <w:spacing w:before="0" w:after="283"/>
              <w:rPr>
                <w:sz w:val="4"/>
                <w:szCs w:val="4"/>
              </w:rPr>
            </w:pPr>
            <w:r>
              <w:rPr>
                <w:sz w:val="4"/>
                <w:szCs w:val="4"/>
              </w:rPr>
            </w:r>
          </w:p>
        </w:tc>
        <w:tc>
          <w:tcPr>
            <w:tcW w:w="3265" w:type="dxa"/>
            <w:gridSpan w:val="12"/>
            <w:tcBorders/>
            <w:shd w:fill="auto" w:val="clea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within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Cloud computing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COVID-19 charges,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Unprecedented personal-injury and other legal matters,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1"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3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0"/>
        <w:ind w:left="0" w:right="0" w:hanging="360"/>
        <w:jc w:val="both"/>
        <w:rPr/>
      </w:pPr>
      <w:r>
        <w:rPr>
          <w:rFonts w:ascii="Arial;sans-serif" w:hAnsi="Arial;sans-serif"/>
          <w:b w:val="false"/>
          <w:color w:val="000000"/>
          <w:sz w:val="10"/>
          <w:highlight w:val="white"/>
        </w:rPr>
        <w:t>(a)</w:t>
      </w:r>
      <w:r>
        <w:rPr>
          <w:rFonts w:ascii="Arial;sans-serif" w:hAnsi="Arial;sans-serif"/>
          <w:b w:val="false"/>
          <w:color w:val="000000"/>
          <w:sz w:val="16"/>
          <w:highlight w:val="white"/>
        </w:rPr>
        <w:t>Includes unallocated corporate overhead which is not attributable to a particular segment.</w:t>
      </w:r>
    </w:p>
    <w:p>
      <w:pPr>
        <w:pStyle w:val="TextBody"/>
        <w:spacing w:lineRule="auto" w:line="288" w:before="0" w:after="20"/>
        <w:ind w:left="0" w:right="0" w:hanging="360"/>
        <w:jc w:val="both"/>
        <w:rPr/>
      </w:pPr>
      <w:r>
        <w:rPr>
          <w:rFonts w:ascii="Arial;sans-serif" w:hAnsi="Arial;sans-serif"/>
          <w:b w:val="false"/>
          <w:color w:val="000000"/>
          <w:sz w:val="10"/>
          <w:highlight w:val="white"/>
        </w:rPr>
        <w:t>(b)</w:t>
      </w:r>
      <w:r>
        <w:rPr>
          <w:rFonts w:ascii="Arial;sans-serif" w:hAnsi="Arial;sans-serif"/>
          <w:b w:val="false"/>
          <w:color w:val="000000"/>
          <w:sz w:val="16"/>
          <w:highlight w:val="white"/>
        </w:rPr>
        <w:t>Primarily consists of fleet related services as well as certain administrative services provided to a former subsidiary.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Americas</w:t>
      </w:r>
    </w:p>
    <w:tbl>
      <w:tblPr>
        <w:tblW w:w="5409" w:type="dxa"/>
        <w:jc w:val="left"/>
        <w:tblInd w:w="0" w:type="dxa"/>
        <w:tblCellMar>
          <w:top w:w="28" w:type="dxa"/>
          <w:left w:w="28" w:type="dxa"/>
          <w:bottom w:w="28" w:type="dxa"/>
          <w:right w:w="28" w:type="dxa"/>
        </w:tblCellMar>
      </w:tblPr>
      <w:tblGrid>
        <w:gridCol w:w="554"/>
        <w:gridCol w:w="487"/>
        <w:gridCol w:w="489"/>
        <w:gridCol w:w="109"/>
        <w:gridCol w:w="109"/>
        <w:gridCol w:w="109"/>
        <w:gridCol w:w="211"/>
        <w:gridCol w:w="616"/>
        <w:gridCol w:w="109"/>
        <w:gridCol w:w="109"/>
        <w:gridCol w:w="109"/>
        <w:gridCol w:w="109"/>
        <w:gridCol w:w="211"/>
        <w:gridCol w:w="616"/>
        <w:gridCol w:w="109"/>
        <w:gridCol w:w="109"/>
        <w:gridCol w:w="109"/>
        <w:gridCol w:w="109"/>
        <w:gridCol w:w="210"/>
        <w:gridCol w:w="211"/>
        <w:gridCol w:w="605"/>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6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ind w:left="0" w:right="0" w:hanging="36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Revenues increased 1% during the three months ended March 31, 2023 compared to the similar period in 2022, primarily due to a 3% increase in volume, partially offset by a 2% decrease in revenue per day.</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highlight w:val="white"/>
        </w:rPr>
        <w:t xml:space="preserve">Operating expenses </w:t>
      </w:r>
      <w:r>
        <w:rPr>
          <w:rFonts w:ascii="Arial;sans-serif" w:hAnsi="Arial;sans-serif"/>
          <w:b w:val="false"/>
          <w:color w:val="000000"/>
          <w:sz w:val="20"/>
        </w:rPr>
        <w:t xml:space="preserve">increased to 50.5% of revenue during the three months ended March 31, 2023 compared to 44.8% during the similar period in 2022, primarily due to increased volume and inflation. Vehicle depreciation and lease charges increased to 8.6% of revenue during the three months ended March 31, 2023 compared to 1.3% during the similar period in 2022, primarily due to increased per-unit fleet costs, driven by increased fleet levels and depreciation rates. Selling, general and administrative costs were 9.8% of revenue, consistent with the similar period in 2022. Vehicle interest costs increased to 5.6% of revenue during the three months ended March 31, 2023 compared to 3.3% during the similar period in 2022, primarily due to rising interest rates and additional funding for vehicles.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Adjusted EBITDA decreased 36% during the three months ended March 31, 2023 compared to the similar period in 2022, primarily due to higher per-unit fleet costs and inflationary pressures. </w:t>
      </w:r>
    </w:p>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International</w:t>
      </w:r>
    </w:p>
    <w:tbl>
      <w:tblPr>
        <w:tblW w:w="5176" w:type="dxa"/>
        <w:jc w:val="left"/>
        <w:tblInd w:w="0" w:type="dxa"/>
        <w:tblCellMar>
          <w:top w:w="28" w:type="dxa"/>
          <w:left w:w="28" w:type="dxa"/>
          <w:bottom w:w="28" w:type="dxa"/>
          <w:right w:w="28" w:type="dxa"/>
        </w:tblCellMar>
      </w:tblPr>
      <w:tblGrid>
        <w:gridCol w:w="554"/>
        <w:gridCol w:w="487"/>
        <w:gridCol w:w="489"/>
        <w:gridCol w:w="109"/>
        <w:gridCol w:w="109"/>
        <w:gridCol w:w="109"/>
        <w:gridCol w:w="213"/>
        <w:gridCol w:w="471"/>
        <w:gridCol w:w="110"/>
        <w:gridCol w:w="110"/>
        <w:gridCol w:w="110"/>
        <w:gridCol w:w="110"/>
        <w:gridCol w:w="213"/>
        <w:gridCol w:w="471"/>
        <w:gridCol w:w="110"/>
        <w:gridCol w:w="110"/>
        <w:gridCol w:w="110"/>
        <w:gridCol w:w="110"/>
        <w:gridCol w:w="233"/>
        <w:gridCol w:w="233"/>
        <w:gridCol w:w="605"/>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6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60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120" w:after="20"/>
        <w:jc w:val="both"/>
        <w:rPr>
          <w:rFonts w:ascii="Arial;sans-serif" w:hAnsi="Arial;sans-serif"/>
          <w:b w:val="false"/>
          <w:color w:val="000000"/>
          <w:sz w:val="20"/>
        </w:rPr>
      </w:pPr>
      <w:r>
        <w:rPr>
          <w:rFonts w:ascii="Arial;sans-serif" w:hAnsi="Arial;sans-serif"/>
          <w:b w:val="false"/>
          <w:color w:val="000000"/>
          <w:sz w:val="20"/>
        </w:rPr>
        <w:t>Revenues increased 25% during the three months ended March 31, 2023, compared to the similar period in 2022, primarily due to 14% increase in revenue per day, excluding exchange rate effects, and a 16% increase in volume, partially offset by a $32 million negative impact from currency exchange rate movements.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Operating expenses decreased to 52.6% of revenue during the three months ended March 31, 2023 compared to 56.0% during the similar period in 2022, primarily due to increased revenues as volume returned</w:t>
      </w:r>
      <w:r>
        <w:rPr>
          <w:rFonts w:ascii="Arial;sans-serif" w:hAnsi="Arial;sans-serif"/>
          <w:b w:val="false"/>
          <w:strike/>
          <w:color w:val="000000"/>
          <w:sz w:val="20"/>
        </w:rPr>
        <w:t>.</w:t>
      </w:r>
      <w:r>
        <w:rPr>
          <w:color w:val="000000"/>
        </w:rPr>
        <w:t xml:space="preserve"> </w:t>
      </w:r>
      <w:r>
        <w:rPr>
          <w:rFonts w:ascii="Arial;sans-serif" w:hAnsi="Arial;sans-serif"/>
          <w:b w:val="false"/>
          <w:color w:val="000000"/>
          <w:sz w:val="20"/>
        </w:rPr>
        <w:t>Vehicle depreciation and lease charges decreased to 16.7% of revenue during the three months ended March 31, 2023 compared to 19.5% during the similar period in 2022, primarily due to increased revenues and improved utilization, partially offset by a 2% increase in per-unit fleet costs, excluding exchange rate effects. Selling, general and administrative costs increased to 17.8% of revenue during the three months ended March 31, 2023 compared to 16.8% during the similar period in 2022, primarily due to the expiration of COVID-19 related relief. Vehicle interest costs increased to 3.8% of revenue during the three months ended March 31, 2023 compared to 2.6% during the similar period in 2022, primarily due to rising interest rates and additional funding for vehicles.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was $27 million higher during the three months ended March 31, 2023 compared to the similar period in 2022, primarily due to increased revenues as volume returned, partially offset by a $7 million negative impact from currency exchange rate movements.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FINANCIAL CONDITION, LIQUIDITY AND CAPITAL RESOURCES</w:t>
      </w:r>
    </w:p>
    <w:p>
      <w:pPr>
        <w:pStyle w:val="TextBody"/>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FINANCIAL CONDITION</w:t>
      </w:r>
    </w:p>
    <w:tbl>
      <w:tblPr>
        <w:tblW w:w="9590" w:type="dxa"/>
        <w:jc w:val="left"/>
        <w:tblInd w:w="0" w:type="dxa"/>
        <w:tblCellMar>
          <w:top w:w="28" w:type="dxa"/>
          <w:left w:w="28" w:type="dxa"/>
          <w:bottom w:w="28" w:type="dxa"/>
          <w:right w:w="28" w:type="dxa"/>
        </w:tblCellMar>
      </w:tblPr>
      <w:tblGrid>
        <w:gridCol w:w="1823"/>
        <w:gridCol w:w="1605"/>
        <w:gridCol w:w="1611"/>
        <w:gridCol w:w="109"/>
        <w:gridCol w:w="109"/>
        <w:gridCol w:w="109"/>
        <w:gridCol w:w="223"/>
        <w:gridCol w:w="652"/>
        <w:gridCol w:w="115"/>
        <w:gridCol w:w="109"/>
        <w:gridCol w:w="109"/>
        <w:gridCol w:w="109"/>
        <w:gridCol w:w="397"/>
        <w:gridCol w:w="1165"/>
        <w:gridCol w:w="207"/>
        <w:gridCol w:w="109"/>
        <w:gridCol w:w="109"/>
        <w:gridCol w:w="109"/>
        <w:gridCol w:w="235"/>
        <w:gridCol w:w="403"/>
        <w:gridCol w:w="173"/>
      </w:tblGrid>
      <w:tr>
        <w:trPr/>
        <w:tc>
          <w:tcPr>
            <w:tcW w:w="1823"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exclusive of assets under vehicle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8,499 </w:t>
            </w:r>
          </w:p>
        </w:tc>
        <w:tc>
          <w:tcPr>
            <w:tcW w:w="2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exclusive of liabilities under vehicle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9,656 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vehicle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17,428 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under vehicle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16,971 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increases in assets and liabilities under vehicle programs are principally related to the increase in the size and cost of our vehicle rental fleet.</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principal sources of liquidity are cash on hand and our ability to generate cash through operations and financing activities, as well as available funding arrangements and committed credit facilities, each of which is discussed below.</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January 2023, our Avis Budget Rental Car Funding (AESOP) LLC subsidiary issued $500 million and $350 million of asset-backed notes to investors with an expected final payment date of April 2028 and October 2026, respectively, with a weighted average interest rate of 5.36% and 5.31%, respectively. The proceeds from these borrowings were used to repay maturing vehicle-backed debt and the acquisition of rental cars in the United States.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April 2023, our Avis Budget Rental Car Funding (AESOP) LLC subsidiary issued $450 million and $550 million of asset-backed notes to investors with an expected final payment date of February 2027 and June 2028, respectively, and a weighted average interest rate of 5.67% and 5.76% respectively, and also amended its asset-backed variable-funding financing facilities to increase its capacity by $750 million. The proceeds from these borrowings will be used to repay maturing vehicle-backed debt and the acquisition of rental cars in the United States.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262626"/>
          <w:sz w:val="20"/>
        </w:rPr>
        <w:t xml:space="preserve">Our Board of Directors has authorized the repurchase of up to </w:t>
      </w:r>
      <w:r>
        <w:rPr>
          <w:rFonts w:ascii="Arial;sans-serif" w:hAnsi="Arial;sans-serif"/>
          <w:b w:val="false"/>
          <w:color w:val="000000"/>
          <w:sz w:val="20"/>
        </w:rPr>
        <w:t>$8.1 billion</w:t>
      </w:r>
      <w:r>
        <w:rPr>
          <w:color w:val="262626"/>
        </w:rPr>
        <w:t xml:space="preserve"> </w:t>
      </w:r>
      <w:r>
        <w:rPr>
          <w:rFonts w:ascii="Arial;sans-serif" w:hAnsi="Arial;sans-serif"/>
          <w:b w:val="false"/>
          <w:color w:val="262626"/>
          <w:sz w:val="20"/>
        </w:rPr>
        <w:t xml:space="preserve">of our common stock under a plan originally approved in 2013 and subsequently expanded, most recently in </w:t>
      </w:r>
      <w:r>
        <w:rPr>
          <w:rFonts w:ascii="Arial;sans-serif" w:hAnsi="Arial;sans-serif"/>
          <w:b w:val="false"/>
          <w:color w:val="000000"/>
          <w:sz w:val="20"/>
          <w:highlight w:val="white"/>
        </w:rPr>
        <w:t>February 2023</w:t>
      </w:r>
      <w:r>
        <w:rPr>
          <w:rFonts w:ascii="Arial;sans-serif" w:hAnsi="Arial;sans-serif"/>
          <w:b w:val="false"/>
          <w:color w:val="000000"/>
          <w:sz w:val="20"/>
        </w:rPr>
        <w:t xml:space="preserve">. </w:t>
      </w:r>
      <w:r>
        <w:rPr>
          <w:rFonts w:ascii="Arial;sans-serif" w:hAnsi="Arial;sans-serif"/>
          <w:b w:val="false"/>
          <w:color w:val="262626"/>
          <w:sz w:val="20"/>
        </w:rPr>
        <w:t>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sans-serif" w:hAnsi="Arial;sans-serif"/>
          <w:b w:val="false"/>
          <w:color w:val="000000"/>
          <w:sz w:val="20"/>
        </w:rPr>
        <w:t xml:space="preserve">uring the three months ended March 31, 2023, </w:t>
      </w:r>
      <w:r>
        <w:rPr>
          <w:rFonts w:ascii="Arial;sans-serif" w:hAnsi="Arial;sans-serif"/>
          <w:b w:val="false"/>
          <w:color w:val="262626"/>
          <w:sz w:val="20"/>
        </w:rPr>
        <w:t>no common stock repurchases were made under the program</w:t>
      </w:r>
      <w:r>
        <w:rPr>
          <w:rFonts w:ascii="Arial;sans-serif" w:hAnsi="Arial;sans-serif"/>
          <w:b w:val="false"/>
          <w:color w:val="000000"/>
          <w:sz w:val="20"/>
        </w:rPr>
        <w:t xml:space="preserve">. As of March 31, 2023, approximately </w:t>
      </w:r>
      <w:r>
        <w:rPr>
          <w:rFonts w:ascii="Arial;sans-serif" w:hAnsi="Arial;sans-serif"/>
          <w:b w:val="false"/>
          <w:color w:val="000000"/>
          <w:sz w:val="20"/>
          <w:highlight w:val="white"/>
        </w:rPr>
        <w:t>$1.7 billion</w:t>
      </w:r>
      <w:r>
        <w:rPr>
          <w:color w:val="000000"/>
        </w:rPr>
        <w:t xml:space="preserve"> </w:t>
      </w:r>
      <w:r>
        <w:rPr>
          <w:rFonts w:ascii="Arial;sans-serif" w:hAnsi="Arial;sans-serif"/>
          <w:b w:val="false"/>
          <w:color w:val="000000"/>
          <w:sz w:val="20"/>
        </w:rPr>
        <w:t>of authorization remained available to repurchase common stock under the program.</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CASH FLOWS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summarizes our cash flows:</w:t>
      </w:r>
    </w:p>
    <w:tbl>
      <w:tblPr>
        <w:tblW w:w="10205" w:type="dxa"/>
        <w:jc w:val="left"/>
        <w:tblInd w:w="0" w:type="dxa"/>
        <w:tblCellMar>
          <w:top w:w="28" w:type="dxa"/>
          <w:left w:w="28" w:type="dxa"/>
          <w:bottom w:w="28" w:type="dxa"/>
          <w:right w:w="28" w:type="dxa"/>
        </w:tblCellMar>
      </w:tblPr>
      <w:tblGrid>
        <w:gridCol w:w="1043"/>
        <w:gridCol w:w="923"/>
        <w:gridCol w:w="923"/>
        <w:gridCol w:w="1350"/>
        <w:gridCol w:w="1350"/>
        <w:gridCol w:w="1327"/>
        <w:gridCol w:w="214"/>
        <w:gridCol w:w="473"/>
        <w:gridCol w:w="109"/>
        <w:gridCol w:w="109"/>
        <w:gridCol w:w="109"/>
        <w:gridCol w:w="109"/>
        <w:gridCol w:w="211"/>
        <w:gridCol w:w="616"/>
        <w:gridCol w:w="109"/>
        <w:gridCol w:w="109"/>
        <w:gridCol w:w="109"/>
        <w:gridCol w:w="109"/>
        <w:gridCol w:w="211"/>
        <w:gridCol w:w="532"/>
        <w:gridCol w:w="160"/>
      </w:tblGrid>
      <w:tr>
        <w:trPr/>
        <w:tc>
          <w:tcPr>
            <w:tcW w:w="104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2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6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w:t>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6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6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60"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changes in exchange rates on cash and cash equivalents, program and restricted cash</w:t>
            </w:r>
          </w:p>
        </w:tc>
        <w:tc>
          <w:tcPr>
            <w:tcW w:w="6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0"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cash and cash equivalents, program and restricted cash</w:t>
            </w:r>
          </w:p>
        </w:tc>
        <w:tc>
          <w:tcPr>
            <w:tcW w:w="6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program and restricted cash, beginning of period</w:t>
            </w:r>
          </w:p>
        </w:tc>
        <w:tc>
          <w:tcPr>
            <w:tcW w:w="6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program and restricted cash, end of period</w:t>
            </w:r>
          </w:p>
        </w:tc>
        <w:tc>
          <w:tcPr>
            <w:tcW w:w="2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cash provided by operating activities during the three months ended March 31, 2023 compared with the similar period in 2022 is primarily due to the decrease in our net income.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cash used in investing activities during the three months ended March 31, 2023 compared with the similar period in 2022 is primarily due to the increase in our net investment in vehicles.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cash provided by financing activities during the three months ended March 31, 2023 compared with the similar period in 2022 is primarily due to the increase in our net borrowings under vehicle programs and decrease in our repurchases of common stock, offset by the decrease in our corporate borrowings.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DEBT AND FINANCING ARRANGEMENTS</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At March 31, 2023, we had</w:t>
      </w:r>
      <w:r>
        <w:rPr>
          <w:color w:val="000000"/>
          <w:highlight w:val="white"/>
        </w:rPr>
        <w:t xml:space="preserve"> </w:t>
      </w:r>
      <w:r>
        <w:rPr>
          <w:rFonts w:ascii="Arial;sans-serif" w:hAnsi="Arial;sans-serif"/>
          <w:b w:val="false"/>
          <w:color w:val="000000"/>
          <w:sz w:val="20"/>
          <w:highlight w:val="white"/>
        </w:rPr>
        <w:t xml:space="preserve">approximately $19.5 billion of indebtedness, including corporate indebtedness of approximately $4.7 billion and debt under vehicle programs of approximately $14.8 billion. </w:t>
      </w:r>
      <w:r>
        <w:rPr>
          <w:rFonts w:ascii="Arial;sans-serif" w:hAnsi="Arial;sans-serif"/>
          <w:b w:val="false"/>
          <w:color w:val="000000"/>
          <w:sz w:val="20"/>
        </w:rPr>
        <w:t>For information regarding our debt and borrowing arrangements, see</w:t>
      </w:r>
      <w:r>
        <w:rPr>
          <w:color w:val="000000"/>
          <w:highlight w:val="white"/>
        </w:rPr>
        <w:t xml:space="preserve"> </w:t>
      </w:r>
      <w:r>
        <w:rPr>
          <w:rFonts w:ascii="Arial;sans-serif" w:hAnsi="Arial;sans-serif"/>
          <w:b w:val="false"/>
          <w:color w:val="000000"/>
          <w:sz w:val="20"/>
          <w:highlight w:val="white"/>
        </w:rPr>
        <w:t xml:space="preserve">Notes 1, 10 and 11 </w:t>
      </w:r>
      <w:r>
        <w:rPr>
          <w:rFonts w:ascii="Arial;sans-serif" w:hAnsi="Arial;sans-serif"/>
          <w:b w:val="false"/>
          <w:color w:val="000000"/>
          <w:sz w:val="20"/>
        </w:rPr>
        <w:t>to our Consolidated Condensed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LIQUIDITY RISK</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liquidity has in the past been, and could in the future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we had $548 million of available cash and cash equivalents and access to available borrowings under our revolving credit facility of approximately $877 million, providing us with access to an approximate $1.4 billion of total liquidity.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highlight w:val="white"/>
        </w:rPr>
        <w:t>Our liquidity position could also be negatively impacted if we are unable to remain in compliance with the consolidated first lien</w:t>
      </w:r>
      <w:r>
        <w:rPr>
          <w:color w:val="000000"/>
        </w:rPr>
        <w:t xml:space="preserve"> </w:t>
      </w:r>
      <w:r>
        <w:rPr>
          <w:rFonts w:ascii="Arial;sans-serif" w:hAnsi="Arial;sans-serif"/>
          <w:b w:val="false"/>
          <w:color w:val="000000"/>
          <w:sz w:val="20"/>
        </w:rPr>
        <w:t>leverage ratio requirement and other covenants associated with our senior credit facilities and other borrowings. As of March 31, 2023, we were in compliance with the financial covenants governing our indebtedness. For additional information regarding our liquidity risks, see Part I, Item 1A, “Risk Factors” of our 2022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CONTRACTUAL OBLIGATIONS</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Our future contractual obligations have not changed significantly from the amounts reported within our 2022 Form 10-K with the exception of our commitment to purchase vehicles, which increased by approximately $2.6 billion from December 31, 2022, to approximately $9.3 billion as of March 31, 2023 due primarily to new model year vehicle purchases. Changes to our obligations related to corporate indebtedness and debt under vehicle programs are presented above within the section titled “Liquidity and Capital Resources—Debt and Financing Arrangements” and also within</w:t>
      </w:r>
      <w:r>
        <w:rPr>
          <w:color w:val="000000"/>
          <w:highlight w:val="white"/>
        </w:rPr>
        <w:t xml:space="preserve"> </w:t>
      </w:r>
      <w:r>
        <w:rPr>
          <w:rFonts w:ascii="Arial;sans-serif" w:hAnsi="Arial;sans-serif"/>
          <w:b w:val="false"/>
          <w:color w:val="000000"/>
          <w:sz w:val="20"/>
          <w:highlight w:val="white"/>
        </w:rPr>
        <w:t>Notes 10 and 11 to our Consolidated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spacing w:lineRule="auto" w:line="288" w:before="180" w:after="283"/>
        <w:rPr>
          <w:rFonts w:ascii="Arial;sans-serif" w:hAnsi="Arial;sans-serif"/>
          <w:b/>
          <w:i/>
          <w:color w:val="000000"/>
          <w:sz w:val="20"/>
        </w:rPr>
      </w:pPr>
      <w:r>
        <w:rPr>
          <w:rFonts w:ascii="Arial;sans-serif" w:hAnsi="Arial;sans-serif"/>
          <w:b/>
          <w:i/>
          <w:color w:val="000000"/>
          <w:sz w:val="20"/>
        </w:rPr>
        <w:t>Accounting Policies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2022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pStyle w:val="TextBody"/>
        <w:spacing w:before="0" w:after="0"/>
        <w:jc w:val="both"/>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New Accounting Standards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detailed information regarding new accounting standards and their impact on our business, see Note 1 to our Consolidated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before="0" w:after="0"/>
        <w:ind w:left="0" w:right="0" w:hanging="900"/>
        <w:rPr/>
      </w:pPr>
      <w:r>
        <w:rPr/>
      </w:r>
    </w:p>
    <w:p>
      <w:pPr>
        <w:pStyle w:val="TextBody"/>
        <w:spacing w:lineRule="auto" w:line="288" w:before="0" w:after="0"/>
        <w:jc w:val="both"/>
        <w:rPr/>
      </w:pPr>
      <w:r>
        <w:rPr>
          <w:rFonts w:ascii="Arial;sans-serif" w:hAnsi="Arial;sans-serif"/>
          <w:b w:val="false"/>
          <w:color w:val="000000"/>
          <w:sz w:val="20"/>
        </w:rPr>
        <w:t xml:space="preserve">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2023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2023. For additional information regarding our long-term borrowings and financial instruments, see </w:t>
      </w:r>
      <w:r>
        <w:rPr>
          <w:rFonts w:ascii="Arial;sans-serif" w:hAnsi="Arial;sans-serif"/>
          <w:b w:val="false"/>
          <w:color w:val="000000"/>
          <w:sz w:val="20"/>
          <w:highlight w:val="white"/>
        </w:rPr>
        <w:t>Notes 10, 11 and 16 to</w:t>
      </w:r>
      <w:r>
        <w:rPr>
          <w:color w:val="000000"/>
        </w:rPr>
        <w:t xml:space="preserve"> </w:t>
      </w:r>
      <w:r>
        <w:rPr>
          <w:rFonts w:ascii="Arial;sans-serif" w:hAnsi="Arial;sans-serif"/>
          <w:b w:val="false"/>
          <w:color w:val="000000"/>
          <w:sz w:val="20"/>
        </w:rPr>
        <w:t>our Consolidated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ind w:left="0" w:right="0" w:hanging="900"/>
        <w:rPr>
          <w:rFonts w:ascii="Arial;sans-serif" w:hAnsi="Arial;sans-serif"/>
          <w:b/>
          <w:color w:val="000000"/>
          <w:sz w:val="20"/>
        </w:rPr>
      </w:pPr>
      <w:r>
        <w:rPr>
          <w:rFonts w:ascii="Arial;sans-serif" w:hAnsi="Arial;sans-serif"/>
          <w:b/>
          <w:color w:val="000000"/>
          <w:sz w:val="20"/>
        </w:rPr>
        <w:t>Item 4.    Controls and Procedures</w:t>
      </w:r>
    </w:p>
    <w:p>
      <w:pPr>
        <w:pStyle w:val="TextBody"/>
        <w:spacing w:before="0" w:after="0"/>
        <w:ind w:left="0" w:right="0" w:hanging="900"/>
        <w:rPr/>
      </w:pPr>
      <w:r>
        <w:rPr/>
      </w:r>
    </w:p>
    <w:p>
      <w:pPr>
        <w:pStyle w:val="TextBody"/>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Disclosure Controls and Procedures.</w:t>
      </w:r>
      <w:r>
        <w:rPr>
          <w:color w:val="000000"/>
        </w:rPr>
        <w:t xml:space="preserve"> </w:t>
      </w:r>
      <w:r>
        <w:rPr>
          <w:rFonts w:ascii="Arial;sans-serif" w:hAnsi="Arial;sans-serif"/>
          <w:b w:val="false"/>
          <w:color w:val="000000"/>
          <w:sz w:val="20"/>
        </w:rPr>
        <w:t>Under the supervision and with the participation of our Chief Executive Officer and Chief Financial 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2023.</w:t>
      </w:r>
    </w:p>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Changes in Internal Control Over Financial Reporting.</w:t>
      </w:r>
      <w:r>
        <w:rPr>
          <w:color w:val="000000"/>
        </w:rPr>
        <w:t> </w:t>
      </w:r>
      <w:r>
        <w:rPr>
          <w:rFonts w:ascii="Arial;sans-serif" w:hAnsi="Arial;sans-serif"/>
          <w:b w:val="false"/>
          <w:color w:val="000000"/>
          <w:sz w:val="20"/>
        </w:rPr>
        <w:t>During the first quarter of 2023, there was no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pPr>
      <w:r>
        <w:rPr>
          <w:rFonts w:ascii="Arial;sans-serif" w:hAnsi="Arial;sans-serif"/>
          <w:b/>
          <w:color w:val="000000"/>
          <w:sz w:val="20"/>
        </w:rPr>
        <w:t>Item 1.</w:t>
      </w:r>
      <w:r>
        <w:rPr>
          <w:color w:val="000000"/>
        </w:rPr>
        <w:t>    </w:t>
      </w:r>
      <w:r>
        <w:rPr>
          <w:rFonts w:ascii="Arial;sans-serif" w:hAnsi="Arial;sans-serif"/>
          <w:b/>
          <w:color w:val="000000"/>
          <w:sz w:val="20"/>
        </w:rPr>
        <w:t>Legal Proceedings</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For information regarding our legal proceedings, see Note 12 – Commitments and Contingencies</w:t>
      </w:r>
      <w:r>
        <w:rPr>
          <w:color w:val="000000"/>
          <w:highlight w:val="white"/>
        </w:rPr>
        <w:t xml:space="preserve"> </w:t>
      </w:r>
      <w:r>
        <w:rPr>
          <w:rFonts w:ascii="Arial;sans-serif" w:hAnsi="Arial;sans-serif"/>
          <w:b w:val="false"/>
          <w:color w:val="000000"/>
          <w:sz w:val="20"/>
          <w:highlight w:val="white"/>
        </w:rPr>
        <w:t>t</w:t>
      </w:r>
      <w:r>
        <w:rPr>
          <w:rFonts w:ascii="Arial;sans-serif" w:hAnsi="Arial;sans-serif"/>
          <w:b w:val="false"/>
          <w:color w:val="000000"/>
          <w:sz w:val="20"/>
        </w:rPr>
        <w:t>o our Consolidated Condensed Financial Statements and refer to our 2022 Form 10-K.</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pPr>
      <w:r>
        <w:rPr>
          <w:rFonts w:ascii="Arial;sans-serif" w:hAnsi="Arial;sans-serif"/>
          <w:b/>
          <w:color w:val="000000"/>
          <w:sz w:val="20"/>
        </w:rPr>
        <w:t>Item 1A.</w:t>
      </w:r>
      <w:r>
        <w:rPr>
          <w:color w:val="000000"/>
        </w:rPr>
        <w:t>    </w:t>
      </w:r>
      <w:r>
        <w:rPr>
          <w:rFonts w:ascii="Arial;sans-serif" w:hAnsi="Arial;sans-serif"/>
          <w:b/>
          <w:color w:val="000000"/>
          <w:sz w:val="20"/>
        </w:rPr>
        <w:t>Risk Factors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we had no material developments to report with respect to our risk factors. For additional information regarding our risk factors, please refer to our 2022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jc w:val="both"/>
        <w:rPr/>
      </w:pPr>
      <w:r>
        <w:rPr>
          <w:rFonts w:ascii="Arial;sans-serif" w:hAnsi="Arial;sans-serif"/>
          <w:b w:val="false"/>
          <w:color w:val="262626"/>
          <w:sz w:val="20"/>
        </w:rPr>
        <w:t>The Company’s Board of Directors has authorized the repurchase of up t</w:t>
      </w:r>
      <w:r>
        <w:rPr>
          <w:rFonts w:ascii="Arial;sans-serif" w:hAnsi="Arial;sans-serif"/>
          <w:b w:val="false"/>
          <w:color w:val="262626"/>
          <w:sz w:val="20"/>
          <w:highlight w:val="white"/>
        </w:rPr>
        <w:t>o</w:t>
      </w:r>
      <w:r>
        <w:rPr>
          <w:color w:val="262626"/>
        </w:rPr>
        <w:t xml:space="preserve"> </w:t>
      </w:r>
      <w:r>
        <w:rPr>
          <w:rFonts w:ascii="Arial;sans-serif" w:hAnsi="Arial;sans-serif"/>
          <w:b w:val="false"/>
          <w:color w:val="000000"/>
          <w:sz w:val="20"/>
        </w:rPr>
        <w:t>$8.1 billion</w:t>
      </w:r>
      <w:r>
        <w:rPr>
          <w:color w:val="262626"/>
        </w:rPr>
        <w:t xml:space="preserve"> </w:t>
      </w:r>
      <w:r>
        <w:rPr>
          <w:rFonts w:ascii="Arial;sans-serif" w:hAnsi="Arial;sans-serif"/>
          <w:b w:val="false"/>
          <w:color w:val="262626"/>
          <w:sz w:val="20"/>
          <w:highlight w:val="white"/>
        </w:rPr>
        <w:t xml:space="preserve">of our common stock under a plan originally approved in 2013 and subsequently expanded, most recently in </w:t>
      </w:r>
      <w:r>
        <w:rPr>
          <w:rFonts w:ascii="Arial;sans-serif" w:hAnsi="Arial;sans-serif"/>
          <w:b w:val="false"/>
          <w:color w:val="000000"/>
          <w:sz w:val="20"/>
          <w:highlight w:val="white"/>
        </w:rPr>
        <w:t>February 2023</w:t>
      </w:r>
      <w:r>
        <w:rPr>
          <w:rFonts w:ascii="Arial;sans-serif" w:hAnsi="Arial;sans-serif"/>
          <w:b w:val="false"/>
          <w:color w:val="262626"/>
          <w:sz w:val="20"/>
          <w:highlight w:val="white"/>
        </w:rPr>
        <w:t>. Under our</w:t>
      </w:r>
      <w:r>
        <w:rPr>
          <w:color w:val="262626"/>
        </w:rPr>
        <w:t xml:space="preserve"> </w:t>
      </w:r>
      <w:r>
        <w:rPr>
          <w:rFonts w:ascii="Arial;sans-serif" w:hAnsi="Arial;sans-serif"/>
          <w:b w:val="false"/>
          <w:color w:val="262626"/>
          <w:sz w:val="20"/>
        </w:rPr>
        <w:t xml:space="preserve">stock repurchase program, the Company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 During the first quarter of 2023, no common stock repurchases were made under the program. As of March 31, 2023, approximately </w:t>
      </w:r>
      <w:r>
        <w:rPr>
          <w:rFonts w:ascii="Arial;sans-serif" w:hAnsi="Arial;sans-serif"/>
          <w:b w:val="false"/>
          <w:color w:val="000000"/>
          <w:sz w:val="20"/>
          <w:highlight w:val="white"/>
        </w:rPr>
        <w:t>$1.7 billion</w:t>
      </w:r>
      <w:r>
        <w:rPr>
          <w:color w:val="262626"/>
        </w:rPr>
        <w:t xml:space="preserve"> </w:t>
      </w:r>
      <w:r>
        <w:rPr>
          <w:rFonts w:ascii="Arial;sans-serif" w:hAnsi="Arial;sans-serif"/>
          <w:b w:val="false"/>
          <w:color w:val="262626"/>
          <w:sz w:val="20"/>
        </w:rPr>
        <w:t xml:space="preserve">of authorization remained available to repurchase common stock under this program.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Arial;sans-serif" w:hAnsi="Arial;sans-serif"/>
          <w:b/>
          <w:color w:val="000000"/>
          <w:sz w:val="20"/>
        </w:rPr>
      </w:pPr>
      <w:r>
        <w:rPr>
          <w:rFonts w:ascii="Arial;sans-serif" w:hAnsi="Arial;sans-serif"/>
          <w:b/>
          <w:color w:val="000000"/>
          <w:sz w:val="20"/>
        </w:rPr>
        <w:t>Item 6.    Exhibits</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See Exhibit Index.</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before="0" w:after="0"/>
        <w:jc w:val="center"/>
        <w:rPr/>
      </w:pPr>
      <w:r>
        <w:rPr/>
      </w:r>
    </w:p>
    <w:p>
      <w:pPr>
        <w:pStyle w:val="TextBody"/>
        <w:spacing w:lineRule="auto" w:line="288" w:before="0" w:after="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r>
        <w:rPr>
          <w:color w:val="000000"/>
        </w:rPr>
        <w:t> </w:t>
      </w:r>
    </w:p>
    <w:p>
      <w:pPr>
        <w:pStyle w:val="TextBody"/>
        <w:spacing w:before="0" w:after="0"/>
        <w:rPr/>
      </w:pPr>
      <w:r>
        <w:rPr/>
      </w:r>
    </w:p>
    <w:tbl>
      <w:tblPr>
        <w:tblW w:w="5183" w:type="dxa"/>
        <w:jc w:val="left"/>
        <w:tblInd w:w="0" w:type="dxa"/>
        <w:tblCellMar>
          <w:top w:w="28" w:type="dxa"/>
          <w:left w:w="28" w:type="dxa"/>
          <w:bottom w:w="28" w:type="dxa"/>
          <w:right w:w="28" w:type="dxa"/>
        </w:tblCellMar>
      </w:tblPr>
      <w:tblGrid>
        <w:gridCol w:w="211"/>
        <w:gridCol w:w="186"/>
        <w:gridCol w:w="188"/>
        <w:gridCol w:w="394"/>
        <w:gridCol w:w="394"/>
        <w:gridCol w:w="396"/>
        <w:gridCol w:w="109"/>
        <w:gridCol w:w="109"/>
        <w:gridCol w:w="109"/>
        <w:gridCol w:w="109"/>
        <w:gridCol w:w="109"/>
        <w:gridCol w:w="109"/>
        <w:gridCol w:w="807"/>
        <w:gridCol w:w="807"/>
        <w:gridCol w:w="1146"/>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AVIS BUDGET GROUP, INC.</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Cathleen DeGenova</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Cathleen DeGenova</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w:t>
            </w:r>
          </w:p>
        </w:tc>
      </w:tr>
      <w:tr>
        <w:trPr/>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Accounting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pPr>
      <w:r>
        <w:rPr>
          <w:rFonts w:ascii="Arial;sans-serif" w:hAnsi="Arial;sans-serif"/>
          <w:b/>
          <w:color w:val="000000"/>
          <w:sz w:val="18"/>
        </w:rPr>
        <w:t>Exhibit Index</w:t>
      </w:r>
      <w:r>
        <w:rPr>
          <w:color w:val="000000"/>
        </w:rPr>
        <w:t> </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3"/>
        <w:gridCol w:w="241"/>
        <w:gridCol w:w="242"/>
        <w:gridCol w:w="2893"/>
        <w:gridCol w:w="2704"/>
        <w:gridCol w:w="3852"/>
      </w:tblGrid>
      <w:tr>
        <w:trPr/>
        <w:tc>
          <w:tcPr>
            <w:tcW w:w="27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3852" w:type="dxa"/>
            <w:tcBorders/>
            <w:shd w:fill="auto" w:val="clear"/>
            <w:vAlign w:val="center"/>
          </w:tcPr>
          <w:p>
            <w:pPr>
              <w:pStyle w:val="TableContents"/>
              <w:spacing w:before="0" w:after="283"/>
              <w:rPr>
                <w:sz w:val="4"/>
                <w:szCs w:val="4"/>
              </w:rPr>
            </w:pPr>
            <w:r>
              <w:rPr>
                <w:sz w:val="4"/>
                <w:szCs w:val="4"/>
              </w:rPr>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2">
              <w:r>
                <w:rPr>
                  <w:rStyle w:val="InternetLink"/>
                  <w:rFonts w:ascii="Arial;sans-serif" w:hAnsi="Arial;sans-serif"/>
                  <w:b w:val="false"/>
                  <w:color w:val="0000FF"/>
                  <w:sz w:val="18"/>
                  <w:u w:val="single"/>
                </w:rPr>
                <w:t>Amended and Restated Certificate of Incorporation of Avis Budget Group, Inc. (incorporated by reference to Exhibit 3.1 to the Company’s Current Report on Form 8-K dated September 5, 2006).</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3">
              <w:r>
                <w:rPr>
                  <w:rStyle w:val="InternetLink"/>
                  <w:rFonts w:ascii="Arial;sans-serif" w:hAnsi="Arial;sans-serif"/>
                  <w:b w:val="false"/>
                  <w:color w:val="0000FF"/>
                  <w:sz w:val="18"/>
                  <w:u w:val="single"/>
                </w:rPr>
                <w:t>Amended and Restated Bylaws of Avis Budget Group, Inc., dated as of August 10, 2020 (incorporated by reference to Exhibit 3.2 to the Company’s Current Report on Form 8-K dated August 13, 2020).</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4">
              <w:r>
                <w:rPr>
                  <w:rStyle w:val="InternetLink"/>
                  <w:rFonts w:ascii="Arial;sans-serif" w:hAnsi="Arial;sans-serif"/>
                  <w:b w:val="false"/>
                  <w:color w:val="0000FF"/>
                  <w:sz w:val="18"/>
                  <w:u w:val="single"/>
                </w:rPr>
                <w:t>Avis Budget Group, Inc. Supplemental Savings Plan, amended and restated as of January 1, 2023 (incorporated by reference to Exhibit 10.18 to the Company’s Annual Report on Form 10-K for the year ended December 31, 2022, dated February 16, 2023). †</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5">
              <w:r>
                <w:rPr>
                  <w:rStyle w:val="InternetLink"/>
                  <w:rFonts w:ascii="Arial;sans-serif" w:hAnsi="Arial;sans-serif"/>
                  <w:b w:val="false"/>
                  <w:color w:val="0000FF"/>
                  <w:sz w:val="18"/>
                  <w:u w:val="single"/>
                </w:rPr>
                <w:t>Series 2023-1 Supplement, dated as of January 17, 2023, between Avis Budget Rental Car Funding (AESOP) LLC and The Bank of New York Mellon Trust Company, N.A., as trustee and as Series 2023-1 Agent (incorporated by reference to Exhibit 10.1 to the Company’s Current Report on Form 8-K dated January 20, 2023).</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6">
              <w:r>
                <w:rPr>
                  <w:rStyle w:val="InternetLink"/>
                  <w:rFonts w:ascii="Arial;sans-serif" w:hAnsi="Arial;sans-serif"/>
                  <w:b w:val="false"/>
                  <w:color w:val="0000FF"/>
                  <w:sz w:val="18"/>
                  <w:u w:val="single"/>
                </w:rPr>
                <w:t>Series 2023-2 Supplement, dated as of January 17, 2023, between Avis Budget Rental Car Funding (AESOP) LLC and The Bank of New York Mellon Trust Company, N.A., as trustee and as Series 2023-2 Agent (incorporated by reference to Exhibit 10.2 to the Company’s Current Report on Form 8-K dated January 20, 2023).</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7">
              <w:r>
                <w:rPr>
                  <w:rStyle w:val="InternetLink"/>
                  <w:rFonts w:ascii="Arial;sans-serif" w:hAnsi="Arial;sans-serif"/>
                  <w:b w:val="false"/>
                  <w:color w:val="0000FF"/>
                  <w:sz w:val="18"/>
                  <w:u w:val="single"/>
                </w:rPr>
                <w:t>Fourth Amendment, dated as of February 6, 2023,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10.76 to the Company’s Annual Report on Form 10-K for the year ended December 31, 2022, dated February 16, 2023).</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8">
              <w:r>
                <w:rPr>
                  <w:rStyle w:val="InternetLink"/>
                  <w:rFonts w:ascii="Arial;sans-serif" w:hAnsi="Arial;sans-serif"/>
                  <w:b w:val="false"/>
                  <w:color w:val="0000FF"/>
                  <w:sz w:val="18"/>
                  <w:u w:val="single"/>
                </w:rPr>
                <w:t>First Amendment to the Fifth Amended and Restated Series 2010-6 Supplement, dated as of March 30, 2023, by and among Avis Budget Rental Car Funding (AESOP) LLC, as Issuer,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2010-6 Agent (incorporated by reference to Exhibit 10.1 to the Company’s Current Report on Form 8-K dated April 4, 2023).</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r:id="rId9">
              <w:r>
                <w:rPr>
                  <w:rStyle w:val="InternetLink"/>
                  <w:rFonts w:ascii="Arial;sans-serif" w:hAnsi="Arial;sans-serif"/>
                  <w:b w:val="false"/>
                  <w:color w:val="0000FF"/>
                  <w:sz w:val="18"/>
                  <w:u w:val="single"/>
                </w:rPr>
                <w:t>First Amendment to the Third Amended and Restated Series 2015-3 Supplement, dated as of March 30, 2023, by and among Avis Budget Rental Car Funding (AESOP) LLC, as Issuer,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2015-3 Agent (incorporated by reference to Exhibit 10.2 to the Company’s Current Report on Form 8-K dated April 4, 2023).</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w:anchor="exhibit311.htm">
              <w:r>
                <w:rPr>
                  <w:rStyle w:val="InternetLink"/>
                  <w:rFonts w:ascii="Arial;sans-serif" w:hAnsi="Arial;sans-serif"/>
                  <w:b w:val="false"/>
                  <w:color w:val="0000FF"/>
                  <w:sz w:val="18"/>
                  <w:u w:val="single"/>
                </w:rPr>
                <w:t>Certification of Chief Executive Officer pursuant to Rules 13(a)-14(a) and 15(d)-14(a) promulgated under the Securities Exchange Act of 1934, as amended.</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w:anchor="exhibit312.htm">
              <w:r>
                <w:rPr>
                  <w:rStyle w:val="InternetLink"/>
                  <w:rFonts w:ascii="Arial;sans-serif" w:hAnsi="Arial;sans-serif"/>
                  <w:b w:val="false"/>
                  <w:color w:val="0000FF"/>
                  <w:sz w:val="18"/>
                  <w:u w:val="single"/>
                </w:rPr>
                <w:t>Certification of Chief Financial Officer pursuant to Rules 13(a)-14(a) and 15(d)-14(a) promulgated under the Securities Exchange Act of 1934, as amended.</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pPr>
            <w:hyperlink w:anchor="exhibit32.htm">
              <w:r>
                <w:rPr>
                  <w:rStyle w:val="InternetLink"/>
                  <w:rFonts w:ascii="Arial;sans-serif" w:hAnsi="Arial;sans-serif"/>
                  <w:b w:val="false"/>
                  <w:color w:val="0000FF"/>
                  <w:sz w:val="18"/>
                  <w:u w:val="single"/>
                </w:rPr>
                <w:t>Certification pursuant to 18 U.S.C. Section 1350, as adopted pursuant to Section 906 of the Sarbanes-Oxley Act of 2002.</w:t>
              </w:r>
            </w:hyperlink>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w:t>
            </w:r>
          </w:p>
        </w:tc>
      </w:tr>
      <w:tr>
        <w:trPr/>
        <w:tc>
          <w:tcPr>
            <w:tcW w:w="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(formatted as Inline XBRL and contained in Exhibit 101)</w:t>
            </w:r>
          </w:p>
        </w:tc>
      </w:tr>
      <w:tr>
        <w:trPr/>
        <w:tc>
          <w:tcPr>
            <w:tcW w:w="7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Denotes management contract or compensatory plan.</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spacing w:before="0" w:after="0"/>
        <w:rPr/>
      </w:pPr>
      <w:r>
        <w:rPr/>
      </w:r>
    </w:p>
    <w:p>
      <w:pPr>
        <w:pStyle w:val="TextBody"/>
        <w:spacing w:lineRule="auto" w:line="288" w:before="100" w:after="100"/>
        <w:rPr>
          <w:rFonts w:ascii="Arial;sans-serif" w:hAnsi="Arial;sans-serif"/>
          <w:b w:val="false"/>
          <w:color w:val="000000"/>
          <w:sz w:val="20"/>
        </w:rPr>
      </w:pPr>
      <w:r>
        <w:rPr>
          <w:rFonts w:ascii="Arial;sans-serif" w:hAnsi="Arial;sans-serif"/>
          <w:b w:val="false"/>
          <w:color w:val="000000"/>
          <w:sz w:val="20"/>
        </w:rPr>
        <w:t>I, Joseph A. Ferraro, certify that:</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Avis Budget Group, Inc.;</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Date: May 2, 2023</w:t>
      </w:r>
    </w:p>
    <w:p>
      <w:pPr>
        <w:pStyle w:val="TextBody"/>
        <w:spacing w:lineRule="auto" w:line="288" w:before="0" w:after="0"/>
        <w:rPr>
          <w:color w:val="000000"/>
        </w:rPr>
      </w:pPr>
      <w:r>
        <w:rPr>
          <w:color w:val="000000"/>
        </w:rPr>
        <w:t> </w:t>
      </w:r>
    </w:p>
    <w:tbl>
      <w:tblPr>
        <w:tblW w:w="3450" w:type="dxa"/>
        <w:jc w:val="center"/>
        <w:tblInd w:w="0" w:type="dxa"/>
        <w:tblCellMar>
          <w:top w:w="28" w:type="dxa"/>
          <w:left w:w="28" w:type="dxa"/>
          <w:bottom w:w="28" w:type="dxa"/>
          <w:right w:w="28" w:type="dxa"/>
        </w:tblCellMar>
      </w:tblPr>
      <w:tblGrid>
        <w:gridCol w:w="1104"/>
        <w:gridCol w:w="970"/>
        <w:gridCol w:w="1376"/>
      </w:tblGrid>
      <w:tr>
        <w:trPr/>
        <w:tc>
          <w:tcPr>
            <w:tcW w:w="1104"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Joseph A. Ferraro</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 Brian Choi, certify that: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Avis Budget Group, Inc.;</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Date: May 2, 2023</w:t>
      </w:r>
    </w:p>
    <w:p>
      <w:pPr>
        <w:pStyle w:val="TextBody"/>
        <w:spacing w:lineRule="auto" w:line="288" w:before="0" w:after="0"/>
        <w:rPr>
          <w:color w:val="000000"/>
        </w:rPr>
      </w:pPr>
      <w:r>
        <w:rPr>
          <w:color w:val="000000"/>
        </w:rPr>
        <w:t> </w:t>
      </w:r>
    </w:p>
    <w:tbl>
      <w:tblPr>
        <w:tblW w:w="4739" w:type="dxa"/>
        <w:jc w:val="center"/>
        <w:tblInd w:w="0" w:type="dxa"/>
        <w:tblCellMar>
          <w:top w:w="28" w:type="dxa"/>
          <w:left w:w="28" w:type="dxa"/>
          <w:bottom w:w="28" w:type="dxa"/>
          <w:right w:w="28" w:type="dxa"/>
        </w:tblCellMar>
      </w:tblPr>
      <w:tblGrid>
        <w:gridCol w:w="1519"/>
        <w:gridCol w:w="1331"/>
        <w:gridCol w:w="1889"/>
      </w:tblGrid>
      <w:tr>
        <w:trPr/>
        <w:tc>
          <w:tcPr>
            <w:tcW w:w="151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Brian Choi</w:t>
            </w:r>
          </w:p>
        </w:tc>
      </w:tr>
      <w:tr>
        <w:trPr/>
        <w:tc>
          <w:tcPr>
            <w:tcW w:w="4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w:t>
      </w:r>
    </w:p>
    <w:p>
      <w:pPr>
        <w:pStyle w:val="TextBody"/>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lineRule="auto" w:line="288" w:before="180" w:after="283"/>
        <w:rPr>
          <w:rFonts w:ascii="Arial;sans-serif" w:hAnsi="Arial;sans-serif"/>
          <w:b w:val="false"/>
          <w:color w:val="000000"/>
          <w:sz w:val="20"/>
        </w:rPr>
      </w:pPr>
      <w:r>
        <w:rPr>
          <w:rFonts w:ascii="Arial;sans-serif" w:hAnsi="Arial;sans-serif"/>
          <w:b w:val="false"/>
          <w:color w:val="000000"/>
          <w:sz w:val="20"/>
        </w:rPr>
        <w:t>In connection with the Quarterly Report of Avis Budget Group, Inc. (the “Company”) on Form 10-Q for the period ended March 31, 2023,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360"/>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spacing w:before="180" w:after="283"/>
        <w:rPr/>
      </w:pPr>
      <w:r>
        <w:rPr/>
      </w:r>
    </w:p>
    <w:tbl>
      <w:tblPr>
        <w:tblW w:w="4739" w:type="dxa"/>
        <w:jc w:val="left"/>
        <w:tblInd w:w="0" w:type="dxa"/>
        <w:tblCellMar>
          <w:top w:w="28" w:type="dxa"/>
          <w:left w:w="28" w:type="dxa"/>
          <w:bottom w:w="28" w:type="dxa"/>
          <w:right w:w="28" w:type="dxa"/>
        </w:tblCellMar>
      </w:tblPr>
      <w:tblGrid>
        <w:gridCol w:w="1514"/>
        <w:gridCol w:w="1330"/>
        <w:gridCol w:w="1895"/>
      </w:tblGrid>
      <w:tr>
        <w:trPr/>
        <w:tc>
          <w:tcPr>
            <w:tcW w:w="1514"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JOSEPH A. FERRARO</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Ferraro</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 2023</w:t>
            </w:r>
          </w:p>
        </w:tc>
      </w:tr>
      <w:tr>
        <w:trPr/>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BRIAN CHOI</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Brian Choi</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 2023</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23612/000072361206000058/articles.htm" TargetMode="External"/><Relationship Id="rId3" Type="http://schemas.openxmlformats.org/officeDocument/2006/relationships/hyperlink" Target="http://www.sec.gov/Archives/edgar/data/723612/000119312520218349/d84038dex32.htm" TargetMode="External"/><Relationship Id="rId4" Type="http://schemas.openxmlformats.org/officeDocument/2006/relationships/hyperlink" Target="http://www.sec.gov/Archives/edgar/data/723612/000072361223000015/exhibit1018-supplementalsa.htm" TargetMode="External"/><Relationship Id="rId5" Type="http://schemas.openxmlformats.org/officeDocument/2006/relationships/hyperlink" Target="http://www.sec.gov/Archives/edgar/data/723612/000095014223000177/eh230319711_ex1001.htm" TargetMode="External"/><Relationship Id="rId6" Type="http://schemas.openxmlformats.org/officeDocument/2006/relationships/hyperlink" Target="http://www.sec.gov/Archives/edgar/data/723612/000095014223000177/eh230319711_ex1002.htm" TargetMode="External"/><Relationship Id="rId7" Type="http://schemas.openxmlformats.org/officeDocument/2006/relationships/hyperlink" Target="http://www.sec.gov/Archives/edgar/data/723612/000072361223000015/exhibit1076-fourthamendment.htm" TargetMode="External"/><Relationship Id="rId8" Type="http://schemas.openxmlformats.org/officeDocument/2006/relationships/hyperlink" Target="http://www.sec.gov/Archives/edgar/data/723612/000095014223000959/eh230344743_ex1001.htm" TargetMode="External"/><Relationship Id="rId9" Type="http://schemas.openxmlformats.org/officeDocument/2006/relationships/hyperlink" Target="http://www.sec.gov/Archives/edgar/data/723612/000095014223000959/eh230344743_ex10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16159</Words>
  <CharactersWithSpaces>104139</CharactersWithSpaces>
  <Paragraphs>2250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