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429260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454660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WASHINGTON, D.C. 20549</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32"/>
                <w:szCs w:val="32"/>
                <w:b w:val="1"/>
                <w:bCs w:val="1"/>
                <w:color w:val="auto"/>
              </w:rPr>
              <w:t>Form 10-Q</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120" w:type="dxa"/>
            <w:vAlign w:val="bottom"/>
            <w:vMerge w:val="restart"/>
          </w:tcPr>
          <w:p>
            <w:pPr>
              <w:ind w:left="460"/>
              <w:spacing w:after="0" w:line="201" w:lineRule="exact"/>
              <w:rPr>
                <w:sz w:val="20"/>
                <w:szCs w:val="20"/>
                <w:color w:val="auto"/>
              </w:rPr>
            </w:pPr>
            <w:r>
              <w:rPr>
                <w:rFonts w:ascii="MS PGothic" w:cs="MS PGothic" w:eastAsia="MS PGothic" w:hAnsi="MS PGothic"/>
                <w:sz w:val="20"/>
                <w:szCs w:val="20"/>
                <w:color w:val="auto"/>
              </w:rPr>
              <w:t>☒</w:t>
            </w:r>
          </w:p>
        </w:tc>
        <w:tc>
          <w:tcPr>
            <w:tcW w:w="2360" w:type="dxa"/>
            <w:vAlign w:val="bottom"/>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69"/>
        </w:trPr>
        <w:tc>
          <w:tcPr>
            <w:tcW w:w="2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 the quarterly period ended June 30, 2022</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2120" w:type="dxa"/>
            <w:vAlign w:val="bottom"/>
            <w:vMerge w:val="restart"/>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OR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74"/>
        </w:trPr>
        <w:tc>
          <w:tcPr>
            <w:tcW w:w="2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For the transition period from _____ to _____</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Commission File No. 001-10308</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00"/>
              <w:spacing w:after="0"/>
              <w:rPr>
                <w:sz w:val="20"/>
                <w:szCs w:val="20"/>
                <w:color w:val="auto"/>
              </w:rPr>
            </w:pPr>
            <w:r>
              <w:rPr>
                <w:rFonts w:ascii="Arial" w:cs="Arial" w:eastAsia="Arial" w:hAnsi="Arial"/>
                <w:sz w:val="25"/>
                <w:szCs w:val="25"/>
                <w:b w:val="1"/>
                <w:bCs w:val="1"/>
                <w:color w:val="auto"/>
              </w:rPr>
              <w:t>Avis Budget Group, Inc.</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Delaware</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jc w:val="right"/>
              <w:ind w:right="868"/>
              <w:spacing w:after="0"/>
              <w:rPr>
                <w:sz w:val="20"/>
                <w:szCs w:val="20"/>
                <w:color w:val="auto"/>
              </w:rPr>
            </w:pPr>
            <w:r>
              <w:rPr>
                <w:rFonts w:ascii="Arial" w:cs="Arial" w:eastAsia="Arial" w:hAnsi="Arial"/>
                <w:sz w:val="14"/>
                <w:szCs w:val="14"/>
                <w:b w:val="1"/>
                <w:bCs w:val="1"/>
                <w:color w:val="auto"/>
              </w:rPr>
              <w:t>06-0918165</w:t>
            </w:r>
          </w:p>
        </w:tc>
        <w:tc>
          <w:tcPr>
            <w:tcW w:w="0" w:type="dxa"/>
            <w:vAlign w:val="bottom"/>
          </w:tcPr>
          <w:p>
            <w:pPr>
              <w:spacing w:after="0"/>
              <w:rPr>
                <w:sz w:val="1"/>
                <w:szCs w:val="1"/>
                <w:color w:val="auto"/>
              </w:rPr>
            </w:pPr>
          </w:p>
        </w:tc>
      </w:tr>
      <w:tr>
        <w:trPr>
          <w:trHeight w:val="157"/>
        </w:trPr>
        <w:tc>
          <w:tcPr>
            <w:tcW w:w="3740" w:type="dxa"/>
            <w:vAlign w:val="bottom"/>
            <w:gridSpan w:val="2"/>
          </w:tcPr>
          <w:p>
            <w:pPr>
              <w:jc w:val="center"/>
              <w:ind w:right="14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7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60" w:type="dxa"/>
            <w:vAlign w:val="bottom"/>
          </w:tcPr>
          <w:p>
            <w:pPr>
              <w:jc w:val="center"/>
              <w:ind w:left="548"/>
              <w:spacing w:after="0" w:line="157" w:lineRule="exact"/>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87"/>
        </w:trPr>
        <w:tc>
          <w:tcPr>
            <w:tcW w:w="3740" w:type="dxa"/>
            <w:vAlign w:val="bottom"/>
            <w:gridSpan w:val="2"/>
          </w:tcPr>
          <w:p>
            <w:pPr>
              <w:jc w:val="center"/>
              <w:ind w:right="148"/>
              <w:spacing w:after="0"/>
              <w:rPr>
                <w:sz w:val="20"/>
                <w:szCs w:val="20"/>
                <w:color w:val="auto"/>
              </w:rPr>
            </w:pPr>
            <w:r>
              <w:rPr>
                <w:rFonts w:ascii="Arial" w:cs="Arial" w:eastAsia="Arial" w:hAnsi="Arial"/>
                <w:sz w:val="14"/>
                <w:szCs w:val="14"/>
                <w:i w:val="1"/>
                <w:iCs w:val="1"/>
                <w:color w:val="auto"/>
              </w:rPr>
              <w:t>incorporation or organization)</w:t>
            </w: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Identification Number)</w:t>
            </w:r>
          </w:p>
        </w:tc>
        <w:tc>
          <w:tcPr>
            <w:tcW w:w="0" w:type="dxa"/>
            <w:vAlign w:val="bottom"/>
          </w:tcPr>
          <w:p>
            <w:pPr>
              <w:spacing w:after="0"/>
              <w:rPr>
                <w:sz w:val="1"/>
                <w:szCs w:val="1"/>
                <w:color w:val="auto"/>
              </w:rPr>
            </w:pPr>
          </w:p>
        </w:tc>
      </w:tr>
      <w:tr>
        <w:trPr>
          <w:trHeight w:val="196"/>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6 Sylvan Way</w:t>
            </w: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1060"/>
              <w:spacing w:after="0"/>
              <w:rPr>
                <w:sz w:val="20"/>
                <w:szCs w:val="20"/>
                <w:color w:val="auto"/>
              </w:rPr>
            </w:pPr>
            <w:r>
              <w:rPr>
                <w:rFonts w:ascii="Arial" w:cs="Arial" w:eastAsia="Arial" w:hAnsi="Arial"/>
                <w:sz w:val="14"/>
                <w:szCs w:val="14"/>
                <w:b w:val="1"/>
                <w:bCs w:val="1"/>
                <w:color w:val="auto"/>
              </w:rPr>
              <w:t>Parsippany,</w:t>
            </w:r>
          </w:p>
        </w:tc>
        <w:tc>
          <w:tcPr>
            <w:tcW w:w="1620" w:type="dxa"/>
            <w:vAlign w:val="bottom"/>
          </w:tcPr>
          <w:p>
            <w:pPr>
              <w:spacing w:after="0"/>
              <w:rPr>
                <w:sz w:val="20"/>
                <w:szCs w:val="20"/>
                <w:color w:val="auto"/>
              </w:rPr>
            </w:pPr>
            <w:r>
              <w:rPr>
                <w:rFonts w:ascii="Arial" w:cs="Arial" w:eastAsia="Arial" w:hAnsi="Arial"/>
                <w:sz w:val="14"/>
                <w:szCs w:val="14"/>
                <w:b w:val="1"/>
                <w:bCs w:val="1"/>
                <w:color w:val="auto"/>
              </w:rPr>
              <w:t>NJ</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jc w:val="right"/>
              <w:ind w:right="1048"/>
              <w:spacing w:after="0"/>
              <w:rPr>
                <w:sz w:val="20"/>
                <w:szCs w:val="20"/>
                <w:color w:val="auto"/>
              </w:rPr>
            </w:pPr>
            <w:r>
              <w:rPr>
                <w:rFonts w:ascii="Arial" w:cs="Arial" w:eastAsia="Arial" w:hAnsi="Arial"/>
                <w:sz w:val="14"/>
                <w:szCs w:val="14"/>
                <w:b w:val="1"/>
                <w:bCs w:val="1"/>
                <w:color w:val="auto"/>
              </w:rPr>
              <w:t>07054</w:t>
            </w:r>
          </w:p>
        </w:tc>
        <w:tc>
          <w:tcPr>
            <w:tcW w:w="0" w:type="dxa"/>
            <w:vAlign w:val="bottom"/>
          </w:tcPr>
          <w:p>
            <w:pPr>
              <w:spacing w:after="0"/>
              <w:rPr>
                <w:sz w:val="1"/>
                <w:szCs w:val="1"/>
                <w:color w:val="auto"/>
              </w:rPr>
            </w:pPr>
          </w:p>
        </w:tc>
      </w:tr>
      <w:tr>
        <w:trPr>
          <w:trHeight w:val="196"/>
        </w:trPr>
        <w:tc>
          <w:tcPr>
            <w:tcW w:w="3740" w:type="dxa"/>
            <w:vAlign w:val="bottom"/>
            <w:gridSpan w:val="2"/>
          </w:tcPr>
          <w:p>
            <w:pPr>
              <w:jc w:val="center"/>
              <w:ind w:right="168"/>
              <w:spacing w:after="0"/>
              <w:rPr>
                <w:sz w:val="20"/>
                <w:szCs w:val="20"/>
                <w:color w:val="auto"/>
              </w:rPr>
            </w:pPr>
            <w:r>
              <w:rPr>
                <w:rFonts w:ascii="Arial" w:cs="Arial" w:eastAsia="Arial" w:hAnsi="Arial"/>
                <w:sz w:val="14"/>
                <w:szCs w:val="14"/>
                <w:i w:val="1"/>
                <w:iCs w:val="1"/>
                <w:color w:val="auto"/>
              </w:rPr>
              <w:t>(Address of principal executive offices)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40" w:type="dxa"/>
            <w:vAlign w:val="bottom"/>
            <w:gridSpan w:val="2"/>
          </w:tcPr>
          <w:p>
            <w:pPr>
              <w:jc w:val="right"/>
              <w:ind w:right="453"/>
              <w:spacing w:after="0"/>
              <w:rPr>
                <w:sz w:val="20"/>
                <w:szCs w:val="20"/>
                <w:color w:val="auto"/>
              </w:rPr>
            </w:pPr>
            <w:r>
              <w:rPr>
                <w:rFonts w:ascii="Arial" w:cs="Arial" w:eastAsia="Arial" w:hAnsi="Arial"/>
                <w:sz w:val="14"/>
                <w:szCs w:val="14"/>
                <w:b w:val="1"/>
                <w:bCs w:val="1"/>
                <w:color w:val="auto"/>
              </w:rPr>
              <w:t>(973)   496-4700</w:t>
            </w:r>
          </w:p>
        </w:tc>
        <w:tc>
          <w:tcPr>
            <w:tcW w:w="8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80" w:type="dxa"/>
            <w:vAlign w:val="bottom"/>
            <w:gridSpan w:val="3"/>
          </w:tcPr>
          <w:p>
            <w:pPr>
              <w:ind w:left="260"/>
              <w:spacing w:after="0"/>
              <w:rPr>
                <w:sz w:val="20"/>
                <w:szCs w:val="20"/>
                <w:color w:val="auto"/>
              </w:rPr>
            </w:pPr>
            <w:r>
              <w:rPr>
                <w:rFonts w:ascii="Arial" w:cs="Arial" w:eastAsia="Arial" w:hAnsi="Arial"/>
                <w:sz w:val="14"/>
                <w:szCs w:val="14"/>
                <w:color w:val="auto"/>
              </w:rPr>
              <w:t>(Registrant’s telephone number, including area code)</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3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740" w:type="dxa"/>
            <w:vAlign w:val="bottom"/>
          </w:tcPr>
          <w:p>
            <w:pPr>
              <w:spacing w:after="0"/>
              <w:rPr>
                <w:sz w:val="19"/>
                <w:szCs w:val="19"/>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Trading Symbol(s)</w:t>
            </w:r>
          </w:p>
        </w:tc>
        <w:tc>
          <w:tcPr>
            <w:tcW w:w="3260" w:type="dxa"/>
            <w:vAlign w:val="bottom"/>
          </w:tcPr>
          <w:p>
            <w:pPr>
              <w:jc w:val="center"/>
              <w:ind w:left="14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Common Stock, Par Value $0.01</w:t>
            </w:r>
          </w:p>
        </w:tc>
        <w:tc>
          <w:tcPr>
            <w:tcW w:w="740" w:type="dxa"/>
            <w:vAlign w:val="bottom"/>
          </w:tcPr>
          <w:p>
            <w:pPr>
              <w:spacing w:after="0"/>
              <w:rPr>
                <w:sz w:val="17"/>
                <w:szCs w:val="17"/>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color w:val="auto"/>
              </w:rPr>
              <w:t>CAR</w:t>
            </w:r>
          </w:p>
        </w:tc>
        <w:tc>
          <w:tcPr>
            <w:tcW w:w="3260" w:type="dxa"/>
            <w:vAlign w:val="bottom"/>
          </w:tcPr>
          <w:p>
            <w:pPr>
              <w:jc w:val="center"/>
              <w:ind w:left="14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1" w:lineRule="exact"/>
        <w:rPr>
          <w:sz w:val="24"/>
          <w:szCs w:val="24"/>
          <w:color w:val="auto"/>
        </w:rPr>
      </w:pPr>
    </w:p>
    <w:p>
      <w:pPr>
        <w:ind w:right="80"/>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1440" w:gutter="0" w:footer="0" w:header="0"/>
        </w:sectPr>
      </w:pPr>
    </w:p>
    <w:p>
      <w:pPr>
        <w:spacing w:after="0" w:line="82" w:lineRule="exact"/>
        <w:rPr>
          <w:sz w:val="24"/>
          <w:szCs w:val="24"/>
          <w:color w:val="auto"/>
        </w:rPr>
      </w:pPr>
    </w:p>
    <w:p>
      <w:pPr>
        <w:ind w:left="100" w:right="880"/>
        <w:spacing w:after="0" w:line="41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440" w:lineRule="exact"/>
        <w:rPr>
          <w:sz w:val="24"/>
          <w:szCs w:val="24"/>
          <w:color w:val="auto"/>
        </w:rPr>
      </w:pPr>
    </w:p>
    <w:p>
      <w:pPr>
        <w:sectPr>
          <w:pgSz w:w="11900" w:h="16838" w:orient="portrait"/>
          <w:cols w:equalWidth="0" w:num="6">
            <w:col w:w="2780" w:space="720"/>
            <w:col w:w="180" w:space="100"/>
            <w:col w:w="2700" w:space="720"/>
            <w:col w:w="180" w:space="100"/>
            <w:col w:w="2700" w:space="720"/>
            <w:col w:w="320"/>
          </w:cols>
          <w:pgMar w:left="320" w:top="229" w:right="359" w:bottom="1440" w:gutter="0" w:footer="0" w:header="0"/>
          <w:type w:val="continuous"/>
        </w:sectPr>
      </w:pPr>
    </w:p>
    <w:p>
      <w:pPr>
        <w:ind w:right="28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2" w:lineRule="exact"/>
        <w:rPr>
          <w:sz w:val="24"/>
          <w:szCs w:val="24"/>
          <w:color w:val="auto"/>
        </w:rPr>
      </w:pPr>
    </w:p>
    <w:p>
      <w:pPr>
        <w:spacing w:after="0" w:line="184" w:lineRule="exact"/>
        <w:tabs>
          <w:tab w:leader="none" w:pos="7300" w:val="left"/>
          <w:tab w:leader="none" w:pos="79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48,066,343 shares as of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1680" w:type="dxa"/>
            <w:vAlign w:val="bottom"/>
            <w:gridSpan w:val="7"/>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760" w:type="dxa"/>
            <w:vAlign w:val="bottom"/>
            <w:gridSpan w:val="13"/>
            <w:vMerge w:val="restart"/>
          </w:tcPr>
          <w:p>
            <w:pPr>
              <w:spacing w:after="0"/>
              <w:rPr>
                <w:sz w:val="14"/>
                <w:szCs w:val="14"/>
                <w:color w:val="auto"/>
              </w:rPr>
            </w:pPr>
          </w:p>
        </w:tc>
        <w:tc>
          <w:tcPr>
            <w:tcW w:w="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020" w:type="dxa"/>
            <w:vAlign w:val="bottom"/>
            <w:vMerge w:val="continue"/>
          </w:tcPr>
          <w:p>
            <w:pPr>
              <w:spacing w:after="0"/>
              <w:rPr>
                <w:sz w:val="18"/>
                <w:szCs w:val="18"/>
                <w:color w:val="auto"/>
              </w:rPr>
            </w:pPr>
          </w:p>
        </w:tc>
        <w:tc>
          <w:tcPr>
            <w:tcW w:w="1680" w:type="dxa"/>
            <w:vAlign w:val="bottom"/>
            <w:tcBorders>
              <w:bottom w:val="single" w:sz="8" w:color="0000FF"/>
            </w:tcBorders>
            <w:gridSpan w:val="7"/>
            <w:vMerge w:val="continue"/>
          </w:tcPr>
          <w:p>
            <w:pPr>
              <w:spacing w:after="0"/>
              <w:rPr>
                <w:sz w:val="18"/>
                <w:szCs w:val="18"/>
                <w:color w:val="auto"/>
              </w:rPr>
            </w:pPr>
          </w:p>
        </w:tc>
        <w:tc>
          <w:tcPr>
            <w:tcW w:w="7760" w:type="dxa"/>
            <w:vAlign w:val="bottom"/>
            <w:gridSpan w:val="13"/>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44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620" w:type="dxa"/>
            <w:vAlign w:val="bottom"/>
            <w:gridSpan w:val="3"/>
            <w:vMerge w:val="restart"/>
          </w:tcPr>
          <w:p>
            <w:pPr>
              <w:spacing w:after="0"/>
              <w:rPr>
                <w:sz w:val="18"/>
                <w:szCs w:val="18"/>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20" w:type="dxa"/>
            <w:vAlign w:val="bottom"/>
          </w:tcPr>
          <w:p>
            <w:pPr>
              <w:spacing w:after="0"/>
              <w:rPr>
                <w:sz w:val="21"/>
                <w:szCs w:val="21"/>
                <w:color w:val="auto"/>
              </w:rPr>
            </w:pPr>
          </w:p>
        </w:tc>
        <w:tc>
          <w:tcPr>
            <w:tcW w:w="8820" w:type="dxa"/>
            <w:vAlign w:val="bottom"/>
            <w:gridSpan w:val="18"/>
          </w:tcPr>
          <w:p>
            <w:pPr>
              <w:spacing w:after="0" w:line="196" w:lineRule="exact"/>
              <w:rPr>
                <w:sz w:val="20"/>
                <w:szCs w:val="20"/>
                <w:color w:val="auto"/>
              </w:rPr>
            </w:pPr>
            <w:r>
              <w:rPr>
                <w:rFonts w:ascii="Arial" w:cs="Arial" w:eastAsia="Arial" w:hAnsi="Arial"/>
                <w:sz w:val="18"/>
                <w:szCs w:val="18"/>
                <w:color w:val="0000FF"/>
                <w:w w:val="99"/>
              </w:rPr>
              <w:t>Consolidated Condensed Statements of Comprehensive Income for the Three and Six Months Ended June 30,</w:t>
            </w:r>
          </w:p>
        </w:tc>
        <w:tc>
          <w:tcPr>
            <w:tcW w:w="620" w:type="dxa"/>
            <w:vAlign w:val="bottom"/>
            <w:gridSpan w:val="2"/>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200" w:type="dxa"/>
            <w:vAlign w:val="bottom"/>
            <w:tcBorders>
              <w:top w:val="single" w:sz="8" w:color="0000FF"/>
              <w:bottom w:val="single" w:sz="8" w:color="0000FF"/>
            </w:tcBorders>
            <w:gridSpan w:val="10"/>
          </w:tcPr>
          <w:p>
            <w:pPr>
              <w:spacing w:after="0" w:line="170" w:lineRule="exact"/>
              <w:rPr>
                <w:sz w:val="20"/>
                <w:szCs w:val="20"/>
                <w:color w:val="auto"/>
              </w:rPr>
            </w:pPr>
            <w:r>
              <w:rPr>
                <w:rFonts w:ascii="Arial" w:cs="Arial" w:eastAsia="Arial" w:hAnsi="Arial"/>
                <w:sz w:val="18"/>
                <w:szCs w:val="18"/>
                <w:color w:val="0000FF"/>
                <w:w w:val="99"/>
              </w:rPr>
              <w:t>2022 and 2021 (Unaudited)</w:t>
            </w:r>
          </w:p>
        </w:tc>
        <w:tc>
          <w:tcPr>
            <w:tcW w:w="6620" w:type="dxa"/>
            <w:vAlign w:val="bottom"/>
            <w:tcBorders>
              <w:top w:val="single" w:sz="8" w:color="0000FF"/>
            </w:tcBorders>
            <w:gridSpan w:val="8"/>
          </w:tcPr>
          <w:p>
            <w:pPr>
              <w:spacing w:after="0"/>
              <w:rPr>
                <w:sz w:val="14"/>
                <w:szCs w:val="14"/>
                <w:color w:val="auto"/>
              </w:rPr>
            </w:pPr>
          </w:p>
        </w:tc>
        <w:tc>
          <w:tcPr>
            <w:tcW w:w="62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0000FF"/>
                <w:w w:val="99"/>
              </w:rPr>
              <w:t>Consolidated Condensed Balance Sheets as of June 30, 2022 and December 31, 2021 (Unaudited)</w:t>
            </w:r>
          </w:p>
        </w:tc>
        <w:tc>
          <w:tcPr>
            <w:tcW w:w="1500" w:type="dxa"/>
            <w:vAlign w:val="bottom"/>
            <w:gridSpan w:val="4"/>
          </w:tcPr>
          <w:p>
            <w:pPr>
              <w:spacing w:after="0"/>
              <w:rPr>
                <w:sz w:val="20"/>
                <w:szCs w:val="20"/>
                <w:color w:val="auto"/>
              </w:rPr>
            </w:pPr>
          </w:p>
        </w:tc>
        <w:tc>
          <w:tcPr>
            <w:tcW w:w="620" w:type="dxa"/>
            <w:vAlign w:val="bottom"/>
            <w:gridSpan w:val="3"/>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gridSpan w:val="2"/>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2700" w:type="dxa"/>
            <w:vAlign w:val="bottom"/>
            <w:tcBorders>
              <w:bottom w:val="single" w:sz="8" w:color="0000FF"/>
            </w:tcBorders>
            <w:gridSpan w:val="2"/>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620" w:type="dxa"/>
            <w:vAlign w:val="bottom"/>
            <w:tcBorders>
              <w:bottom w:val="single" w:sz="8" w:color="0000FF"/>
            </w:tcBorders>
            <w:gridSpan w:val="2"/>
            <w:shd w:val="clear" w:color="auto" w:fill="0000FF"/>
          </w:tcPr>
          <w:p>
            <w:pPr>
              <w:spacing w:after="0" w:line="20" w:lineRule="exact"/>
              <w:rPr>
                <w:sz w:val="1"/>
                <w:szCs w:val="1"/>
                <w:color w:val="auto"/>
              </w:rPr>
            </w:pPr>
          </w:p>
        </w:tc>
        <w:tc>
          <w:tcPr>
            <w:tcW w:w="86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0000FF"/>
                <w:w w:val="99"/>
              </w:rPr>
              <w:t>Consolidated Condensed Statements of Cash Flows for the Six Months Ended June 30, 2022 and 2021</w:t>
            </w:r>
          </w:p>
        </w:tc>
        <w:tc>
          <w:tcPr>
            <w:tcW w:w="1200" w:type="dxa"/>
            <w:vAlign w:val="bottom"/>
            <w:gridSpan w:val="3"/>
          </w:tcPr>
          <w:p>
            <w:pPr>
              <w:spacing w:after="0"/>
              <w:rPr>
                <w:sz w:val="20"/>
                <w:szCs w:val="20"/>
                <w:color w:val="auto"/>
              </w:rPr>
            </w:pPr>
          </w:p>
        </w:tc>
        <w:tc>
          <w:tcPr>
            <w:tcW w:w="620" w:type="dxa"/>
            <w:vAlign w:val="bottom"/>
            <w:gridSpan w:val="3"/>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240" w:type="dxa"/>
            <w:vAlign w:val="bottom"/>
            <w:tcBorders>
              <w:top w:val="single" w:sz="8" w:color="0000FF"/>
            </w:tcBorders>
            <w:gridSpan w:val="17"/>
          </w:tcPr>
          <w:p>
            <w:pPr>
              <w:spacing w:after="0" w:line="202" w:lineRule="exact"/>
              <w:rPr>
                <w:sz w:val="20"/>
                <w:szCs w:val="20"/>
                <w:color w:val="auto"/>
              </w:rPr>
            </w:pPr>
            <w:r>
              <w:rPr>
                <w:rFonts w:ascii="Arial" w:cs="Arial" w:eastAsia="Arial" w:hAnsi="Arial"/>
                <w:sz w:val="18"/>
                <w:szCs w:val="18"/>
                <w:color w:val="0000FF"/>
              </w:rPr>
              <w:t>(Unaudited)</w:t>
            </w:r>
          </w:p>
        </w:tc>
        <w:tc>
          <w:tcPr>
            <w:tcW w:w="12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9000" w:type="dxa"/>
            <w:vAlign w:val="bottom"/>
            <w:gridSpan w:val="19"/>
          </w:tcPr>
          <w:p>
            <w:pPr>
              <w:spacing w:after="0"/>
              <w:rPr>
                <w:sz w:val="20"/>
                <w:szCs w:val="20"/>
                <w:color w:val="auto"/>
              </w:rPr>
            </w:pPr>
            <w:r>
              <w:rPr>
                <w:rFonts w:ascii="Arial" w:cs="Arial" w:eastAsia="Arial" w:hAnsi="Arial"/>
                <w:sz w:val="18"/>
                <w:szCs w:val="18"/>
                <w:color w:val="0000FF"/>
                <w:w w:val="99"/>
              </w:rPr>
              <w:t>Consolidated Condensed Statements of Stockholders’ Equity for the Three and Six Months Ended June 30, 2022</w:t>
            </w:r>
          </w:p>
        </w:tc>
        <w:tc>
          <w:tcPr>
            <w:tcW w:w="440" w:type="dxa"/>
            <w:vAlign w:val="bottom"/>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9000" w:type="dxa"/>
            <w:vAlign w:val="bottom"/>
            <w:tcBorders>
              <w:top w:val="single" w:sz="8" w:color="0000FF"/>
            </w:tcBorders>
            <w:gridSpan w:val="19"/>
          </w:tcPr>
          <w:p>
            <w:pPr>
              <w:spacing w:after="0" w:line="202" w:lineRule="exact"/>
              <w:rPr>
                <w:sz w:val="20"/>
                <w:szCs w:val="20"/>
                <w:color w:val="auto"/>
              </w:rPr>
            </w:pPr>
            <w:r>
              <w:rPr>
                <w:rFonts w:ascii="Arial" w:cs="Arial" w:eastAsia="Arial" w:hAnsi="Arial"/>
                <w:sz w:val="18"/>
                <w:szCs w:val="18"/>
                <w:color w:val="0000FF"/>
              </w:rPr>
              <w:t>and 2021 (Unaudited)</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0000FF"/>
              </w:rPr>
              <w:t>Notes to Consolidated Condensed Financial Statements (Unaudited)</w:t>
            </w: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gridSpan w:val="11"/>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gridSpan w:val="4"/>
          </w:tcPr>
          <w:p>
            <w:pPr>
              <w:spacing w:after="0"/>
              <w:rPr>
                <w:sz w:val="18"/>
                <w:szCs w:val="18"/>
                <w:color w:val="auto"/>
              </w:rPr>
            </w:pPr>
          </w:p>
        </w:tc>
        <w:tc>
          <w:tcPr>
            <w:tcW w:w="2360" w:type="dxa"/>
            <w:vAlign w:val="bottom"/>
            <w:gridSpan w:val="5"/>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gridSpan w:val="8"/>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9"/>
          </w:tcPr>
          <w:p>
            <w:pPr>
              <w:spacing w:after="0"/>
              <w:rPr>
                <w:sz w:val="20"/>
                <w:szCs w:val="20"/>
                <w:color w:val="auto"/>
              </w:rPr>
            </w:pPr>
            <w:r>
              <w:rPr>
                <w:rFonts w:ascii="Arial" w:cs="Arial" w:eastAsia="Arial" w:hAnsi="Arial"/>
                <w:sz w:val="18"/>
                <w:szCs w:val="18"/>
                <w:color w:val="0000FF"/>
                <w:w w:val="99"/>
              </w:rPr>
              <w:t>Controls and Procedures</w:t>
            </w:r>
          </w:p>
        </w:tc>
        <w:tc>
          <w:tcPr>
            <w:tcW w:w="2700" w:type="dxa"/>
            <w:vAlign w:val="bottom"/>
            <w:gridSpan w:val="2"/>
          </w:tcPr>
          <w:p>
            <w:pPr>
              <w:spacing w:after="0"/>
              <w:rPr>
                <w:sz w:val="18"/>
                <w:szCs w:val="18"/>
                <w:color w:val="auto"/>
              </w:rPr>
            </w:pPr>
          </w:p>
        </w:tc>
        <w:tc>
          <w:tcPr>
            <w:tcW w:w="4740" w:type="dxa"/>
            <w:vAlign w:val="bottom"/>
            <w:gridSpan w:val="9"/>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Other Information</w:t>
            </w:r>
          </w:p>
        </w:tc>
        <w:tc>
          <w:tcPr>
            <w:tcW w:w="7440" w:type="dxa"/>
            <w:vAlign w:val="bottom"/>
            <w:gridSpan w:val="11"/>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4580" w:type="dxa"/>
            <w:vAlign w:val="bottom"/>
            <w:gridSpan w:val="8"/>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7940" w:type="dxa"/>
            <w:vAlign w:val="bottom"/>
            <w:gridSpan w:val="14"/>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7940" w:type="dxa"/>
            <w:vAlign w:val="bottom"/>
            <w:gridSpan w:val="14"/>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4580" w:type="dxa"/>
            <w:vAlign w:val="bottom"/>
            <w:gridSpan w:val="8"/>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2"/>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580" w:type="dxa"/>
            <w:vAlign w:val="bottom"/>
            <w:gridSpan w:val="8"/>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11"/>
          </w:tcPr>
          <w:p>
            <w:pPr>
              <w:spacing w:after="0"/>
              <w:rPr>
                <w:sz w:val="18"/>
                <w:szCs w:val="18"/>
                <w:color w:val="auto"/>
              </w:rPr>
            </w:pPr>
          </w:p>
        </w:tc>
        <w:tc>
          <w:tcPr>
            <w:tcW w:w="4580" w:type="dxa"/>
            <w:vAlign w:val="bottom"/>
            <w:gridSpan w:val="8"/>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80" w:type="dxa"/>
            <w:vAlign w:val="bottom"/>
            <w:gridSpan w:val="18"/>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1054"/>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 Additionally, many of these risks and uncertainties are currently amplified by and will continue to be amplified by, or in the future may be amplified by, the Coronavirus (“COVID -19”) pandemic, the continued restrictions that have been placed on travel in many countries and the resulting adverse impact on the global economy, the potential effects on the global economy and markets as a result of the ongoing military conflict between Russia and Ukraine, and the risk of a recession in the United States or in any of the other regions in which we operate. These factors include, but are not limited to:</w:t>
      </w:r>
    </w:p>
    <w:p>
      <w:pPr>
        <w:spacing w:after="0" w:line="214" w:lineRule="exact"/>
        <w:rPr>
          <w:sz w:val="20"/>
          <w:szCs w:val="20"/>
          <w:color w:val="auto"/>
        </w:rPr>
      </w:pPr>
    </w:p>
    <w:p>
      <w:pPr>
        <w:jc w:val="both"/>
        <w:ind w:left="660" w:hanging="328"/>
        <w:spacing w:after="0" w:line="26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COVID-19 and its resulting impact on the global economy, which has had, and is expected to continue to have, a significant impact on our operations, including unprecedented volatility in demand levels, as well as its current, and uncertain future impact including, but not limited to, its effect on the ability or desire of people to travel, including due to travel restrictions, and other restrictions and orders, which may continue to impact our results, operations, outlooks, plans, goals, growth, cash flows, liquidity, and stock price;</w:t>
      </w:r>
    </w:p>
    <w:p>
      <w:pPr>
        <w:spacing w:after="0" w:line="2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or otherwise, manufacturer recalls, disruption in the supply of new vehicles, shortages in semiconductors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as COVID-19 related restrictions are lifted and travel demand increases;</w:t>
      </w:r>
    </w:p>
    <w:p>
      <w:pPr>
        <w:spacing w:after="0" w:line="2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volatility in travel demand as a result of COVID-19, including the current and any future disruptions in airline passenger traffic;</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deterioration in economic conditions, resulting in a recession or otherwise, particularly during our peak season or in key market segments;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including the ongoing military conflict between Russia and Ukraine, or civil unrest in the locations in which we operate, and the potential effects of sanctions on the world economy and markets and/or international trade;</w:t>
      </w:r>
    </w:p>
    <w:p>
      <w:pPr>
        <w:spacing w:after="0" w:line="197"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COVID-19, inflation, the ongoing military conflict between Russia and Ukraine, and any embargos on oil sales imposed on or by the Russian government;</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recent and potential further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changes in the assumptions and estimates that are used in our impairment testing for goodwill or intangible assets, which could result in a significant impairment of our goodwill or intangible assets; and</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should not be relied upon as a prediction of actual results. Moreover, we do not assume responsibility if future results are materially different from those forecast or anticipated. Other factors and assumptions not identified above, including those discussed in “Management’s Discussion and Analysis of Financial Condition and Results of Operations,” in Item 2 and “Risk Factors” in Item 1A in this quarterly report and in similarly titled sections set forth in Item 7 and in Item 1A and in other portions of our 2021 Annual Report on Form 10-K filed with the Securities and Exchange Commission on February 17, 2022 (the “2021 Form 10-K”), may cause actual results to differ materially from those projected in any forward-looking statements.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353"/>
        </w:trPr>
        <w:tc>
          <w:tcPr>
            <w:tcW w:w="53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34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5"/>
        </w:trPr>
        <w:tc>
          <w:tcPr>
            <w:tcW w:w="534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466"/>
        </w:trPr>
        <w:tc>
          <w:tcPr>
            <w:tcW w:w="53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534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5340" w:type="dxa"/>
            <w:vAlign w:val="bottom"/>
          </w:tcPr>
          <w:p>
            <w:pPr>
              <w:ind w:left="12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attributable to Avis Budget Group,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attributable to Avis Budget Group,</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340" w:type="dxa"/>
            <w:vAlign w:val="bottom"/>
            <w:vMerge w:val="continue"/>
          </w:tcPr>
          <w:p>
            <w:pPr>
              <w:spacing w:after="0"/>
              <w:rPr>
                <w:sz w:val="21"/>
                <w:szCs w:val="21"/>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8"/>
        </w:trPr>
        <w:tc>
          <w:tcPr>
            <w:tcW w:w="5340" w:type="dxa"/>
            <w:vAlign w:val="bottom"/>
          </w:tcPr>
          <w:p>
            <w:pPr>
              <w:ind w:left="160"/>
              <w:spacing w:after="0"/>
              <w:rPr>
                <w:sz w:val="20"/>
                <w:szCs w:val="20"/>
                <w:color w:val="auto"/>
              </w:rPr>
            </w:pPr>
            <w:r>
              <w:rPr>
                <w:rFonts w:ascii="Arial" w:cs="Arial" w:eastAsia="Arial" w:hAnsi="Arial"/>
                <w:sz w:val="18"/>
                <w:szCs w:val="18"/>
                <w:b w:val="1"/>
                <w:bCs w:val="1"/>
                <w:color w:val="auto"/>
              </w:rPr>
              <w:t>Inc.</w:t>
            </w:r>
          </w:p>
        </w:tc>
        <w:tc>
          <w:tcPr>
            <w:tcW w:w="30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53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9"/>
        </w:trPr>
        <w:tc>
          <w:tcPr>
            <w:tcW w:w="5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8,581</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Program cash</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Vehicles, net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16,315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12,866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from vehicle manufacturers and other</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17,650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14,019</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26,095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22,600</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7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 and other current liabilities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2,744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2,389</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4,624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3,990</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8,933</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11,331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8,848</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2,242</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13,876</w:t>
            </w: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12)</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Preferred stock, $0.01 par value—authorized 10 shares; none issued and outstanding, respectively</w:t>
            </w:r>
          </w:p>
        </w:tc>
        <w:tc>
          <w:tcPr>
            <w:tcW w:w="3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Common stock, $0.01 par value—authorized 250 shares; issued 137 shares, respectively</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6,676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Retained earnings (accumulated deficit)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Treasury stock, at cost— 89 and 81 shares, respectively</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(6,579)</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99"/>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26,095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22,600</w:t>
            </w:r>
          </w:p>
        </w:tc>
        <w:tc>
          <w:tcPr>
            <w:tcW w:w="0" w:type="dxa"/>
            <w:vAlign w:val="bottom"/>
          </w:tcPr>
          <w:p>
            <w:pPr>
              <w:spacing w:after="0"/>
              <w:rPr>
                <w:sz w:val="1"/>
                <w:szCs w:val="1"/>
                <w:color w:val="auto"/>
              </w:rPr>
            </w:pPr>
          </w:p>
        </w:tc>
      </w:tr>
      <w:tr>
        <w:trPr>
          <w:trHeight w:val="24"/>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682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14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8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Vehicle 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debt financing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Early extinguishment of debt costs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Net change in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8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change in short-term borrowings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5"/>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Payments on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3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 program and restricted cash</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5"/>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Retained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Stockholders’</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1440" w:type="dxa"/>
            <w:vAlign w:val="bottom"/>
            <w:gridSpan w:val="5"/>
          </w:tcPr>
          <w:p>
            <w:pPr>
              <w:ind w:left="280"/>
              <w:spacing w:after="0" w:line="122"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rPr>
              <w:t>Earnings</w:t>
            </w:r>
          </w:p>
        </w:tc>
        <w:tc>
          <w:tcPr>
            <w:tcW w:w="11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Accumulated Other</w:t>
            </w:r>
          </w:p>
        </w:tc>
        <w:tc>
          <w:tcPr>
            <w:tcW w:w="1400" w:type="dxa"/>
            <w:vAlign w:val="bottom"/>
            <w:gridSpan w:val="5"/>
          </w:tcPr>
          <w:p>
            <w:pPr>
              <w:ind w:left="260"/>
              <w:spacing w:after="0" w:line="122" w:lineRule="exact"/>
              <w:rPr>
                <w:sz w:val="20"/>
                <w:szCs w:val="20"/>
                <w:color w:val="auto"/>
              </w:rPr>
            </w:pPr>
            <w:r>
              <w:rPr>
                <w:rFonts w:ascii="Arial" w:cs="Arial" w:eastAsia="Arial" w:hAnsi="Arial"/>
                <w:sz w:val="11"/>
                <w:szCs w:val="11"/>
                <w:b w:val="1"/>
                <w:bCs w:val="1"/>
                <w:color w:val="auto"/>
              </w:rPr>
              <w:t>Treasury Stock</w:t>
            </w: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9"/>
              </w:rPr>
              <w:t>Equity Attributable</w:t>
            </w:r>
          </w:p>
        </w:tc>
        <w:tc>
          <w:tcPr>
            <w:tcW w:w="8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10"/>
                <w:szCs w:val="10"/>
                <w:color w:val="auto"/>
              </w:rPr>
            </w:pPr>
          </w:p>
        </w:tc>
        <w:tc>
          <w:tcPr>
            <w:tcW w:w="8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9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4"/>
                <w:szCs w:val="4"/>
                <w:color w:val="auto"/>
              </w:rPr>
            </w:pPr>
          </w:p>
        </w:tc>
        <w:tc>
          <w:tcPr>
            <w:tcW w:w="10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to Avis Budget</w:t>
            </w:r>
          </w:p>
        </w:tc>
        <w:tc>
          <w:tcPr>
            <w:tcW w:w="80" w:type="dxa"/>
            <w:vAlign w:val="bottom"/>
          </w:tcPr>
          <w:p>
            <w:pPr>
              <w:spacing w:after="0"/>
              <w:rPr>
                <w:sz w:val="4"/>
                <w:szCs w:val="4"/>
                <w:color w:val="auto"/>
              </w:rPr>
            </w:pPr>
          </w:p>
        </w:tc>
        <w:tc>
          <w:tcPr>
            <w:tcW w:w="78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4"/>
                <w:szCs w:val="4"/>
                <w:color w:val="auto"/>
              </w:rPr>
            </w:pPr>
          </w:p>
        </w:tc>
        <w:tc>
          <w:tcPr>
            <w:tcW w:w="840" w:type="dxa"/>
            <w:vAlign w:val="bottom"/>
            <w:vMerge w:val="restart"/>
          </w:tcPr>
          <w:p>
            <w:pPr>
              <w:jc w:val="center"/>
              <w:ind w:right="46"/>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Group, Inc.</w:t>
            </w:r>
          </w:p>
        </w:tc>
        <w:tc>
          <w:tcPr>
            <w:tcW w:w="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Interests</w:t>
            </w:r>
          </w:p>
        </w:tc>
        <w:tc>
          <w:tcPr>
            <w:tcW w:w="100" w:type="dxa"/>
            <w:vAlign w:val="bottom"/>
          </w:tcPr>
          <w:p>
            <w:pPr>
              <w:spacing w:after="0"/>
              <w:rPr>
                <w:sz w:val="13"/>
                <w:szCs w:val="13"/>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March 31, 2022</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6,646</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344</w:t>
            </w:r>
          </w:p>
        </w:tc>
        <w:tc>
          <w:tcPr>
            <w:tcW w:w="12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(87.4)</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(7,889)</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(992)</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(983)</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778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774</w:t>
            </w:r>
          </w:p>
        </w:tc>
        <w:tc>
          <w:tcPr>
            <w:tcW w:w="0" w:type="dxa"/>
            <w:vAlign w:val="bottom"/>
          </w:tcPr>
          <w:p>
            <w:pPr>
              <w:spacing w:after="0"/>
              <w:rPr>
                <w:sz w:val="1"/>
                <w:szCs w:val="1"/>
                <w:color w:val="auto"/>
              </w:rPr>
            </w:pPr>
          </w:p>
        </w:tc>
      </w:tr>
      <w:tr>
        <w:trPr>
          <w:trHeight w:val="176"/>
        </w:trPr>
        <w:tc>
          <w:tcPr>
            <w:tcW w:w="2420" w:type="dxa"/>
            <w:vAlign w:val="bottom"/>
          </w:tcPr>
          <w:p>
            <w:pPr>
              <w:ind w:left="120"/>
              <w:spacing w:after="0"/>
              <w:rPr>
                <w:sz w:val="20"/>
                <w:szCs w:val="20"/>
                <w:color w:val="auto"/>
              </w:rPr>
            </w:pPr>
            <w:r>
              <w:rPr>
                <w:rFonts w:ascii="Arial" w:cs="Arial" w:eastAsia="Arial" w:hAnsi="Arial"/>
                <w:sz w:val="11"/>
                <w:szCs w:val="11"/>
                <w:color w:val="auto"/>
              </w:rPr>
              <w:t>Other comprehensive loss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778</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742</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738</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(401)</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June 30, 2022</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6,643</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1,122</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(8,290)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(649)</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March 31, 2021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6,642</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(1,640)</w:t>
            </w:r>
          </w:p>
        </w:tc>
        <w:tc>
          <w:tcPr>
            <w:tcW w:w="12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(163)</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(67.2)</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(5,156)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(316)</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(316)</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398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398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398</w:t>
            </w:r>
          </w:p>
        </w:tc>
        <w:tc>
          <w:tcPr>
            <w:tcW w:w="0" w:type="dxa"/>
            <w:vAlign w:val="bottom"/>
          </w:tcPr>
          <w:p>
            <w:pPr>
              <w:spacing w:after="0"/>
              <w:rPr>
                <w:sz w:val="1"/>
                <w:szCs w:val="1"/>
                <w:color w:val="auto"/>
              </w:rPr>
            </w:pPr>
          </w:p>
        </w:tc>
      </w:tr>
      <w:tr>
        <w:trPr>
          <w:trHeight w:val="175"/>
        </w:trPr>
        <w:tc>
          <w:tcPr>
            <w:tcW w:w="2420" w:type="dxa"/>
            <w:vAlign w:val="bottom"/>
          </w:tcPr>
          <w:p>
            <w:pPr>
              <w:ind w:left="120"/>
              <w:spacing w:after="0"/>
              <w:rPr>
                <w:sz w:val="20"/>
                <w:szCs w:val="20"/>
                <w:color w:val="auto"/>
              </w:rPr>
            </w:pPr>
            <w:r>
              <w:rPr>
                <w:rFonts w:ascii="Arial" w:cs="Arial" w:eastAsia="Arial" w:hAnsi="Arial"/>
                <w:sz w:val="11"/>
                <w:szCs w:val="11"/>
                <w:color w:val="auto"/>
              </w:rPr>
              <w:t>Other comprehensive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398</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400</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June 30, 2021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6,646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(1,242)</w:t>
            </w:r>
          </w:p>
        </w:tc>
        <w:tc>
          <w:tcPr>
            <w:tcW w:w="12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(67.1)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(5,152)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Retained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Stockholders’</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1440" w:type="dxa"/>
            <w:vAlign w:val="bottom"/>
            <w:gridSpan w:val="5"/>
          </w:tcPr>
          <w:p>
            <w:pPr>
              <w:ind w:left="280"/>
              <w:spacing w:after="0" w:line="122"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rPr>
              <w:t>Earnings</w:t>
            </w:r>
          </w:p>
        </w:tc>
        <w:tc>
          <w:tcPr>
            <w:tcW w:w="11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Accumulated Other</w:t>
            </w:r>
          </w:p>
        </w:tc>
        <w:tc>
          <w:tcPr>
            <w:tcW w:w="1400" w:type="dxa"/>
            <w:vAlign w:val="bottom"/>
            <w:gridSpan w:val="5"/>
          </w:tcPr>
          <w:p>
            <w:pPr>
              <w:ind w:left="260"/>
              <w:spacing w:after="0" w:line="122" w:lineRule="exact"/>
              <w:rPr>
                <w:sz w:val="20"/>
                <w:szCs w:val="20"/>
                <w:color w:val="auto"/>
              </w:rPr>
            </w:pPr>
            <w:r>
              <w:rPr>
                <w:rFonts w:ascii="Arial" w:cs="Arial" w:eastAsia="Arial" w:hAnsi="Arial"/>
                <w:sz w:val="11"/>
                <w:szCs w:val="11"/>
                <w:b w:val="1"/>
                <w:bCs w:val="1"/>
                <w:color w:val="auto"/>
              </w:rPr>
              <w:t>Treasury Stock</w:t>
            </w: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9"/>
              </w:rPr>
              <w:t>Equity Attributable</w:t>
            </w:r>
          </w:p>
        </w:tc>
        <w:tc>
          <w:tcPr>
            <w:tcW w:w="8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10"/>
                <w:szCs w:val="10"/>
                <w:color w:val="auto"/>
              </w:rPr>
            </w:pPr>
          </w:p>
        </w:tc>
        <w:tc>
          <w:tcPr>
            <w:tcW w:w="8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9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4"/>
                <w:szCs w:val="4"/>
                <w:color w:val="auto"/>
              </w:rPr>
            </w:pPr>
          </w:p>
        </w:tc>
        <w:tc>
          <w:tcPr>
            <w:tcW w:w="10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to Avis Budget</w:t>
            </w:r>
          </w:p>
        </w:tc>
        <w:tc>
          <w:tcPr>
            <w:tcW w:w="80" w:type="dxa"/>
            <w:vAlign w:val="bottom"/>
          </w:tcPr>
          <w:p>
            <w:pPr>
              <w:spacing w:after="0"/>
              <w:rPr>
                <w:sz w:val="4"/>
                <w:szCs w:val="4"/>
                <w:color w:val="auto"/>
              </w:rPr>
            </w:pPr>
          </w:p>
        </w:tc>
        <w:tc>
          <w:tcPr>
            <w:tcW w:w="78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4"/>
                <w:szCs w:val="4"/>
                <w:color w:val="auto"/>
              </w:rPr>
            </w:pPr>
          </w:p>
        </w:tc>
        <w:tc>
          <w:tcPr>
            <w:tcW w:w="840" w:type="dxa"/>
            <w:vAlign w:val="bottom"/>
            <w:vMerge w:val="restart"/>
          </w:tcPr>
          <w:p>
            <w:pPr>
              <w:jc w:val="center"/>
              <w:ind w:right="46"/>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Group, Inc.</w:t>
            </w:r>
          </w:p>
        </w:tc>
        <w:tc>
          <w:tcPr>
            <w:tcW w:w="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Interests</w:t>
            </w:r>
          </w:p>
        </w:tc>
        <w:tc>
          <w:tcPr>
            <w:tcW w:w="100" w:type="dxa"/>
            <w:vAlign w:val="bottom"/>
          </w:tcPr>
          <w:p>
            <w:pPr>
              <w:spacing w:after="0"/>
              <w:rPr>
                <w:sz w:val="13"/>
                <w:szCs w:val="13"/>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December 31, 2021</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6,676</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(81.2)</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(6,579)</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1,307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1,307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1,301</w:t>
            </w:r>
          </w:p>
        </w:tc>
        <w:tc>
          <w:tcPr>
            <w:tcW w:w="0" w:type="dxa"/>
            <w:vAlign w:val="bottom"/>
          </w:tcPr>
          <w:p>
            <w:pPr>
              <w:spacing w:after="0"/>
              <w:rPr>
                <w:sz w:val="1"/>
                <w:szCs w:val="1"/>
                <w:color w:val="auto"/>
              </w:rPr>
            </w:pPr>
          </w:p>
        </w:tc>
      </w:tr>
      <w:tr>
        <w:trPr>
          <w:trHeight w:val="175"/>
        </w:trPr>
        <w:tc>
          <w:tcPr>
            <w:tcW w:w="2420" w:type="dxa"/>
            <w:vAlign w:val="bottom"/>
          </w:tcPr>
          <w:p>
            <w:pPr>
              <w:ind w:left="120"/>
              <w:spacing w:after="0"/>
              <w:rPr>
                <w:sz w:val="20"/>
                <w:szCs w:val="20"/>
                <w:color w:val="auto"/>
              </w:rPr>
            </w:pPr>
            <w:r>
              <w:rPr>
                <w:rFonts w:ascii="Arial" w:cs="Arial" w:eastAsia="Arial" w:hAnsi="Arial"/>
                <w:sz w:val="11"/>
                <w:szCs w:val="11"/>
                <w:color w:val="auto"/>
              </w:rPr>
              <w:t>Other comprehensive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1,307</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1,310</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1,304</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(1,708)</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June 30, 2022</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6,643</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1,122</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(8,290)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(649)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December 31, 2020</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6,668</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(1,470)</w:t>
            </w:r>
          </w:p>
        </w:tc>
        <w:tc>
          <w:tcPr>
            <w:tcW w:w="12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(67.3)</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(5,167)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175"/>
        </w:trPr>
        <w:tc>
          <w:tcPr>
            <w:tcW w:w="2420" w:type="dxa"/>
            <w:vAlign w:val="bottom"/>
          </w:tcPr>
          <w:p>
            <w:pPr>
              <w:ind w:left="120"/>
              <w:spacing w:after="0"/>
              <w:rPr>
                <w:sz w:val="20"/>
                <w:szCs w:val="20"/>
                <w:color w:val="auto"/>
              </w:rPr>
            </w:pPr>
            <w:r>
              <w:rPr>
                <w:rFonts w:ascii="Arial" w:cs="Arial" w:eastAsia="Arial" w:hAnsi="Arial"/>
                <w:sz w:val="11"/>
                <w:szCs w:val="11"/>
                <w:color w:val="auto"/>
              </w:rPr>
              <w:t>Other comprehensive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228</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254</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254</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6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1"/>
                <w:szCs w:val="11"/>
                <w:b w:val="1"/>
                <w:bCs w:val="1"/>
                <w:color w:val="auto"/>
              </w:rPr>
              <w:t>Balance at June 30, 2021</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6,646</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(1,242)</w:t>
            </w:r>
          </w:p>
        </w:tc>
        <w:tc>
          <w:tcPr>
            <w:tcW w:w="120" w:type="dxa"/>
            <w:vAlign w:val="bottom"/>
          </w:tcPr>
          <w:p>
            <w:pPr>
              <w:spacing w:after="0"/>
              <w:rPr>
                <w:sz w:val="14"/>
                <w:szCs w:val="14"/>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(67.1)</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(5,152)</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3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200" w:hanging="482"/>
        <w:spacing w:after="0" w:line="268" w:lineRule="auto"/>
        <w:tabs>
          <w:tab w:leader="none" w:pos="11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certain areas in which we do not operate directly.</w:t>
      </w:r>
    </w:p>
    <w:p>
      <w:pPr>
        <w:spacing w:after="0" w:line="62" w:lineRule="exact"/>
        <w:rPr>
          <w:rFonts w:ascii="Arial" w:cs="Arial" w:eastAsia="Arial" w:hAnsi="Arial"/>
          <w:sz w:val="18"/>
          <w:szCs w:val="18"/>
          <w:color w:val="auto"/>
        </w:rPr>
      </w:pPr>
    </w:p>
    <w:p>
      <w:pPr>
        <w:ind w:left="1200" w:hanging="482"/>
        <w:spacing w:after="0" w:line="287" w:lineRule="auto"/>
        <w:tabs>
          <w:tab w:leader="none" w:pos="11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certain areas in which we do not operate directly.</w:t>
      </w:r>
    </w:p>
    <w:p>
      <w:pPr>
        <w:spacing w:after="0" w:line="180"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our 2021 acquisitions of various licensees were not material. We consolidate joint venture activities when we have more than 50% controlling interests and record non-controlling interests within stockholders’ equity and the statement of comprehensive income equal to the percentage of ownership interest retained in such entities by the respective non-controlling party.</w:t>
      </w:r>
    </w:p>
    <w:p>
      <w:pPr>
        <w:spacing w:after="0" w:line="206"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2021 Annual Report on Form 10-K (the “2021 Form 10-K”).</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significant accounting policies are fully described in Note 2 – Summary of Significant Accounting Policies in our 2021 Form 10-K.</w:t>
      </w:r>
    </w:p>
    <w:p>
      <w:pPr>
        <w:spacing w:after="0" w:line="252"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235"/>
        </w:trPr>
        <w:tc>
          <w:tcPr>
            <w:tcW w:w="7120" w:type="dxa"/>
            <w:vAlign w:val="bottom"/>
          </w:tcPr>
          <w:p>
            <w:pPr>
              <w:spacing w:after="0"/>
              <w:rPr>
                <w:sz w:val="20"/>
                <w:szCs w:val="20"/>
                <w:color w:val="auto"/>
              </w:rPr>
            </w:pPr>
          </w:p>
        </w:tc>
        <w:tc>
          <w:tcPr>
            <w:tcW w:w="2960" w:type="dxa"/>
            <w:vAlign w:val="bottom"/>
            <w:tcBorders>
              <w:bottom w:val="single" w:sz="8" w:color="auto"/>
            </w:tcBorders>
            <w:gridSpan w:val="5"/>
          </w:tcPr>
          <w:p>
            <w:pPr>
              <w:jc w:val="right"/>
              <w:ind w:right="77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23"/>
        </w:trPr>
        <w:tc>
          <w:tcPr>
            <w:tcW w:w="712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7120" w:type="dxa"/>
            <w:vAlign w:val="bottom"/>
            <w:vMerge w:val="continue"/>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Program cash</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5"/>
        </w:trPr>
        <w:tc>
          <w:tcPr>
            <w:tcW w:w="712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9"/>
                <w:szCs w:val="9"/>
                <w:color w:val="auto"/>
              </w:rPr>
              <w:t>(a)</w:t>
            </w: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720" w:hanging="326"/>
        <w:spacing w:after="0"/>
        <w:tabs>
          <w:tab w:leader="none" w:pos="720" w:val="left"/>
        </w:tabs>
        <w:numPr>
          <w:ilvl w:val="0"/>
          <w:numId w:val="5"/>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931" w:right="339" w:bottom="1440" w:gutter="0" w:footer="0" w:header="0"/>
        </w:sectPr>
      </w:pPr>
    </w:p>
    <w:bookmarkStart w:id="11" w:name="page12"/>
    <w:bookmarkEnd w:id="11"/>
    <w:p>
      <w:pPr>
        <w:jc w:val="both"/>
        <w:ind w:left="50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We present separately the financial data of our vehicle programs. These programs are distinct from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primarily related to acquisition-related activities such as due diligence and other advisory costs, expenses related to the integration of the acquiree’s operations with those of our operations, including the implementation of best practices and process improvements, non-cash gains and losses related to re-acquired rights, expenses related to pre-acquisition contingencies and contingent consideration related to acquisitions.</w:t>
      </w:r>
    </w:p>
    <w:p>
      <w:pPr>
        <w:spacing w:after="0" w:line="206"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We record the gain or loss on foreign currency transactions on certain intercompany loans and the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on intercompany loan hedges within interest expense related to corporate debt, net.</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February 2022, we completed the sale of our operations in the United States Virgin Islands for $13 million, for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operate the Avis brand. During the six months ended June 30, 2022, we recorded a gain of $2 million within restructuring and other related charges.</w:t>
      </w:r>
    </w:p>
    <w:p>
      <w:pPr>
        <w:spacing w:after="0" w:line="19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March 2022, we completed the sale of our operations in the Netherlands for $15 million, subject to working capital adjustments, for the right to operate the Avis and Budget brands. During the six months ended June 30, 2022, we recorded a loss of $7 million, net of impact of foreign currency adjustments, within restructuring and other related charges.</w:t>
      </w:r>
    </w:p>
    <w:p>
      <w:pPr>
        <w:spacing w:after="0" w:line="19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June 30, 2022 and December 31, 2021, we had equity method investments with a carrying value of $68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$72 million, respectively, which are recorded within other non -current assets. Earnings from our equity method investments are reported within operating expenses. For the three months ended June 30, 2022 and 2021, we recorded $2 million related to our equity method investments, in each period. For the six months ended June 30, 2022 and 2021, we recorded $3 million and $2 million related to our equity method investments, respectively.</w:t>
      </w:r>
    </w:p>
    <w:p>
      <w:pPr>
        <w:spacing w:after="0" w:line="206"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our licensees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revenue related to our customer loyalty program, which were approximately $42 million and $19 million during the three months ended June 30, 2022 and 2021, respectively, and $76 million and $59 million during the six months ended June 30, 2022 and 2021, respectively.</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316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80" w:type="dxa"/>
            <w:vAlign w:val="bottom"/>
            <w:vMerge w:val="restart"/>
          </w:tcPr>
          <w:p>
            <w:pPr>
              <w:ind w:left="520"/>
              <w:spacing w:after="0"/>
              <w:rPr>
                <w:sz w:val="20"/>
                <w:szCs w:val="20"/>
                <w:color w:val="auto"/>
              </w:rPr>
            </w:pPr>
            <w:r>
              <w:rPr>
                <w:rFonts w:ascii="Arial" w:cs="Arial" w:eastAsia="Arial" w:hAnsi="Arial"/>
                <w:sz w:val="18"/>
                <w:szCs w:val="18"/>
                <w:color w:val="auto"/>
              </w:rPr>
              <w:t>Americas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1,974</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4,567</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3,054</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20"/>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780" w:type="dxa"/>
            <w:vAlign w:val="bottom"/>
          </w:tcPr>
          <w:p>
            <w:pPr>
              <w:ind w:left="520"/>
              <w:spacing w:after="0"/>
              <w:rPr>
                <w:sz w:val="20"/>
                <w:szCs w:val="20"/>
                <w:color w:val="auto"/>
              </w:rPr>
            </w:pPr>
            <w:r>
              <w:rPr>
                <w:rFonts w:ascii="Arial" w:cs="Arial" w:eastAsia="Arial" w:hAnsi="Arial"/>
                <w:sz w:val="18"/>
                <w:szCs w:val="18"/>
                <w:color w:val="auto"/>
              </w:rPr>
              <w:t>Asia and Australasia</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5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5"/>
        </w:trPr>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37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 w:name="page13"/>
    <w:bookmarkEnd w:id="12"/>
    <w:p>
      <w:pPr>
        <w:ind w:left="442"/>
        <w:spacing w:after="0"/>
        <w:rPr>
          <w:sz w:val="20"/>
          <w:szCs w:val="20"/>
          <w:color w:val="auto"/>
        </w:rPr>
      </w:pPr>
      <w:r>
        <w:rPr>
          <w:rFonts w:ascii="Arial" w:cs="Arial" w:eastAsia="Arial" w:hAnsi="Arial"/>
          <w:sz w:val="18"/>
          <w:szCs w:val="18"/>
          <w:color w:val="auto"/>
        </w:rPr>
        <w:t>The following table presents our revenues disaggregated by brand:</w:t>
      </w:r>
    </w:p>
    <w:p>
      <w:pPr>
        <w:spacing w:after="0" w:line="23"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617"/>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60" w:type="dxa"/>
            <w:vAlign w:val="bottom"/>
            <w:vMerge w:val="restart"/>
          </w:tcPr>
          <w:p>
            <w:pPr>
              <w:spacing w:after="0"/>
              <w:rPr>
                <w:sz w:val="20"/>
                <w:szCs w:val="20"/>
                <w:color w:val="auto"/>
              </w:rPr>
            </w:pPr>
            <w:r>
              <w:rPr>
                <w:rFonts w:ascii="Arial" w:cs="Arial" w:eastAsia="Arial" w:hAnsi="Arial"/>
                <w:sz w:val="18"/>
                <w:szCs w:val="18"/>
                <w:color w:val="auto"/>
              </w:rPr>
              <w:t>Avis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4260" w:type="dxa"/>
            <w:vAlign w:val="bottom"/>
            <w:vMerge w:val="continue"/>
          </w:tcPr>
          <w:p>
            <w:pPr>
              <w:spacing w:after="0"/>
              <w:rPr>
                <w:sz w:val="17"/>
                <w:szCs w:val="17"/>
                <w:color w:val="auto"/>
              </w:rPr>
            </w:pPr>
          </w:p>
        </w:tc>
        <w:tc>
          <w:tcPr>
            <w:tcW w:w="920" w:type="dxa"/>
            <w:vAlign w:val="bottom"/>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1,753</w:t>
            </w:r>
          </w:p>
        </w:tc>
        <w:tc>
          <w:tcPr>
            <w:tcW w:w="100" w:type="dxa"/>
            <w:vAlign w:val="bottom"/>
          </w:tcPr>
          <w:p>
            <w:pPr>
              <w:spacing w:after="0"/>
              <w:rPr>
                <w:sz w:val="17"/>
                <w:szCs w:val="17"/>
                <w:color w:val="auto"/>
              </w:rPr>
            </w:pPr>
          </w:p>
        </w:tc>
        <w:tc>
          <w:tcPr>
            <w:tcW w:w="900" w:type="dxa"/>
            <w:vAlign w:val="bottom"/>
          </w:tcPr>
          <w:p>
            <w:pPr>
              <w:jc w:val="right"/>
              <w:ind w:right="696"/>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1,204</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3,034</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Budget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1,284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35"/>
        </w:trPr>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3,244</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2,371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42"/>
        <w:spacing w:after="0"/>
        <w:rPr>
          <w:sz w:val="20"/>
          <w:szCs w:val="20"/>
          <w:color w:val="auto"/>
        </w:rPr>
      </w:pPr>
      <w:r>
        <w:rPr>
          <w:rFonts w:ascii="Arial" w:cs="Arial" w:eastAsia="Arial" w:hAnsi="Arial"/>
          <w:sz w:val="14"/>
          <w:szCs w:val="14"/>
          <w:color w:val="auto"/>
        </w:rPr>
        <w:t>________</w:t>
      </w:r>
    </w:p>
    <w:p>
      <w:pPr>
        <w:spacing w:after="0" w:line="15" w:lineRule="exact"/>
        <w:rPr>
          <w:sz w:val="20"/>
          <w:szCs w:val="20"/>
          <w:color w:val="auto"/>
        </w:rPr>
      </w:pPr>
    </w:p>
    <w:p>
      <w:pPr>
        <w:ind w:left="442"/>
        <w:spacing w:after="0"/>
        <w:rPr>
          <w:sz w:val="20"/>
          <w:szCs w:val="20"/>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i w:val="1"/>
          <w:iCs w:val="1"/>
          <w:color w:val="auto"/>
        </w:rPr>
        <w:t>Accounting for Contract Assets and Contract Liabilities from Contracts with Customers</w:t>
      </w:r>
    </w:p>
    <w:p>
      <w:pPr>
        <w:spacing w:after="0" w:line="250"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In October 2021, the Financial Accounting Standards Board (“FASB”) issued Accounting Standard Update (“ASU”) 2021-08, “Accounting for Contract Assets and Contract Liabilities from Contracts with Customers,” which amends Topic 805 to add contract assets and contract liabilities to the list of exceptions to the recognition and measurement principles that apply to business combinations and to require an acquirer to recognize and measure contract assets and contract liabilities acquired in a business combination in accordance with Topic 606. ASU 2021-08 becomes effective for us on January 1, 2023. Early adoption is permitted on a retrospective or prospective basis. The adoption of this accounting pronouncement is not expected to have a material impact on our Consolidated Condensed Financial Statements.</w:t>
      </w:r>
    </w:p>
    <w:p>
      <w:pPr>
        <w:spacing w:after="0" w:line="212" w:lineRule="exact"/>
        <w:rPr>
          <w:sz w:val="20"/>
          <w:szCs w:val="20"/>
          <w:color w:val="auto"/>
        </w:rPr>
      </w:pPr>
    </w:p>
    <w:p>
      <w:pPr>
        <w:ind w:left="442"/>
        <w:spacing w:after="0"/>
        <w:rPr>
          <w:sz w:val="20"/>
          <w:szCs w:val="20"/>
          <w:color w:val="auto"/>
        </w:rPr>
      </w:pPr>
      <w:r>
        <w:rPr>
          <w:rFonts w:ascii="Arial" w:cs="Arial" w:eastAsia="Arial" w:hAnsi="Arial"/>
          <w:sz w:val="18"/>
          <w:szCs w:val="18"/>
          <w:i w:val="1"/>
          <w:iCs w:val="1"/>
          <w:color w:val="auto"/>
        </w:rPr>
        <w:t>Reference Rate Reform</w:t>
      </w:r>
    </w:p>
    <w:p>
      <w:pPr>
        <w:spacing w:after="0" w:line="25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In January 2021, the FASB issued ASU 2021-01, “Reference Rate Reform (Topic 848),” which amends ASU 2020-04 and clarifies the scope and guidance of Topic 848 to allow derivatives impacted by the reference rate reform to qualify for certain optional expedients and exceptions for contract modifications and hedge accounting. The guidance is optional and is effective for a limited period of time through December 31, 2022. As of June 30, 2022, this guidance had no impact on our Consolidated Condensed Financial Statements and we will continue to evaluate this guidance.</w:t>
      </w:r>
    </w:p>
    <w:p>
      <w:pPr>
        <w:spacing w:after="0" w:line="206" w:lineRule="exact"/>
        <w:rPr>
          <w:sz w:val="20"/>
          <w:szCs w:val="20"/>
          <w:color w:val="auto"/>
        </w:rPr>
      </w:pPr>
    </w:p>
    <w:p>
      <w:pPr>
        <w:jc w:val="right"/>
        <w:ind w:left="442" w:right="10160" w:hanging="442"/>
        <w:spacing w:after="0" w:line="328" w:lineRule="auto"/>
        <w:tabs>
          <w:tab w:leader="none" w:pos="35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141"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lease revenues disaggregated by geography:</w:t>
      </w:r>
    </w:p>
    <w:p>
      <w:pPr>
        <w:spacing w:after="0" w:line="32"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6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412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2,549</w:t>
            </w:r>
          </w:p>
        </w:tc>
        <w:tc>
          <w:tcPr>
            <w:tcW w:w="14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Asia and Australasia</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 lease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1174" w:right="339" w:bottom="1440" w:gutter="0" w:footer="0" w:header="0"/>
        </w:sectPr>
      </w:pPr>
    </w:p>
    <w:bookmarkStart w:id="13" w:name="page14"/>
    <w:bookmarkEnd w:id="13"/>
    <w:p>
      <w:pPr>
        <w:ind w:left="6"/>
        <w:spacing w:after="0"/>
        <w:rPr>
          <w:sz w:val="20"/>
          <w:szCs w:val="20"/>
          <w:color w:val="auto"/>
        </w:rPr>
      </w:pPr>
      <w:r>
        <w:rPr>
          <w:rFonts w:ascii="Arial" w:cs="Arial" w:eastAsia="Arial" w:hAnsi="Arial"/>
          <w:sz w:val="18"/>
          <w:szCs w:val="18"/>
          <w:color w:val="auto"/>
        </w:rPr>
        <w:t>The following table presents our lease revenues disaggregated by brand:</w:t>
      </w:r>
    </w:p>
    <w:p>
      <w:pPr>
        <w:spacing w:after="0" w:line="23"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6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00" w:type="dxa"/>
            <w:vAlign w:val="bottom"/>
            <w:vMerge w:val="restart"/>
          </w:tcPr>
          <w:p>
            <w:pPr>
              <w:spacing w:after="0"/>
              <w:rPr>
                <w:sz w:val="20"/>
                <w:szCs w:val="20"/>
                <w:color w:val="auto"/>
              </w:rPr>
            </w:pPr>
            <w:r>
              <w:rPr>
                <w:rFonts w:ascii="Arial" w:cs="Arial" w:eastAsia="Arial" w:hAnsi="Arial"/>
                <w:sz w:val="18"/>
                <w:szCs w:val="18"/>
                <w:color w:val="auto"/>
              </w:rPr>
              <w:t>Avis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410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1,728</w:t>
            </w:r>
          </w:p>
        </w:tc>
        <w:tc>
          <w:tcPr>
            <w:tcW w:w="14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Budget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 lease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86"/>
        <w:spacing w:after="0"/>
        <w:rPr>
          <w:sz w:val="20"/>
          <w:szCs w:val="20"/>
          <w:color w:val="auto"/>
        </w:rPr>
      </w:pPr>
      <w:r>
        <w:rPr>
          <w:rFonts w:ascii="Arial" w:cs="Arial" w:eastAsia="Arial" w:hAnsi="Arial"/>
          <w:sz w:val="14"/>
          <w:szCs w:val="14"/>
          <w:color w:val="auto"/>
        </w:rPr>
        <w:t>_______</w:t>
      </w:r>
    </w:p>
    <w:p>
      <w:pPr>
        <w:spacing w:after="0" w:line="15" w:lineRule="exact"/>
        <w:rPr>
          <w:sz w:val="20"/>
          <w:szCs w:val="20"/>
          <w:color w:val="auto"/>
        </w:rPr>
      </w:pPr>
    </w:p>
    <w:p>
      <w:pPr>
        <w:ind w:left="86"/>
        <w:spacing w:after="0"/>
        <w:rPr>
          <w:sz w:val="20"/>
          <w:szCs w:val="20"/>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Lessee</w:t>
      </w:r>
    </w:p>
    <w:p>
      <w:pPr>
        <w:spacing w:after="0" w:line="250" w:lineRule="exact"/>
        <w:rPr>
          <w:sz w:val="20"/>
          <w:szCs w:val="20"/>
          <w:color w:val="auto"/>
        </w:rPr>
      </w:pPr>
    </w:p>
    <w:p>
      <w:pPr>
        <w:jc w:val="both"/>
        <w:ind w:left="6"/>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spacing w:after="0" w:line="210" w:lineRule="exact"/>
        <w:rPr>
          <w:sz w:val="20"/>
          <w:szCs w:val="20"/>
          <w:color w:val="auto"/>
        </w:rPr>
      </w:pPr>
    </w:p>
    <w:tbl>
      <w:tblPr>
        <w:tblLayout w:type="fixed"/>
        <w:tblInd w:w="6"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160" w:type="dxa"/>
            <w:vAlign w:val="bottom"/>
          </w:tcPr>
          <w:p>
            <w:pPr>
              <w:spacing w:after="0"/>
              <w:rPr>
                <w:sz w:val="17"/>
                <w:szCs w:val="17"/>
                <w:color w:val="auto"/>
              </w:rPr>
            </w:pPr>
          </w:p>
        </w:tc>
        <w:tc>
          <w:tcPr>
            <w:tcW w:w="24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4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3"/>
                <w:szCs w:val="23"/>
                <w:b w:val="1"/>
                <w:bCs w:val="1"/>
                <w:color w:val="auto"/>
                <w:vertAlign w:val="superscript"/>
              </w:rPr>
              <w:t>(a)</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41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 property lease expense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6" w:right="60" w:hanging="326"/>
        <w:spacing w:after="0" w:line="273" w:lineRule="auto"/>
        <w:tabs>
          <w:tab w:leader="none" w:pos="276" w:val="left"/>
        </w:tabs>
        <w:numPr>
          <w:ilvl w:val="0"/>
          <w:numId w:val="7"/>
        </w:numPr>
        <w:rPr>
          <w:rFonts w:ascii="Arial" w:cs="Arial" w:eastAsia="Arial" w:hAnsi="Arial"/>
          <w:sz w:val="9"/>
          <w:szCs w:val="9"/>
          <w:color w:val="auto"/>
        </w:rPr>
      </w:pPr>
      <w:r>
        <w:rPr>
          <w:rFonts w:ascii="Arial" w:cs="Arial" w:eastAsia="Arial" w:hAnsi="Arial"/>
          <w:sz w:val="14"/>
          <w:szCs w:val="14"/>
          <w:color w:val="auto"/>
        </w:rPr>
        <w:t>Primarily within operating expense and includes $(2) million and $(3) million for the three months ended June 30, 2022 and 2021, respectively, and $(9) million and $16 million for the six months ended June 30, 2022 and 2021, respectively, of minimum annual guaranteed rent in excess of concession fees, net, as defined in our rental concession agreements.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3"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8"/>
                <w:szCs w:val="18"/>
                <w:color w:val="auto"/>
              </w:rPr>
            </w:pPr>
          </w:p>
        </w:tc>
        <w:tc>
          <w:tcPr>
            <w:tcW w:w="2060" w:type="dxa"/>
            <w:vAlign w:val="bottom"/>
          </w:tcPr>
          <w:p>
            <w:pPr>
              <w:jc w:val="right"/>
              <w:ind w:right="85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3"/>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Property leases</w:t>
            </w:r>
          </w:p>
        </w:tc>
        <w:tc>
          <w:tcPr>
            <w:tcW w:w="320" w:type="dxa"/>
            <w:vAlign w:val="bottom"/>
          </w:tcPr>
          <w:p>
            <w:pPr>
              <w:spacing w:after="0"/>
              <w:rPr>
                <w:sz w:val="21"/>
                <w:szCs w:val="21"/>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June 30, 2022</w:t>
            </w:r>
          </w:p>
        </w:tc>
        <w:tc>
          <w:tcPr>
            <w:tcW w:w="220" w:type="dxa"/>
            <w:vAlign w:val="bottom"/>
          </w:tcPr>
          <w:p>
            <w:pPr>
              <w:spacing w:after="0"/>
              <w:rPr>
                <w:sz w:val="21"/>
                <w:szCs w:val="21"/>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1"/>
        </w:trPr>
        <w:tc>
          <w:tcPr>
            <w:tcW w:w="5460" w:type="dxa"/>
            <w:vAlign w:val="bottom"/>
            <w:vMerge w:val="continue"/>
          </w:tcPr>
          <w:p>
            <w:pPr>
              <w:spacing w:after="0"/>
              <w:rPr>
                <w:sz w:val="19"/>
                <w:szCs w:val="19"/>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8"/>
                <w:szCs w:val="18"/>
                <w:color w:val="auto"/>
              </w:rPr>
              <w:t>Operating lease ROU assets</w:t>
            </w:r>
          </w:p>
        </w:tc>
        <w:tc>
          <w:tcPr>
            <w:tcW w:w="32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460" w:type="dxa"/>
            <w:vAlign w:val="bottom"/>
          </w:tcPr>
          <w:p>
            <w:pPr>
              <w:ind w:left="20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9"/>
                <w:szCs w:val="9"/>
                <w:color w:val="auto"/>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5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5"/>
        </w:trPr>
        <w:tc>
          <w:tcPr>
            <w:tcW w:w="546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460" w:type="dxa"/>
            <w:vAlign w:val="bottom"/>
          </w:tcPr>
          <w:p>
            <w:pPr>
              <w:ind w:left="200"/>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24"/>
                <w:szCs w:val="24"/>
                <w:color w:val="auto"/>
              </w:rPr>
            </w:pPr>
          </w:p>
        </w:tc>
        <w:tc>
          <w:tcPr>
            <w:tcW w:w="2020" w:type="dxa"/>
            <w:vAlign w:val="bottom"/>
            <w:gridSpan w:val="2"/>
          </w:tcPr>
          <w:p>
            <w:pPr>
              <w:ind w:left="1160"/>
              <w:spacing w:after="0"/>
              <w:rPr>
                <w:sz w:val="20"/>
                <w:szCs w:val="20"/>
                <w:color w:val="auto"/>
              </w:rPr>
            </w:pPr>
            <w:r>
              <w:rPr>
                <w:rFonts w:ascii="Arial" w:cs="Arial" w:eastAsia="Arial" w:hAnsi="Arial"/>
                <w:sz w:val="18"/>
                <w:szCs w:val="18"/>
                <w:color w:val="auto"/>
              </w:rPr>
              <w:t>8.6 years</w:t>
            </w:r>
          </w:p>
        </w:tc>
        <w:tc>
          <w:tcPr>
            <w:tcW w:w="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8.8 years</w:t>
            </w:r>
          </w:p>
        </w:tc>
        <w:tc>
          <w:tcPr>
            <w:tcW w:w="0" w:type="dxa"/>
            <w:vAlign w:val="bottom"/>
          </w:tcPr>
          <w:p>
            <w:pPr>
              <w:spacing w:after="0"/>
              <w:rPr>
                <w:sz w:val="1"/>
                <w:szCs w:val="1"/>
                <w:color w:val="auto"/>
              </w:rPr>
            </w:pPr>
          </w:p>
        </w:tc>
      </w:tr>
      <w:tr>
        <w:trPr>
          <w:trHeight w:val="239"/>
        </w:trPr>
        <w:tc>
          <w:tcPr>
            <w:tcW w:w="5460" w:type="dxa"/>
            <w:vAlign w:val="bottom"/>
          </w:tcPr>
          <w:p>
            <w:pPr>
              <w:ind w:left="20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w:t>
      </w:r>
    </w:p>
    <w:p>
      <w:pPr>
        <w:ind w:left="266" w:hanging="266"/>
        <w:spacing w:after="0" w:line="229" w:lineRule="auto"/>
        <w:tabs>
          <w:tab w:leader="none" w:pos="266"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Six Months Ended</w:t>
      </w:r>
    </w:p>
    <w:p>
      <w:pPr>
        <w:ind w:left="8700"/>
        <w:spacing w:after="0"/>
        <w:rPr>
          <w:sz w:val="20"/>
          <w:szCs w:val="20"/>
          <w:color w:val="auto"/>
        </w:rPr>
      </w:pPr>
      <w:r>
        <w:rPr>
          <w:rFonts w:ascii="Arial" w:cs="Arial" w:eastAsia="Arial" w:hAnsi="Arial"/>
          <w:sz w:val="18"/>
          <w:szCs w:val="18"/>
          <w:b w:val="1"/>
          <w:bCs w:val="1"/>
          <w:color w:val="auto"/>
        </w:rPr>
        <w:t>June 30,</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7120" w:type="dxa"/>
            <w:vAlign w:val="bottom"/>
            <w:vMerge w:val="restart"/>
          </w:tcPr>
          <w:p>
            <w:pPr>
              <w:spacing w:after="0"/>
              <w:rPr>
                <w:sz w:val="20"/>
                <w:szCs w:val="20"/>
                <w:color w:val="auto"/>
              </w:rPr>
            </w:pPr>
            <w:r>
              <w:rPr>
                <w:rFonts w:ascii="Arial" w:cs="Arial" w:eastAsia="Arial" w:hAnsi="Arial"/>
                <w:sz w:val="18"/>
                <w:szCs w:val="18"/>
                <w:color w:val="auto"/>
              </w:rPr>
              <w:t>Cash payments for lease liabilities within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7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00"/>
              <w:spacing w:after="0"/>
              <w:rPr>
                <w:sz w:val="20"/>
                <w:szCs w:val="20"/>
                <w:color w:val="auto"/>
              </w:rPr>
            </w:pPr>
            <w:r>
              <w:rPr>
                <w:rFonts w:ascii="Arial" w:cs="Arial" w:eastAsia="Arial" w:hAnsi="Arial"/>
                <w:sz w:val="18"/>
                <w:szCs w:val="18"/>
                <w:color w:val="auto"/>
              </w:rPr>
              <w:t>Property 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Non-cash activities - increase (decrease) in ROU assets in exchange for lease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120" w:type="dxa"/>
            <w:vAlign w:val="bottom"/>
          </w:tcPr>
          <w:p>
            <w:pPr>
              <w:ind w:left="200"/>
              <w:spacing w:after="0"/>
              <w:rPr>
                <w:sz w:val="20"/>
                <w:szCs w:val="20"/>
                <w:color w:val="auto"/>
              </w:rPr>
            </w:pPr>
            <w:r>
              <w:rPr>
                <w:rFonts w:ascii="Arial" w:cs="Arial" w:eastAsia="Arial" w:hAnsi="Arial"/>
                <w:sz w:val="18"/>
                <w:szCs w:val="18"/>
                <w:color w:val="auto"/>
              </w:rPr>
              <w:t>Property 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tab/>
        <w:t>Restructuring and Other Related Charges</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Restructuring</w:t>
      </w:r>
    </w:p>
    <w:p>
      <w:pPr>
        <w:spacing w:after="0" w:line="304"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color w:val="auto"/>
        </w:rPr>
        <w:t>During second quarter 2022, we initiated a restructuring plan to focus on consolidating our global operations by designing new processes and implementing new systems (“Cost Optimization Plan”). During the six months ended June 30, 2022, we formally communicated the termination of employment to approximately 85 employees, as part of this process, and terminated approximately 75 of these employees. The Company expects further restructuring expense of approximately $5 million related to this initiative to be incurred in 2022.</w:t>
      </w:r>
    </w:p>
    <w:p>
      <w:pPr>
        <w:spacing w:after="0" w:line="206"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color w:val="auto"/>
        </w:rPr>
        <w:t>During first quarter 2021, we initiated a global restructuring plan to focus on cost discipline by reviewing headcounts, facilities and contractor agreements. We are transforming our business as we prepare to exit the COVID-19 crisis by controlling fixed costs and matching variable costs to demand (“T21”). During the six months ended June 30, 2022, we formally communicated the termination of employment to approximately 55 employees, as part of this process, and terminated approximately 50 of these employees. We expect no further restructuring expense to be incurred in 2022 under this initiative.</w:t>
      </w:r>
    </w:p>
    <w:p>
      <w:pPr>
        <w:spacing w:after="0" w:line="206" w:lineRule="exact"/>
        <w:rPr>
          <w:sz w:val="20"/>
          <w:szCs w:val="20"/>
          <w:color w:val="auto"/>
        </w:rPr>
      </w:pPr>
    </w:p>
    <w:p>
      <w:pPr>
        <w:jc w:val="both"/>
        <w:ind w:left="440"/>
        <w:spacing w:after="0" w:line="268" w:lineRule="auto"/>
        <w:rPr>
          <w:sz w:val="20"/>
          <w:szCs w:val="20"/>
          <w:color w:val="auto"/>
        </w:rPr>
      </w:pPr>
      <w:r>
        <w:rPr>
          <w:rFonts w:ascii="Arial" w:cs="Arial" w:eastAsia="Arial" w:hAnsi="Arial"/>
          <w:sz w:val="18"/>
          <w:szCs w:val="18"/>
          <w:color w:val="auto"/>
        </w:rPr>
        <w:t>During first quarter 2020, we initiated a global restructuring plan to reduce operating costs, such as headcount and facilities, due to declining reservations and revenue resulting from COVID-19 outbreak (“2020 Optimization Plan”). We expect no further restructuring expenses related to this initiative.</w:t>
      </w:r>
    </w:p>
    <w:p>
      <w:pPr>
        <w:spacing w:after="0" w:line="198" w:lineRule="exact"/>
        <w:rPr>
          <w:sz w:val="20"/>
          <w:szCs w:val="20"/>
          <w:color w:val="auto"/>
        </w:rPr>
      </w:pPr>
    </w:p>
    <w:p>
      <w:pPr>
        <w:jc w:val="both"/>
        <w:ind w:left="440" w:right="20"/>
        <w:spacing w:after="0" w:line="287" w:lineRule="auto"/>
        <w:rPr>
          <w:sz w:val="20"/>
          <w:szCs w:val="20"/>
          <w:color w:val="auto"/>
        </w:rPr>
      </w:pPr>
      <w:r>
        <w:rPr>
          <w:rFonts w:ascii="Arial" w:cs="Arial" w:eastAsia="Arial" w:hAnsi="Arial"/>
          <w:sz w:val="18"/>
          <w:szCs w:val="18"/>
          <w:color w:val="auto"/>
        </w:rPr>
        <w:t>During third quarter 2019, we initiated a restructuring plan to exit our operations in Brazil by closing rental facilities, disposing of assets and terminating personnel (“Brazil”). We expect no further restructuring expense related to this initiative.</w:t>
      </w: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931" w:right="339" w:bottom="1440" w:gutter="0" w:footer="0" w:header="0"/>
        </w:sectPr>
      </w:pPr>
    </w:p>
    <w:bookmarkStart w:id="15" w:name="page16"/>
    <w:bookmarkEnd w:id="15"/>
    <w:p>
      <w:pPr>
        <w:ind w:left="6" w:right="20"/>
        <w:spacing w:after="0" w:line="287" w:lineRule="auto"/>
        <w:rPr>
          <w:sz w:val="20"/>
          <w:szCs w:val="20"/>
          <w:color w:val="auto"/>
        </w:rPr>
      </w:pPr>
      <w:r>
        <w:rPr>
          <w:rFonts w:ascii="Arial" w:cs="Arial" w:eastAsia="Arial" w:hAnsi="Arial"/>
          <w:sz w:val="18"/>
          <w:szCs w:val="18"/>
          <w:color w:val="auto"/>
        </w:rPr>
        <w:t>The following tables summarize the changes to our restructuring-related liabilities and identifies the amounts recorded within our reporting segments for restructuring charges and corresponding payments and utilizations:</w:t>
      </w:r>
    </w:p>
    <w:p>
      <w:pPr>
        <w:spacing w:after="0" w:line="90"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4420" w:type="dxa"/>
            <w:vAlign w:val="bottom"/>
            <w:vMerge w:val="restart"/>
          </w:tcPr>
          <w:p>
            <w:pPr>
              <w:spacing w:after="0"/>
              <w:rPr>
                <w:sz w:val="20"/>
                <w:szCs w:val="20"/>
                <w:color w:val="auto"/>
              </w:rPr>
            </w:pPr>
            <w:r>
              <w:rPr>
                <w:rFonts w:ascii="Arial" w:cs="Arial" w:eastAsia="Arial" w:hAnsi="Arial"/>
                <w:sz w:val="18"/>
                <w:szCs w:val="18"/>
                <w:color w:val="auto"/>
              </w:rPr>
              <w:t>Balance as of January 1, 2022</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w w:val="99"/>
              </w:rPr>
              <w:t>Americas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International</w:t>
            </w:r>
          </w:p>
        </w:tc>
        <w:tc>
          <w:tcPr>
            <w:tcW w:w="30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8"/>
        </w:trPr>
        <w:tc>
          <w:tcPr>
            <w:tcW w:w="44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Cost Optimization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Brazil</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Cost Optimization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2020 Optimization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4420" w:type="dxa"/>
            <w:vAlign w:val="bottom"/>
          </w:tcPr>
          <w:p>
            <w:pPr>
              <w:ind w:left="300"/>
              <w:spacing w:after="0"/>
              <w:rPr>
                <w:sz w:val="20"/>
                <w:szCs w:val="20"/>
                <w:color w:val="auto"/>
              </w:rPr>
            </w:pPr>
            <w:r>
              <w:rPr>
                <w:rFonts w:ascii="Arial" w:cs="Arial" w:eastAsia="Arial" w:hAnsi="Arial"/>
                <w:sz w:val="18"/>
                <w:szCs w:val="18"/>
                <w:color w:val="auto"/>
              </w:rPr>
              <w:t>Brazil</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as of June 30, 2022</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Personnel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rPr>
              <w:t>Facility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(a)</w:t>
            </w:r>
          </w:p>
        </w:tc>
        <w:tc>
          <w:tcPr>
            <w:tcW w:w="300" w:type="dxa"/>
            <w:vAlign w:val="bottom"/>
          </w:tcPr>
          <w:p>
            <w:pPr>
              <w:spacing w:after="0"/>
              <w:rPr>
                <w:sz w:val="24"/>
                <w:szCs w:val="24"/>
                <w:color w:val="auto"/>
              </w:rPr>
            </w:pPr>
          </w:p>
        </w:tc>
        <w:tc>
          <w:tcPr>
            <w:tcW w:w="102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420" w:type="dxa"/>
            <w:vAlign w:val="bottom"/>
            <w:vMerge w:val="restart"/>
          </w:tcPr>
          <w:p>
            <w:pPr>
              <w:spacing w:after="0"/>
              <w:rPr>
                <w:sz w:val="20"/>
                <w:szCs w:val="20"/>
                <w:color w:val="auto"/>
              </w:rPr>
            </w:pPr>
            <w:r>
              <w:rPr>
                <w:rFonts w:ascii="Arial" w:cs="Arial" w:eastAsia="Arial" w:hAnsi="Arial"/>
                <w:sz w:val="18"/>
                <w:szCs w:val="18"/>
                <w:color w:val="auto"/>
              </w:rPr>
              <w:t>Balance as of January 1, 2022</w:t>
            </w:r>
          </w:p>
        </w:tc>
        <w:tc>
          <w:tcPr>
            <w:tcW w:w="10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20" w:type="dxa"/>
            <w:vAlign w:val="bottom"/>
            <w:vMerge w:val="continue"/>
          </w:tcPr>
          <w:p>
            <w:pPr>
              <w:spacing w:after="0"/>
              <w:rPr>
                <w:sz w:val="18"/>
                <w:szCs w:val="18"/>
                <w:color w:val="auto"/>
              </w:rPr>
            </w:pPr>
          </w:p>
        </w:tc>
        <w:tc>
          <w:tcPr>
            <w:tcW w:w="1080" w:type="dxa"/>
            <w:vAlign w:val="bottom"/>
            <w:tcBorders>
              <w:top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Cost Optimization</w:t>
            </w: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Brazil</w:t>
            </w: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Cost Optimization</w:t>
            </w: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2020 Optimization</w:t>
            </w: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4420" w:type="dxa"/>
            <w:vAlign w:val="bottom"/>
          </w:tcPr>
          <w:p>
            <w:pPr>
              <w:ind w:left="300"/>
              <w:spacing w:after="0"/>
              <w:rPr>
                <w:sz w:val="20"/>
                <w:szCs w:val="20"/>
                <w:color w:val="auto"/>
              </w:rPr>
            </w:pPr>
            <w:r>
              <w:rPr>
                <w:rFonts w:ascii="Arial" w:cs="Arial" w:eastAsia="Arial" w:hAnsi="Arial"/>
                <w:sz w:val="18"/>
                <w:szCs w:val="18"/>
                <w:color w:val="auto"/>
              </w:rPr>
              <w:t>Brazil</w:t>
            </w:r>
          </w:p>
        </w:tc>
        <w:tc>
          <w:tcPr>
            <w:tcW w:w="108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as of June 30, 2022</w:t>
            </w: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w:t>
      </w:r>
    </w:p>
    <w:p>
      <w:pPr>
        <w:ind w:left="326" w:hanging="326"/>
        <w:spacing w:after="0" w:line="218" w:lineRule="auto"/>
        <w:tabs>
          <w:tab w:leader="none" w:pos="326"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expenses primarily related to the disposition of vehicles.</w:t>
      </w:r>
    </w:p>
    <w:p>
      <w:pPr>
        <w:spacing w:after="0" w:line="22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2"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Officer Separation Costs</w:t>
      </w:r>
    </w:p>
    <w:p>
      <w:pPr>
        <w:spacing w:after="0" w:line="250" w:lineRule="exact"/>
        <w:rPr>
          <w:sz w:val="20"/>
          <w:szCs w:val="20"/>
          <w:color w:val="auto"/>
        </w:rPr>
      </w:pPr>
    </w:p>
    <w:p>
      <w:pPr>
        <w:jc w:val="both"/>
        <w:ind w:left="6"/>
        <w:spacing w:after="0" w:line="268" w:lineRule="auto"/>
        <w:rPr>
          <w:sz w:val="20"/>
          <w:szCs w:val="20"/>
          <w:color w:val="auto"/>
        </w:rPr>
      </w:pPr>
      <w:r>
        <w:rPr>
          <w:rFonts w:ascii="Arial" w:cs="Arial" w:eastAsia="Arial" w:hAnsi="Arial"/>
          <w:sz w:val="18"/>
          <w:szCs w:val="18"/>
          <w:color w:val="auto"/>
        </w:rPr>
        <w:t>In April 2022, the Company announced the departure of Veresh Sita as Executive Vice President and Chief Digital and Innovation Officer effective May 13, 2022. In connection with Mr. Sita’s separation, the Company recorded other related charges of approximately $1 million, inclusive of accelerated stock-based compensation expense, 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16" w:name="page17"/>
    <w:bookmarkEnd w:id="16"/>
    <w:p>
      <w:pPr>
        <w:ind w:left="342" w:hanging="342"/>
        <w:spacing w:after="0"/>
        <w:tabs>
          <w:tab w:leader="none" w:pos="34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23"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2540" w:type="dxa"/>
            <w:vAlign w:val="bottom"/>
            <w:gridSpan w:val="7"/>
          </w:tcPr>
          <w:p>
            <w:pPr>
              <w:ind w:left="100"/>
              <w:spacing w:after="0"/>
              <w:rPr>
                <w:sz w:val="20"/>
                <w:szCs w:val="20"/>
                <w:color w:val="auto"/>
              </w:rPr>
            </w:pPr>
            <w:r>
              <w:rPr>
                <w:rFonts w:ascii="Arial" w:cs="Arial" w:eastAsia="Arial" w:hAnsi="Arial"/>
                <w:sz w:val="18"/>
                <w:szCs w:val="18"/>
                <w:b w:val="1"/>
                <w:bCs w:val="1"/>
                <w:color w:val="auto"/>
              </w:rPr>
              <w:t>Three Months Ended June</w:t>
            </w:r>
          </w:p>
        </w:tc>
        <w:tc>
          <w:tcPr>
            <w:tcW w:w="260" w:type="dxa"/>
            <w:vAlign w:val="bottom"/>
          </w:tcPr>
          <w:p>
            <w:pPr>
              <w:spacing w:after="0"/>
              <w:rPr>
                <w:sz w:val="17"/>
                <w:szCs w:val="17"/>
                <w:color w:val="auto"/>
              </w:rPr>
            </w:pPr>
          </w:p>
        </w:tc>
        <w:tc>
          <w:tcPr>
            <w:tcW w:w="21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87"/>
              </w:rPr>
              <w:t>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vMerge w:val="restart"/>
          </w:tcPr>
          <w:p>
            <w:pPr>
              <w:spacing w:after="0"/>
              <w:rPr>
                <w:sz w:val="20"/>
                <w:szCs w:val="20"/>
                <w:color w:val="auto"/>
              </w:rPr>
            </w:pPr>
            <w:r>
              <w:rPr>
                <w:rFonts w:ascii="Arial" w:cs="Arial" w:eastAsia="Arial" w:hAnsi="Arial"/>
                <w:sz w:val="18"/>
                <w:szCs w:val="18"/>
                <w:color w:val="auto"/>
              </w:rPr>
              <w:t>Net income attributable to Avis Budget Group, Inc. for basic and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55"/>
        </w:trPr>
        <w:tc>
          <w:tcPr>
            <w:tcW w:w="5140" w:type="dxa"/>
            <w:vAlign w:val="bottom"/>
            <w:vMerge w:val="continue"/>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778</w:t>
            </w:r>
          </w:p>
        </w:tc>
        <w:tc>
          <w:tcPr>
            <w:tcW w:w="4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diluted EPS</w:t>
            </w:r>
          </w:p>
        </w:tc>
        <w:tc>
          <w:tcPr>
            <w:tcW w:w="2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7"/>
        </w:trPr>
        <w:tc>
          <w:tcPr>
            <w:tcW w:w="51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7"/>
        </w:trPr>
        <w:tc>
          <w:tcPr>
            <w:tcW w:w="5140" w:type="dxa"/>
            <w:vAlign w:val="bottom"/>
          </w:tcPr>
          <w:p>
            <w:pPr>
              <w:spacing w:after="0" w:line="237" w:lineRule="exact"/>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
        </w:trPr>
        <w:tc>
          <w:tcPr>
            <w:tcW w:w="514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9"/>
        </w:trPr>
        <w:tc>
          <w:tcPr>
            <w:tcW w:w="5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16.05</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9"/>
        </w:trPr>
        <w:tc>
          <w:tcPr>
            <w:tcW w:w="5140" w:type="dxa"/>
            <w:vAlign w:val="bottom"/>
          </w:tcPr>
          <w:p>
            <w:pPr>
              <w:ind w:left="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15.71</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42"/>
        <w:spacing w:after="0"/>
        <w:rPr>
          <w:sz w:val="20"/>
          <w:szCs w:val="20"/>
          <w:color w:val="auto"/>
        </w:rPr>
      </w:pPr>
      <w:r>
        <w:rPr>
          <w:rFonts w:ascii="Arial" w:cs="Arial" w:eastAsia="Arial" w:hAnsi="Arial"/>
          <w:sz w:val="18"/>
          <w:szCs w:val="18"/>
          <w:color w:val="auto"/>
        </w:rPr>
        <w:t>________</w:t>
      </w:r>
    </w:p>
    <w:p>
      <w:pPr>
        <w:spacing w:after="0" w:line="32" w:lineRule="exact"/>
        <w:rPr>
          <w:sz w:val="20"/>
          <w:szCs w:val="20"/>
          <w:color w:val="auto"/>
        </w:rPr>
      </w:pPr>
    </w:p>
    <w:p>
      <w:pPr>
        <w:ind w:left="762" w:hanging="326"/>
        <w:spacing w:after="0" w:line="305" w:lineRule="auto"/>
        <w:tabs>
          <w:tab w:leader="none" w:pos="719" w:val="left"/>
        </w:tabs>
        <w:numPr>
          <w:ilvl w:val="1"/>
          <w:numId w:val="11"/>
        </w:numPr>
        <w:rPr>
          <w:rFonts w:ascii="Arial" w:cs="Arial" w:eastAsia="Arial" w:hAnsi="Arial"/>
          <w:sz w:val="9"/>
          <w:szCs w:val="9"/>
          <w:color w:val="auto"/>
        </w:rPr>
      </w:pPr>
      <w:r>
        <w:rPr>
          <w:rFonts w:ascii="Arial" w:cs="Arial" w:eastAsia="Arial" w:hAnsi="Arial"/>
          <w:sz w:val="14"/>
          <w:szCs w:val="14"/>
          <w:color w:val="auto"/>
        </w:rPr>
        <w:t>For the six months ended June 30, 2022, 0.1 million non-vested stock awards have an anti-dilutive effect and therefore are excluded from the computation of diluted weighted average shares outstanding.</w:t>
      </w:r>
    </w:p>
    <w:p>
      <w:pPr>
        <w:spacing w:after="0" w:line="215" w:lineRule="exact"/>
        <w:rPr>
          <w:rFonts w:ascii="Arial" w:cs="Arial" w:eastAsia="Arial" w:hAnsi="Arial"/>
          <w:sz w:val="9"/>
          <w:szCs w:val="9"/>
          <w:color w:val="auto"/>
        </w:rPr>
      </w:pPr>
    </w:p>
    <w:p>
      <w:pPr>
        <w:ind w:left="342" w:hanging="342"/>
        <w:spacing w:after="0"/>
        <w:tabs>
          <w:tab w:leader="none" w:pos="34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Other current assets consisted of:</w:t>
      </w:r>
    </w:p>
    <w:p>
      <w:pPr>
        <w:spacing w:after="0" w:line="50"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3240" w:type="dxa"/>
            <w:vAlign w:val="bottom"/>
            <w:vMerge w:val="restart"/>
          </w:tcPr>
          <w:p>
            <w:pPr>
              <w:ind w:left="4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As of June 30, 2022</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As of December 31, 2021</w:t>
            </w:r>
          </w:p>
        </w:tc>
        <w:tc>
          <w:tcPr>
            <w:tcW w:w="0" w:type="dxa"/>
            <w:vAlign w:val="bottom"/>
          </w:tcPr>
          <w:p>
            <w:pPr>
              <w:spacing w:after="0"/>
              <w:rPr>
                <w:sz w:val="1"/>
                <w:szCs w:val="1"/>
                <w:color w:val="auto"/>
              </w:rPr>
            </w:pPr>
          </w:p>
        </w:tc>
      </w:tr>
      <w:tr>
        <w:trPr>
          <w:trHeight w:val="218"/>
        </w:trPr>
        <w:tc>
          <w:tcPr>
            <w:tcW w:w="3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460"/>
              <w:spacing w:after="0"/>
              <w:rPr>
                <w:sz w:val="20"/>
                <w:szCs w:val="20"/>
                <w:color w:val="auto"/>
              </w:rPr>
            </w:pPr>
            <w:r>
              <w:rPr>
                <w:rFonts w:ascii="Arial" w:cs="Arial" w:eastAsia="Arial" w:hAnsi="Arial"/>
                <w:sz w:val="18"/>
                <w:szCs w:val="18"/>
                <w:color w:val="auto"/>
              </w:rPr>
              <w:t>Sales and use taxes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240" w:type="dxa"/>
            <w:vAlign w:val="bottom"/>
          </w:tcPr>
          <w:p>
            <w:pPr>
              <w:ind w:left="4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4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538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6.  Intangible Assets</w:t>
            </w: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3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40" w:type="dxa"/>
            <w:vAlign w:val="bottom"/>
          </w:tcPr>
          <w:p>
            <w:pPr>
              <w:ind w:left="440"/>
              <w:spacing w:after="0"/>
              <w:rPr>
                <w:sz w:val="20"/>
                <w:szCs w:val="20"/>
                <w:color w:val="auto"/>
              </w:rPr>
            </w:pPr>
            <w:r>
              <w:rPr>
                <w:rFonts w:ascii="Arial" w:cs="Arial" w:eastAsia="Arial" w:hAnsi="Arial"/>
                <w:sz w:val="18"/>
                <w:szCs w:val="18"/>
                <w:color w:val="auto"/>
              </w:rPr>
              <w:t>Intangible assets consisted of:</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As of June 30, 2022</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As of December 31, 2021</w:t>
            </w:r>
          </w:p>
        </w:tc>
        <w:tc>
          <w:tcPr>
            <w:tcW w:w="8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4"/>
          </w:tcPr>
          <w:p>
            <w:pPr>
              <w:jc w:val="center"/>
              <w:ind w:right="110"/>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00" w:type="dxa"/>
            <w:vAlign w:val="bottom"/>
          </w:tcPr>
          <w:p>
            <w:pPr>
              <w:jc w:val="center"/>
              <w:ind w:right="56"/>
              <w:spacing w:after="0" w:line="155" w:lineRule="exact"/>
              <w:rPr>
                <w:sz w:val="20"/>
                <w:szCs w:val="20"/>
                <w:color w:val="auto"/>
              </w:rPr>
            </w:pPr>
            <w:r>
              <w:rPr>
                <w:rFonts w:ascii="Arial" w:cs="Arial" w:eastAsia="Arial" w:hAnsi="Arial"/>
                <w:sz w:val="16"/>
                <w:szCs w:val="16"/>
                <w:b w:val="1"/>
                <w:bCs w:val="1"/>
                <w:color w:val="auto"/>
              </w:rPr>
              <w:t>Net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4"/>
                <w:szCs w:val="14"/>
                <w:color w:val="auto"/>
              </w:rPr>
            </w:pPr>
          </w:p>
        </w:tc>
        <w:tc>
          <w:tcPr>
            <w:tcW w:w="860" w:type="dxa"/>
            <w:vAlign w:val="bottom"/>
            <w:gridSpan w:val="4"/>
          </w:tcPr>
          <w:p>
            <w:pPr>
              <w:jc w:val="center"/>
              <w:ind w:right="110"/>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3240" w:type="dxa"/>
            <w:vAlign w:val="bottom"/>
            <w:vMerge w:val="restart"/>
          </w:tcPr>
          <w:p>
            <w:pPr>
              <w:ind w:left="460"/>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860" w:type="dxa"/>
            <w:vAlign w:val="bottom"/>
            <w:gridSpan w:val="4"/>
          </w:tcPr>
          <w:p>
            <w:pPr>
              <w:jc w:val="center"/>
              <w:ind w:right="11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4"/>
        </w:trPr>
        <w:tc>
          <w:tcPr>
            <w:tcW w:w="32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60"/>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286</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97"/>
              </w:rPr>
              <w:t>298</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460"/>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6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97"/>
              </w:rPr>
              <w:t>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4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4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7"/>
              </w:rPr>
              <w:t>606</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ind w:left="460"/>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24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1,066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gridSpan w:val="4"/>
            <w:vMerge w:val="restart"/>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40" w:type="dxa"/>
            <w:vAlign w:val="bottom"/>
          </w:tcPr>
          <w:p>
            <w:pPr>
              <w:ind w:left="46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460"/>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7"/>
              </w:rPr>
              <w:t>551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For the three months ended June 30, 2022 and 2021, amortization expense related to amortizable intangible assets was approximately $10 million and $14 million, respectively. For the six months ended June 30, 2022 and 2021, amortization expense related to amortizable intangible assets was approximately $26 million and $32 million, respectively. Based on our amortizable intangible assets at June 30, 2022, we expect amortization expense of approximately $18 million for the remainder of 2022, $26 million for 2023, $21 million for 2024, $15 million for 2025, $14 million for 2026 and $12 million for 2027, excluding effects of currency exchange rates.</w:t>
      </w:r>
    </w:p>
    <w:p>
      <w:pPr>
        <w:spacing w:after="0" w:line="200" w:lineRule="exact"/>
        <w:rPr>
          <w:sz w:val="20"/>
          <w:szCs w:val="20"/>
          <w:color w:val="auto"/>
        </w:rPr>
      </w:pPr>
    </w:p>
    <w:p>
      <w:pPr>
        <w:spacing w:after="0" w:line="357"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7" w:name="page18"/>
    <w:bookmarkEnd w:id="17"/>
    <w:p>
      <w:pPr>
        <w:ind w:left="342" w:hanging="342"/>
        <w:spacing w:after="0"/>
        <w:tabs>
          <w:tab w:leader="none" w:pos="34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vehicles, net within assets under vehicle programs were as follows:</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6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2021</w:t>
            </w:r>
          </w:p>
        </w:tc>
      </w:tr>
      <w:tr>
        <w:trPr>
          <w:trHeight w:val="208"/>
        </w:trPr>
        <w:tc>
          <w:tcPr>
            <w:tcW w:w="6720" w:type="dxa"/>
            <w:vAlign w:val="bottom"/>
          </w:tcPr>
          <w:p>
            <w:pPr>
              <w:spacing w:after="0"/>
              <w:rPr>
                <w:sz w:val="20"/>
                <w:szCs w:val="20"/>
                <w:color w:val="auto"/>
              </w:rPr>
            </w:pPr>
            <w:r>
              <w:rPr>
                <w:rFonts w:ascii="Arial" w:cs="Arial" w:eastAsia="Arial" w:hAnsi="Arial"/>
                <w:sz w:val="16"/>
                <w:szCs w:val="16"/>
                <w:color w:val="auto"/>
              </w:rPr>
              <w:t>Rental vehicles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18,161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14,612</w:t>
            </w:r>
          </w:p>
        </w:tc>
      </w:tr>
      <w:tr>
        <w:trPr>
          <w:trHeight w:val="216"/>
        </w:trPr>
        <w:tc>
          <w:tcPr>
            <w:tcW w:w="672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w:t>
            </w:r>
          </w:p>
        </w:tc>
      </w:tr>
      <w:tr>
        <w:trPr>
          <w:trHeight w:val="209"/>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12,701</w:t>
            </w:r>
          </w:p>
        </w:tc>
      </w:tr>
      <w:tr>
        <w:trPr>
          <w:trHeight w:val="216"/>
        </w:trPr>
        <w:tc>
          <w:tcPr>
            <w:tcW w:w="6720" w:type="dxa"/>
            <w:vAlign w:val="bottom"/>
          </w:tcPr>
          <w:p>
            <w:pPr>
              <w:spacing w:after="0"/>
              <w:rPr>
                <w:sz w:val="20"/>
                <w:szCs w:val="20"/>
                <w:color w:val="auto"/>
              </w:rPr>
            </w:pPr>
            <w:r>
              <w:rPr>
                <w:rFonts w:ascii="Arial" w:cs="Arial" w:eastAsia="Arial" w:hAnsi="Arial"/>
                <w:sz w:val="16"/>
                <w:szCs w:val="16"/>
                <w:color w:val="auto"/>
              </w:rPr>
              <w:t>Vehicles held for sale</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11"/>
        </w:trPr>
        <w:tc>
          <w:tcPr>
            <w:tcW w:w="6720" w:type="dxa"/>
            <w:vAlign w:val="bottom"/>
          </w:tcPr>
          <w:p>
            <w:pPr>
              <w:spacing w:after="0"/>
              <w:rPr>
                <w:sz w:val="20"/>
                <w:szCs w:val="20"/>
                <w:color w:val="auto"/>
              </w:rPr>
            </w:pPr>
            <w:r>
              <w:rPr>
                <w:rFonts w:ascii="Arial" w:cs="Arial" w:eastAsia="Arial" w:hAnsi="Arial"/>
                <w:sz w:val="16"/>
                <w:szCs w:val="16"/>
                <w:color w:val="auto"/>
              </w:rPr>
              <w:t>Vehicles,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12,866</w:t>
            </w:r>
          </w:p>
        </w:tc>
      </w:tr>
      <w:tr>
        <w:trPr>
          <w:trHeight w:val="21"/>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33"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5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0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08"/>
        </w:trPr>
        <w:tc>
          <w:tcPr>
            <w:tcW w:w="4000" w:type="dxa"/>
            <w:vAlign w:val="bottom"/>
          </w:tcPr>
          <w:p>
            <w:pPr>
              <w:spacing w:after="0"/>
              <w:rPr>
                <w:sz w:val="20"/>
                <w:szCs w:val="20"/>
                <w:color w:val="auto"/>
              </w:rPr>
            </w:pPr>
            <w:r>
              <w:rPr>
                <w:rFonts w:ascii="Arial" w:cs="Arial" w:eastAsia="Arial" w:hAnsi="Arial"/>
                <w:sz w:val="16"/>
                <w:szCs w:val="16"/>
                <w:color w:val="auto"/>
              </w:rPr>
              <w:t>Depreciation expense</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18"/>
                <w:szCs w:val="18"/>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15"/>
        </w:trPr>
        <w:tc>
          <w:tcPr>
            <w:tcW w:w="4000" w:type="dxa"/>
            <w:vAlign w:val="bottom"/>
          </w:tcPr>
          <w:p>
            <w:pPr>
              <w:spacing w:after="0"/>
              <w:rPr>
                <w:sz w:val="20"/>
                <w:szCs w:val="20"/>
                <w:color w:val="auto"/>
              </w:rPr>
            </w:pPr>
            <w:r>
              <w:rPr>
                <w:rFonts w:ascii="Arial" w:cs="Arial" w:eastAsia="Arial" w:hAnsi="Arial"/>
                <w:sz w:val="16"/>
                <w:szCs w:val="16"/>
                <w:color w:val="auto"/>
              </w:rPr>
              <w:t>Lease charges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7"/>
        </w:trPr>
        <w:tc>
          <w:tcPr>
            <w:tcW w:w="4000" w:type="dxa"/>
            <w:vAlign w:val="bottom"/>
          </w:tcPr>
          <w:p>
            <w:pPr>
              <w:spacing w:after="0"/>
              <w:rPr>
                <w:sz w:val="20"/>
                <w:szCs w:val="20"/>
                <w:color w:val="auto"/>
              </w:rPr>
            </w:pPr>
            <w:r>
              <w:rPr>
                <w:rFonts w:ascii="Arial" w:cs="Arial" w:eastAsia="Arial" w:hAnsi="Arial"/>
                <w:sz w:val="16"/>
                <w:szCs w:val="16"/>
                <w:color w:val="auto"/>
              </w:rPr>
              <w:t>(Gain) loss on sale of vehicles, net</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210"/>
        </w:trPr>
        <w:tc>
          <w:tcPr>
            <w:tcW w:w="400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w:t>
            </w:r>
          </w:p>
        </w:tc>
      </w:tr>
      <w:tr>
        <w:trPr>
          <w:trHeight w:val="21"/>
        </w:trPr>
        <w:tc>
          <w:tcPr>
            <w:tcW w:w="4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At June 30, 2022 and 2021, we had payables related to vehicle purchases included in liabilities under vehicle programs - other of $249 million and $485 million, respectively, and receivables related to vehicle sales included in assets under vehicle programs - receivables from vehicle manufacturers and other of $74 million and $104 million, respectively.</w:t>
      </w:r>
    </w:p>
    <w:p>
      <w:pPr>
        <w:spacing w:after="0" w:line="198" w:lineRule="exact"/>
        <w:rPr>
          <w:sz w:val="20"/>
          <w:szCs w:val="20"/>
          <w:color w:val="auto"/>
        </w:rPr>
      </w:pPr>
    </w:p>
    <w:p>
      <w:pPr>
        <w:ind w:left="342" w:hanging="342"/>
        <w:spacing w:after="0"/>
        <w:tabs>
          <w:tab w:leader="none" w:pos="34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ind w:left="442" w:right="20"/>
        <w:spacing w:after="0" w:line="287" w:lineRule="auto"/>
        <w:rPr>
          <w:sz w:val="20"/>
          <w:szCs w:val="20"/>
          <w:color w:val="auto"/>
        </w:rPr>
      </w:pPr>
      <w:r>
        <w:rPr>
          <w:rFonts w:ascii="Arial" w:cs="Arial" w:eastAsia="Arial" w:hAnsi="Arial"/>
          <w:sz w:val="18"/>
          <w:szCs w:val="18"/>
          <w:color w:val="auto"/>
        </w:rPr>
        <w:t>Our effective tax rate for the six months ended June 30, 2022 and 2021 were provisions of 26.8% and 3.4%, respectively. Such rates differed from the Federal Statutory rate of 21.0% primarily due to foreign taxes on our International operations and state taxes.</w:t>
      </w:r>
    </w:p>
    <w:p>
      <w:pPr>
        <w:spacing w:after="0" w:line="180" w:lineRule="exact"/>
        <w:rPr>
          <w:sz w:val="20"/>
          <w:szCs w:val="20"/>
          <w:color w:val="auto"/>
        </w:rPr>
      </w:pPr>
    </w:p>
    <w:tbl>
      <w:tblPr>
        <w:tblLayout w:type="fixed"/>
        <w:tblInd w:w="2" w:type="dxa"/>
        <w:tblCellMar>
          <w:top w:w="0" w:type="dxa"/>
          <w:left w:w="0" w:type="dxa"/>
          <w:bottom w:w="0" w:type="dxa"/>
          <w:right w:w="0" w:type="dxa"/>
        </w:tblCellMar>
      </w:tblPr>
      <w:tr>
        <w:trPr>
          <w:trHeight w:val="247"/>
        </w:trPr>
        <w:tc>
          <w:tcPr>
            <w:tcW w:w="7240" w:type="dxa"/>
            <w:vAlign w:val="bottom"/>
          </w:tcPr>
          <w:p>
            <w:pPr>
              <w:spacing w:after="0"/>
              <w:rPr>
                <w:sz w:val="20"/>
                <w:szCs w:val="20"/>
                <w:color w:val="auto"/>
              </w:rPr>
            </w:pPr>
            <w:r>
              <w:rPr>
                <w:rFonts w:ascii="Arial" w:cs="Arial" w:eastAsia="Arial" w:hAnsi="Arial"/>
                <w:sz w:val="18"/>
                <w:szCs w:val="18"/>
                <w:b w:val="1"/>
                <w:bCs w:val="1"/>
                <w:color w:val="auto"/>
              </w:rPr>
              <w:t>9.  Accounts Payable and Other Current Liabilities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7240" w:type="dxa"/>
            <w:vAlign w:val="bottom"/>
          </w:tcPr>
          <w:p>
            <w:pPr>
              <w:ind w:left="440"/>
              <w:spacing w:after="0"/>
              <w:rPr>
                <w:sz w:val="20"/>
                <w:szCs w:val="20"/>
                <w:color w:val="auto"/>
              </w:rPr>
            </w:pPr>
            <w:r>
              <w:rPr>
                <w:rFonts w:ascii="Arial" w:cs="Arial" w:eastAsia="Arial" w:hAnsi="Arial"/>
                <w:sz w:val="18"/>
                <w:szCs w:val="18"/>
                <w:color w:val="auto"/>
              </w:rPr>
              <w:t>Accounts payable and other current liabilities consisted of:</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29"/>
        </w:trPr>
        <w:tc>
          <w:tcPr>
            <w:tcW w:w="7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5"/>
        </w:trPr>
        <w:tc>
          <w:tcPr>
            <w:tcW w:w="7240" w:type="dxa"/>
            <w:vAlign w:val="bottom"/>
            <w:vMerge w:val="restart"/>
          </w:tcPr>
          <w:p>
            <w:pPr>
              <w:ind w:left="46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7240" w:type="dxa"/>
            <w:vAlign w:val="bottom"/>
            <w:vMerge w:val="continue"/>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7240" w:type="dxa"/>
            <w:vAlign w:val="bottom"/>
          </w:tcPr>
          <w:p>
            <w:pPr>
              <w:ind w:left="460"/>
              <w:spacing w:after="0"/>
              <w:rPr>
                <w:sz w:val="20"/>
                <w:szCs w:val="20"/>
                <w:color w:val="auto"/>
              </w:rPr>
            </w:pPr>
            <w:r>
              <w:rPr>
                <w:rFonts w:ascii="Arial" w:cs="Arial" w:eastAsia="Arial" w:hAnsi="Arial"/>
                <w:sz w:val="18"/>
                <w:szCs w:val="18"/>
                <w:color w:val="auto"/>
              </w:rPr>
              <w:t>Short-term operating lease liabilities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7240" w:type="dxa"/>
            <w:vAlign w:val="bottom"/>
          </w:tcPr>
          <w:p>
            <w:pPr>
              <w:ind w:left="460"/>
              <w:spacing w:after="0"/>
              <w:rPr>
                <w:sz w:val="20"/>
                <w:szCs w:val="20"/>
                <w:color w:val="auto"/>
              </w:rPr>
            </w:pPr>
            <w:r>
              <w:rPr>
                <w:rFonts w:ascii="Arial" w:cs="Arial" w:eastAsia="Arial" w:hAnsi="Arial"/>
                <w:sz w:val="18"/>
                <w:szCs w:val="18"/>
                <w:color w:val="auto"/>
              </w:rPr>
              <w:t>Deferred lease revenues - current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7240" w:type="dxa"/>
            <w:vAlign w:val="bottom"/>
          </w:tcPr>
          <w:p>
            <w:pPr>
              <w:ind w:left="460"/>
              <w:spacing w:after="0"/>
              <w:rPr>
                <w:sz w:val="20"/>
                <w:szCs w:val="20"/>
                <w:color w:val="auto"/>
              </w:rPr>
            </w:pPr>
            <w:r>
              <w:rPr>
                <w:rFonts w:ascii="Arial" w:cs="Arial" w:eastAsia="Arial" w:hAnsi="Arial"/>
                <w:sz w:val="18"/>
                <w:szCs w:val="18"/>
                <w:color w:val="auto"/>
              </w:rPr>
              <w:t>Accrued advertising and marketing</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7240" w:type="dxa"/>
            <w:vAlign w:val="bottom"/>
          </w:tcPr>
          <w:p>
            <w:pPr>
              <w:ind w:left="460"/>
              <w:spacing w:after="0"/>
              <w:rPr>
                <w:sz w:val="20"/>
                <w:szCs w:val="20"/>
                <w:color w:val="auto"/>
              </w:rPr>
            </w:pPr>
            <w:r>
              <w:rPr>
                <w:rFonts w:ascii="Arial" w:cs="Arial" w:eastAsia="Arial" w:hAnsi="Arial"/>
                <w:sz w:val="18"/>
                <w:szCs w:val="18"/>
                <w:color w:val="auto"/>
              </w:rPr>
              <w:t>Accrued sales and use taxes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7240" w:type="dxa"/>
            <w:vAlign w:val="bottom"/>
          </w:tcPr>
          <w:p>
            <w:pPr>
              <w:ind w:left="460"/>
              <w:spacing w:after="0"/>
              <w:rPr>
                <w:sz w:val="20"/>
                <w:szCs w:val="20"/>
                <w:color w:val="auto"/>
              </w:rPr>
            </w:pPr>
            <w:r>
              <w:rPr>
                <w:rFonts w:ascii="Arial" w:cs="Arial" w:eastAsia="Arial" w:hAnsi="Arial"/>
                <w:sz w:val="18"/>
                <w:szCs w:val="18"/>
                <w:color w:val="auto"/>
              </w:rPr>
              <w:t>Accrued payroll and related</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7240" w:type="dxa"/>
            <w:vAlign w:val="bottom"/>
          </w:tcPr>
          <w:p>
            <w:pPr>
              <w:ind w:left="46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5"/>
        </w:trPr>
        <w:tc>
          <w:tcPr>
            <w:tcW w:w="7240" w:type="dxa"/>
            <w:vAlign w:val="bottom"/>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7240" w:type="dxa"/>
            <w:vAlign w:val="bottom"/>
          </w:tcPr>
          <w:p>
            <w:pPr>
              <w:ind w:left="46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1174" w:right="339" w:bottom="1440" w:gutter="0" w:footer="0" w:header="0"/>
        </w:sectPr>
      </w:pPr>
    </w:p>
    <w:bookmarkStart w:id="18" w:name="page19"/>
    <w:bookmarkEnd w:id="18"/>
    <w:p>
      <w:pPr>
        <w:ind w:left="442" w:right="5300" w:hanging="442"/>
        <w:spacing w:after="0" w:line="417" w:lineRule="auto"/>
        <w:tabs>
          <w:tab w:leader="none" w:pos="43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p>
      <w:pPr>
        <w:spacing w:after="0" w:line="1"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left="399"/>
              <w:spacing w:after="0"/>
              <w:rPr>
                <w:sz w:val="20"/>
                <w:szCs w:val="20"/>
                <w:color w:val="auto"/>
              </w:rPr>
            </w:pPr>
            <w:r>
              <w:rPr>
                <w:rFonts w:ascii="Arial" w:cs="Arial" w:eastAsia="Arial" w:hAnsi="Arial"/>
                <w:sz w:val="16"/>
                <w:szCs w:val="16"/>
                <w:b w:val="1"/>
                <w:bCs w:val="1"/>
                <w:color w:val="auto"/>
              </w:rPr>
              <w:t>As of</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r>
      <w:tr>
        <w:trPr>
          <w:trHeight w:val="217"/>
        </w:trPr>
        <w:tc>
          <w:tcPr>
            <w:tcW w:w="508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Maturity</w:t>
            </w:r>
          </w:p>
        </w:tc>
        <w:tc>
          <w:tcPr>
            <w:tcW w:w="1140" w:type="dxa"/>
            <w:vAlign w:val="bottom"/>
          </w:tcPr>
          <w:p>
            <w:pPr>
              <w:jc w:val="center"/>
              <w:ind w:left="399"/>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08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Date</w:t>
            </w:r>
          </w:p>
        </w:tc>
        <w:tc>
          <w:tcPr>
            <w:tcW w:w="1140" w:type="dxa"/>
            <w:vAlign w:val="bottom"/>
          </w:tcPr>
          <w:p>
            <w:pPr>
              <w:jc w:val="center"/>
              <w:ind w:left="379"/>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r>
      <w:tr>
        <w:trPr>
          <w:trHeight w:val="208"/>
        </w:trPr>
        <w:tc>
          <w:tcPr>
            <w:tcW w:w="5080" w:type="dxa"/>
            <w:vAlign w:val="bottom"/>
          </w:tcPr>
          <w:p>
            <w:pPr>
              <w:spacing w:after="0"/>
              <w:rPr>
                <w:sz w:val="20"/>
                <w:szCs w:val="20"/>
                <w:color w:val="auto"/>
              </w:rPr>
            </w:pPr>
            <w:r>
              <w:rPr>
                <w:rFonts w:ascii="Arial" w:cs="Arial" w:eastAsia="Arial" w:hAnsi="Arial"/>
                <w:sz w:val="16"/>
                <w:szCs w:val="16"/>
                <w:color w:val="auto"/>
              </w:rPr>
              <w:t>4.125% euro-denominated Senior Notes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November 2024</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4.500%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4.750%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5.750%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4.750%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2028</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5.375%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7"/>
        </w:trPr>
        <w:tc>
          <w:tcPr>
            <w:tcW w:w="5080" w:type="dxa"/>
            <w:vAlign w:val="bottom"/>
          </w:tcPr>
          <w:p>
            <w:pPr>
              <w:spacing w:after="0" w:line="218"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1,187</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Floating Rate Term Loan</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080" w:type="dxa"/>
            <w:vAlign w:val="bottom"/>
          </w:tcPr>
          <w:p>
            <w:pPr>
              <w:spacing w:after="0" w:line="218"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4,651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4,009</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1"/>
        </w:trPr>
        <w:tc>
          <w:tcPr>
            <w:tcW w:w="5080" w:type="dxa"/>
            <w:vAlign w:val="bottom"/>
          </w:tcPr>
          <w:p>
            <w:pPr>
              <w:spacing w:after="0"/>
              <w:rPr>
                <w:sz w:val="20"/>
                <w:szCs w:val="20"/>
                <w:color w:val="auto"/>
              </w:rPr>
            </w:pPr>
            <w:r>
              <w:rPr>
                <w:rFonts w:ascii="Arial" w:cs="Arial" w:eastAsia="Arial" w:hAnsi="Arial"/>
                <w:sz w:val="16"/>
                <w:szCs w:val="16"/>
                <w:color w:val="auto"/>
              </w:rPr>
              <w:t>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4,624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w:t>
            </w:r>
          </w:p>
        </w:tc>
      </w:tr>
      <w:tr>
        <w:trPr>
          <w:trHeight w:val="21"/>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jc w:val="both"/>
        <w:ind w:left="762" w:hanging="326"/>
        <w:spacing w:after="0" w:line="261" w:lineRule="auto"/>
        <w:tabs>
          <w:tab w:leader="none" w:pos="755" w:val="left"/>
        </w:tabs>
        <w:numPr>
          <w:ilvl w:val="0"/>
          <w:numId w:val="16"/>
        </w:numPr>
        <w:rPr>
          <w:rFonts w:ascii="Arial" w:cs="Arial" w:eastAsia="Arial" w:hAnsi="Arial"/>
          <w:sz w:val="9"/>
          <w:szCs w:val="9"/>
          <w:color w:val="auto"/>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June 30, 2022, the floating rate term loan due 2027 bears interest at one-month LIBOR plus 175 basis points, for an aggregate rate of 3.42%. We have entered into a swap to hedge $700 million of its interest rate exposure related to the floating rate term loan at an aggregate rate of 4.75%.</w:t>
      </w:r>
    </w:p>
    <w:p>
      <w:pPr>
        <w:spacing w:after="0" w:line="1" w:lineRule="exact"/>
        <w:rPr>
          <w:rFonts w:ascii="Arial" w:cs="Arial" w:eastAsia="Arial" w:hAnsi="Arial"/>
          <w:sz w:val="9"/>
          <w:szCs w:val="9"/>
          <w:color w:val="auto"/>
        </w:rPr>
      </w:pPr>
    </w:p>
    <w:p>
      <w:pPr>
        <w:ind w:left="762" w:hanging="326"/>
        <w:spacing w:after="0" w:line="193" w:lineRule="auto"/>
        <w:tabs>
          <w:tab w:leader="none" w:pos="762"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06"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In March 2022, we entered into a $750 million Floating Rate Term Loan due March 2029, at a price of 97% of the aggregate principal amount, with interest paid monthly, which is part of our senior credit facilities. The Floating Rate Term Loan due March 2029 bears interest at one-month Secured Overnight Financing Rate (“SOFR”) plus 350 basis points for an aggregate rate of 5.13%.</w:t>
      </w:r>
    </w:p>
    <w:p>
      <w:pPr>
        <w:spacing w:after="0" w:line="200"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As of June 30, 2022, the committed corporate credit facilities available to us and/or our subsidiaries were as follows:</w:t>
      </w:r>
    </w:p>
    <w:p>
      <w:pPr>
        <w:spacing w:after="0" w:line="33" w:lineRule="exact"/>
        <w:rPr>
          <w:sz w:val="20"/>
          <w:szCs w:val="20"/>
          <w:color w:val="auto"/>
        </w:rPr>
      </w:pPr>
    </w:p>
    <w:tbl>
      <w:tblPr>
        <w:tblLayout w:type="fixed"/>
        <w:tblInd w:w="44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0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Capacity</w:t>
            </w:r>
          </w:p>
        </w:tc>
        <w:tc>
          <w:tcPr>
            <w:tcW w:w="180" w:type="dxa"/>
            <w:vAlign w:val="bottom"/>
          </w:tcPr>
          <w:p>
            <w:pPr>
              <w:spacing w:after="0"/>
              <w:rPr>
                <w:sz w:val="18"/>
                <w:szCs w:val="18"/>
                <w:color w:val="auto"/>
              </w:rPr>
            </w:pPr>
          </w:p>
        </w:tc>
        <w:tc>
          <w:tcPr>
            <w:tcW w:w="1500" w:type="dxa"/>
            <w:vAlign w:val="bottom"/>
            <w:gridSpan w:val="3"/>
          </w:tcPr>
          <w:p>
            <w:pPr>
              <w:jc w:val="center"/>
              <w:ind w:right="359"/>
              <w:spacing w:after="0"/>
              <w:rPr>
                <w:sz w:val="20"/>
                <w:szCs w:val="20"/>
                <w:color w:val="auto"/>
              </w:rPr>
            </w:pPr>
            <w:r>
              <w:rPr>
                <w:rFonts w:ascii="Arial" w:cs="Arial" w:eastAsia="Arial" w:hAnsi="Arial"/>
                <w:sz w:val="16"/>
                <w:szCs w:val="16"/>
                <w:b w:val="1"/>
                <w:bCs w:val="1"/>
                <w:color w:val="auto"/>
              </w:rPr>
              <w:t>Borrowings</w:t>
            </w: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Credit 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8"/>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2026 </w:t>
            </w:r>
            <w:r>
              <w:rPr>
                <w:rFonts w:ascii="Arial" w:cs="Arial" w:eastAsia="Arial" w:hAnsi="Arial"/>
                <w:sz w:val="21"/>
                <w:szCs w:val="21"/>
                <w:color w:val="auto"/>
                <w:vertAlign w:val="superscript"/>
              </w:rPr>
              <w:t>(a)</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1,679</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38"/>
        </w:trPr>
        <w:tc>
          <w:tcPr>
            <w:tcW w:w="420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jc w:val="both"/>
        <w:ind w:left="762" w:hanging="326"/>
        <w:spacing w:after="0" w:line="213" w:lineRule="auto"/>
        <w:tabs>
          <w:tab w:leader="none" w:pos="755"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LIBOR plus 175 basis points and is part of our senior credit facilities, which include the floating rate term loan and the senior revolving credit facility, and which are secured by pledges of capital stock of certain of our subsidiaries, liens on substantially all of our intellectual property and certain other real and personal property.</w:t>
      </w:r>
    </w:p>
    <w:p>
      <w:pPr>
        <w:spacing w:after="0" w:line="196"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by us and certain of our subsidiaries, acquisitions, mergers, liquidations, and sale and leaseback transactions. Our senior credit facility also contains a maximum leverage ratio requirement. As of June 30, 2022, we were in compliance with the financial covenants governing our indebtedness.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9" w:name="page20"/>
    <w:bookmarkEnd w:id="19"/>
    <w:p>
      <w:pPr>
        <w:ind w:left="442" w:hanging="442"/>
        <w:spacing w:after="0"/>
        <w:tabs>
          <w:tab w:leader="none" w:pos="44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52" w:lineRule="exact"/>
        <w:rPr>
          <w:rFonts w:ascii="Arial" w:cs="Arial" w:eastAsia="Arial" w:hAnsi="Arial"/>
          <w:sz w:val="18"/>
          <w:szCs w:val="18"/>
          <w:b w:val="1"/>
          <w:bCs w:val="1"/>
          <w:color w:val="auto"/>
        </w:rPr>
      </w:pPr>
    </w:p>
    <w:p>
      <w:pPr>
        <w:ind w:left="442"/>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2" w:lineRule="exact"/>
        <w:rPr>
          <w:sz w:val="20"/>
          <w:szCs w:val="20"/>
          <w:color w:val="auto"/>
        </w:rPr>
      </w:pPr>
    </w:p>
    <w:tbl>
      <w:tblPr>
        <w:tblLayout w:type="fixed"/>
        <w:tblInd w:w="462"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5"/>
        </w:trPr>
        <w:tc>
          <w:tcPr>
            <w:tcW w:w="6780" w:type="dxa"/>
            <w:vAlign w:val="bottom"/>
            <w:vMerge w:val="restart"/>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6780" w:type="dxa"/>
            <w:vAlign w:val="bottom"/>
            <w:vMerge w:val="continue"/>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11,377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780" w:type="dxa"/>
            <w:vAlign w:val="bottom"/>
          </w:tcPr>
          <w:p>
            <w:pPr>
              <w:spacing w:after="0" w:line="237"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762" w:hanging="326"/>
        <w:spacing w:after="0" w:line="284" w:lineRule="auto"/>
        <w:tabs>
          <w:tab w:leader="none" w:pos="755" w:val="left"/>
        </w:tabs>
        <w:numPr>
          <w:ilvl w:val="0"/>
          <w:numId w:val="19"/>
        </w:numPr>
        <w:rPr>
          <w:rFonts w:ascii="Arial" w:cs="Arial" w:eastAsia="Arial" w:hAnsi="Arial"/>
          <w:sz w:val="9"/>
          <w:szCs w:val="9"/>
          <w:color w:val="auto"/>
        </w:rPr>
      </w:pPr>
      <w:r>
        <w:rPr>
          <w:rFonts w:ascii="Arial" w:cs="Arial" w:eastAsia="Arial" w:hAnsi="Arial"/>
          <w:sz w:val="14"/>
          <w:szCs w:val="14"/>
          <w:color w:val="auto"/>
        </w:rPr>
        <w:t>Deferred financing fees related to Debt due to Avis Budget Rental Car Funding as of June 30, 2022 and December 31, 2021 were $46 million and $41 million, respectively.</w:t>
      </w:r>
    </w:p>
    <w:p>
      <w:pPr>
        <w:spacing w:after="0" w:line="189"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In April 2022, our Avis Budget Rental Car Funding (AESOP) LLC subsidiary issued $660 million of asset-backed notes to investors with an expected final payment date of August 2027, with a weighted average interest rate of 3.96%.</w:t>
      </w:r>
    </w:p>
    <w:p>
      <w:pPr>
        <w:spacing w:after="0" w:line="180"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In May 2022, our Avis Budget Rental Car Funding (AESOP) LLC subsidiary issued $87 million, $68 million and $55 million of asset-backed notes with expected final payment dates of March 2025, March 2023 and September 2023, respectively, with a weighted average interest rate of 5.10%.</w:t>
      </w:r>
    </w:p>
    <w:p>
      <w:pPr>
        <w:spacing w:after="0" w:line="198"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In June 2022, our Avis Budget Rental Car Funding (AESOP) LLC subsidiary entered into $800 million of variable funding asset-backed notes with an expected final payment date of September 2022. As of June 30, 2022, no funds were drawn on these notes.</w:t>
      </w:r>
    </w:p>
    <w:p>
      <w:pPr>
        <w:spacing w:after="0" w:line="182"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0" w:lineRule="exact"/>
        <w:rPr>
          <w:sz w:val="20"/>
          <w:szCs w:val="20"/>
          <w:color w:val="auto"/>
        </w:rPr>
      </w:pPr>
    </w:p>
    <w:p>
      <w:pPr>
        <w:jc w:val="both"/>
        <w:ind w:left="442" w:right="20"/>
        <w:spacing w:after="0" w:line="273"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at June 30, 2022:</w:t>
      </w:r>
    </w:p>
    <w:p>
      <w:pPr>
        <w:jc w:val="center"/>
        <w:ind w:left="8420"/>
        <w:spacing w:after="0" w:line="226" w:lineRule="auto"/>
        <w:rPr>
          <w:sz w:val="20"/>
          <w:szCs w:val="20"/>
          <w:color w:val="auto"/>
        </w:rPr>
      </w:pPr>
      <w:r>
        <w:rPr>
          <w:rFonts w:ascii="Arial" w:cs="Arial" w:eastAsia="Arial" w:hAnsi="Arial"/>
          <w:sz w:val="18"/>
          <w:szCs w:val="18"/>
          <w:b w:val="1"/>
          <w:bCs w:val="1"/>
          <w:color w:val="auto"/>
        </w:rPr>
        <w:t>Debt under</w:t>
      </w:r>
    </w:p>
    <w:p>
      <w:pPr>
        <w:jc w:val="center"/>
        <w:ind w:left="8420"/>
        <w:spacing w:after="0" w:line="200" w:lineRule="auto"/>
        <w:rPr>
          <w:sz w:val="20"/>
          <w:szCs w:val="20"/>
          <w:color w:val="auto"/>
        </w:rPr>
      </w:pPr>
      <w:r>
        <w:rPr>
          <w:rFonts w:ascii="Arial" w:cs="Arial" w:eastAsia="Arial" w:hAnsi="Arial"/>
          <w:sz w:val="13"/>
          <w:szCs w:val="13"/>
          <w:b w:val="1"/>
          <w:bCs w:val="1"/>
          <w:color w:val="auto"/>
        </w:rPr>
        <w:t>Vehicle Programs</w:t>
      </w:r>
    </w:p>
    <w:p>
      <w:pPr>
        <w:ind w:left="9722"/>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5694680</wp:posOffset>
            </wp:positionH>
            <wp:positionV relativeFrom="paragraph">
              <wp:posOffset>48260</wp:posOffset>
            </wp:positionV>
            <wp:extent cx="1036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p>
      <w:pPr>
        <w:spacing w:after="0" w:line="57" w:lineRule="exact"/>
        <w:rPr>
          <w:sz w:val="20"/>
          <w:szCs w:val="20"/>
          <w:color w:val="auto"/>
        </w:rPr>
      </w:pPr>
    </w:p>
    <w:p>
      <w:pPr>
        <w:ind w:left="462"/>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3"/>
          <w:szCs w:val="23"/>
          <w:color w:val="auto"/>
          <w:vertAlign w:val="superscript"/>
        </w:rPr>
        <w:t>(b)</w:t>
      </w:r>
    </w:p>
    <w:p>
      <w:pPr>
        <w:ind w:left="462"/>
        <w:spacing w:after="0" w:line="208" w:lineRule="auto"/>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3"/>
          <w:szCs w:val="23"/>
          <w:color w:val="auto"/>
          <w:vertAlign w:val="superscript"/>
        </w:rPr>
        <w:t>(c)</w:t>
      </w:r>
    </w:p>
    <w:p>
      <w:pPr>
        <w:ind w:left="462"/>
        <w:spacing w:after="0" w:line="217" w:lineRule="auto"/>
        <w:rPr>
          <w:sz w:val="20"/>
          <w:szCs w:val="20"/>
          <w:color w:val="auto"/>
        </w:rPr>
      </w:pPr>
      <w:r>
        <w:rPr>
          <w:rFonts w:ascii="Arial" w:cs="Arial" w:eastAsia="Arial" w:hAnsi="Arial"/>
          <w:sz w:val="18"/>
          <w:szCs w:val="18"/>
          <w:color w:val="auto"/>
        </w:rPr>
        <w:t xml:space="preserve">Between 2 and 3 years </w:t>
      </w:r>
      <w:r>
        <w:rPr>
          <w:rFonts w:ascii="Arial" w:cs="Arial" w:eastAsia="Arial" w:hAnsi="Arial"/>
          <w:sz w:val="23"/>
          <w:szCs w:val="23"/>
          <w:color w:val="auto"/>
          <w:vertAlign w:val="superscript"/>
        </w:rPr>
        <w:t>(d)</w:t>
      </w:r>
    </w:p>
    <w:p>
      <w:pPr>
        <w:spacing w:after="0" w:line="1" w:lineRule="exact"/>
        <w:rPr>
          <w:sz w:val="20"/>
          <w:szCs w:val="20"/>
          <w:color w:val="auto"/>
        </w:rPr>
      </w:pPr>
    </w:p>
    <w:p>
      <w:pPr>
        <w:ind w:left="462"/>
        <w:spacing w:after="0"/>
        <w:rPr>
          <w:sz w:val="20"/>
          <w:szCs w:val="20"/>
          <w:color w:val="auto"/>
        </w:rPr>
      </w:pPr>
      <w:r>
        <w:rPr>
          <w:rFonts w:ascii="Arial" w:cs="Arial" w:eastAsia="Arial" w:hAnsi="Arial"/>
          <w:sz w:val="18"/>
          <w:szCs w:val="18"/>
          <w:color w:val="auto"/>
        </w:rPr>
        <w:t>Between 3 and 4 years</w:t>
      </w:r>
    </w:p>
    <w:p>
      <w:pPr>
        <w:spacing w:after="0" w:line="14" w:lineRule="exact"/>
        <w:rPr>
          <w:sz w:val="20"/>
          <w:szCs w:val="20"/>
          <w:color w:val="auto"/>
        </w:rPr>
      </w:pPr>
    </w:p>
    <w:p>
      <w:pPr>
        <w:ind w:left="462"/>
        <w:spacing w:after="0"/>
        <w:rPr>
          <w:sz w:val="20"/>
          <w:szCs w:val="20"/>
          <w:color w:val="auto"/>
        </w:rPr>
      </w:pPr>
      <w:r>
        <w:rPr>
          <w:rFonts w:ascii="Arial" w:cs="Arial" w:eastAsia="Arial" w:hAnsi="Arial"/>
          <w:sz w:val="18"/>
          <w:szCs w:val="18"/>
          <w:color w:val="auto"/>
        </w:rPr>
        <w:t>Between 4 and 5 years</w:t>
      </w:r>
    </w:p>
    <w:p>
      <w:pPr>
        <w:spacing w:after="0" w:line="23" w:lineRule="exact"/>
        <w:rPr>
          <w:sz w:val="20"/>
          <w:szCs w:val="20"/>
          <w:color w:val="auto"/>
        </w:rPr>
      </w:pPr>
    </w:p>
    <w:p>
      <w:pPr>
        <w:ind w:left="462"/>
        <w:spacing w:after="0"/>
        <w:rPr>
          <w:sz w:val="20"/>
          <w:szCs w:val="20"/>
          <w:color w:val="auto"/>
        </w:rPr>
      </w:pPr>
      <w:r>
        <w:rPr>
          <w:rFonts w:ascii="Arial" w:cs="Arial" w:eastAsia="Arial" w:hAnsi="Arial"/>
          <w:sz w:val="18"/>
          <w:szCs w:val="18"/>
          <w:color w:val="auto"/>
        </w:rPr>
        <w:t>Thereafter</w:t>
      </w:r>
    </w:p>
    <w:p>
      <w:pPr>
        <w:spacing w:after="0" w:line="54" w:lineRule="exact"/>
        <w:rPr>
          <w:sz w:val="20"/>
          <w:szCs w:val="20"/>
          <w:color w:val="auto"/>
        </w:rPr>
      </w:pPr>
    </w:p>
    <w:p>
      <w:pPr>
        <w:ind w:left="462"/>
        <w:spacing w:after="0"/>
        <w:rPr>
          <w:sz w:val="20"/>
          <w:szCs w:val="20"/>
          <w:color w:val="auto"/>
        </w:rPr>
      </w:pPr>
      <w:r>
        <w:rPr>
          <w:rFonts w:ascii="Arial" w:cs="Arial" w:eastAsia="Arial" w:hAnsi="Arial"/>
          <w:sz w:val="18"/>
          <w:szCs w:val="18"/>
          <w:color w:val="auto"/>
        </w:rPr>
        <w:t>Total</w:t>
      </w:r>
    </w:p>
    <w:p>
      <w:pPr>
        <w:spacing w:after="0" w:line="149"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702" w:hanging="266"/>
        <w:spacing w:after="0"/>
        <w:tabs>
          <w:tab w:leader="none" w:pos="702" w:val="left"/>
        </w:tabs>
        <w:numPr>
          <w:ilvl w:val="0"/>
          <w:numId w:val="20"/>
        </w:numPr>
        <w:rPr>
          <w:rFonts w:ascii="Arial" w:cs="Arial" w:eastAsia="Arial" w:hAnsi="Arial"/>
          <w:sz w:val="9"/>
          <w:szCs w:val="9"/>
          <w:color w:val="auto"/>
        </w:rPr>
      </w:pPr>
      <w:r>
        <w:rPr>
          <w:rFonts w:ascii="Arial" w:cs="Arial" w:eastAsia="Arial" w:hAnsi="Arial"/>
          <w:sz w:val="14"/>
          <w:szCs w:val="14"/>
          <w:color w:val="auto"/>
        </w:rPr>
        <w:t>Vehicle-backed debt primarily represents asset-backed securities.</w:t>
      </w:r>
    </w:p>
    <w:p>
      <w:pPr>
        <w:spacing w:after="0" w:line="14" w:lineRule="exact"/>
        <w:rPr>
          <w:rFonts w:ascii="Arial" w:cs="Arial" w:eastAsia="Arial" w:hAnsi="Arial"/>
          <w:sz w:val="9"/>
          <w:szCs w:val="9"/>
          <w:color w:val="auto"/>
        </w:rPr>
      </w:pPr>
    </w:p>
    <w:p>
      <w:pPr>
        <w:ind w:left="702" w:hanging="266"/>
        <w:spacing w:after="0" w:line="192" w:lineRule="auto"/>
        <w:tabs>
          <w:tab w:leader="none" w:pos="702"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$0.9 billion of bank and bank-sponsored facilities.</w:t>
      </w:r>
    </w:p>
    <w:p>
      <w:pPr>
        <w:ind w:left="702" w:hanging="266"/>
        <w:spacing w:after="0" w:line="192" w:lineRule="auto"/>
        <w:tabs>
          <w:tab w:leader="none" w:pos="702"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$4.0 billion of bank and bank-sponsored facilities.</w:t>
      </w:r>
    </w:p>
    <w:p>
      <w:pPr>
        <w:ind w:left="702" w:hanging="266"/>
        <w:spacing w:after="0" w:line="193" w:lineRule="auto"/>
        <w:tabs>
          <w:tab w:leader="none" w:pos="702"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$1.4 billion of bank and bank-sponsored facilities.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096" w:hanging="1096"/>
        <w:spacing w:after="0"/>
        <w:tabs>
          <w:tab w:leader="none" w:pos="10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2,287</w:t>
      </w:r>
    </w:p>
    <w:p>
      <w:pPr>
        <w:spacing w:after="0" w:line="43"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5,480</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3,185</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1,578</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1,459</w:t>
      </w:r>
    </w:p>
    <w:p>
      <w:pPr>
        <w:spacing w:after="0" w:line="34" w:lineRule="exact"/>
        <w:rPr>
          <w:rFonts w:ascii="Arial" w:cs="Arial" w:eastAsia="Arial" w:hAnsi="Arial"/>
          <w:sz w:val="17"/>
          <w:szCs w:val="17"/>
          <w:color w:val="auto"/>
        </w:rPr>
      </w:pPr>
    </w:p>
    <w:p>
      <w:pPr>
        <w:ind w:left="1236"/>
        <w:spacing w:after="0"/>
        <w:rPr>
          <w:rFonts w:ascii="Arial" w:cs="Arial" w:eastAsia="Arial" w:hAnsi="Arial"/>
          <w:sz w:val="17"/>
          <w:szCs w:val="17"/>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36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8" w:lineRule="exact"/>
        <w:rPr>
          <w:sz w:val="20"/>
          <w:szCs w:val="20"/>
          <w:color w:val="auto"/>
        </w:rPr>
      </w:pPr>
    </w:p>
    <w:p>
      <w:pPr>
        <w:ind w:left="996" w:hanging="996"/>
        <w:spacing w:after="0"/>
        <w:tabs>
          <w:tab w:leader="none" w:pos="9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14,150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36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50800</wp:posOffset>
            </wp:positionV>
            <wp:extent cx="10369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297" w:lineRule="exact"/>
        <w:rPr>
          <w:sz w:val="20"/>
          <w:szCs w:val="20"/>
          <w:color w:val="auto"/>
        </w:rPr>
      </w:pPr>
    </w:p>
    <w:p>
      <w:pPr>
        <w:sectPr>
          <w:pgSz w:w="11900" w:h="16838" w:orient="portrait"/>
          <w:cols w:equalWidth="0" w:num="2">
            <w:col w:w="8266" w:space="720"/>
            <w:col w:w="2196"/>
          </w:cols>
          <w:pgMar w:left="378"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8"/>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type w:val="continuous"/>
        </w:sectPr>
      </w:pPr>
    </w:p>
    <w:bookmarkStart w:id="20" w:name="page21"/>
    <w:bookmarkEnd w:id="20"/>
    <w:p>
      <w:pPr>
        <w:ind w:left="442"/>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442" w:right="20"/>
        <w:spacing w:after="0" w:line="276" w:lineRule="auto"/>
        <w:rPr>
          <w:sz w:val="20"/>
          <w:szCs w:val="20"/>
          <w:color w:val="auto"/>
        </w:rPr>
      </w:pPr>
      <w:r>
        <w:rPr>
          <w:rFonts w:ascii="Arial" w:cs="Arial" w:eastAsia="Arial" w:hAnsi="Arial"/>
          <w:sz w:val="18"/>
          <w:szCs w:val="18"/>
          <w:color w:val="auto"/>
        </w:rPr>
        <w:t>As of June 30, 2022, available funding under our vehicle programs, including related party debt due to Avis Budget Rental Car Funding, consisted of:</w:t>
      </w:r>
    </w:p>
    <w:tbl>
      <w:tblPr>
        <w:tblLayout w:type="fixed"/>
        <w:tblInd w:w="462" w:type="dxa"/>
        <w:tblCellMar>
          <w:top w:w="0" w:type="dxa"/>
          <w:left w:w="0" w:type="dxa"/>
          <w:bottom w:w="0" w:type="dxa"/>
          <w:right w:w="0" w:type="dxa"/>
        </w:tblCellMar>
      </w:tblPr>
      <w:tr>
        <w:trPr>
          <w:trHeight w:val="164"/>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4" w:lineRule="exact"/>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4" w:lineRule="exact"/>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4"/>
                <w:szCs w:val="14"/>
                <w:color w:val="auto"/>
              </w:rPr>
            </w:pPr>
          </w:p>
        </w:tc>
        <w:tc>
          <w:tcPr>
            <w:tcW w:w="1300" w:type="dxa"/>
            <w:vAlign w:val="bottom"/>
          </w:tcPr>
          <w:p>
            <w:pPr>
              <w:jc w:val="right"/>
              <w:ind w:right="359"/>
              <w:spacing w:after="0" w:line="164" w:lineRule="exact"/>
              <w:rPr>
                <w:sz w:val="20"/>
                <w:szCs w:val="20"/>
                <w:color w:val="auto"/>
              </w:rPr>
            </w:pPr>
            <w:r>
              <w:rPr>
                <w:rFonts w:ascii="Arial" w:cs="Arial" w:eastAsia="Arial" w:hAnsi="Arial"/>
                <w:sz w:val="16"/>
                <w:szCs w:val="16"/>
                <w:b w:val="1"/>
                <w:bCs w:val="1"/>
                <w:color w:val="auto"/>
              </w:rPr>
              <w:t>Available</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line="216" w:lineRule="exact"/>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color w:val="auto"/>
                <w:w w:val="95"/>
                <w:vertAlign w:val="superscript"/>
              </w:rPr>
              <w:t>(a)</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97"/>
              </w:rPr>
              <w:t xml:space="preserve">Borrowings </w:t>
            </w:r>
            <w:r>
              <w:rPr>
                <w:rFonts w:ascii="Arial" w:cs="Arial" w:eastAsia="Arial" w:hAnsi="Arial"/>
                <w:sz w:val="21"/>
                <w:szCs w:val="21"/>
                <w:color w:val="auto"/>
                <w:w w:val="97"/>
                <w:vertAlign w:val="superscript"/>
              </w:rPr>
              <w:t>(b)</w:t>
            </w:r>
          </w:p>
        </w:tc>
        <w:tc>
          <w:tcPr>
            <w:tcW w:w="260" w:type="dxa"/>
            <w:vAlign w:val="bottom"/>
          </w:tcPr>
          <w:p>
            <w:pPr>
              <w:spacing w:after="0"/>
              <w:rPr>
                <w:sz w:val="18"/>
                <w:szCs w:val="18"/>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Capacity</w:t>
            </w:r>
          </w:p>
        </w:tc>
      </w:tr>
      <w:tr>
        <w:trPr>
          <w:trHeight w:val="208"/>
        </w:trPr>
        <w:tc>
          <w:tcPr>
            <w:tcW w:w="518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12,301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11,377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w:t>
            </w:r>
          </w:p>
        </w:tc>
      </w:tr>
      <w:tr>
        <w:trPr>
          <w:trHeight w:val="215"/>
        </w:trPr>
        <w:tc>
          <w:tcPr>
            <w:tcW w:w="518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5180" w:type="dxa"/>
            <w:vAlign w:val="bottom"/>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18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r>
      <w:tr>
        <w:trPr>
          <w:trHeight w:val="21"/>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37" w:lineRule="exact"/>
        <w:rPr>
          <w:sz w:val="20"/>
          <w:szCs w:val="20"/>
          <w:color w:val="auto"/>
        </w:rPr>
      </w:pPr>
    </w:p>
    <w:p>
      <w:pPr>
        <w:ind w:left="762" w:hanging="326"/>
        <w:spacing w:after="0" w:line="222" w:lineRule="auto"/>
        <w:tabs>
          <w:tab w:leader="none" w:pos="77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an amendment and renewal of our variable funding asset-backed notes during April 2022.</w:t>
      </w:r>
    </w:p>
    <w:p>
      <w:pPr>
        <w:ind w:left="762" w:right="20" w:hanging="326"/>
        <w:spacing w:after="0" w:line="284" w:lineRule="auto"/>
        <w:tabs>
          <w:tab w:leader="none" w:pos="752" w:val="left"/>
        </w:tabs>
        <w:numPr>
          <w:ilvl w:val="0"/>
          <w:numId w:val="23"/>
        </w:numPr>
        <w:rPr>
          <w:rFonts w:ascii="Arial" w:cs="Arial" w:eastAsia="Arial" w:hAnsi="Arial"/>
          <w:sz w:val="9"/>
          <w:szCs w:val="9"/>
          <w:color w:val="auto"/>
        </w:rPr>
      </w:pPr>
      <w:r>
        <w:rPr>
          <w:rFonts w:ascii="Arial" w:cs="Arial" w:eastAsia="Arial" w:hAnsi="Arial"/>
          <w:sz w:val="14"/>
          <w:szCs w:val="14"/>
          <w:color w:val="auto"/>
        </w:rPr>
        <w:t>The outstanding debt is collateralized by vehicles and related assets of $13.4 billion for Americas - Debt due to Avis Budget Rental Car Funding; $0.9 billion for Americas - Debt borrowings; $2.5 billion for International - Debt borrowings; and $0.2 billion for International - Finance leases.</w:t>
      </w:r>
    </w:p>
    <w:p>
      <w:pPr>
        <w:spacing w:after="0" w:line="191"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June 30, 2022, we are not aware of any instances of non-compliance with any of the financial covenants contained in the debt agreements under our vehicle-backed funding programs.</w:t>
      </w:r>
    </w:p>
    <w:p>
      <w:pPr>
        <w:spacing w:after="0" w:line="206" w:lineRule="exact"/>
        <w:rPr>
          <w:sz w:val="20"/>
          <w:szCs w:val="20"/>
          <w:color w:val="auto"/>
        </w:rPr>
      </w:pPr>
    </w:p>
    <w:p>
      <w:pPr>
        <w:ind w:left="442" w:right="7880" w:hanging="442"/>
        <w:spacing w:after="0" w:line="563" w:lineRule="auto"/>
        <w:tabs>
          <w:tab w:leader="none" w:pos="45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jc w:val="both"/>
        <w:ind w:left="44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We do not believe that the impact of any resolution of pre-existing contingent liabilities in connection with the spin-offs should result in a material liability to us in relation to our consolidated financial position or liquidity, as Realogy and Wyndham each have agreed to assume responsibility for these liabilities. We are also named in litigation that is primarily related to the businesses of our former subsidiaries, including Realogy and Wyndham. We are entitled to indemnification from such entities for any liability resulting from such litigation.</w:t>
      </w:r>
    </w:p>
    <w:p>
      <w:pPr>
        <w:spacing w:after="0" w:line="206" w:lineRule="exact"/>
        <w:rPr>
          <w:rFonts w:ascii="Arial" w:cs="Arial" w:eastAsia="Arial" w:hAnsi="Arial"/>
          <w:sz w:val="18"/>
          <w:szCs w:val="18"/>
          <w:b w:val="1"/>
          <w:bCs w:val="1"/>
          <w:color w:val="auto"/>
        </w:rPr>
      </w:pPr>
    </w:p>
    <w:p>
      <w:pPr>
        <w:jc w:val="both"/>
        <w:ind w:left="44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November 2011, Jose Mendez v. Avis Budget Group Inc., et al. was filed in U.S. District Court for the District of New Jersey. The plaintiff seeks to represent a purported nationwide class and two sub-classes of certain renters of vehicles from our Avis and Budget subsidiaries from April 2007 through December 2015. The plaintiff seeks damages in connection with claims relating to our electronic toll service, including that administrative fees and toll charges were not properly disclosed to customers and/or were excessive. Plaintiff’s motion for class certification was approved by the Court in November 2017. The parties have entered into a settlement agreement and plan to file a motion for preliminary approval of the settlement in due course. We have been named as a defendant in other purported consumer class action law suits, including a class action filed against us in Florida seeking damages in connection with a breach of contract claim and two purported class action suits filed against us in New Jersey, one related to fines and fees charged to car renters by us for violations incurred during the course of their rental and another related to ancillary charges at our Payless subsidiary. In the Florida lawsuit, the Court has entered an order preliminarily approving a proposed settlement.</w:t>
      </w:r>
    </w:p>
    <w:p>
      <w:pPr>
        <w:spacing w:after="0" w:line="212"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w:t>
      </w:r>
    </w:p>
    <w:p>
      <w:pPr>
        <w:spacing w:after="0" w:line="200" w:lineRule="exact"/>
        <w:rPr>
          <w:sz w:val="20"/>
          <w:szCs w:val="20"/>
          <w:color w:val="auto"/>
        </w:rPr>
      </w:pPr>
    </w:p>
    <w:p>
      <w:pPr>
        <w:spacing w:after="0" w:line="35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3" w:right="339" w:bottom="1440" w:gutter="0" w:footer="0" w:header="0"/>
        </w:sectPr>
      </w:pPr>
    </w:p>
    <w:bookmarkStart w:id="21" w:name="page22"/>
    <w:bookmarkEnd w:id="21"/>
    <w:p>
      <w:pPr>
        <w:jc w:val="both"/>
        <w:ind w:left="442"/>
        <w:spacing w:after="0" w:line="278" w:lineRule="auto"/>
        <w:rPr>
          <w:sz w:val="20"/>
          <w:szCs w:val="20"/>
          <w:color w:val="auto"/>
        </w:rPr>
      </w:pPr>
      <w:r>
        <w:rPr>
          <w:rFonts w:ascii="Arial" w:cs="Arial" w:eastAsia="Arial" w:hAnsi="Arial"/>
          <w:sz w:val="17"/>
          <w:szCs w:val="17"/>
          <w:color w:val="auto"/>
        </w:rPr>
        <w:t>and other regulatory, environmental, commercial and tax matters. 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$35 million in excess of amounts accrued as of June 30, 2022. We do not believe that the impact should result in a material liability to us in relation to our consolidated financial condition or results of operations.</w:t>
      </w:r>
    </w:p>
    <w:p>
      <w:pPr>
        <w:spacing w:after="0" w:line="193"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50"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$ 3.8 billion of vehicles from manufacturers over the next 12 months, a $2.1 billion decrease compared to December 31, 2021,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5"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Concentrations</w:t>
      </w:r>
    </w:p>
    <w:p>
      <w:pPr>
        <w:spacing w:after="0" w:line="25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Concentrations of credit risk as of June 30, 2022 include (i) risks related to our repurchase and guaranteed depreciation agreements with domestic and foreign car manufacturers, primarily with respect to receivables for program cars that have been disposed but for which we have not yet received payment from the manufacturers and (ii) risks related to Realogy and Wyndham, including receivables of $26 million and $16 million, respectively, related to certain contingent, income tax and other corporate liabilities assumed by Realogy and Wyndham in connection with their disposition.</w:t>
      </w:r>
    </w:p>
    <w:p>
      <w:pPr>
        <w:spacing w:after="0" w:line="206" w:lineRule="exact"/>
        <w:rPr>
          <w:sz w:val="20"/>
          <w:szCs w:val="20"/>
          <w:color w:val="auto"/>
        </w:rPr>
      </w:pPr>
    </w:p>
    <w:p>
      <w:pPr>
        <w:ind w:left="442" w:right="8940" w:hanging="442"/>
        <w:spacing w:after="0" w:line="532" w:lineRule="auto"/>
        <w:tabs>
          <w:tab w:leader="none" w:pos="45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Share Repurchases</w:t>
      </w: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Board of Directors has authorized the repurchase of up to $7.1 billion of our common stock under a plan originally approved in 2013 and subsequently expanded most recently in May 2022 (the “Stock Repurchase Program”). During the six months ended June 30, 2022, we repurchased approximately 7.9 million shares of common stock at a cost of approximately $1.7 billion under the program. As of June 30, 2022, approximately $2.25 billion of authorization remains available to repurchase common stock under the program.</w:t>
      </w:r>
    </w:p>
    <w:p>
      <w:pPr>
        <w:spacing w:after="0" w:line="205"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Total Comprehensive Income (Loss)</w:t>
      </w:r>
    </w:p>
    <w:p>
      <w:pPr>
        <w:spacing w:after="0" w:line="250"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consists of net income and other gains and losses affecting stockholders’ equity that, under GAAP, are excluded from net income.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2" w:name="page23"/>
    <w:bookmarkEnd w:id="22"/>
    <w:p>
      <w:pPr>
        <w:ind w:left="6"/>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33"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1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vMerge w:val="restart"/>
          </w:tcPr>
          <w:p>
            <w:pPr>
              <w:jc w:val="right"/>
              <w:ind w:right="1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8"/>
        </w:trPr>
        <w:tc>
          <w:tcPr>
            <w:tcW w:w="4800" w:type="dxa"/>
            <w:vAlign w:val="bottom"/>
            <w:vMerge w:val="continue"/>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5"/>
        </w:trPr>
        <w:tc>
          <w:tcPr>
            <w:tcW w:w="4800" w:type="dxa"/>
            <w:vAlign w:val="bottom"/>
          </w:tcPr>
          <w:p>
            <w:pPr>
              <w:ind w:left="160"/>
              <w:spacing w:after="0"/>
              <w:rPr>
                <w:sz w:val="20"/>
                <w:szCs w:val="20"/>
                <w:color w:val="auto"/>
              </w:rPr>
            </w:pPr>
            <w:r>
              <w:rPr>
                <w:rFonts w:ascii="Arial" w:cs="Arial" w:eastAsia="Arial" w:hAnsi="Arial"/>
                <w:sz w:val="16"/>
                <w:szCs w:val="16"/>
                <w:color w:val="auto"/>
              </w:rPr>
              <w:t>Less: net loss attributable to non-controlling interests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6"/>
                <w:szCs w:val="16"/>
                <w:color w:val="auto"/>
              </w:rPr>
              <w:t>Net income attributable to Avis Budget Group, Inc.</w:t>
            </w:r>
          </w:p>
        </w:tc>
        <w:tc>
          <w:tcPr>
            <w:tcW w:w="8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800" w:type="dxa"/>
            <w:vAlign w:val="bottom"/>
          </w:tcPr>
          <w:p>
            <w:pPr>
              <w:ind w:left="160"/>
              <w:spacing w:after="0" w:line="164" w:lineRule="exact"/>
              <w:rPr>
                <w:sz w:val="20"/>
                <w:szCs w:val="20"/>
                <w:color w:val="auto"/>
              </w:rPr>
            </w:pPr>
            <w:r>
              <w:rPr>
                <w:rFonts w:ascii="Arial" w:cs="Arial" w:eastAsia="Arial" w:hAnsi="Arial"/>
                <w:sz w:val="16"/>
                <w:szCs w:val="16"/>
                <w:color w:val="auto"/>
              </w:rPr>
              <w:t>Currency translation adjustments (net of tax of $(14), $3, $(17)</w:t>
            </w:r>
          </w:p>
        </w:tc>
        <w:tc>
          <w:tcPr>
            <w:tcW w:w="8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800" w:type="dxa"/>
            <w:vAlign w:val="bottom"/>
          </w:tcPr>
          <w:p>
            <w:pPr>
              <w:ind w:left="320"/>
              <w:spacing w:after="0"/>
              <w:rPr>
                <w:sz w:val="20"/>
                <w:szCs w:val="20"/>
                <w:color w:val="auto"/>
              </w:rPr>
            </w:pPr>
            <w:r>
              <w:rPr>
                <w:rFonts w:ascii="Arial" w:cs="Arial" w:eastAsia="Arial" w:hAnsi="Arial"/>
                <w:sz w:val="16"/>
                <w:szCs w:val="16"/>
                <w:color w:val="auto"/>
              </w:rPr>
              <w:t>and $(9), respectively)</w:t>
            </w:r>
          </w:p>
        </w:tc>
        <w:tc>
          <w:tcPr>
            <w:tcW w:w="8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800" w:type="dxa"/>
            <w:vAlign w:val="bottom"/>
          </w:tcPr>
          <w:p>
            <w:pPr>
              <w:ind w:left="160"/>
              <w:spacing w:after="0" w:line="164" w:lineRule="exact"/>
              <w:rPr>
                <w:sz w:val="20"/>
                <w:szCs w:val="20"/>
                <w:color w:val="auto"/>
              </w:rPr>
            </w:pPr>
            <w:r>
              <w:rPr>
                <w:rFonts w:ascii="Arial" w:cs="Arial" w:eastAsia="Arial" w:hAnsi="Arial"/>
                <w:sz w:val="16"/>
                <w:szCs w:val="16"/>
                <w:color w:val="auto"/>
              </w:rPr>
              <w:t>Net unrealized gain (loss) on cash flow hedges (net of tax of</w:t>
            </w:r>
          </w:p>
        </w:tc>
        <w:tc>
          <w:tcPr>
            <w:tcW w:w="8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4800" w:type="dxa"/>
            <w:vAlign w:val="bottom"/>
          </w:tcPr>
          <w:p>
            <w:pPr>
              <w:ind w:left="320"/>
              <w:spacing w:after="0"/>
              <w:rPr>
                <w:sz w:val="20"/>
                <w:szCs w:val="20"/>
                <w:color w:val="auto"/>
              </w:rPr>
            </w:pPr>
            <w:r>
              <w:rPr>
                <w:rFonts w:ascii="Arial" w:cs="Arial" w:eastAsia="Arial" w:hAnsi="Arial"/>
                <w:sz w:val="16"/>
                <w:szCs w:val="16"/>
                <w:color w:val="auto"/>
              </w:rPr>
              <w:t>$(4), $(10), $(15) and $(7), respectively)</w:t>
            </w:r>
          </w:p>
        </w:tc>
        <w:tc>
          <w:tcPr>
            <w:tcW w:w="8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800" w:type="dxa"/>
            <w:vAlign w:val="bottom"/>
          </w:tcPr>
          <w:p>
            <w:pPr>
              <w:ind w:left="160"/>
              <w:spacing w:after="0" w:line="164" w:lineRule="exact"/>
              <w:rPr>
                <w:sz w:val="20"/>
                <w:szCs w:val="20"/>
                <w:color w:val="auto"/>
              </w:rPr>
            </w:pPr>
            <w:r>
              <w:rPr>
                <w:rFonts w:ascii="Arial" w:cs="Arial" w:eastAsia="Arial" w:hAnsi="Arial"/>
                <w:sz w:val="16"/>
                <w:szCs w:val="16"/>
                <w:color w:val="auto"/>
              </w:rPr>
              <w:t>Minimum pension liability adjustment (net of tax of $0, $0, $0</w:t>
            </w:r>
          </w:p>
        </w:tc>
        <w:tc>
          <w:tcPr>
            <w:tcW w:w="8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800" w:type="dxa"/>
            <w:vAlign w:val="bottom"/>
          </w:tcPr>
          <w:p>
            <w:pPr>
              <w:ind w:left="320"/>
              <w:spacing w:after="0"/>
              <w:rPr>
                <w:sz w:val="20"/>
                <w:szCs w:val="20"/>
                <w:color w:val="auto"/>
              </w:rPr>
            </w:pPr>
            <w:r>
              <w:rPr>
                <w:rFonts w:ascii="Arial" w:cs="Arial" w:eastAsia="Arial" w:hAnsi="Arial"/>
                <w:sz w:val="16"/>
                <w:szCs w:val="16"/>
                <w:color w:val="auto"/>
              </w:rPr>
              <w:t>and $0, respectively)</w:t>
            </w: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6"/>
                <w:szCs w:val="16"/>
                <w:color w:val="auto"/>
              </w:rPr>
              <w:t>Comprehensive income attributable to Avis Budget Group, Inc.</w:t>
            </w: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47" w:lineRule="exact"/>
        <w:rPr>
          <w:sz w:val="20"/>
          <w:szCs w:val="20"/>
          <w:color w:val="auto"/>
        </w:rPr>
      </w:pPr>
    </w:p>
    <w:tbl>
      <w:tblPr>
        <w:tblLayout w:type="fixed"/>
        <w:tblInd w:w="3746" w:type="dxa"/>
        <w:tblCellMar>
          <w:top w:w="0" w:type="dxa"/>
          <w:left w:w="0" w:type="dxa"/>
          <w:bottom w:w="0" w:type="dxa"/>
          <w:right w:w="0" w:type="dxa"/>
        </w:tblCellMar>
      </w:tblPr>
      <w:tr>
        <w:trPr>
          <w:trHeight w:val="161"/>
        </w:trPr>
        <w:tc>
          <w:tcPr>
            <w:tcW w:w="134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Currency</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Net Unrealized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Minimum</w:t>
            </w:r>
          </w:p>
        </w:tc>
        <w:tc>
          <w:tcPr>
            <w:tcW w:w="1420" w:type="dxa"/>
            <w:vAlign w:val="bottom"/>
          </w:tcPr>
          <w:p>
            <w:pPr>
              <w:jc w:val="center"/>
              <w:ind w:left="28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Gains (Losses)</w:t>
            </w: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Pension</w:t>
            </w:r>
          </w:p>
        </w:tc>
        <w:tc>
          <w:tcPr>
            <w:tcW w:w="1420" w:type="dxa"/>
            <w:vAlign w:val="bottom"/>
          </w:tcPr>
          <w:p>
            <w:pPr>
              <w:jc w:val="center"/>
              <w:ind w:left="28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34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rPr>
              <w:t>Translation</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on Cash Flow</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Liability</w:t>
            </w:r>
          </w:p>
        </w:tc>
        <w:tc>
          <w:tcPr>
            <w:tcW w:w="14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1340" w:type="dxa"/>
            <w:vAlign w:val="bottom"/>
          </w:tcPr>
          <w:p>
            <w:pPr>
              <w:jc w:val="center"/>
              <w:ind w:right="268"/>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9"/>
                <w:szCs w:val="9"/>
                <w:b w:val="1"/>
                <w:bCs w:val="1"/>
                <w:color w:val="auto"/>
              </w:rPr>
              <w:t>(a)</w:t>
            </w:r>
          </w:p>
        </w:tc>
        <w:tc>
          <w:tcPr>
            <w:tcW w:w="17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Hedges</w:t>
            </w:r>
            <w:r>
              <w:rPr>
                <w:rFonts w:ascii="Arial" w:cs="Arial" w:eastAsia="Arial" w:hAnsi="Arial"/>
                <w:sz w:val="18"/>
                <w:szCs w:val="18"/>
                <w:b w:val="1"/>
                <w:bCs w:val="1"/>
                <w:color w:val="auto"/>
                <w:w w:val="97"/>
                <w:vertAlign w:val="superscript"/>
              </w:rPr>
              <w:t>(b)</w:t>
            </w:r>
          </w:p>
        </w:tc>
        <w:tc>
          <w:tcPr>
            <w:tcW w:w="16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8"/>
              </w:rPr>
              <w:t>Adjustment</w:t>
            </w:r>
            <w:r>
              <w:rPr>
                <w:rFonts w:ascii="Arial" w:cs="Arial" w:eastAsia="Arial" w:hAnsi="Arial"/>
                <w:sz w:val="18"/>
                <w:szCs w:val="18"/>
                <w:b w:val="1"/>
                <w:bCs w:val="1"/>
                <w:color w:val="auto"/>
                <w:w w:val="98"/>
                <w:vertAlign w:val="superscript"/>
              </w:rPr>
              <w:t>(c)</w:t>
            </w:r>
          </w:p>
        </w:tc>
        <w:tc>
          <w:tcPr>
            <w:tcW w:w="1420" w:type="dxa"/>
            <w:vAlign w:val="bottom"/>
          </w:tcPr>
          <w:p>
            <w:pPr>
              <w:jc w:val="center"/>
              <w:ind w:left="26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0</wp:posOffset>
            </wp:positionV>
            <wp:extent cx="10033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p>
      <w:pPr>
        <w:spacing w:after="0" w:line="18" w:lineRule="exact"/>
        <w:rPr>
          <w:sz w:val="20"/>
          <w:szCs w:val="20"/>
          <w:color w:val="auto"/>
        </w:rPr>
      </w:pPr>
    </w:p>
    <w:tbl>
      <w:tblPr>
        <w:tblLayout w:type="fixed"/>
        <w:tblInd w:w="26" w:type="dxa"/>
        <w:tblCellMar>
          <w:top w:w="0" w:type="dxa"/>
          <w:left w:w="0" w:type="dxa"/>
          <w:bottom w:w="0" w:type="dxa"/>
          <w:right w:w="0" w:type="dxa"/>
        </w:tblCellMar>
      </w:tblPr>
      <w:tr>
        <w:trPr>
          <w:trHeight w:val="190"/>
        </w:trPr>
        <w:tc>
          <w:tcPr>
            <w:tcW w:w="3340" w:type="dxa"/>
            <w:vAlign w:val="bottom"/>
          </w:tcPr>
          <w:p>
            <w:pPr>
              <w:spacing w:after="0"/>
              <w:rPr>
                <w:sz w:val="20"/>
                <w:szCs w:val="20"/>
                <w:color w:val="auto"/>
              </w:rPr>
            </w:pPr>
            <w:r>
              <w:rPr>
                <w:rFonts w:ascii="Arial" w:cs="Arial" w:eastAsia="Arial" w:hAnsi="Arial"/>
                <w:sz w:val="14"/>
                <w:szCs w:val="14"/>
                <w:color w:val="auto"/>
              </w:rPr>
              <w:t>Balance, January 1, 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3340" w:type="dxa"/>
            <w:vAlign w:val="bottom"/>
          </w:tcPr>
          <w:p>
            <w:pPr>
              <w:ind w:left="360"/>
              <w:spacing w:after="0"/>
              <w:rPr>
                <w:sz w:val="20"/>
                <w:szCs w:val="20"/>
                <w:color w:val="auto"/>
              </w:rPr>
            </w:pPr>
            <w:r>
              <w:rPr>
                <w:rFonts w:ascii="Arial" w:cs="Arial" w:eastAsia="Arial" w:hAnsi="Arial"/>
                <w:sz w:val="14"/>
                <w:szCs w:val="14"/>
                <w:color w:val="auto"/>
              </w:rPr>
              <w:t>Other comprehensive income (loss) before</w:t>
            </w:r>
          </w:p>
        </w:tc>
        <w:tc>
          <w:tcPr>
            <w:tcW w:w="180" w:type="dxa"/>
            <w:vAlign w:val="bottom"/>
          </w:tcPr>
          <w:p>
            <w:pPr>
              <w:spacing w:after="0"/>
              <w:rPr>
                <w:sz w:val="13"/>
                <w:szCs w:val="13"/>
                <w:color w:val="auto"/>
              </w:rPr>
            </w:pPr>
          </w:p>
        </w:tc>
      </w:tr>
      <w:tr>
        <w:trPr>
          <w:trHeight w:val="189"/>
        </w:trPr>
        <w:tc>
          <w:tcPr>
            <w:tcW w:w="3340" w:type="dxa"/>
            <w:vAlign w:val="bottom"/>
          </w:tcPr>
          <w:p>
            <w:pPr>
              <w:ind w:left="36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6"/>
                <w:szCs w:val="16"/>
                <w:color w:val="auto"/>
              </w:rPr>
            </w:pPr>
          </w:p>
        </w:tc>
      </w:tr>
      <w:tr>
        <w:trPr>
          <w:trHeight w:val="148"/>
        </w:trPr>
        <w:tc>
          <w:tcPr>
            <w:tcW w:w="3340" w:type="dxa"/>
            <w:vAlign w:val="bottom"/>
          </w:tcPr>
          <w:p>
            <w:pPr>
              <w:ind w:left="360"/>
              <w:spacing w:after="0" w:line="149" w:lineRule="exact"/>
              <w:rPr>
                <w:sz w:val="20"/>
                <w:szCs w:val="20"/>
                <w:color w:val="auto"/>
              </w:rPr>
            </w:pPr>
            <w:r>
              <w:rPr>
                <w:rFonts w:ascii="Arial" w:cs="Arial" w:eastAsia="Arial" w:hAnsi="Arial"/>
                <w:sz w:val="14"/>
                <w:szCs w:val="14"/>
                <w:color w:val="auto"/>
              </w:rPr>
              <w:t>Amounts reclassified from accumulated other</w:t>
            </w:r>
          </w:p>
        </w:tc>
        <w:tc>
          <w:tcPr>
            <w:tcW w:w="180" w:type="dxa"/>
            <w:vAlign w:val="bottom"/>
          </w:tcPr>
          <w:p>
            <w:pPr>
              <w:spacing w:after="0"/>
              <w:rPr>
                <w:sz w:val="12"/>
                <w:szCs w:val="12"/>
                <w:color w:val="auto"/>
              </w:rPr>
            </w:pPr>
          </w:p>
        </w:tc>
      </w:tr>
      <w:tr>
        <w:trPr>
          <w:trHeight w:val="189"/>
        </w:trPr>
        <w:tc>
          <w:tcPr>
            <w:tcW w:w="3340" w:type="dxa"/>
            <w:vAlign w:val="bottom"/>
          </w:tcPr>
          <w:p>
            <w:pPr>
              <w:ind w:left="36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r>
      <w:tr>
        <w:trPr>
          <w:trHeight w:val="148"/>
        </w:trPr>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Net current-period other comprehensive income</w:t>
            </w:r>
          </w:p>
        </w:tc>
        <w:tc>
          <w:tcPr>
            <w:tcW w:w="180" w:type="dxa"/>
            <w:vAlign w:val="bottom"/>
          </w:tcPr>
          <w:p>
            <w:pPr>
              <w:spacing w:after="0"/>
              <w:rPr>
                <w:sz w:val="12"/>
                <w:szCs w:val="12"/>
                <w:color w:val="auto"/>
              </w:rPr>
            </w:pPr>
          </w:p>
        </w:tc>
      </w:tr>
      <w:tr>
        <w:trPr>
          <w:trHeight w:val="190"/>
        </w:trPr>
        <w:tc>
          <w:tcPr>
            <w:tcW w:w="3340" w:type="dxa"/>
            <w:vAlign w:val="bottom"/>
          </w:tcPr>
          <w:p>
            <w:pPr>
              <w:ind w:left="160"/>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16"/>
                <w:szCs w:val="16"/>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4"/>
                <w:szCs w:val="14"/>
                <w:color w:val="auto"/>
              </w:rPr>
              <w:t>Balance, June 30, 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64"/>
        </w:trPr>
        <w:tc>
          <w:tcPr>
            <w:tcW w:w="3340" w:type="dxa"/>
            <w:vAlign w:val="bottom"/>
          </w:tcPr>
          <w:p>
            <w:pPr>
              <w:spacing w:after="0"/>
              <w:rPr>
                <w:sz w:val="20"/>
                <w:szCs w:val="20"/>
                <w:color w:val="auto"/>
              </w:rPr>
            </w:pPr>
            <w:r>
              <w:rPr>
                <w:rFonts w:ascii="Arial" w:cs="Arial" w:eastAsia="Arial" w:hAnsi="Arial"/>
                <w:sz w:val="14"/>
                <w:szCs w:val="14"/>
                <w:color w:val="auto"/>
              </w:rPr>
              <w:t>Balance, January 1, 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3340" w:type="dxa"/>
            <w:vAlign w:val="bottom"/>
          </w:tcPr>
          <w:p>
            <w:pPr>
              <w:ind w:left="360"/>
              <w:spacing w:after="0"/>
              <w:rPr>
                <w:sz w:val="20"/>
                <w:szCs w:val="20"/>
                <w:color w:val="auto"/>
              </w:rPr>
            </w:pPr>
            <w:r>
              <w:rPr>
                <w:rFonts w:ascii="Arial" w:cs="Arial" w:eastAsia="Arial" w:hAnsi="Arial"/>
                <w:sz w:val="14"/>
                <w:szCs w:val="14"/>
                <w:color w:val="auto"/>
              </w:rPr>
              <w:t>Other comprehensive income (loss) before</w:t>
            </w:r>
          </w:p>
        </w:tc>
        <w:tc>
          <w:tcPr>
            <w:tcW w:w="180" w:type="dxa"/>
            <w:vAlign w:val="bottom"/>
          </w:tcPr>
          <w:p>
            <w:pPr>
              <w:spacing w:after="0"/>
              <w:rPr>
                <w:sz w:val="13"/>
                <w:szCs w:val="13"/>
                <w:color w:val="auto"/>
              </w:rPr>
            </w:pPr>
          </w:p>
        </w:tc>
      </w:tr>
      <w:tr>
        <w:trPr>
          <w:trHeight w:val="189"/>
        </w:trPr>
        <w:tc>
          <w:tcPr>
            <w:tcW w:w="3340" w:type="dxa"/>
            <w:vAlign w:val="bottom"/>
          </w:tcPr>
          <w:p>
            <w:pPr>
              <w:ind w:left="36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6"/>
                <w:szCs w:val="16"/>
                <w:color w:val="auto"/>
              </w:rPr>
            </w:pPr>
          </w:p>
        </w:tc>
      </w:tr>
      <w:tr>
        <w:trPr>
          <w:trHeight w:val="149"/>
        </w:trPr>
        <w:tc>
          <w:tcPr>
            <w:tcW w:w="3340" w:type="dxa"/>
            <w:vAlign w:val="bottom"/>
          </w:tcPr>
          <w:p>
            <w:pPr>
              <w:ind w:left="360"/>
              <w:spacing w:after="0" w:line="149" w:lineRule="exact"/>
              <w:rPr>
                <w:sz w:val="20"/>
                <w:szCs w:val="20"/>
                <w:color w:val="auto"/>
              </w:rPr>
            </w:pPr>
            <w:r>
              <w:rPr>
                <w:rFonts w:ascii="Arial" w:cs="Arial" w:eastAsia="Arial" w:hAnsi="Arial"/>
                <w:sz w:val="14"/>
                <w:szCs w:val="14"/>
                <w:color w:val="auto"/>
              </w:rPr>
              <w:t>Amounts reclassified from accumulated other</w:t>
            </w:r>
          </w:p>
        </w:tc>
        <w:tc>
          <w:tcPr>
            <w:tcW w:w="180" w:type="dxa"/>
            <w:vAlign w:val="bottom"/>
          </w:tcPr>
          <w:p>
            <w:pPr>
              <w:spacing w:after="0"/>
              <w:rPr>
                <w:sz w:val="12"/>
                <w:szCs w:val="12"/>
                <w:color w:val="auto"/>
              </w:rPr>
            </w:pPr>
          </w:p>
        </w:tc>
      </w:tr>
      <w:tr>
        <w:trPr>
          <w:trHeight w:val="190"/>
        </w:trPr>
        <w:tc>
          <w:tcPr>
            <w:tcW w:w="3340" w:type="dxa"/>
            <w:vAlign w:val="bottom"/>
          </w:tcPr>
          <w:p>
            <w:pPr>
              <w:ind w:left="36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r>
      <w:tr>
        <w:trPr>
          <w:trHeight w:val="202"/>
        </w:trPr>
        <w:tc>
          <w:tcPr>
            <w:tcW w:w="3340" w:type="dxa"/>
            <w:vAlign w:val="bottom"/>
          </w:tcPr>
          <w:p>
            <w:pPr>
              <w:ind w:left="160"/>
              <w:spacing w:after="0"/>
              <w:rPr>
                <w:sz w:val="20"/>
                <w:szCs w:val="20"/>
                <w:color w:val="auto"/>
              </w:rPr>
            </w:pPr>
            <w:r>
              <w:rPr>
                <w:rFonts w:ascii="Arial" w:cs="Arial" w:eastAsia="Arial" w:hAnsi="Arial"/>
                <w:sz w:val="14"/>
                <w:szCs w:val="14"/>
                <w:color w:val="auto"/>
              </w:rPr>
              <w:t>Net current-period other comprehensive income</w:t>
            </w:r>
          </w:p>
        </w:tc>
        <w:tc>
          <w:tcPr>
            <w:tcW w:w="180" w:type="dxa"/>
            <w:vAlign w:val="bottom"/>
          </w:tcPr>
          <w:p>
            <w:pPr>
              <w:spacing w:after="0"/>
              <w:rPr>
                <w:sz w:val="17"/>
                <w:szCs w:val="17"/>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4"/>
                <w:szCs w:val="14"/>
                <w:color w:val="auto"/>
              </w:rPr>
              <w:t>Balance, June 30, 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70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6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w:t>
            </w:r>
          </w:p>
        </w:tc>
      </w:tr>
      <w:tr>
        <w:trPr>
          <w:trHeight w:val="335"/>
        </w:trPr>
        <w:tc>
          <w:tcPr>
            <w:tcW w:w="400" w:type="dxa"/>
            <w:vAlign w:val="bottom"/>
          </w:tcPr>
          <w:p>
            <w:pPr>
              <w:jc w:val="right"/>
              <w:ind w:right="68"/>
              <w:spacing w:after="0"/>
              <w:rPr>
                <w:sz w:val="20"/>
                <w:szCs w:val="20"/>
                <w:color w:val="auto"/>
              </w:rPr>
            </w:pPr>
            <w:r>
              <w:rPr>
                <w:rFonts w:ascii="Arial" w:cs="Arial" w:eastAsia="Arial" w:hAnsi="Arial"/>
                <w:sz w:val="14"/>
                <w:szCs w:val="14"/>
                <w:color w:val="auto"/>
                <w:w w:val="96"/>
              </w:rPr>
              <w:t>(43)</w:t>
            </w:r>
          </w:p>
        </w:tc>
        <w:tc>
          <w:tcPr>
            <w:tcW w:w="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42"/>
        </w:trPr>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r>
      <w:tr>
        <w:trPr>
          <w:trHeight w:val="315"/>
        </w:trPr>
        <w:tc>
          <w:tcPr>
            <w:tcW w:w="400" w:type="dxa"/>
            <w:vAlign w:val="bottom"/>
          </w:tcPr>
          <w:p>
            <w:pPr>
              <w:jc w:val="right"/>
              <w:ind w:right="68"/>
              <w:spacing w:after="0"/>
              <w:rPr>
                <w:sz w:val="20"/>
                <w:szCs w:val="20"/>
                <w:color w:val="auto"/>
              </w:rPr>
            </w:pPr>
            <w:r>
              <w:rPr>
                <w:rFonts w:ascii="Arial" w:cs="Arial" w:eastAsia="Arial" w:hAnsi="Arial"/>
                <w:sz w:val="14"/>
                <w:szCs w:val="14"/>
                <w:color w:val="auto"/>
                <w:w w:val="96"/>
              </w:rPr>
              <w:t>(43)</w:t>
            </w: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r>
      <w:tr>
        <w:trPr>
          <w:trHeight w:val="199"/>
        </w:trPr>
        <w:tc>
          <w:tcPr>
            <w:tcW w:w="400" w:type="dxa"/>
            <w:vAlign w:val="bottom"/>
          </w:tcPr>
          <w:p>
            <w:pPr>
              <w:jc w:val="right"/>
              <w:ind w:right="68"/>
              <w:spacing w:after="0"/>
              <w:rPr>
                <w:sz w:val="20"/>
                <w:szCs w:val="20"/>
                <w:color w:val="auto"/>
              </w:rPr>
            </w:pPr>
            <w:r>
              <w:rPr>
                <w:rFonts w:ascii="Arial" w:cs="Arial" w:eastAsia="Arial" w:hAnsi="Arial"/>
                <w:sz w:val="14"/>
                <w:szCs w:val="14"/>
                <w:color w:val="auto"/>
                <w:w w:val="96"/>
              </w:rPr>
              <w:t>(27)</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5"/>
        </w:trPr>
        <w:tc>
          <w:tcPr>
            <w:tcW w:w="4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23"/>
        </w:trPr>
        <w:tc>
          <w:tcPr>
            <w:tcW w:w="40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4"/>
                <w:szCs w:val="24"/>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4"/>
                <w:szCs w:val="24"/>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338"/>
        </w:trPr>
        <w:tc>
          <w:tcPr>
            <w:tcW w:w="400" w:type="dxa"/>
            <w:vAlign w:val="bottom"/>
          </w:tcPr>
          <w:p>
            <w:pPr>
              <w:jc w:val="right"/>
              <w:ind w:right="68"/>
              <w:spacing w:after="0"/>
              <w:rPr>
                <w:sz w:val="20"/>
                <w:szCs w:val="20"/>
                <w:color w:val="auto"/>
              </w:rPr>
            </w:pPr>
            <w:r>
              <w:rPr>
                <w:rFonts w:ascii="Arial" w:cs="Arial" w:eastAsia="Arial" w:hAnsi="Arial"/>
                <w:sz w:val="14"/>
                <w:szCs w:val="14"/>
                <w:color w:val="auto"/>
                <w:w w:val="96"/>
              </w:rPr>
              <w:t>(10)</w:t>
            </w:r>
          </w:p>
        </w:tc>
        <w:tc>
          <w:tcPr>
            <w:tcW w:w="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r>
      <w:tr>
        <w:trPr>
          <w:trHeight w:val="339"/>
        </w:trPr>
        <w:tc>
          <w:tcPr>
            <w:tcW w:w="40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r>
      <w:tr>
        <w:trPr>
          <w:trHeight w:val="196"/>
        </w:trPr>
        <w:tc>
          <w:tcPr>
            <w:tcW w:w="40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r>
      <w:tr>
        <w:trPr>
          <w:trHeight w:val="199"/>
        </w:trPr>
        <w:tc>
          <w:tcPr>
            <w:tcW w:w="400" w:type="dxa"/>
            <w:vAlign w:val="bottom"/>
          </w:tcPr>
          <w:p>
            <w:pPr>
              <w:jc w:val="right"/>
              <w:ind w:right="108"/>
              <w:spacing w:after="0"/>
              <w:rPr>
                <w:sz w:val="20"/>
                <w:szCs w:val="20"/>
                <w:color w:val="auto"/>
              </w:rPr>
            </w:pPr>
            <w:r>
              <w:rPr>
                <w:rFonts w:ascii="Arial" w:cs="Arial" w:eastAsia="Arial" w:hAnsi="Arial"/>
                <w:sz w:val="14"/>
                <w:szCs w:val="14"/>
                <w:color w:val="auto"/>
              </w:rPr>
              <w:t>41</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r>
      <w:tr>
        <w:trPr>
          <w:trHeight w:val="25"/>
        </w:trPr>
        <w:tc>
          <w:tcPr>
            <w:tcW w:w="4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-33655</wp:posOffset>
            </wp:positionV>
            <wp:extent cx="10033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-7620</wp:posOffset>
            </wp:positionV>
            <wp:extent cx="1003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-170815</wp:posOffset>
            </wp:positionV>
            <wp:extent cx="10033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-307975</wp:posOffset>
            </wp:positionV>
            <wp:extent cx="10033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-985520</wp:posOffset>
            </wp:positionV>
            <wp:extent cx="10033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-959485</wp:posOffset>
            </wp:positionV>
            <wp:extent cx="10033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-1122045</wp:posOffset>
            </wp:positionV>
            <wp:extent cx="10033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-1336675</wp:posOffset>
            </wp:positionV>
            <wp:extent cx="10033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026" w:space="720"/>
            <w:col w:w="6000"/>
          </w:cols>
          <w:pgMar w:left="814" w:top="931" w:right="339" w:bottom="1440" w:gutter="0" w:footer="0" w:header="0"/>
          <w:type w:val="continuous"/>
        </w:sectPr>
      </w:pPr>
    </w:p>
    <w:p>
      <w:pPr>
        <w:ind w:left="6"/>
        <w:spacing w:after="0"/>
        <w:rPr>
          <w:sz w:val="20"/>
          <w:szCs w:val="20"/>
          <w:color w:val="auto"/>
        </w:rPr>
      </w:pPr>
      <w:r>
        <w:rPr>
          <w:rFonts w:ascii="Arial" w:cs="Arial" w:eastAsia="Arial" w:hAnsi="Arial"/>
          <w:sz w:val="16"/>
          <w:szCs w:val="16"/>
          <w:color w:val="auto"/>
        </w:rPr>
        <w:t>__________</w:t>
      </w:r>
    </w:p>
    <w:p>
      <w:pPr>
        <w:spacing w:after="0" w:line="131" w:lineRule="exact"/>
        <w:rPr>
          <w:sz w:val="20"/>
          <w:szCs w:val="20"/>
          <w:color w:val="auto"/>
        </w:rPr>
      </w:pPr>
    </w:p>
    <w:p>
      <w:pPr>
        <w:jc w:val="both"/>
        <w:ind w:left="6"/>
        <w:spacing w:after="0" w:line="257"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$128 million gain, net of tax, as of June 30, 2022 related to our hedge of our investment in euro-denominated foreign operations (see Note 16 – Financial Instruments).</w:t>
      </w:r>
    </w:p>
    <w:p>
      <w:pPr>
        <w:spacing w:after="0" w:line="1" w:lineRule="exact"/>
        <w:rPr>
          <w:sz w:val="20"/>
          <w:szCs w:val="20"/>
          <w:color w:val="auto"/>
        </w:rPr>
      </w:pPr>
    </w:p>
    <w:p>
      <w:pPr>
        <w:ind w:left="326" w:hanging="326"/>
        <w:spacing w:after="0" w:line="227" w:lineRule="auto"/>
        <w:tabs>
          <w:tab w:leader="none" w:pos="319"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For the six months ended June 30, 2021, the amount was reclassified from accumulated other comprehensive income (loss) into restructuring and other related charges.</w:t>
      </w:r>
    </w:p>
    <w:p>
      <w:pPr>
        <w:jc w:val="both"/>
        <w:ind w:left="326" w:hanging="326"/>
        <w:spacing w:after="0"/>
        <w:tabs>
          <w:tab w:leader="none" w:pos="319"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2022 and 2021, the amounts reclassified from accumulated other comprehensive income (loss) into corporate interest expense were $4 million ($3 million, net of tax), in each period. For the three months ended June 30, 2021, the amounts reclassified from accumulated other comprehensive income (loss) into vehicle interest expense was $1 million ($1 million, net of tax). For the six months ended June 30, 2022 and 2021, the amounts reclassified from accumulated other comprehensive income (loss) into corporate interest expense was $9 million ($7 million, net of tax) and $8 million ($6 million, net of tax), respectively. For the six months ended June 30, 2021, the amounts reclassified from accumulated other comprehensive income (loss) into vehicle interest expense was $2 million ($1 million, net of tax).</w:t>
      </w:r>
    </w:p>
    <w:p>
      <w:pPr>
        <w:spacing w:after="0" w:line="2" w:lineRule="exact"/>
        <w:rPr>
          <w:rFonts w:ascii="Arial" w:cs="Arial" w:eastAsia="Arial" w:hAnsi="Arial"/>
          <w:sz w:val="19"/>
          <w:szCs w:val="19"/>
          <w:color w:val="auto"/>
          <w:vertAlign w:val="superscript"/>
        </w:rPr>
      </w:pPr>
    </w:p>
    <w:p>
      <w:pPr>
        <w:jc w:val="both"/>
        <w:ind w:left="326" w:hanging="326"/>
        <w:spacing w:after="0" w:line="272" w:lineRule="auto"/>
        <w:tabs>
          <w:tab w:leader="none" w:pos="313" w:val="left"/>
        </w:tabs>
        <w:numPr>
          <w:ilvl w:val="0"/>
          <w:numId w:val="26"/>
        </w:numPr>
        <w:rPr>
          <w:rFonts w:ascii="Arial" w:cs="Arial" w:eastAsia="Arial" w:hAnsi="Arial"/>
          <w:sz w:val="9"/>
          <w:szCs w:val="9"/>
          <w:color w:val="auto"/>
        </w:rPr>
      </w:pPr>
      <w:r>
        <w:rPr>
          <w:rFonts w:ascii="Arial" w:cs="Arial" w:eastAsia="Arial" w:hAnsi="Arial"/>
          <w:sz w:val="14"/>
          <w:szCs w:val="14"/>
          <w:color w:val="auto"/>
        </w:rPr>
        <w:t>For the three months ended June 30, 2021, amounts reclassified from accumulated other comprehensive income (loss) into selling, general and administrative expenses was $2 million ($1 million, net of tax). For the six months ended June 30, 2022 and 2021, amounts reclassified from accumulated other comprehensive income (loss) into selling, general and administrative expenses were $3 million ($2 million, net of tax) and $5 million ($3 million, net of tax), respectively.</w:t>
      </w:r>
    </w:p>
    <w:p>
      <w:pPr>
        <w:spacing w:after="0" w:line="200" w:lineRule="exact"/>
        <w:rPr>
          <w:sz w:val="20"/>
          <w:szCs w:val="20"/>
          <w:color w:val="auto"/>
        </w:rPr>
      </w:pPr>
    </w:p>
    <w:p>
      <w:pPr>
        <w:spacing w:after="0" w:line="350"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type w:val="continuous"/>
        </w:sectPr>
      </w:pPr>
    </w:p>
    <w:bookmarkStart w:id="23" w:name="page24"/>
    <w:bookmarkEnd w:id="23"/>
    <w:p>
      <w:pPr>
        <w:ind w:left="442" w:hanging="442"/>
        <w:spacing w:after="0"/>
        <w:tabs>
          <w:tab w:leader="none" w:pos="44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2"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2021, SRS Mobility Ventures, LLC acquired a 33 1/3% Class A Membership Interest in one of our subsidiaries at fair value of $37.5 million. SRS Mobility Ventures, LLC is an affiliate of our largest shareholder, SRS Investment Management, LLC.</w:t>
      </w:r>
    </w:p>
    <w:p>
      <w:pPr>
        <w:spacing w:after="0" w:line="179" w:lineRule="exact"/>
        <w:rPr>
          <w:rFonts w:ascii="Arial" w:cs="Arial" w:eastAsia="Arial" w:hAnsi="Arial"/>
          <w:sz w:val="18"/>
          <w:szCs w:val="18"/>
          <w:b w:val="1"/>
          <w:bCs w:val="1"/>
          <w:color w:val="auto"/>
        </w:rPr>
      </w:pPr>
    </w:p>
    <w:p>
      <w:pPr>
        <w:ind w:left="442" w:hanging="442"/>
        <w:spacing w:after="0"/>
        <w:tabs>
          <w:tab w:leader="none" w:pos="44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rFonts w:ascii="Arial" w:cs="Arial" w:eastAsia="Arial" w:hAnsi="Arial"/>
          <w:sz w:val="18"/>
          <w:szCs w:val="18"/>
          <w:b w:val="1"/>
          <w:bCs w:val="1"/>
          <w:color w:val="auto"/>
        </w:rPr>
      </w:pPr>
    </w:p>
    <w:p>
      <w:pPr>
        <w:jc w:val="both"/>
        <w:ind w:left="44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We recorded stock-based compensation expense of $6 million and $10 million ($5 million and $7 million, net of tax) during the three months ended June 30, 2022 and 2021, respectively, and $12 million and $14 million ($9 million and $10 million, net of tax) during the six months ended June 30, 2022 </w:t>
      </w:r>
      <w:r>
        <w:rPr>
          <w:rFonts w:ascii="Times New Roman" w:cs="Times New Roman" w:eastAsia="Times New Roman" w:hAnsi="Times New Roman"/>
          <w:sz w:val="18"/>
          <w:szCs w:val="18"/>
          <w:color w:val="auto"/>
        </w:rPr>
        <w:t>and</w:t>
      </w:r>
      <w:r>
        <w:rPr>
          <w:rFonts w:ascii="Arial" w:cs="Arial" w:eastAsia="Arial" w:hAnsi="Arial"/>
          <w:sz w:val="18"/>
          <w:szCs w:val="18"/>
          <w:color w:val="auto"/>
        </w:rPr>
        <w:t xml:space="preserve"> 2021, respectively.</w:t>
      </w:r>
    </w:p>
    <w:p>
      <w:pPr>
        <w:spacing w:after="0" w:line="196"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2020, we granted market-based restricted stock units (“RSUs”) that vest based on absolute stock price attainment. The grant date fair value of this award is estimated using a Monte Carlo simulation model.</w:t>
      </w:r>
    </w:p>
    <w:p>
      <w:pPr>
        <w:spacing w:after="0" w:line="179"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in the model are as follows:</w:t>
      </w:r>
    </w:p>
    <w:p>
      <w:pPr>
        <w:spacing w:after="0" w:line="297" w:lineRule="exact"/>
        <w:rPr>
          <w:sz w:val="20"/>
          <w:szCs w:val="20"/>
          <w:color w:val="auto"/>
        </w:rPr>
      </w:pPr>
    </w:p>
    <w:tbl>
      <w:tblPr>
        <w:tblLayout w:type="fixed"/>
        <w:tblInd w:w="462" w:type="dxa"/>
        <w:tblCellMar>
          <w:top w:w="0" w:type="dxa"/>
          <w:left w:w="0" w:type="dxa"/>
          <w:bottom w:w="0" w:type="dxa"/>
          <w:right w:w="0" w:type="dxa"/>
        </w:tblCellMar>
      </w:tblPr>
      <w:tr>
        <w:trPr>
          <w:trHeight w:val="215"/>
        </w:trPr>
        <w:tc>
          <w:tcPr>
            <w:tcW w:w="492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3140" w:type="dxa"/>
            <w:vAlign w:val="bottom"/>
          </w:tcPr>
          <w:p>
            <w:pPr>
              <w:jc w:val="center"/>
              <w:ind w:left="2539"/>
              <w:spacing w:after="0"/>
              <w:rPr>
                <w:sz w:val="20"/>
                <w:szCs w:val="20"/>
                <w:color w:val="auto"/>
              </w:rPr>
            </w:pPr>
            <w:r>
              <w:rPr>
                <w:rFonts w:ascii="Arial" w:cs="Arial" w:eastAsia="Arial" w:hAnsi="Arial"/>
                <w:sz w:val="16"/>
                <w:szCs w:val="16"/>
                <w:color w:val="auto"/>
                <w:w w:val="99"/>
              </w:rPr>
              <w:t>91%</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140" w:type="dxa"/>
            <w:vAlign w:val="bottom"/>
          </w:tcPr>
          <w:p>
            <w:pPr>
              <w:jc w:val="center"/>
              <w:ind w:left="2559"/>
              <w:spacing w:after="0"/>
              <w:rPr>
                <w:sz w:val="20"/>
                <w:szCs w:val="20"/>
                <w:color w:val="auto"/>
              </w:rPr>
            </w:pPr>
            <w:r>
              <w:rPr>
                <w:rFonts w:ascii="Arial" w:cs="Arial" w:eastAsia="Arial" w:hAnsi="Arial"/>
                <w:sz w:val="16"/>
                <w:szCs w:val="16"/>
                <w:color w:val="auto"/>
              </w:rPr>
              <w:t>0.18%</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Valuation period</w:t>
            </w:r>
          </w:p>
        </w:tc>
        <w:tc>
          <w:tcPr>
            <w:tcW w:w="3140" w:type="dxa"/>
            <w:vAlign w:val="bottom"/>
          </w:tcPr>
          <w:p>
            <w:pPr>
              <w:ind w:left="2620"/>
              <w:spacing w:after="0"/>
              <w:rPr>
                <w:sz w:val="20"/>
                <w:szCs w:val="20"/>
                <w:color w:val="auto"/>
              </w:rPr>
            </w:pPr>
            <w:r>
              <w:rPr>
                <w:rFonts w:ascii="Arial" w:cs="Arial" w:eastAsia="Arial" w:hAnsi="Arial"/>
                <w:sz w:val="16"/>
                <w:szCs w:val="16"/>
                <w:color w:val="auto"/>
                <w:w w:val="95"/>
              </w:rPr>
              <w:t>3 years</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Dividend yield</w:t>
            </w:r>
          </w:p>
        </w:tc>
        <w:tc>
          <w:tcPr>
            <w:tcW w:w="3140" w:type="dxa"/>
            <w:vAlign w:val="bottom"/>
          </w:tcPr>
          <w:p>
            <w:pPr>
              <w:jc w:val="center"/>
              <w:ind w:left="2559"/>
              <w:spacing w:after="0"/>
              <w:rPr>
                <w:sz w:val="20"/>
                <w:szCs w:val="20"/>
                <w:color w:val="auto"/>
              </w:rPr>
            </w:pPr>
            <w:r>
              <w:rPr>
                <w:rFonts w:ascii="Arial" w:cs="Arial" w:eastAsia="Arial" w:hAnsi="Arial"/>
                <w:sz w:val="16"/>
                <w:szCs w:val="16"/>
                <w:color w:val="auto"/>
                <w:w w:val="99"/>
              </w:rPr>
              <w:t>—%</w:t>
            </w:r>
          </w:p>
        </w:tc>
      </w:tr>
    </w:tbl>
    <w:p>
      <w:pPr>
        <w:spacing w:after="0" w:line="321"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activity related to RSUs consisted of (in thousands of shares):</w:t>
      </w:r>
    </w:p>
    <w:p>
      <w:pPr>
        <w:spacing w:after="0" w:line="42" w:lineRule="exact"/>
        <w:rPr>
          <w:sz w:val="20"/>
          <w:szCs w:val="20"/>
          <w:color w:val="auto"/>
        </w:rPr>
      </w:pPr>
    </w:p>
    <w:tbl>
      <w:tblPr>
        <w:tblLayout w:type="fixed"/>
        <w:tblInd w:w="462"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4"/>
                <w:szCs w:val="14"/>
                <w:color w:val="auto"/>
              </w:rPr>
            </w:pPr>
          </w:p>
        </w:tc>
        <w:tc>
          <w:tcPr>
            <w:tcW w:w="11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Average</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 Date</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 Term</w:t>
            </w:r>
          </w:p>
        </w:tc>
        <w:tc>
          <w:tcPr>
            <w:tcW w:w="8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6"/>
                <w:szCs w:val="16"/>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1"/>
        </w:trPr>
        <w:tc>
          <w:tcPr>
            <w:tcW w:w="4680" w:type="dxa"/>
            <w:vAlign w:val="bottom"/>
          </w:tcPr>
          <w:p>
            <w:pPr>
              <w:spacing w:after="0"/>
              <w:rPr>
                <w:sz w:val="20"/>
                <w:szCs w:val="20"/>
                <w:color w:val="auto"/>
              </w:rPr>
            </w:pPr>
            <w:r>
              <w:rPr>
                <w:rFonts w:ascii="Arial" w:cs="Arial" w:eastAsia="Arial" w:hAnsi="Arial"/>
                <w:sz w:val="14"/>
                <w:szCs w:val="14"/>
                <w:b w:val="1"/>
                <w:bCs w:val="1"/>
                <w:color w:val="auto"/>
              </w:rPr>
              <w:t>Time-based RSUs</w:t>
            </w: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2022</w:t>
            </w:r>
          </w:p>
        </w:tc>
        <w:tc>
          <w:tcPr>
            <w:tcW w:w="1140" w:type="dxa"/>
            <w:vAlign w:val="bottom"/>
          </w:tcPr>
          <w:p>
            <w:pPr>
              <w:jc w:val="right"/>
              <w:spacing w:after="0"/>
              <w:rPr>
                <w:sz w:val="20"/>
                <w:szCs w:val="20"/>
                <w:color w:val="auto"/>
              </w:rPr>
            </w:pPr>
            <w:r>
              <w:rPr>
                <w:rFonts w:ascii="Arial" w:cs="Arial" w:eastAsia="Arial" w:hAnsi="Arial"/>
                <w:sz w:val="14"/>
                <w:szCs w:val="14"/>
                <w:color w:val="auto"/>
              </w:rPr>
              <w:t>671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39.39</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194.74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80" w:type="dxa"/>
            <w:vAlign w:val="bottom"/>
          </w:tcPr>
          <w:p>
            <w:pPr>
              <w:ind w:left="36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58.22</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80" w:type="dxa"/>
            <w:vAlign w:val="bottom"/>
          </w:tcPr>
          <w:p>
            <w:pPr>
              <w:ind w:left="160"/>
              <w:spacing w:after="0" w:line="200" w:lineRule="exact"/>
              <w:rPr>
                <w:sz w:val="20"/>
                <w:szCs w:val="20"/>
                <w:color w:val="auto"/>
              </w:rPr>
            </w:pPr>
            <w:r>
              <w:rPr>
                <w:rFonts w:ascii="Arial" w:cs="Arial" w:eastAsia="Arial" w:hAnsi="Arial"/>
                <w:sz w:val="14"/>
                <w:szCs w:val="14"/>
                <w:color w:val="auto"/>
              </w:rPr>
              <w:t xml:space="preserve">Outstanding and expected to vest at June 30, 2022 </w:t>
            </w:r>
            <w:r>
              <w:rPr>
                <w:rFonts w:ascii="Arial" w:cs="Arial" w:eastAsia="Arial" w:hAnsi="Arial"/>
                <w:sz w:val="18"/>
                <w:szCs w:val="18"/>
                <w:color w:val="auto"/>
                <w:vertAlign w:val="superscript"/>
              </w:rPr>
              <w:t>(c)</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66.07</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and market-based RSUs</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2022</w:t>
            </w:r>
          </w:p>
        </w:tc>
        <w:tc>
          <w:tcPr>
            <w:tcW w:w="1140" w:type="dxa"/>
            <w:vAlign w:val="bottom"/>
          </w:tcPr>
          <w:p>
            <w:pPr>
              <w:jc w:val="right"/>
              <w:spacing w:after="0"/>
              <w:rPr>
                <w:sz w:val="20"/>
                <w:szCs w:val="20"/>
                <w:color w:val="auto"/>
              </w:rPr>
            </w:pPr>
            <w:r>
              <w:rPr>
                <w:rFonts w:ascii="Arial" w:cs="Arial" w:eastAsia="Arial" w:hAnsi="Arial"/>
                <w:sz w:val="14"/>
                <w:szCs w:val="14"/>
                <w:color w:val="auto"/>
              </w:rPr>
              <w:t>886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194.74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80" w:type="dxa"/>
            <w:vAlign w:val="bottom"/>
          </w:tcPr>
          <w:p>
            <w:pPr>
              <w:ind w:left="36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34.94</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37.33</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June 30, 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55.80</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160"/>
              <w:spacing w:after="0"/>
              <w:rPr>
                <w:sz w:val="20"/>
                <w:szCs w:val="20"/>
                <w:color w:val="auto"/>
              </w:rPr>
            </w:pPr>
            <w:r>
              <w:rPr>
                <w:rFonts w:ascii="Arial" w:cs="Arial" w:eastAsia="Arial" w:hAnsi="Arial"/>
                <w:sz w:val="14"/>
                <w:szCs w:val="14"/>
                <w:color w:val="auto"/>
              </w:rPr>
              <w:t xml:space="preserve">Outstanding and expected to vest at June 30, 2022 </w:t>
            </w:r>
            <w:r>
              <w:rPr>
                <w:rFonts w:ascii="Arial" w:cs="Arial" w:eastAsia="Arial" w:hAnsi="Arial"/>
                <w:sz w:val="18"/>
                <w:szCs w:val="18"/>
                <w:color w:val="auto"/>
                <w:vertAlign w:val="superscript"/>
              </w:rPr>
              <w:t>(c)</w:t>
            </w: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54.31</w:t>
            </w:r>
          </w:p>
        </w:tc>
        <w:tc>
          <w:tcPr>
            <w:tcW w:w="10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45"/>
        </w:trPr>
        <w:tc>
          <w:tcPr>
            <w:tcW w:w="468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744</w:t>
            </w:r>
          </w:p>
        </w:tc>
        <w:tc>
          <w:tcPr>
            <w:tcW w:w="26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jc w:val="both"/>
        <w:ind w:left="762" w:hanging="326"/>
        <w:spacing w:after="0" w:line="234" w:lineRule="auto"/>
        <w:tabs>
          <w:tab w:leader="none" w:pos="755"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RSUs granted during the six months ended June 30, 2021 was $63.12 and $62.27, respectively.</w:t>
      </w:r>
    </w:p>
    <w:p>
      <w:pPr>
        <w:ind w:left="762" w:hanging="326"/>
        <w:spacing w:after="0"/>
        <w:tabs>
          <w:tab w:leader="none" w:pos="762" w:val="left"/>
        </w:tabs>
        <w:numPr>
          <w:ilvl w:val="0"/>
          <w:numId w:val="28"/>
        </w:numPr>
        <w:rPr>
          <w:rFonts w:ascii="Arial" w:cs="Arial" w:eastAsia="Arial" w:hAnsi="Arial"/>
          <w:sz w:val="9"/>
          <w:szCs w:val="9"/>
          <w:color w:val="auto"/>
        </w:rPr>
      </w:pPr>
      <w:r>
        <w:rPr>
          <w:rFonts w:ascii="Arial" w:cs="Arial" w:eastAsia="Arial" w:hAnsi="Arial"/>
          <w:sz w:val="14"/>
          <w:szCs w:val="14"/>
          <w:color w:val="auto"/>
        </w:rPr>
        <w:t>The total fair value of RSUs vested during the six months ended June 30, 2022 and 2021 was $19 million and $13 million, respectively.</w:t>
      </w:r>
    </w:p>
    <w:p>
      <w:pPr>
        <w:spacing w:after="0" w:line="14" w:lineRule="exact"/>
        <w:rPr>
          <w:rFonts w:ascii="Arial" w:cs="Arial" w:eastAsia="Arial" w:hAnsi="Arial"/>
          <w:sz w:val="9"/>
          <w:szCs w:val="9"/>
          <w:color w:val="auto"/>
        </w:rPr>
      </w:pPr>
    </w:p>
    <w:p>
      <w:pPr>
        <w:ind w:left="762" w:hanging="326"/>
        <w:spacing w:after="0" w:line="284" w:lineRule="auto"/>
        <w:tabs>
          <w:tab w:leader="none" w:pos="749" w:val="left"/>
        </w:tabs>
        <w:numPr>
          <w:ilvl w:val="0"/>
          <w:numId w:val="28"/>
        </w:numPr>
        <w:rPr>
          <w:rFonts w:ascii="Arial" w:cs="Arial" w:eastAsia="Arial" w:hAnsi="Arial"/>
          <w:sz w:val="9"/>
          <w:szCs w:val="9"/>
          <w:color w:val="auto"/>
        </w:rPr>
      </w:pPr>
      <w:r>
        <w:rPr>
          <w:rFonts w:ascii="Arial" w:cs="Arial" w:eastAsia="Arial" w:hAnsi="Arial"/>
          <w:sz w:val="14"/>
          <w:szCs w:val="14"/>
          <w:color w:val="auto"/>
        </w:rPr>
        <w:t>Aggregate unrecognized compensation expense related to time-based RSUs and performance-based and market-based RSUs amounted to $46 million and will be recognized over a weighted average vesting period of 1.2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1174" w:right="339" w:bottom="1440" w:gutter="0" w:footer="0" w:header="0"/>
        </w:sectPr>
      </w:pPr>
    </w:p>
    <w:bookmarkStart w:id="24" w:name="page25"/>
    <w:bookmarkEnd w:id="24"/>
    <w:p>
      <w:pPr>
        <w:ind w:left="442" w:hanging="442"/>
        <w:spacing w:after="0"/>
        <w:tabs>
          <w:tab w:leader="none" w:pos="44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4"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250"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We have designated our euro-denominated notes as a hedge of our investment in euro-denominated foreign operations.</w:t>
      </w:r>
    </w:p>
    <w:p>
      <w:pPr>
        <w:spacing w:after="0" w:line="211"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179"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$1 million of gains currently recorded in accumulated other comprehensive income (loss) will be recognized in earnings over the next 12 months.</w:t>
      </w:r>
    </w:p>
    <w:p>
      <w:pPr>
        <w:spacing w:after="0" w:line="207" w:lineRule="exact"/>
        <w:rPr>
          <w:rFonts w:ascii="Arial" w:cs="Arial" w:eastAsia="Arial" w:hAnsi="Arial"/>
          <w:sz w:val="18"/>
          <w:szCs w:val="18"/>
          <w:b w:val="1"/>
          <w:bCs w:val="1"/>
          <w:color w:val="auto"/>
        </w:rPr>
      </w:pPr>
    </w:p>
    <w:p>
      <w:pPr>
        <w:jc w:val="both"/>
        <w:ind w:left="442"/>
        <w:spacing w:after="0" w:line="268"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earnings and are presented in the same line of the income statement expected for the hedged item.</w:t>
      </w:r>
    </w:p>
    <w:p>
      <w:pPr>
        <w:spacing w:after="0" w:line="197"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We held derivative instruments with absolute notional values as follows:</w:t>
      </w:r>
    </w:p>
    <w:p>
      <w:pPr>
        <w:spacing w:after="0" w:line="33"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tcPr>
          <w:p>
            <w:pPr>
              <w:jc w:val="right"/>
              <w:ind w:right="939"/>
              <w:spacing w:after="0"/>
              <w:rPr>
                <w:sz w:val="20"/>
                <w:szCs w:val="20"/>
                <w:color w:val="auto"/>
              </w:rPr>
            </w:pPr>
            <w:r>
              <w:rPr>
                <w:rFonts w:ascii="Arial" w:cs="Arial" w:eastAsia="Arial" w:hAnsi="Arial"/>
                <w:sz w:val="16"/>
                <w:szCs w:val="16"/>
                <w:b w:val="1"/>
                <w:bCs w:val="1"/>
                <w:color w:val="auto"/>
              </w:rPr>
              <w:t>As of</w:t>
            </w:r>
          </w:p>
        </w:tc>
      </w:tr>
      <w:tr>
        <w:trPr>
          <w:trHeight w:val="216"/>
        </w:trPr>
        <w:tc>
          <w:tcPr>
            <w:tcW w:w="7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June 30, 2022</w:t>
            </w:r>
          </w:p>
        </w:tc>
      </w:tr>
      <w:tr>
        <w:trPr>
          <w:trHeight w:val="208"/>
        </w:trPr>
        <w:tc>
          <w:tcPr>
            <w:tcW w:w="76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1,732</w:t>
            </w:r>
          </w:p>
        </w:tc>
      </w:tr>
      <w:tr>
        <w:trPr>
          <w:trHeight w:val="217"/>
        </w:trPr>
        <w:tc>
          <w:tcPr>
            <w:tcW w:w="762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3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14,185</w:t>
            </w: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Interest rate swaps</w:t>
            </w:r>
          </w:p>
        </w:tc>
        <w:tc>
          <w:tcPr>
            <w:tcW w:w="3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1,450</w:t>
            </w:r>
          </w:p>
        </w:tc>
      </w:tr>
    </w:tbl>
    <w:p>
      <w:pPr>
        <w:spacing w:after="0" w:line="96"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37" w:lineRule="exact"/>
        <w:rPr>
          <w:sz w:val="20"/>
          <w:szCs w:val="20"/>
          <w:color w:val="auto"/>
        </w:rPr>
      </w:pPr>
    </w:p>
    <w:p>
      <w:pPr>
        <w:ind w:left="762" w:hanging="326"/>
        <w:spacing w:after="0" w:line="231" w:lineRule="auto"/>
        <w:tabs>
          <w:tab w:leader="none" w:pos="755"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Represents $9.8 billion of interest rate caps sold, partially offset by approximately $4.4 billion of interest rate caps purchased. These amounts exclude $5.9 billion of interest rate caps purchased by our Avis Budget Rental Car Funding subsidiary as it is not consolidated by us.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5" w:name="page26"/>
    <w:bookmarkEnd w:id="25"/>
    <w:p>
      <w:pPr>
        <w:ind w:left="6"/>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54"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As of June 30, 2022</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2021</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120" w:type="dxa"/>
            <w:vAlign w:val="bottom"/>
          </w:tcPr>
          <w:p>
            <w:pPr>
              <w:jc w:val="center"/>
              <w:ind w:left="199"/>
              <w:spacing w:after="0" w:line="155" w:lineRule="exact"/>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179"/>
              <w:spacing w:after="0" w:line="155" w:lineRule="exact"/>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3"/>
                <w:szCs w:val="13"/>
                <w:color w:val="auto"/>
              </w:rPr>
            </w:pPr>
          </w:p>
        </w:tc>
        <w:tc>
          <w:tcPr>
            <w:tcW w:w="1200" w:type="dxa"/>
            <w:vAlign w:val="bottom"/>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12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99"/>
              </w:rPr>
              <w:t>Derivative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rPr>
              <w:t>Derivative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c>
          <w:tcPr>
            <w:tcW w:w="0" w:type="dxa"/>
            <w:vAlign w:val="bottom"/>
          </w:tcPr>
          <w:p>
            <w:pPr>
              <w:spacing w:after="0"/>
              <w:rPr>
                <w:sz w:val="1"/>
                <w:szCs w:val="1"/>
                <w:color w:val="auto"/>
              </w:rPr>
            </w:pPr>
          </w:p>
        </w:tc>
      </w:tr>
      <w:tr>
        <w:trPr>
          <w:trHeight w:val="216"/>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2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200" w:type="dxa"/>
            <w:vAlign w:val="bottom"/>
          </w:tcPr>
          <w:p>
            <w:pPr>
              <w:ind w:left="2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4200" w:type="dxa"/>
            <w:vAlign w:val="bottom"/>
          </w:tcPr>
          <w:p>
            <w:pPr>
              <w:ind w:left="20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6"/>
        <w:spacing w:after="0" w:line="25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13 – Stockholders' Equity.</w:t>
      </w:r>
    </w:p>
    <w:p>
      <w:pPr>
        <w:ind w:left="326" w:hanging="326"/>
        <w:spacing w:after="0" w:line="202" w:lineRule="auto"/>
        <w:tabs>
          <w:tab w:leader="none" w:pos="326"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ind w:left="326" w:hanging="326"/>
        <w:spacing w:after="0" w:line="192" w:lineRule="auto"/>
        <w:tabs>
          <w:tab w:leader="none" w:pos="326"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ind w:left="306" w:hanging="306"/>
        <w:spacing w:after="0" w:line="193" w:lineRule="auto"/>
        <w:tabs>
          <w:tab w:leader="none" w:pos="306"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effects of derivatives recognized in our Consolidated Condensed Financial Statements were as follows:</w:t>
      </w:r>
    </w:p>
    <w:p>
      <w:pPr>
        <w:spacing w:after="0" w:line="276"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4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ind w:left="4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5"/>
        </w:trPr>
        <w:tc>
          <w:tcPr>
            <w:tcW w:w="418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380" w:type="dxa"/>
            <w:vAlign w:val="bottom"/>
          </w:tcPr>
          <w:p>
            <w:pPr>
              <w:ind w:left="1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ind w:left="8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9"/>
        </w:trPr>
        <w:tc>
          <w:tcPr>
            <w:tcW w:w="4180" w:type="dxa"/>
            <w:vAlign w:val="bottom"/>
          </w:tcPr>
          <w:p>
            <w:pPr>
              <w:ind w:left="160"/>
              <w:spacing w:after="0" w:line="229"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10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ind w:left="26"/>
        <w:spacing w:after="0" w:line="214" w:lineRule="auto"/>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bl>
      <w:tblPr>
        <w:tblLayout w:type="fixed"/>
        <w:tblInd w:w="186" w:type="dxa"/>
        <w:tblCellMar>
          <w:top w:w="0" w:type="dxa"/>
          <w:left w:w="0" w:type="dxa"/>
          <w:bottom w:w="0" w:type="dxa"/>
          <w:right w:w="0" w:type="dxa"/>
        </w:tblCellMar>
      </w:tblPr>
      <w:tr>
        <w:trPr>
          <w:trHeight w:val="203"/>
        </w:trPr>
        <w:tc>
          <w:tcPr>
            <w:tcW w:w="4020" w:type="dxa"/>
            <w:vAlign w:val="bottom"/>
          </w:tcPr>
          <w:p>
            <w:pPr>
              <w:spacing w:after="0" w:line="204"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6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402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4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326" w:hanging="326"/>
        <w:spacing w:after="0"/>
        <w:tabs>
          <w:tab w:leader="none" w:pos="326" w:val="left"/>
        </w:tabs>
        <w:numPr>
          <w:ilvl w:val="0"/>
          <w:numId w:val="32"/>
        </w:numPr>
        <w:rPr>
          <w:rFonts w:ascii="Arial" w:cs="Arial" w:eastAsia="Arial" w:hAnsi="Arial"/>
          <w:sz w:val="9"/>
          <w:szCs w:val="9"/>
          <w:color w:val="auto"/>
        </w:rPr>
      </w:pPr>
      <w:r>
        <w:rPr>
          <w:rFonts w:ascii="Arial" w:cs="Arial" w:eastAsia="Arial" w:hAnsi="Arial"/>
          <w:sz w:val="14"/>
          <w:szCs w:val="14"/>
          <w:color w:val="auto"/>
        </w:rPr>
        <w:t>Recognized, net of tax, as a component of other comprehensive income (loss) within stockholders’ equity.</w:t>
      </w:r>
    </w:p>
    <w:p>
      <w:pPr>
        <w:spacing w:after="0" w:line="41" w:lineRule="exact"/>
        <w:rPr>
          <w:rFonts w:ascii="Arial" w:cs="Arial" w:eastAsia="Arial" w:hAnsi="Arial"/>
          <w:sz w:val="9"/>
          <w:szCs w:val="9"/>
          <w:color w:val="auto"/>
        </w:rPr>
      </w:pPr>
    </w:p>
    <w:p>
      <w:pPr>
        <w:ind w:left="326" w:hanging="326"/>
        <w:spacing w:after="0" w:line="222" w:lineRule="auto"/>
        <w:tabs>
          <w:tab w:leader="none" w:pos="319"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13 – Stockholders' Equity for amounts reclassified from accumulated other comprehensive income into earnings.</w:t>
      </w:r>
    </w:p>
    <w:p>
      <w:pPr>
        <w:ind w:left="306" w:hanging="306"/>
        <w:spacing w:after="0" w:line="192" w:lineRule="auto"/>
        <w:tabs>
          <w:tab w:leader="none" w:pos="306"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326" w:hanging="326"/>
        <w:spacing w:after="0" w:line="192" w:lineRule="auto"/>
        <w:tabs>
          <w:tab w:leader="none" w:pos="326"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jc w:val="both"/>
        <w:ind w:left="326" w:hanging="326"/>
        <w:spacing w:after="0"/>
        <w:tabs>
          <w:tab w:leader="none" w:pos="319"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2022, included a $28 million gain in interest expense and a $3 million gain in operating expense and for the six months ended June 30, 2022, included a $40 million gain in interest expense and a $3 million gain in operating expense. For the three months ended June 30, 2021, included a $2 million gain in interest expense and a $1 million gain in operating expense and for the six months ended June 30, 2021, included a $5 million loss in interest expense.</w:t>
      </w:r>
    </w:p>
    <w:p>
      <w:pPr>
        <w:spacing w:after="0" w:line="148" w:lineRule="exact"/>
        <w:rPr>
          <w:rFonts w:ascii="Arial" w:cs="Arial" w:eastAsia="Arial" w:hAnsi="Arial"/>
          <w:sz w:val="19"/>
          <w:szCs w:val="19"/>
          <w:color w:val="auto"/>
          <w:vertAlign w:val="superscript"/>
        </w:rPr>
      </w:pPr>
    </w:p>
    <w:p>
      <w:pPr>
        <w:ind w:left="326" w:hanging="326"/>
        <w:spacing w:after="0" w:line="193" w:lineRule="auto"/>
        <w:tabs>
          <w:tab w:leader="none" w:pos="326"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Included primarily in vehicle interest,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26" w:name="page27"/>
    <w:bookmarkEnd w:id="26"/>
    <w:p>
      <w:pPr>
        <w:ind w:left="442"/>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50"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297" w:lineRule="exact"/>
        <w:rPr>
          <w:sz w:val="20"/>
          <w:szCs w:val="20"/>
          <w:color w:val="auto"/>
        </w:rPr>
      </w:pPr>
    </w:p>
    <w:tbl>
      <w:tblPr>
        <w:tblLayout w:type="fixed"/>
        <w:tblInd w:w="462"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480"/>
              <w:spacing w:after="0"/>
              <w:rPr>
                <w:sz w:val="20"/>
                <w:szCs w:val="20"/>
                <w:color w:val="auto"/>
              </w:rPr>
            </w:pPr>
            <w:r>
              <w:rPr>
                <w:rFonts w:ascii="Arial" w:cs="Arial" w:eastAsia="Arial" w:hAnsi="Arial"/>
                <w:sz w:val="16"/>
                <w:szCs w:val="16"/>
                <w:b w:val="1"/>
                <w:bCs w:val="1"/>
                <w:color w:val="auto"/>
              </w:rPr>
              <w:t>As of June 30, 2022</w:t>
            </w:r>
          </w:p>
        </w:tc>
        <w:tc>
          <w:tcPr>
            <w:tcW w:w="24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2021</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6"/>
        </w:trPr>
        <w:tc>
          <w:tcPr>
            <w:tcW w:w="414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0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4,153</w:t>
            </w:r>
          </w:p>
        </w:tc>
        <w:tc>
          <w:tcPr>
            <w:tcW w:w="0" w:type="dxa"/>
            <w:vAlign w:val="bottom"/>
          </w:tcPr>
          <w:p>
            <w:pPr>
              <w:spacing w:after="0"/>
              <w:rPr>
                <w:sz w:val="1"/>
                <w:szCs w:val="1"/>
                <w:color w:val="auto"/>
              </w:rPr>
            </w:pPr>
          </w:p>
        </w:tc>
      </w:tr>
      <w:tr>
        <w:trPr>
          <w:trHeight w:val="433"/>
        </w:trPr>
        <w:tc>
          <w:tcPr>
            <w:tcW w:w="41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40" w:type="dxa"/>
            <w:vAlign w:val="bottom"/>
          </w:tcPr>
          <w:p>
            <w:pPr>
              <w:ind w:left="200"/>
              <w:spacing w:after="0" w:line="163" w:lineRule="exact"/>
              <w:rPr>
                <w:sz w:val="20"/>
                <w:szCs w:val="20"/>
                <w:color w:val="auto"/>
              </w:rPr>
            </w:pPr>
            <w:r>
              <w:rPr>
                <w:rFonts w:ascii="Arial" w:cs="Arial" w:eastAsia="Arial" w:hAnsi="Arial"/>
                <w:sz w:val="16"/>
                <w:szCs w:val="16"/>
                <w:color w:val="auto"/>
              </w:rPr>
              <w:t>Vehicle-backed debt due to Avis Budget Rental Car</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11,331</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11,053</w:t>
            </w:r>
          </w:p>
        </w:tc>
        <w:tc>
          <w:tcPr>
            <w:tcW w:w="100" w:type="dxa"/>
            <w:vAlign w:val="bottom"/>
          </w:tcPr>
          <w:p>
            <w:pPr>
              <w:spacing w:after="0"/>
              <w:rPr>
                <w:sz w:val="14"/>
                <w:szCs w:val="1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8,848</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9,009</w:t>
            </w:r>
          </w:p>
        </w:tc>
        <w:tc>
          <w:tcPr>
            <w:tcW w:w="0" w:type="dxa"/>
            <w:vAlign w:val="bottom"/>
          </w:tcPr>
          <w:p>
            <w:pPr>
              <w:spacing w:after="0"/>
              <w:rPr>
                <w:sz w:val="1"/>
                <w:szCs w:val="1"/>
                <w:color w:val="auto"/>
              </w:rPr>
            </w:pPr>
          </w:p>
        </w:tc>
      </w:tr>
      <w:tr>
        <w:trPr>
          <w:trHeight w:val="215"/>
        </w:trPr>
        <w:tc>
          <w:tcPr>
            <w:tcW w:w="4140" w:type="dxa"/>
            <w:vAlign w:val="bottom"/>
          </w:tcPr>
          <w:p>
            <w:pPr>
              <w:ind w:left="380"/>
              <w:spacing w:after="0"/>
              <w:rPr>
                <w:sz w:val="20"/>
                <w:szCs w:val="20"/>
                <w:color w:val="auto"/>
              </w:rPr>
            </w:pPr>
            <w:r>
              <w:rPr>
                <w:rFonts w:ascii="Arial" w:cs="Arial" w:eastAsia="Arial" w:hAnsi="Arial"/>
                <w:sz w:val="16"/>
                <w:szCs w:val="16"/>
                <w:color w:val="auto"/>
              </w:rPr>
              <w:t>Funding</w:t>
            </w:r>
          </w:p>
        </w:tc>
        <w:tc>
          <w:tcPr>
            <w:tcW w:w="2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0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287"/>
        </w:trPr>
        <w:tc>
          <w:tcPr>
            <w:tcW w:w="4140" w:type="dxa"/>
            <w:vAlign w:val="bottom"/>
          </w:tcPr>
          <w:p>
            <w:pPr>
              <w:ind w:left="2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662" w:hanging="226"/>
        <w:spacing w:after="0"/>
        <w:tabs>
          <w:tab w:leader="none" w:pos="662" w:val="left"/>
        </w:tabs>
        <w:numPr>
          <w:ilvl w:val="1"/>
          <w:numId w:val="33"/>
        </w:numPr>
        <w:rPr>
          <w:rFonts w:ascii="Arial" w:cs="Arial" w:eastAsia="Arial" w:hAnsi="Arial"/>
          <w:sz w:val="9"/>
          <w:szCs w:val="9"/>
          <w:color w:val="auto"/>
        </w:rPr>
      </w:pPr>
      <w:r>
        <w:rPr>
          <w:rFonts w:ascii="Arial" w:cs="Arial" w:eastAsia="Arial" w:hAnsi="Arial"/>
          <w:sz w:val="14"/>
          <w:szCs w:val="14"/>
          <w:color w:val="auto"/>
        </w:rPr>
        <w:t>Derivatives in a liability position.</w:t>
      </w:r>
    </w:p>
    <w:p>
      <w:pPr>
        <w:spacing w:after="0" w:line="247" w:lineRule="exact"/>
        <w:rPr>
          <w:rFonts w:ascii="Arial" w:cs="Arial" w:eastAsia="Arial" w:hAnsi="Arial"/>
          <w:sz w:val="9"/>
          <w:szCs w:val="9"/>
          <w:color w:val="auto"/>
        </w:rPr>
      </w:pPr>
    </w:p>
    <w:p>
      <w:pPr>
        <w:ind w:left="442" w:hanging="442"/>
        <w:spacing w:after="0"/>
        <w:tabs>
          <w:tab w:leader="none" w:pos="44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2"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chief operating decision-maker assesses performance and allocates resources based upon the separate financial information from each of our operating segments. In identifying our reportable segments, we considered the nature of services provided, the geographical areas in which the segments operated and other relevant factors. We aggregate certain of our operating segments into our reportable segments.</w:t>
      </w:r>
    </w:p>
    <w:p>
      <w:pPr>
        <w:spacing w:after="0" w:line="203" w:lineRule="exact"/>
        <w:rPr>
          <w:rFonts w:ascii="Arial" w:cs="Arial" w:eastAsia="Arial" w:hAnsi="Arial"/>
          <w:sz w:val="18"/>
          <w:szCs w:val="18"/>
          <w:b w:val="1"/>
          <w:bCs w:val="1"/>
          <w:color w:val="auto"/>
        </w:rPr>
      </w:pPr>
    </w:p>
    <w:p>
      <w:pPr>
        <w:jc w:val="both"/>
        <w:ind w:left="44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service fees, COVID-19 charges and income taxes.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losses associated with vehicles damaged in overflow parking lots, net of insurance proceeds. Our presentation of Adjusted EBITDA may not be comparable to similarly-titled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3" w:right="339" w:bottom="1440" w:gutter="0" w:footer="0" w:header="0"/>
        </w:sectPr>
      </w:pPr>
    </w:p>
    <w:bookmarkStart w:id="27" w:name="page28"/>
    <w:bookmarkEnd w:id="27"/>
    <w:tbl>
      <w:tblPr>
        <w:tblLayout w:type="fixed"/>
        <w:tblInd w:w="26"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4"/>
                <w:szCs w:val="14"/>
                <w:color w:val="auto"/>
              </w:rPr>
            </w:pPr>
          </w:p>
        </w:tc>
        <w:tc>
          <w:tcPr>
            <w:tcW w:w="122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3"/>
        </w:trPr>
        <w:tc>
          <w:tcPr>
            <w:tcW w:w="430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EBITDA</w:t>
            </w: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300" w:type="dxa"/>
            <w:vAlign w:val="bottom"/>
          </w:tcPr>
          <w:p>
            <w:pPr>
              <w:spacing w:after="0" w:line="237"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1">
            <w:col w:w="10746"/>
          </w:cols>
          <w:pgMar w:left="814" w:top="971" w:right="339" w:bottom="1440" w:gutter="0" w:footer="0" w:header="0"/>
        </w:sectPr>
      </w:pPr>
    </w:p>
    <w:p>
      <w:pPr>
        <w:ind w:left="26"/>
        <w:spacing w:after="0"/>
        <w:rPr>
          <w:sz w:val="20"/>
          <w:szCs w:val="20"/>
          <w:color w:val="auto"/>
        </w:rPr>
      </w:pPr>
      <w:r>
        <w:rPr>
          <w:rFonts w:ascii="Arial" w:cs="Arial" w:eastAsia="Arial" w:hAnsi="Arial"/>
          <w:sz w:val="17"/>
          <w:szCs w:val="17"/>
          <w:color w:val="auto"/>
        </w:rPr>
        <w:t>Reconciliation of Adjusted EBITDA to income before income taxes:</w:t>
      </w:r>
    </w:p>
    <w:p>
      <w:pPr>
        <w:spacing w:after="0" w:line="291" w:lineRule="exact"/>
        <w:rPr>
          <w:sz w:val="20"/>
          <w:szCs w:val="20"/>
          <w:color w:val="auto"/>
        </w:rPr>
      </w:pPr>
    </w:p>
    <w:p>
      <w:pPr>
        <w:ind w:left="26"/>
        <w:spacing w:after="0"/>
        <w:rPr>
          <w:sz w:val="20"/>
          <w:szCs w:val="20"/>
          <w:color w:val="auto"/>
        </w:rPr>
      </w:pPr>
      <w:r>
        <w:rPr>
          <w:rFonts w:ascii="Arial" w:cs="Arial" w:eastAsia="Arial" w:hAnsi="Arial"/>
          <w:sz w:val="18"/>
          <w:szCs w:val="18"/>
          <w:color w:val="auto"/>
        </w:rPr>
        <w:t>Adjusted EBITDA</w:t>
      </w:r>
    </w:p>
    <w:p>
      <w:pPr>
        <w:spacing w:after="0" w:line="6" w:lineRule="exact"/>
        <w:rPr>
          <w:sz w:val="20"/>
          <w:szCs w:val="20"/>
          <w:color w:val="auto"/>
        </w:rPr>
      </w:pPr>
    </w:p>
    <w:p>
      <w:pPr>
        <w:ind w:left="26"/>
        <w:spacing w:after="0"/>
        <w:tabs>
          <w:tab w:leader="none" w:pos="686" w:val="left"/>
        </w:tabs>
        <w:rPr>
          <w:sz w:val="20"/>
          <w:szCs w:val="20"/>
          <w:color w:val="auto"/>
        </w:rPr>
      </w:pPr>
      <w:r>
        <w:rPr>
          <w:rFonts w:ascii="Arial" w:cs="Arial" w:eastAsia="Arial" w:hAnsi="Arial"/>
          <w:sz w:val="18"/>
          <w:szCs w:val="18"/>
          <w:color w:val="auto"/>
        </w:rPr>
        <w:t>Less:</w:t>
        <w:tab/>
        <w:t xml:space="preserve">Non-vehicle related depreciation and amortization </w:t>
      </w:r>
      <w:r>
        <w:rPr>
          <w:rFonts w:ascii="Arial" w:cs="Arial" w:eastAsia="Arial" w:hAnsi="Arial"/>
          <w:sz w:val="23"/>
          <w:szCs w:val="23"/>
          <w:color w:val="auto"/>
          <w:vertAlign w:val="superscript"/>
        </w:rPr>
        <w:t>(b)</w:t>
      </w:r>
    </w:p>
    <w:p>
      <w:pPr>
        <w:ind w:left="706"/>
        <w:spacing w:after="0"/>
        <w:rPr>
          <w:sz w:val="20"/>
          <w:szCs w:val="20"/>
          <w:color w:val="auto"/>
        </w:rPr>
      </w:pPr>
      <w:r>
        <w:rPr>
          <w:rFonts w:ascii="Arial" w:cs="Arial" w:eastAsia="Arial" w:hAnsi="Arial"/>
          <w:sz w:val="18"/>
          <w:szCs w:val="18"/>
          <w:color w:val="auto"/>
        </w:rPr>
        <w:t>Interest expense related to corporate debt, net:</w:t>
      </w:r>
    </w:p>
    <w:p>
      <w:pPr>
        <w:spacing w:after="0" w:line="14" w:lineRule="exact"/>
        <w:rPr>
          <w:sz w:val="20"/>
          <w:szCs w:val="20"/>
          <w:color w:val="auto"/>
        </w:rPr>
      </w:pPr>
    </w:p>
    <w:p>
      <w:pPr>
        <w:ind w:left="826"/>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706"/>
        <w:spacing w:after="0"/>
        <w:rPr>
          <w:sz w:val="20"/>
          <w:szCs w:val="20"/>
          <w:color w:val="auto"/>
        </w:rPr>
      </w:pPr>
      <w:r>
        <w:rPr>
          <w:rFonts w:ascii="Arial" w:cs="Arial" w:eastAsia="Arial" w:hAnsi="Arial"/>
          <w:sz w:val="18"/>
          <w:szCs w:val="18"/>
          <w:color w:val="auto"/>
        </w:rPr>
        <w:t>Restructuring and other related charges</w:t>
      </w:r>
    </w:p>
    <w:p>
      <w:pPr>
        <w:spacing w:after="0" w:line="23" w:lineRule="exact"/>
        <w:rPr>
          <w:sz w:val="20"/>
          <w:szCs w:val="20"/>
          <w:color w:val="auto"/>
        </w:rPr>
      </w:pPr>
    </w:p>
    <w:p>
      <w:pPr>
        <w:ind w:left="866" w:right="940" w:hanging="149"/>
        <w:spacing w:after="0" w:line="217" w:lineRule="auto"/>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23"/>
          <w:szCs w:val="23"/>
          <w:color w:val="auto"/>
          <w:vertAlign w:val="superscript"/>
        </w:rPr>
        <w:t>(c)</w:t>
      </w:r>
    </w:p>
    <w:p>
      <w:pPr>
        <w:spacing w:after="0" w:line="1" w:lineRule="exact"/>
        <w:rPr>
          <w:sz w:val="20"/>
          <w:szCs w:val="20"/>
          <w:color w:val="auto"/>
        </w:rPr>
      </w:pPr>
    </w:p>
    <w:p>
      <w:pPr>
        <w:ind w:left="706"/>
        <w:spacing w:after="0"/>
        <w:rPr>
          <w:sz w:val="20"/>
          <w:szCs w:val="20"/>
          <w:color w:val="auto"/>
        </w:rPr>
      </w:pPr>
      <w:r>
        <w:rPr>
          <w:rFonts w:ascii="Arial" w:cs="Arial" w:eastAsia="Arial" w:hAnsi="Arial"/>
          <w:sz w:val="18"/>
          <w:szCs w:val="18"/>
          <w:color w:val="auto"/>
        </w:rPr>
        <w:t>Transaction-related costs, net</w:t>
      </w:r>
    </w:p>
    <w:p>
      <w:pPr>
        <w:spacing w:after="0" w:line="14" w:lineRule="exact"/>
        <w:rPr>
          <w:sz w:val="20"/>
          <w:szCs w:val="20"/>
          <w:color w:val="auto"/>
        </w:rPr>
      </w:pPr>
    </w:p>
    <w:p>
      <w:pPr>
        <w:ind w:left="706"/>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(d)</w:t>
      </w:r>
    </w:p>
    <w:p>
      <w:pPr>
        <w:spacing w:after="0" w:line="14" w:lineRule="exact"/>
        <w:rPr>
          <w:sz w:val="20"/>
          <w:szCs w:val="20"/>
          <w:color w:val="auto"/>
        </w:rPr>
      </w:pPr>
    </w:p>
    <w:p>
      <w:pPr>
        <w:ind w:left="26"/>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18"/>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1,205</w:t>
            </w:r>
          </w:p>
        </w:tc>
        <w:tc>
          <w:tcPr>
            <w:tcW w:w="162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39"/>
        </w:trPr>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50"/>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9"/>
        </w:trPr>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09"/>
        </w:trPr>
        <w:tc>
          <w:tcPr>
            <w:tcW w:w="300" w:type="dxa"/>
            <w:vAlign w:val="bottom"/>
          </w:tcPr>
          <w:p>
            <w:pPr>
              <w:spacing w:after="0"/>
              <w:rPr>
                <w:sz w:val="24"/>
                <w:szCs w:val="24"/>
                <w:color w:val="auto"/>
              </w:rPr>
            </w:pPr>
          </w:p>
        </w:tc>
        <w:tc>
          <w:tcPr>
            <w:tcW w:w="27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5"/>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6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2">
            <w:col w:w="5346" w:space="500"/>
            <w:col w:w="4900"/>
          </w:cols>
          <w:pgMar w:left="814" w:top="971" w:right="33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__________</w:t>
      </w:r>
    </w:p>
    <w:p>
      <w:pPr>
        <w:ind w:left="326" w:hanging="326"/>
        <w:spacing w:after="0" w:line="224" w:lineRule="auto"/>
        <w:tabs>
          <w:tab w:leader="none" w:pos="326"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jc w:val="both"/>
        <w:ind w:left="326" w:hanging="326"/>
        <w:spacing w:after="0" w:line="227" w:lineRule="auto"/>
        <w:tabs>
          <w:tab w:leader="none" w:pos="319"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2022, includes operating expenses in our Consolidated Condensed Statements of Comprehensive Income related to cloud computing costs of $2 million. For the three months ended June 30, 2021, includes operating expenses and selling, general and administrative expenses related to cloud computing costs of $3 million and $2 million, respectively, in our Consolidated Condensed Statements of Comprehensive Income.</w:t>
      </w:r>
    </w:p>
    <w:p>
      <w:pPr>
        <w:spacing w:after="0" w:line="1" w:lineRule="exact"/>
        <w:rPr>
          <w:rFonts w:ascii="Arial" w:cs="Arial" w:eastAsia="Arial" w:hAnsi="Arial"/>
          <w:sz w:val="19"/>
          <w:szCs w:val="19"/>
          <w:color w:val="auto"/>
          <w:vertAlign w:val="superscript"/>
        </w:rPr>
      </w:pPr>
    </w:p>
    <w:p>
      <w:pPr>
        <w:ind w:left="306" w:hanging="306"/>
        <w:spacing w:after="0" w:line="192" w:lineRule="auto"/>
        <w:tabs>
          <w:tab w:leader="none" w:pos="306"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w:t>
      </w:r>
    </w:p>
    <w:p>
      <w:pPr>
        <w:ind w:left="326" w:hanging="326"/>
        <w:spacing w:after="0" w:line="193" w:lineRule="auto"/>
        <w:tabs>
          <w:tab w:leader="none" w:pos="326"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40" w:lineRule="exact"/>
        <w:rPr>
          <w:sz w:val="20"/>
          <w:szCs w:val="20"/>
          <w:color w:val="auto"/>
        </w:rPr>
      </w:pPr>
    </w:p>
    <w:tbl>
      <w:tblPr>
        <w:tblLayout w:type="fixed"/>
        <w:tblInd w:w="346"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88"/>
        </w:trPr>
        <w:tc>
          <w:tcPr>
            <w:tcW w:w="5300" w:type="dxa"/>
            <w:vAlign w:val="bottom"/>
          </w:tcPr>
          <w:p>
            <w:pPr>
              <w:ind w:left="22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(2)</w:t>
            </w:r>
          </w:p>
        </w:tc>
        <w:tc>
          <w:tcPr>
            <w:tcW w:w="144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5300" w:type="dxa"/>
            <w:vAlign w:val="bottom"/>
          </w:tcPr>
          <w:p>
            <w:pPr>
              <w:ind w:left="22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0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204"/>
        </w:trPr>
        <w:tc>
          <w:tcPr>
            <w:tcW w:w="5300" w:type="dxa"/>
            <w:vAlign w:val="bottom"/>
          </w:tcPr>
          <w:p>
            <w:pPr>
              <w:ind w:left="220"/>
              <w:spacing w:after="0"/>
              <w:rPr>
                <w:sz w:val="20"/>
                <w:szCs w:val="20"/>
                <w:color w:val="auto"/>
              </w:rPr>
            </w:pPr>
            <w:r>
              <w:rPr>
                <w:rFonts w:ascii="Arial" w:cs="Arial" w:eastAsia="Arial" w:hAnsi="Arial"/>
                <w:sz w:val="14"/>
                <w:szCs w:val="14"/>
                <w:color w:val="auto"/>
              </w:rPr>
              <w:t>Other charges</w:t>
            </w:r>
          </w:p>
        </w:tc>
        <w:tc>
          <w:tcPr>
            <w:tcW w:w="100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198"/>
        </w:trPr>
        <w:tc>
          <w:tcPr>
            <w:tcW w:w="5300" w:type="dxa"/>
            <w:vAlign w:val="bottom"/>
          </w:tcPr>
          <w:p>
            <w:pPr>
              <w:spacing w:after="0"/>
              <w:rPr>
                <w:sz w:val="20"/>
                <w:szCs w:val="20"/>
                <w:color w:val="auto"/>
              </w:rPr>
            </w:pPr>
            <w:r>
              <w:rPr>
                <w:rFonts w:ascii="Arial" w:cs="Arial" w:eastAsia="Arial" w:hAnsi="Arial"/>
                <w:sz w:val="14"/>
                <w:szCs w:val="14"/>
                <w:color w:val="auto"/>
              </w:rPr>
              <w:t>Operating expenses</w:t>
            </w: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(2)</w:t>
            </w:r>
          </w:p>
        </w:tc>
        <w:tc>
          <w:tcPr>
            <w:tcW w:w="14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0"/>
        </w:trPr>
        <w:tc>
          <w:tcPr>
            <w:tcW w:w="5300" w:type="dxa"/>
            <w:vAlign w:val="bottom"/>
          </w:tcPr>
          <w:p>
            <w:pPr>
              <w:spacing w:after="0"/>
              <w:rPr>
                <w:sz w:val="20"/>
                <w:szCs w:val="20"/>
                <w:color w:val="auto"/>
              </w:rPr>
            </w:pPr>
            <w:r>
              <w:rPr>
                <w:rFonts w:ascii="Arial" w:cs="Arial" w:eastAsia="Arial" w:hAnsi="Arial"/>
                <w:sz w:val="14"/>
                <w:szCs w:val="14"/>
                <w:color w:val="auto"/>
              </w:rPr>
              <w:t>COVID-19 charges, net</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w:t>
            </w:r>
          </w:p>
        </w:tc>
        <w:tc>
          <w:tcPr>
            <w:tcW w:w="144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5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71" w:right="339" w:bottom="1440" w:gutter="0" w:footer="0" w:header="0"/>
          <w:type w:val="continuous"/>
        </w:sectPr>
      </w:pPr>
    </w:p>
    <w:bookmarkStart w:id="28" w:name="page29"/>
    <w:bookmarkEnd w:id="28"/>
    <w:tbl>
      <w:tblPr>
        <w:tblLayout w:type="fixed"/>
        <w:tblInd w:w="462" w:type="dxa"/>
        <w:tblCellMar>
          <w:top w:w="0" w:type="dxa"/>
          <w:left w:w="0" w:type="dxa"/>
          <w:bottom w:w="0" w:type="dxa"/>
          <w:right w:w="0" w:type="dxa"/>
        </w:tblCellMar>
      </w:tblPr>
      <w:tr>
        <w:trPr>
          <w:trHeight w:val="235"/>
        </w:trPr>
        <w:tc>
          <w:tcPr>
            <w:tcW w:w="4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14"/>
                <w:szCs w:val="14"/>
                <w:color w:val="auto"/>
              </w:rPr>
            </w:pPr>
          </w:p>
        </w:tc>
        <w:tc>
          <w:tcPr>
            <w:tcW w:w="1220" w:type="dxa"/>
            <w:vAlign w:val="bottom"/>
          </w:tcPr>
          <w:p>
            <w:pPr>
              <w:spacing w:after="0" w:line="169" w:lineRule="exact"/>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14"/>
                <w:szCs w:val="14"/>
                <w:color w:val="auto"/>
              </w:rPr>
            </w:pPr>
          </w:p>
        </w:tc>
        <w:tc>
          <w:tcPr>
            <w:tcW w:w="1240" w:type="dxa"/>
            <w:vAlign w:val="bottom"/>
          </w:tcPr>
          <w:p>
            <w:pPr>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3"/>
        </w:trPr>
        <w:tc>
          <w:tcPr>
            <w:tcW w:w="416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18"/>
        </w:trPr>
        <w:tc>
          <w:tcPr>
            <w:tcW w:w="41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4,567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160" w:type="dxa"/>
            <w:vAlign w:val="bottom"/>
          </w:tcPr>
          <w:p>
            <w:pPr>
              <w:spacing w:after="0" w:line="237"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5,676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1">
            <w:col w:w="11182"/>
          </w:cols>
          <w:pgMar w:left="378" w:top="971" w:right="339" w:bottom="1440" w:gutter="0" w:footer="0" w:header="0"/>
        </w:sectPr>
      </w:pPr>
    </w:p>
    <w:p>
      <w:pPr>
        <w:ind w:left="462"/>
        <w:spacing w:after="0"/>
        <w:rPr>
          <w:sz w:val="20"/>
          <w:szCs w:val="20"/>
          <w:color w:val="auto"/>
        </w:rPr>
      </w:pPr>
      <w:r>
        <w:rPr>
          <w:rFonts w:ascii="Arial" w:cs="Arial" w:eastAsia="Arial" w:hAnsi="Arial"/>
          <w:sz w:val="17"/>
          <w:szCs w:val="17"/>
          <w:color w:val="auto"/>
        </w:rPr>
        <w:t>Reconciliation of Adjusted EBITDA to income before income taxes:</w:t>
      </w:r>
    </w:p>
    <w:p>
      <w:pPr>
        <w:spacing w:after="0" w:line="291" w:lineRule="exact"/>
        <w:rPr>
          <w:sz w:val="20"/>
          <w:szCs w:val="20"/>
          <w:color w:val="auto"/>
        </w:rPr>
      </w:pPr>
    </w:p>
    <w:p>
      <w:pPr>
        <w:ind w:left="462"/>
        <w:spacing w:after="0"/>
        <w:rPr>
          <w:sz w:val="20"/>
          <w:szCs w:val="20"/>
          <w:color w:val="auto"/>
        </w:rPr>
      </w:pPr>
      <w:r>
        <w:rPr>
          <w:rFonts w:ascii="Arial" w:cs="Arial" w:eastAsia="Arial" w:hAnsi="Arial"/>
          <w:sz w:val="18"/>
          <w:szCs w:val="18"/>
          <w:color w:val="auto"/>
        </w:rPr>
        <w:t>Adjusted EBITDA</w:t>
      </w:r>
    </w:p>
    <w:p>
      <w:pPr>
        <w:spacing w:after="0" w:line="6" w:lineRule="exact"/>
        <w:rPr>
          <w:sz w:val="20"/>
          <w:szCs w:val="20"/>
          <w:color w:val="auto"/>
        </w:rPr>
      </w:pPr>
    </w:p>
    <w:p>
      <w:pPr>
        <w:ind w:left="462"/>
        <w:spacing w:after="0"/>
        <w:tabs>
          <w:tab w:leader="none" w:pos="1102" w:val="left"/>
        </w:tabs>
        <w:rPr>
          <w:sz w:val="20"/>
          <w:szCs w:val="20"/>
          <w:color w:val="auto"/>
        </w:rPr>
      </w:pPr>
      <w:r>
        <w:rPr>
          <w:rFonts w:ascii="Arial" w:cs="Arial" w:eastAsia="Arial" w:hAnsi="Arial"/>
          <w:sz w:val="18"/>
          <w:szCs w:val="18"/>
          <w:color w:val="auto"/>
        </w:rPr>
        <w:t>Less:</w:t>
        <w:tab/>
        <w:t xml:space="preserve">Non-vehicle related depreciation and amortization </w:t>
      </w:r>
      <w:r>
        <w:rPr>
          <w:rFonts w:ascii="Arial" w:cs="Arial" w:eastAsia="Arial" w:hAnsi="Arial"/>
          <w:sz w:val="23"/>
          <w:szCs w:val="23"/>
          <w:color w:val="auto"/>
          <w:vertAlign w:val="superscript"/>
        </w:rPr>
        <w:t>(b)</w:t>
      </w:r>
    </w:p>
    <w:p>
      <w:pPr>
        <w:ind w:left="1122"/>
        <w:spacing w:after="0"/>
        <w:rPr>
          <w:sz w:val="20"/>
          <w:szCs w:val="20"/>
          <w:color w:val="auto"/>
        </w:rPr>
      </w:pPr>
      <w:r>
        <w:rPr>
          <w:rFonts w:ascii="Arial" w:cs="Arial" w:eastAsia="Arial" w:hAnsi="Arial"/>
          <w:sz w:val="18"/>
          <w:szCs w:val="18"/>
          <w:color w:val="auto"/>
        </w:rPr>
        <w:t>Interest expense related to corporate debt, net:</w:t>
      </w:r>
    </w:p>
    <w:p>
      <w:pPr>
        <w:spacing w:after="0" w:line="14" w:lineRule="exact"/>
        <w:rPr>
          <w:sz w:val="20"/>
          <w:szCs w:val="20"/>
          <w:color w:val="auto"/>
        </w:rPr>
      </w:pPr>
    </w:p>
    <w:p>
      <w:pPr>
        <w:ind w:left="1242"/>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122" w:right="1480" w:firstLine="121"/>
        <w:spacing w:after="0" w:line="266" w:lineRule="auto"/>
        <w:rPr>
          <w:sz w:val="20"/>
          <w:szCs w:val="20"/>
          <w:color w:val="auto"/>
        </w:rPr>
      </w:pPr>
      <w:r>
        <w:rPr>
          <w:rFonts w:ascii="Arial" w:cs="Arial" w:eastAsia="Arial" w:hAnsi="Arial"/>
          <w:sz w:val="18"/>
          <w:szCs w:val="18"/>
          <w:color w:val="auto"/>
        </w:rPr>
        <w:t>Early extinguishment of debt Restructuring and other related charges</w:t>
      </w:r>
    </w:p>
    <w:p>
      <w:pPr>
        <w:ind w:left="1282" w:right="960" w:hanging="149"/>
        <w:spacing w:after="0" w:line="217" w:lineRule="auto"/>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23"/>
          <w:szCs w:val="23"/>
          <w:color w:val="auto"/>
          <w:vertAlign w:val="superscript"/>
        </w:rPr>
        <w:t>(c)</w:t>
      </w:r>
    </w:p>
    <w:p>
      <w:pPr>
        <w:spacing w:after="0" w:line="1" w:lineRule="exact"/>
        <w:rPr>
          <w:sz w:val="20"/>
          <w:szCs w:val="20"/>
          <w:color w:val="auto"/>
        </w:rPr>
      </w:pPr>
    </w:p>
    <w:p>
      <w:pPr>
        <w:ind w:left="1122"/>
        <w:spacing w:after="0"/>
        <w:rPr>
          <w:sz w:val="20"/>
          <w:szCs w:val="20"/>
          <w:color w:val="auto"/>
        </w:rPr>
      </w:pPr>
      <w:r>
        <w:rPr>
          <w:rFonts w:ascii="Arial" w:cs="Arial" w:eastAsia="Arial" w:hAnsi="Arial"/>
          <w:sz w:val="18"/>
          <w:szCs w:val="18"/>
          <w:color w:val="auto"/>
        </w:rPr>
        <w:t>Transaction-related costs, net</w:t>
      </w:r>
    </w:p>
    <w:p>
      <w:pPr>
        <w:spacing w:after="0" w:line="14" w:lineRule="exact"/>
        <w:rPr>
          <w:sz w:val="20"/>
          <w:szCs w:val="20"/>
          <w:color w:val="auto"/>
        </w:rPr>
      </w:pPr>
    </w:p>
    <w:p>
      <w:pPr>
        <w:ind w:left="1122"/>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(d)</w:t>
      </w:r>
    </w:p>
    <w:p>
      <w:pPr>
        <w:spacing w:after="0" w:line="14" w:lineRule="exact"/>
        <w:rPr>
          <w:sz w:val="20"/>
          <w:szCs w:val="20"/>
          <w:color w:val="auto"/>
        </w:rPr>
      </w:pPr>
    </w:p>
    <w:p>
      <w:pPr>
        <w:ind w:left="462"/>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5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18"/>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158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671</w:t>
            </w:r>
          </w:p>
        </w:tc>
      </w:tr>
      <w:tr>
        <w:trPr>
          <w:trHeight w:val="239"/>
        </w:trPr>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135</w:t>
            </w:r>
          </w:p>
        </w:tc>
      </w:tr>
      <w:tr>
        <w:trPr>
          <w:trHeight w:val="450"/>
        </w:trPr>
        <w:tc>
          <w:tcPr>
            <w:tcW w:w="2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120</w:t>
            </w:r>
          </w:p>
        </w:tc>
      </w:tr>
      <w:tr>
        <w:trPr>
          <w:trHeight w:val="230"/>
        </w:trPr>
        <w:tc>
          <w:tcPr>
            <w:tcW w:w="280" w:type="dxa"/>
            <w:vAlign w:val="bottom"/>
          </w:tcPr>
          <w:p>
            <w:pPr>
              <w:spacing w:after="0"/>
              <w:rPr>
                <w:sz w:val="19"/>
                <w:szCs w:val="19"/>
                <w:color w:val="auto"/>
              </w:rPr>
            </w:pPr>
          </w:p>
        </w:tc>
        <w:tc>
          <w:tcPr>
            <w:tcW w:w="2640" w:type="dxa"/>
            <w:vAlign w:val="bottom"/>
            <w:gridSpan w:val="2"/>
          </w:tcPr>
          <w:p>
            <w:pPr>
              <w:jc w:val="right"/>
              <w:ind w:right="17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129</w:t>
            </w:r>
          </w:p>
        </w:tc>
      </w:tr>
      <w:tr>
        <w:trPr>
          <w:trHeight w:val="239"/>
        </w:trPr>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409"/>
        </w:trPr>
        <w:tc>
          <w:tcPr>
            <w:tcW w:w="2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2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5"/>
        </w:trPr>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1,778</w:t>
            </w:r>
          </w:p>
        </w:tc>
        <w:tc>
          <w:tcPr>
            <w:tcW w:w="15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ectPr>
          <w:pgSz w:w="11900" w:h="16838" w:orient="portrait"/>
          <w:cols w:equalWidth="0" w:num="2">
            <w:col w:w="5782" w:space="320"/>
            <w:col w:w="5080"/>
          </w:cols>
          <w:pgMar w:left="378" w:top="971" w:right="339" w:bottom="1440" w:gutter="0" w:footer="0" w:header="0"/>
          <w:type w:val="continuous"/>
        </w:sectPr>
      </w:pPr>
    </w:p>
    <w:p>
      <w:pPr>
        <w:ind w:left="442"/>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762" w:hanging="326"/>
        <w:spacing w:after="0"/>
        <w:tabs>
          <w:tab w:leader="none" w:pos="762" w:val="left"/>
        </w:tabs>
        <w:numPr>
          <w:ilvl w:val="0"/>
          <w:numId w:val="36"/>
        </w:numPr>
        <w:rPr>
          <w:rFonts w:ascii="Arial" w:cs="Arial" w:eastAsia="Arial" w:hAnsi="Arial"/>
          <w:sz w:val="9"/>
          <w:szCs w:val="9"/>
          <w:color w:val="auto"/>
        </w:rPr>
      </w:pPr>
      <w:r>
        <w:rPr>
          <w:rFonts w:ascii="Arial" w:cs="Arial" w:eastAsia="Arial" w:hAnsi="Arial"/>
          <w:sz w:val="14"/>
          <w:szCs w:val="14"/>
          <w:color w:val="auto"/>
        </w:rPr>
        <w:t>Includes unallocated corporate overhead which is not attributable to a particular segment.</w:t>
      </w:r>
    </w:p>
    <w:p>
      <w:pPr>
        <w:spacing w:after="0" w:line="14" w:lineRule="exact"/>
        <w:rPr>
          <w:rFonts w:ascii="Arial" w:cs="Arial" w:eastAsia="Arial" w:hAnsi="Arial"/>
          <w:sz w:val="9"/>
          <w:szCs w:val="9"/>
          <w:color w:val="auto"/>
        </w:rPr>
      </w:pPr>
    </w:p>
    <w:p>
      <w:pPr>
        <w:jc w:val="both"/>
        <w:ind w:left="762" w:hanging="326"/>
        <w:spacing w:after="0" w:line="261" w:lineRule="auto"/>
        <w:tabs>
          <w:tab w:leader="none" w:pos="755" w:val="left"/>
        </w:tabs>
        <w:numPr>
          <w:ilvl w:val="0"/>
          <w:numId w:val="36"/>
        </w:numPr>
        <w:rPr>
          <w:rFonts w:ascii="Arial" w:cs="Arial" w:eastAsia="Arial" w:hAnsi="Arial"/>
          <w:sz w:val="9"/>
          <w:szCs w:val="9"/>
          <w:color w:val="auto"/>
        </w:rPr>
      </w:pPr>
      <w:r>
        <w:rPr>
          <w:rFonts w:ascii="Arial" w:cs="Arial" w:eastAsia="Arial" w:hAnsi="Arial"/>
          <w:sz w:val="14"/>
          <w:szCs w:val="14"/>
          <w:color w:val="auto"/>
        </w:rPr>
        <w:t>For the six months ended June 30, 2022, includes operating expenses in our Consolidated Condensed Statements of Operations related to cloud computing costs of $4 million. For the six months ended June 30, 2021, includes operating expenses and selling, general and administrative expenses related to cloud computing costs of $3 million and $2 million, respectively, in our Consolidated Condensed Statements of Comprehensive Income.</w:t>
      </w:r>
    </w:p>
    <w:p>
      <w:pPr>
        <w:spacing w:after="0" w:line="1" w:lineRule="exact"/>
        <w:rPr>
          <w:rFonts w:ascii="Arial" w:cs="Arial" w:eastAsia="Arial" w:hAnsi="Arial"/>
          <w:sz w:val="9"/>
          <w:szCs w:val="9"/>
          <w:color w:val="auto"/>
        </w:rPr>
      </w:pPr>
    </w:p>
    <w:p>
      <w:pPr>
        <w:ind w:left="742" w:hanging="306"/>
        <w:spacing w:after="0" w:line="187" w:lineRule="auto"/>
        <w:tabs>
          <w:tab w:leader="none" w:pos="742"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w:t>
      </w:r>
    </w:p>
    <w:p>
      <w:pPr>
        <w:ind w:left="762" w:hanging="326"/>
        <w:spacing w:after="0"/>
        <w:tabs>
          <w:tab w:leader="none" w:pos="762" w:val="left"/>
        </w:tabs>
        <w:numPr>
          <w:ilvl w:val="0"/>
          <w:numId w:val="36"/>
        </w:numPr>
        <w:rPr>
          <w:rFonts w:ascii="Arial" w:cs="Arial" w:eastAsia="Arial" w:hAnsi="Arial"/>
          <w:sz w:val="9"/>
          <w:szCs w:val="9"/>
          <w:color w:val="auto"/>
        </w:rPr>
      </w:pPr>
      <w:r>
        <w:rPr>
          <w:rFonts w:ascii="Arial" w:cs="Arial" w:eastAsia="Arial" w:hAnsi="Arial"/>
          <w:sz w:val="14"/>
          <w:szCs w:val="14"/>
          <w:color w:val="auto"/>
        </w:rPr>
        <w:t>The following table presents the unusual, direct and incremental costs due to the COVID-19 pandemic:</w:t>
      </w:r>
    </w:p>
    <w:p>
      <w:pPr>
        <w:spacing w:after="0" w:line="284" w:lineRule="exact"/>
        <w:rPr>
          <w:sz w:val="20"/>
          <w:szCs w:val="20"/>
          <w:color w:val="auto"/>
        </w:rPr>
      </w:pPr>
    </w:p>
    <w:tbl>
      <w:tblPr>
        <w:tblLayout w:type="fixed"/>
        <w:tblInd w:w="782" w:type="dxa"/>
        <w:tblCellMar>
          <w:top w:w="0" w:type="dxa"/>
          <w:left w:w="0" w:type="dxa"/>
          <w:bottom w:w="0" w:type="dxa"/>
          <w:right w:w="0" w:type="dxa"/>
        </w:tblCellMar>
      </w:tblPr>
      <w:tr>
        <w:trPr>
          <w:trHeight w:val="196"/>
        </w:trPr>
        <w:tc>
          <w:tcPr>
            <w:tcW w:w="5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90"/>
        </w:trPr>
        <w:tc>
          <w:tcPr>
            <w:tcW w:w="5300" w:type="dxa"/>
            <w:vAlign w:val="bottom"/>
          </w:tcPr>
          <w:p>
            <w:pPr>
              <w:ind w:left="220"/>
              <w:spacing w:after="0"/>
              <w:rPr>
                <w:sz w:val="20"/>
                <w:szCs w:val="20"/>
                <w:color w:val="auto"/>
              </w:rPr>
            </w:pPr>
            <w:r>
              <w:rPr>
                <w:rFonts w:ascii="Arial" w:cs="Arial" w:eastAsia="Arial" w:hAnsi="Arial"/>
                <w:sz w:val="14"/>
                <w:szCs w:val="14"/>
                <w:color w:val="auto"/>
              </w:rPr>
              <w:t>Minimum annual guaranteed rent in excess of concession fees, net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ind w:left="860"/>
              <w:spacing w:after="0"/>
              <w:rPr>
                <w:sz w:val="20"/>
                <w:szCs w:val="20"/>
                <w:color w:val="auto"/>
              </w:rPr>
            </w:pPr>
            <w:r>
              <w:rPr>
                <w:rFonts w:ascii="Arial" w:cs="Arial" w:eastAsia="Arial" w:hAnsi="Arial"/>
                <w:sz w:val="14"/>
                <w:szCs w:val="14"/>
                <w:color w:val="auto"/>
              </w:rPr>
              <w:t>(9)</w:t>
            </w:r>
          </w:p>
        </w:tc>
        <w:tc>
          <w:tcPr>
            <w:tcW w:w="144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w:t>
            </w:r>
          </w:p>
        </w:tc>
      </w:tr>
      <w:tr>
        <w:trPr>
          <w:trHeight w:val="203"/>
        </w:trPr>
        <w:tc>
          <w:tcPr>
            <w:tcW w:w="5300" w:type="dxa"/>
            <w:vAlign w:val="bottom"/>
          </w:tcPr>
          <w:p>
            <w:pPr>
              <w:ind w:left="22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320" w:type="dxa"/>
            <w:vAlign w:val="bottom"/>
          </w:tcPr>
          <w:p>
            <w:pPr>
              <w:spacing w:after="0"/>
              <w:rPr>
                <w:sz w:val="17"/>
                <w:szCs w:val="17"/>
                <w:color w:val="auto"/>
              </w:rPr>
            </w:pPr>
          </w:p>
        </w:tc>
        <w:tc>
          <w:tcPr>
            <w:tcW w:w="25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4"/>
        </w:trPr>
        <w:tc>
          <w:tcPr>
            <w:tcW w:w="5300" w:type="dxa"/>
            <w:vAlign w:val="bottom"/>
          </w:tcPr>
          <w:p>
            <w:pPr>
              <w:ind w:left="220"/>
              <w:spacing w:after="0"/>
              <w:rPr>
                <w:sz w:val="20"/>
                <w:szCs w:val="20"/>
                <w:color w:val="auto"/>
              </w:rPr>
            </w:pPr>
            <w:r>
              <w:rPr>
                <w:rFonts w:ascii="Arial" w:cs="Arial" w:eastAsia="Arial" w:hAnsi="Arial"/>
                <w:sz w:val="14"/>
                <w:szCs w:val="14"/>
                <w:color w:val="auto"/>
              </w:rPr>
              <w:t>Other charges</w:t>
            </w:r>
          </w:p>
        </w:tc>
        <w:tc>
          <w:tcPr>
            <w:tcW w:w="320" w:type="dxa"/>
            <w:vAlign w:val="bottom"/>
          </w:tcPr>
          <w:p>
            <w:pPr>
              <w:spacing w:after="0"/>
              <w:rPr>
                <w:sz w:val="17"/>
                <w:szCs w:val="17"/>
                <w:color w:val="auto"/>
              </w:rPr>
            </w:pPr>
          </w:p>
        </w:tc>
        <w:tc>
          <w:tcPr>
            <w:tcW w:w="25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w:t>
            </w:r>
          </w:p>
        </w:tc>
      </w:tr>
      <w:tr>
        <w:trPr>
          <w:trHeight w:val="194"/>
        </w:trPr>
        <w:tc>
          <w:tcPr>
            <w:tcW w:w="5300" w:type="dxa"/>
            <w:vAlign w:val="bottom"/>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(9)</w:t>
            </w:r>
          </w:p>
        </w:tc>
        <w:tc>
          <w:tcPr>
            <w:tcW w:w="144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r>
      <w:tr>
        <w:trPr>
          <w:trHeight w:val="207"/>
        </w:trPr>
        <w:tc>
          <w:tcPr>
            <w:tcW w:w="53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5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00"/>
        </w:trPr>
        <w:tc>
          <w:tcPr>
            <w:tcW w:w="5300" w:type="dxa"/>
            <w:vAlign w:val="bottom"/>
          </w:tcPr>
          <w:p>
            <w:pPr>
              <w:spacing w:after="0"/>
              <w:rPr>
                <w:sz w:val="20"/>
                <w:szCs w:val="20"/>
                <w:color w:val="auto"/>
              </w:rPr>
            </w:pPr>
            <w:r>
              <w:rPr>
                <w:rFonts w:ascii="Arial" w:cs="Arial" w:eastAsia="Arial" w:hAnsi="Arial"/>
                <w:sz w:val="14"/>
                <w:szCs w:val="14"/>
                <w:color w:val="auto"/>
              </w:rPr>
              <w:t>COVID-19 charges, net</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rPr>
              <w:t>(9)</w:t>
            </w:r>
          </w:p>
        </w:tc>
        <w:tc>
          <w:tcPr>
            <w:tcW w:w="14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Since December 31, 2021, there have been no significant changes in segment assets exclusive of assets under vehicle programs. As of June 30, 2022 and December 31, 2021, Americas’ segment assets under vehicle programs were approximately $14.7 billion and $11.4 billion, respectively. The change in assets under vehicle programs is primarily due to the increase in the size of our vehicle rental fleet to meet the increase in rental demand.</w:t>
      </w:r>
    </w:p>
    <w:p>
      <w:pPr>
        <w:spacing w:after="0" w:line="203" w:lineRule="exact"/>
        <w:rPr>
          <w:sz w:val="20"/>
          <w:szCs w:val="20"/>
          <w:color w:val="auto"/>
        </w:rPr>
      </w:pPr>
    </w:p>
    <w:p>
      <w:pPr>
        <w:ind w:left="442" w:hanging="442"/>
        <w:spacing w:after="0"/>
        <w:tabs>
          <w:tab w:leader="none" w:pos="44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rFonts w:ascii="Arial" w:cs="Arial" w:eastAsia="Arial" w:hAnsi="Arial"/>
          <w:sz w:val="18"/>
          <w:szCs w:val="18"/>
          <w:b w:val="1"/>
          <w:bCs w:val="1"/>
          <w:color w:val="auto"/>
        </w:rPr>
      </w:pPr>
    </w:p>
    <w:p>
      <w:pPr>
        <w:jc w:val="both"/>
        <w:ind w:left="44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July 2022, our Avis Budget Rental Car Funding (AESOP) LLC subsidiary issued $763 million of asset-backed notes to investors with a weighted average interest rate of 4.90%. Following this issuance, amounts available under our $800 million variable funding asset-backed notes supplement entered into during June 2022 were reduced to zero.</w:t>
      </w:r>
    </w:p>
    <w:p>
      <w:pPr>
        <w:spacing w:after="0" w:line="197"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July 2022, we repurchased approximately 0.2 million shares of our common stock at a cost of approximately $28 million under the Stock Repurchase Program.</w:t>
      </w:r>
    </w:p>
    <w:p>
      <w:pPr>
        <w:spacing w:after="0" w:line="185" w:lineRule="exact"/>
        <w:rPr>
          <w:rFonts w:ascii="Arial" w:cs="Arial" w:eastAsia="Arial" w:hAnsi="Arial"/>
          <w:sz w:val="18"/>
          <w:szCs w:val="18"/>
          <w:b w:val="1"/>
          <w:bCs w:val="1"/>
          <w:color w:val="auto"/>
        </w:rPr>
      </w:pPr>
    </w:p>
    <w:p>
      <w:pPr>
        <w:ind w:left="5302"/>
        <w:spacing w:after="0"/>
        <w:rPr>
          <w:rFonts w:ascii="Arial" w:cs="Arial" w:eastAsia="Arial" w:hAnsi="Arial"/>
          <w:sz w:val="18"/>
          <w:szCs w:val="18"/>
          <w:b w:val="1"/>
          <w:bCs w:val="1"/>
          <w:color w:val="auto"/>
        </w:rPr>
      </w:pPr>
      <w:r>
        <w:rPr>
          <w:rFonts w:ascii="Arial" w:cs="Arial" w:eastAsia="Arial" w:hAnsi="Arial"/>
          <w:sz w:val="22"/>
          <w:szCs w:val="22"/>
          <w:color w:val="auto"/>
        </w:rPr>
        <w:t>* * * *</w:t>
      </w:r>
    </w:p>
    <w:p>
      <w:pPr>
        <w:sectPr>
          <w:pgSz w:w="11900" w:h="16838" w:orient="portrait"/>
          <w:cols w:equalWidth="0" w:num="1">
            <w:col w:w="11182"/>
          </w:cols>
          <w:pgMar w:left="378" w:top="971"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58"/>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71" w:right="339" w:bottom="1440" w:gutter="0" w:footer="0" w:header="0"/>
          <w:type w:val="continuous"/>
        </w:sectPr>
      </w:pPr>
    </w:p>
    <w:bookmarkStart w:id="29" w:name="page30"/>
    <w:bookmarkEnd w:id="29"/>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2021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over 668,000 vehicles in second quarter 2022. We also license the use of our trademarks to licensees in the areas in which we do not operate directly. We and our licensees operate our brands in approximately 180 countries throughout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certain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certain areas in which we do not operate directly.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past year, we have seen a number of encouraging developments, such as a significant increase in global travel demand, which generated an increase in demand for rental vehicles and improved pricing across the industry, suggesting a steady return to historic seasonal travel trends. Our strategy continues to focus on cost optimization, core revenue growth and capital investments aimed to allow us to maximize our infrastructure to capitalize on what we believe will be continued travel demand. During the quarter ended June 30, 2022, we generated revenues of $3.2 billion, net income of $ 774 million and Adjusted EBITDA of $1.2 billion. These results were driven by increased demand for rental vehicles, improved pricing across the industry, disciplined cost management and continued fleet management.</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full extent of the ongoing impact of the COVID-19 pandemic on our long-term operational and financial performance will depend on future developments, including those outside of our control, such as the spread of new variants of the virus and the implementation of new or continued travel restrictions and the overall economic environment. These variants could cause prolonged impacts on the economy, our industry and on us, with reductions in available staffing and increasing inflation, among other impacts. We will continue to monitor these and other impacts and take action in connection with it, by leveraging our technology and reviewing cost mitigating actions, among other actions. Significant events affecting travel have historically had an impact on vehicle rental volumes, with the full extent of the impact generally determined by the length of time the event influences travel decisions. As a consequence, we cannot estimate the impact on our business, financial condition or forecast financial or operational results with reasonable certainty.</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global semiconductor shortage is impacting fleet supply, resulting in tighter fleets throughout the industry and causing us to hold cars longer compared to periods prior to the COVID-19 pandemic. We have historically navigated through significant vehicle recalls and worked with our vehicle manufacturers, and believe we have the logistics in place to effectively manage our fleet during this disruption in supply. We continue to purchase vehicles and believe we can increase our fleet utilization efficiency to capture increased demand.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fees, COVID-19 charges, net and income taxes. Net charges for unprecedented personal-injury and other legal matters are recorded within operating expenses in our consolidated results of operations. Non-operational charges related to shareholder activist activity include third party advisory, legal and other professional service fees and are recorded within selling, general and administrative expenses in our consolidated results of operations.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other charges, and losses associated with vehicles damaged in overflow parking lots, net of insurance proceeds, and are primarily recorded within operating expenses in our consolidated results of operations.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w:t>
      </w:r>
    </w:p>
    <w:p>
      <w:pPr>
        <w:spacing w:after="0" w:line="252" w:lineRule="exact"/>
        <w:rPr>
          <w:sz w:val="20"/>
          <w:szCs w:val="20"/>
          <w:color w:val="auto"/>
        </w:rPr>
      </w:pPr>
    </w:p>
    <w:p>
      <w:pPr>
        <w:jc w:val="both"/>
        <w:ind w:left="660" w:hanging="328"/>
        <w:spacing w:after="0" w:line="26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revenues totaled $5.7 billion, an increase of 52% compared to the similar period in 2021, primarily due to increased demand for rental vehicles and a significant increase in pricing. The significant increase in revenues was a direct result of the global effort to combat the incidence and spread of the COVID-19 virus, which led to a significant increase in global travel demand, suggesting a steady return to historic travel levels.</w:t>
      </w:r>
    </w:p>
    <w:p>
      <w:pPr>
        <w:spacing w:after="0" w:line="6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net income was $1.3 billion, representing a significant increase of $1.1 billion year-over-year, primarily due to significantly higher revenues, as described above, in addition to disciplined cost management.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Adjusted EBITDA was $2.0 billion, representing a significant increase of $1.3 billion year-over-year, primarily due to significantly higher revenues and disciplined cost management.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repurchased approximately $1.7 billion of our common stock, reducing our shares outstanding by approximately 7.9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Three Months Ended June 30, 2022 vs. Three Months Ended June 30,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09"/>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303"/>
        </w:trPr>
        <w:tc>
          <w:tcPr>
            <w:tcW w:w="58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5"/>
        </w:trPr>
        <w:tc>
          <w:tcPr>
            <w:tcW w:w="582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31 %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(31 %)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22 %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26 %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(73 %)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0 %</w:t>
            </w: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15 %</w:t>
            </w:r>
          </w:p>
        </w:tc>
      </w:tr>
      <w:tr>
        <w:trPr>
          <w:trHeight w:val="304"/>
        </w:trPr>
        <w:tc>
          <w:tcPr>
            <w:tcW w:w="58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94 %</w:t>
            </w: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Less: net loss attributable to non-controlling interests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1"/>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95 %</w:t>
            </w:r>
          </w:p>
        </w:tc>
      </w:tr>
      <w:tr>
        <w:trPr>
          <w:trHeight w:val="21"/>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increased $873 million, or 37%, during the three months ended June 30, 2022 compared to the similar period in 2021, primarily due to a 29% increase in volume as the mobility industry recovers from the pandemic and a 9% increase in revenue per day, excluding exchange rate effects, partially offset by a $86 million negative impact from currency exchange rate movements. Total expenses increased 15% during the three months ended June 30, 2022, compared to the similar period in 2021, primarily due to increased demand, partially offset by cost discipline as volume returned. Our effective tax rates were a provision of 28.5% and 18.1% for the three months ended June 30, 2022 and 2021, respectively. As a result of these items, our net income increased by $376 million compared to the similar period in 2021. For the three months ended June 30, 2022 and 2021, we reported earnings per diluted share of $15.71 and $5.63, respectively.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41.6% of revenue during the three months ended June 30, 2022 compared to 43.5% during the similar period in 2021, primarily due to the increased revenues and cost discipline as volume returned. Vehicle depreciation and lease charges decreased to 7.2% of revenue during the three months ended June 30, 2022 compared to 14.3% during the similar period in 2021, primarily due to increased revenues and a 44% lower per unit fleet cost, excluding exchange rate effects, driven by the continued favorable trend in the used-vehicle market. Selling, general and administrative costs decreased to 11.1% of revenue during the three months ended June 30, 2022 compared to 12.4% during the similar period in 2021, primarily due to increased revenues and cost discipline as volume returned. Vehicle interest costs were 3.0% of revenue during the three months ended June 30, 2022, which is consistent with 3.2% during the similar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2" w:name="page33"/>
    <w:bookmarkEnd w:id="32"/>
    <w:p>
      <w:pPr>
        <w:ind w:right="660"/>
        <w:spacing w:after="0" w:line="276"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8"/>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1,974</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634</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8"/>
        </w:trPr>
        <w:tc>
          <w:tcPr>
            <w:tcW w:w="504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2,371</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624</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Reconciliation to Adjusted EBITDA</w:t>
            </w:r>
          </w:p>
        </w:tc>
      </w:tr>
      <w:tr>
        <w:trPr>
          <w:trHeight w:val="209"/>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08"/>
        </w:trPr>
        <w:tc>
          <w:tcPr>
            <w:tcW w:w="81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15"/>
        </w:trPr>
        <w:tc>
          <w:tcPr>
            <w:tcW w:w="8160" w:type="dxa"/>
            <w:vAlign w:val="bottom"/>
            <w:gridSpan w:val="3"/>
          </w:tcPr>
          <w:p>
            <w:pPr>
              <w:ind w:left="120"/>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10"/>
        </w:trPr>
        <w:tc>
          <w:tcPr>
            <w:tcW w:w="8160" w:type="dxa"/>
            <w:vAlign w:val="bottom"/>
            <w:gridSpan w:val="3"/>
          </w:tcPr>
          <w:p>
            <w:pPr>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311"/>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 xml:space="preserve">Non-vehicle related depreciation and amortization </w:t>
            </w:r>
            <w:r>
              <w:rPr>
                <w:rFonts w:ascii="Arial" w:cs="Arial" w:eastAsia="Arial" w:hAnsi="Arial"/>
                <w:sz w:val="21"/>
                <w:szCs w:val="21"/>
                <w:color w:val="auto"/>
                <w:vertAlign w:val="superscript"/>
              </w:rPr>
              <w:t>(b)</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5"/>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Interest expense related to corporate debt,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Restructuring and other related charges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540" w:type="dxa"/>
            <w:vAlign w:val="bottom"/>
          </w:tcPr>
          <w:p>
            <w:pPr>
              <w:spacing w:after="0"/>
              <w:rPr>
                <w:sz w:val="18"/>
                <w:szCs w:val="18"/>
                <w:color w:val="auto"/>
              </w:rPr>
            </w:pPr>
          </w:p>
        </w:tc>
        <w:tc>
          <w:tcPr>
            <w:tcW w:w="762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Unprecedented personal-injury and other legal matters, net </w:t>
            </w:r>
            <w:r>
              <w:rPr>
                <w:rFonts w:ascii="Arial" w:cs="Arial" w:eastAsia="Arial" w:hAnsi="Arial"/>
                <w:sz w:val="21"/>
                <w:szCs w:val="21"/>
                <w:color w:val="auto"/>
                <w:vertAlign w:val="superscript"/>
              </w:rPr>
              <w:t>(c)</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Transaction-related costs,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8"/>
        </w:trPr>
        <w:tc>
          <w:tcPr>
            <w:tcW w:w="540" w:type="dxa"/>
            <w:vAlign w:val="bottom"/>
          </w:tcPr>
          <w:p>
            <w:pPr>
              <w:spacing w:after="0"/>
              <w:rPr>
                <w:sz w:val="18"/>
                <w:szCs w:val="18"/>
                <w:color w:val="auto"/>
              </w:rPr>
            </w:pPr>
          </w:p>
        </w:tc>
        <w:tc>
          <w:tcPr>
            <w:tcW w:w="762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COVID-19 charges </w:t>
            </w:r>
            <w:r>
              <w:rPr>
                <w:rFonts w:ascii="Arial" w:cs="Arial" w:eastAsia="Arial" w:hAnsi="Arial"/>
                <w:sz w:val="21"/>
                <w:szCs w:val="21"/>
                <w:color w:val="auto"/>
                <w:vertAlign w:val="superscript"/>
              </w:rPr>
              <w:t>(d)</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160" w:type="dxa"/>
            <w:vAlign w:val="bottom"/>
            <w:gridSpan w:val="3"/>
          </w:tcPr>
          <w:p>
            <w:pPr>
              <w:spacing w:after="0"/>
              <w:rPr>
                <w:sz w:val="20"/>
                <w:szCs w:val="20"/>
                <w:color w:val="auto"/>
              </w:rPr>
            </w:pPr>
            <w:r>
              <w:rPr>
                <w:rFonts w:ascii="Arial" w:cs="Arial" w:eastAsia="Arial" w:hAnsi="Arial"/>
                <w:sz w:val="16"/>
                <w:szCs w:val="16"/>
                <w:color w:val="auto"/>
              </w:rPr>
              <w:t>Adjusted EBITDA</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r>
      <w:tr>
        <w:trPr>
          <w:trHeight w:val="21"/>
        </w:trPr>
        <w:tc>
          <w:tcPr>
            <w:tcW w:w="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2" w:lineRule="exact"/>
        <w:rPr>
          <w:rFonts w:ascii="Arial" w:cs="Arial" w:eastAsia="Arial" w:hAnsi="Arial"/>
          <w:sz w:val="19"/>
          <w:szCs w:val="19"/>
          <w:color w:val="auto"/>
          <w:vertAlign w:val="superscript"/>
        </w:rPr>
      </w:pPr>
    </w:p>
    <w:p>
      <w:pPr>
        <w:ind w:left="340" w:hanging="332"/>
        <w:spacing w:after="0" w:line="222" w:lineRule="auto"/>
        <w:tabs>
          <w:tab w:leader="none" w:pos="333"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2022, includes operating expenses related to cloud computing costs of $2 million. For the three months ended June 30, 2021, includes operating expenses and selling, general and administrative expenses related to cloud computing costs of $3 million and $2 million, respectively.</w:t>
      </w:r>
    </w:p>
    <w:p>
      <w:pPr>
        <w:ind w:left="320" w:hanging="312"/>
        <w:spacing w:after="0" w:line="207" w:lineRule="auto"/>
        <w:tabs>
          <w:tab w:leader="none" w:pos="32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 in our consolidated condensed results of operations.</w:t>
      </w:r>
    </w:p>
    <w:p>
      <w:pPr>
        <w:spacing w:after="0" w:line="13"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54"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88"/>
        </w:trPr>
        <w:tc>
          <w:tcPr>
            <w:tcW w:w="7500" w:type="dxa"/>
            <w:vAlign w:val="bottom"/>
          </w:tcPr>
          <w:p>
            <w:pPr>
              <w:ind w:left="20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7500" w:type="dxa"/>
            <w:vAlign w:val="bottom"/>
          </w:tcPr>
          <w:p>
            <w:pPr>
              <w:ind w:left="20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4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4"/>
        </w:trPr>
        <w:tc>
          <w:tcPr>
            <w:tcW w:w="7500" w:type="dxa"/>
            <w:vAlign w:val="bottom"/>
          </w:tcPr>
          <w:p>
            <w:pPr>
              <w:ind w:left="200"/>
              <w:spacing w:after="0"/>
              <w:rPr>
                <w:sz w:val="20"/>
                <w:szCs w:val="20"/>
                <w:color w:val="auto"/>
              </w:rPr>
            </w:pPr>
            <w:r>
              <w:rPr>
                <w:rFonts w:ascii="Arial" w:cs="Arial" w:eastAsia="Arial" w:hAnsi="Arial"/>
                <w:sz w:val="14"/>
                <w:szCs w:val="14"/>
                <w:color w:val="auto"/>
              </w:rPr>
              <w:t>Other charges</w:t>
            </w:r>
          </w:p>
        </w:tc>
        <w:tc>
          <w:tcPr>
            <w:tcW w:w="104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7500" w:type="dxa"/>
            <w:vAlign w:val="bottom"/>
          </w:tcPr>
          <w:p>
            <w:pPr>
              <w:spacing w:after="0"/>
              <w:rPr>
                <w:sz w:val="20"/>
                <w:szCs w:val="20"/>
                <w:color w:val="auto"/>
              </w:rPr>
            </w:pPr>
            <w:r>
              <w:rPr>
                <w:rFonts w:ascii="Arial" w:cs="Arial" w:eastAsia="Arial" w:hAnsi="Arial"/>
                <w:sz w:val="14"/>
                <w:szCs w:val="14"/>
                <w:color w:val="auto"/>
              </w:rPr>
              <w:t>Operating expenses</w:t>
            </w:r>
          </w:p>
        </w:tc>
        <w:tc>
          <w:tcPr>
            <w:tcW w:w="10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500" w:type="dxa"/>
            <w:vAlign w:val="bottom"/>
          </w:tcPr>
          <w:p>
            <w:pPr>
              <w:spacing w:after="0"/>
              <w:rPr>
                <w:sz w:val="20"/>
                <w:szCs w:val="20"/>
                <w:color w:val="auto"/>
              </w:rPr>
            </w:pPr>
            <w:r>
              <w:rPr>
                <w:rFonts w:ascii="Arial" w:cs="Arial" w:eastAsia="Arial" w:hAnsi="Arial"/>
                <w:sz w:val="14"/>
                <w:szCs w:val="14"/>
                <w:color w:val="auto"/>
              </w:rPr>
              <w:t>COVID-19 charges, net</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779"/>
              <w:spacing w:after="0"/>
              <w:rPr>
                <w:sz w:val="20"/>
                <w:szCs w:val="20"/>
                <w:color w:val="auto"/>
              </w:rPr>
            </w:pPr>
            <w:r>
              <w:rPr>
                <w:rFonts w:ascii="Arial" w:cs="Arial" w:eastAsia="Arial" w:hAnsi="Arial"/>
                <w:sz w:val="16"/>
                <w:szCs w:val="16"/>
                <w:b w:val="1"/>
                <w:bCs w:val="1"/>
                <w:color w:val="auto"/>
              </w:rPr>
              <w:t>Three Months Ended June 30,</w:t>
            </w:r>
          </w:p>
        </w:tc>
      </w:tr>
      <w:tr>
        <w:trPr>
          <w:trHeight w:val="210"/>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1,974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64 %</w:t>
            </w:r>
          </w:p>
        </w:tc>
      </w:tr>
    </w:tbl>
    <w:p>
      <w:pPr>
        <w:spacing w:after="0" w:line="3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increased 30% during the three months ended June 30, 2022 compared to the similar period in 2021, primarily due to a 28% increase in volume and a 2% increase in revenue per day.</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to 41.6% of revenue during the three months ended June 30, 2022 compared to 40.9% during the similar period in 2021, primarily due to higher fuel prices, partially offset by revenue. Vehicle depreciation and lease charges decreased to 5.0% of revenue during the three months ended June 30, 2022 compared to 13.1% during the similar period in 2021, primarily due to increased revenues and a 62% decrease in per-unit fleet costs, excluding exchange rate effects, driven by the continued favorable trend in the used-vehicle market. Selling, general and administrative costs decreased to 9.6% of revenue during the three months ended June 30, 2022 compared to 10.0% during the similar period in 2021, primarily due to increased revenues and cost discipline as volume returned. Vehicle interest costs were 3.3% of revenue during the three months ended June 30, 2022 consistent with 3.2% during the similar period in 2021.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jc w:val="both"/>
        <w:spacing w:after="0" w:line="287" w:lineRule="auto"/>
        <w:rPr>
          <w:sz w:val="20"/>
          <w:szCs w:val="20"/>
          <w:color w:val="auto"/>
        </w:rPr>
      </w:pPr>
      <w:r>
        <w:rPr>
          <w:rFonts w:ascii="Arial" w:cs="Arial" w:eastAsia="Arial" w:hAnsi="Arial"/>
          <w:sz w:val="18"/>
          <w:szCs w:val="18"/>
          <w:color w:val="auto"/>
        </w:rPr>
        <w:t>Adjusted EBITDA was $407 million higher during the three months ended June 30, 2022 compared to the similar period in 2021, primarily due to increased revenues, lower per-unit fleet costs and cost discipline as volume returned.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Three Months Ended June 30,</w:t>
            </w:r>
          </w:p>
        </w:tc>
      </w:tr>
      <w:tr>
        <w:trPr>
          <w:trHeight w:val="210"/>
        </w:trPr>
        <w:tc>
          <w:tcPr>
            <w:tcW w:w="7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Pr>
          <w:p>
            <w:pPr>
              <w:ind w:left="40"/>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71 %</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84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71% during the three months ended June 30, 2022, compared to the similar period in 2021, primarily due to 44% increase in revenue per day, excluding exchange rate effects and a 33% increase in volume, partially offset by an $81 million negative impact from currency exchange rate movements.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41.4% of revenue during the three months ended June 30, 2022 compared to 56.4% during the similar period in 2021, primarily due to increased revenues and cost discipline as volume returned. Vehicle depreciation and lease charges decreased to 15.8% of revenue during the three months ended June 30, 2022 compared to 19.9% during the similar period in 2021, primarily due to increased revenues, partially offset by a 19% increase in per-unit fleet costs, excluding exchange rate effects. Selling, general and administrative costs decreased to 14.2% of revenue during the three months ended June 30, 2022 compared to 19.2% during the similar period in 2021, primarily due to increased revenues and cost discipline as volume returned. Vehicle interest costs decreased to 1.7% of revenue during the three months ended June 30, 2022 compared to 3.3% during the similar period in 2021, primarily due to increased revenues.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was $175 million higher in second quarter 2022 compared to the similar period in 2021, primarily due to increased revenues and cost discipline as volume returned, partially offset by an increase in per-unit fleet costs and a $22 million negative impact from currency exchange rate movements.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Six Months Ended June 30, 2022 vs. Six Months Ended June 30,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09"/>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303"/>
        </w:trPr>
        <w:tc>
          <w:tcPr>
            <w:tcW w:w="58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5"/>
        </w:trPr>
        <w:tc>
          <w:tcPr>
            <w:tcW w:w="582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34 %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(42 %)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35 %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14 %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(16 %)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(67 %)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(50 %)</w:t>
            </w: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304"/>
        </w:trPr>
        <w:tc>
          <w:tcPr>
            <w:tcW w:w="58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Less: net loss attributable to non-controlling interests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increased $1.9 billion, or 52%, during the six months ended June 30, 2022 compared to the similar period in 2021, primarily due to a 36% increase in volume as the mobility industry recovers from the pandemic and a 14% increase in revenue per day, excluding exchange rate effects, partially offset by a $115 million negative impact from currency exchange rate movements. Total expenses increased 11% during the six months ended June 30, 2022, compared to the similar period in 2021, primarily due to increased demand, partially offset by cost discipline as volume returned. Our effective tax rates were a provision of 26.8% and 3.4% for the six months ended June 30, 2022 and 2021, respectively. As a result of these items, our net income increased by $1.1 billion compared to the similar period in 2021. For the six months ended June 30, 2022 and 2021, we reported earnings per diluted share of $25.14 and $3.23, respectively.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44.0% of revenue during the six months ended June 30, 2022 compared to 49.8% during the similar period in 2021, primarily due to the increased revenues and cost discipline as volume returned. Vehicle depreciation and lease charges decreased to 6.1% of revenue during the six months ended June 30, 2022 compared to 15.8% during the similar period in 2021, primarily due to increased revenues and a 55% lower per unit fleet cost, excluding exchange rate effects, driven by the continued favorable trend in the used-vehicle market. Selling, general and administrative costs decreased to 11.3% of revenue during the six months ended June 30, 2022 compared to 12.7% during the similar period in 2021, primarily due to increased revenues and cost discipline as volume returned. Vehicle interest costs decreased to 3.1% of revenue during the six months ended June 30, 2022 compared to 4.1% during the similar period in 2021, primarily due to increased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5" w:name="page36"/>
    <w:bookmarkEnd w:id="35"/>
    <w:p>
      <w:pPr>
        <w:ind w:right="20"/>
        <w:spacing w:after="0" w:line="287"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8"/>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8"/>
        </w:trPr>
        <w:tc>
          <w:tcPr>
            <w:tcW w:w="504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3,743</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671</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Reconciliation to Adjusted EBITDA</w:t>
            </w:r>
          </w:p>
        </w:tc>
      </w:tr>
      <w:tr>
        <w:trPr>
          <w:trHeight w:val="210"/>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08"/>
        </w:trPr>
        <w:tc>
          <w:tcPr>
            <w:tcW w:w="81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1,301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5"/>
        </w:trPr>
        <w:tc>
          <w:tcPr>
            <w:tcW w:w="8160" w:type="dxa"/>
            <w:vAlign w:val="bottom"/>
            <w:gridSpan w:val="3"/>
          </w:tcPr>
          <w:p>
            <w:pPr>
              <w:ind w:left="120"/>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8160" w:type="dxa"/>
            <w:vAlign w:val="bottom"/>
            <w:gridSpan w:val="3"/>
          </w:tcPr>
          <w:p>
            <w:pPr>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311"/>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 xml:space="preserve">Non-vehicle related depreciation and amortization </w:t>
            </w:r>
            <w:r>
              <w:rPr>
                <w:rFonts w:ascii="Arial" w:cs="Arial" w:eastAsia="Arial" w:hAnsi="Arial"/>
                <w:sz w:val="21"/>
                <w:szCs w:val="21"/>
                <w:color w:val="auto"/>
                <w:vertAlign w:val="superscript"/>
              </w:rPr>
              <w:t>(b)</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5"/>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Interest expense related to corporate debt,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Early extinguishment of debt</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Restructuring and other related charges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7"/>
        </w:trPr>
        <w:tc>
          <w:tcPr>
            <w:tcW w:w="540" w:type="dxa"/>
            <w:vAlign w:val="bottom"/>
          </w:tcPr>
          <w:p>
            <w:pPr>
              <w:spacing w:after="0"/>
              <w:rPr>
                <w:sz w:val="18"/>
                <w:szCs w:val="18"/>
                <w:color w:val="auto"/>
              </w:rPr>
            </w:pPr>
          </w:p>
        </w:tc>
        <w:tc>
          <w:tcPr>
            <w:tcW w:w="762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Unprecedented personal-injury and other legal matters, net </w:t>
            </w:r>
            <w:r>
              <w:rPr>
                <w:rFonts w:ascii="Arial" w:cs="Arial" w:eastAsia="Arial" w:hAnsi="Arial"/>
                <w:sz w:val="21"/>
                <w:szCs w:val="21"/>
                <w:color w:val="auto"/>
                <w:vertAlign w:val="superscript"/>
              </w:rPr>
              <w:t>(c)</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Transaction-related costs,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8"/>
        </w:trPr>
        <w:tc>
          <w:tcPr>
            <w:tcW w:w="540" w:type="dxa"/>
            <w:vAlign w:val="bottom"/>
          </w:tcPr>
          <w:p>
            <w:pPr>
              <w:spacing w:after="0"/>
              <w:rPr>
                <w:sz w:val="18"/>
                <w:szCs w:val="18"/>
                <w:color w:val="auto"/>
              </w:rPr>
            </w:pPr>
          </w:p>
        </w:tc>
        <w:tc>
          <w:tcPr>
            <w:tcW w:w="762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COVID-19 charges </w:t>
            </w:r>
            <w:r>
              <w:rPr>
                <w:rFonts w:ascii="Arial" w:cs="Arial" w:eastAsia="Arial" w:hAnsi="Arial"/>
                <w:sz w:val="21"/>
                <w:szCs w:val="21"/>
                <w:color w:val="auto"/>
                <w:vertAlign w:val="superscript"/>
              </w:rPr>
              <w:t>(d)</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8160" w:type="dxa"/>
            <w:vAlign w:val="bottom"/>
            <w:gridSpan w:val="3"/>
          </w:tcPr>
          <w:p>
            <w:pPr>
              <w:spacing w:after="0"/>
              <w:rPr>
                <w:sz w:val="20"/>
                <w:szCs w:val="20"/>
                <w:color w:val="auto"/>
              </w:rPr>
            </w:pPr>
            <w:r>
              <w:rPr>
                <w:rFonts w:ascii="Arial" w:cs="Arial" w:eastAsia="Arial" w:hAnsi="Arial"/>
                <w:sz w:val="16"/>
                <w:szCs w:val="16"/>
                <w:color w:val="auto"/>
              </w:rPr>
              <w:t>Adjusted EBITDA</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r>
      <w:tr>
        <w:trPr>
          <w:trHeight w:val="21"/>
        </w:trPr>
        <w:tc>
          <w:tcPr>
            <w:tcW w:w="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262" w:lineRule="auto"/>
        <w:tabs>
          <w:tab w:leader="none" w:pos="333" w:val="left"/>
        </w:tabs>
        <w:numPr>
          <w:ilvl w:val="0"/>
          <w:numId w:val="40"/>
        </w:numPr>
        <w:rPr>
          <w:rFonts w:ascii="Arial" w:cs="Arial" w:eastAsia="Arial" w:hAnsi="Arial"/>
          <w:sz w:val="9"/>
          <w:szCs w:val="9"/>
          <w:color w:val="auto"/>
        </w:rPr>
      </w:pPr>
      <w:r>
        <w:rPr>
          <w:rFonts w:ascii="Arial" w:cs="Arial" w:eastAsia="Arial" w:hAnsi="Arial"/>
          <w:sz w:val="14"/>
          <w:szCs w:val="14"/>
          <w:color w:val="auto"/>
        </w:rPr>
        <w:t>For the six months ended June 30, 2022, includes operating expenses related to cloud computing costs of $4 million. For the six months ended June 30, 2021, includes operating expenses and selling, general and administrative expenses related to cloud computing costs of $3 million and $2 million, respectively.</w:t>
      </w:r>
    </w:p>
    <w:p>
      <w:pPr>
        <w:ind w:left="320" w:hanging="312"/>
        <w:spacing w:after="0"/>
        <w:tabs>
          <w:tab w:leader="none" w:pos="320" w:val="left"/>
        </w:tabs>
        <w:numPr>
          <w:ilvl w:val="0"/>
          <w:numId w:val="40"/>
        </w:numPr>
        <w:rPr>
          <w:rFonts w:ascii="Arial" w:cs="Arial" w:eastAsia="Arial" w:hAnsi="Arial"/>
          <w:sz w:val="9"/>
          <w:szCs w:val="9"/>
          <w:color w:val="auto"/>
        </w:rPr>
      </w:pPr>
      <w:r>
        <w:rPr>
          <w:rFonts w:ascii="Arial" w:cs="Arial" w:eastAsia="Arial" w:hAnsi="Arial"/>
          <w:sz w:val="14"/>
          <w:szCs w:val="14"/>
          <w:color w:val="auto"/>
        </w:rPr>
        <w:t>Reported within operating expenses in our consolidated condensed results of operations.</w:t>
      </w:r>
    </w:p>
    <w:p>
      <w:pPr>
        <w:spacing w:after="0" w:line="28" w:lineRule="exact"/>
        <w:rPr>
          <w:rFonts w:ascii="Arial" w:cs="Arial" w:eastAsia="Arial" w:hAnsi="Arial"/>
          <w:sz w:val="9"/>
          <w:szCs w:val="9"/>
          <w:color w:val="auto"/>
        </w:rPr>
      </w:pPr>
    </w:p>
    <w:p>
      <w:pPr>
        <w:ind w:left="320" w:hanging="312"/>
        <w:spacing w:after="0" w:line="222" w:lineRule="auto"/>
        <w:tabs>
          <w:tab w:leader="none" w:pos="3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54"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88"/>
        </w:trPr>
        <w:tc>
          <w:tcPr>
            <w:tcW w:w="7500" w:type="dxa"/>
            <w:vAlign w:val="bottom"/>
          </w:tcPr>
          <w:p>
            <w:pPr>
              <w:ind w:left="20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3"/>
        </w:trPr>
        <w:tc>
          <w:tcPr>
            <w:tcW w:w="7500" w:type="dxa"/>
            <w:vAlign w:val="bottom"/>
          </w:tcPr>
          <w:p>
            <w:pPr>
              <w:ind w:left="20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4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4"/>
        </w:trPr>
        <w:tc>
          <w:tcPr>
            <w:tcW w:w="7500" w:type="dxa"/>
            <w:vAlign w:val="bottom"/>
          </w:tcPr>
          <w:p>
            <w:pPr>
              <w:ind w:left="200"/>
              <w:spacing w:after="0"/>
              <w:rPr>
                <w:sz w:val="20"/>
                <w:szCs w:val="20"/>
                <w:color w:val="auto"/>
              </w:rPr>
            </w:pPr>
            <w:r>
              <w:rPr>
                <w:rFonts w:ascii="Arial" w:cs="Arial" w:eastAsia="Arial" w:hAnsi="Arial"/>
                <w:sz w:val="14"/>
                <w:szCs w:val="14"/>
                <w:color w:val="auto"/>
              </w:rPr>
              <w:t>Other charges</w:t>
            </w:r>
          </w:p>
        </w:tc>
        <w:tc>
          <w:tcPr>
            <w:tcW w:w="104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4"/>
        </w:trPr>
        <w:tc>
          <w:tcPr>
            <w:tcW w:w="7500" w:type="dxa"/>
            <w:vAlign w:val="bottom"/>
          </w:tcPr>
          <w:p>
            <w:pPr>
              <w:spacing w:after="0"/>
              <w:rPr>
                <w:sz w:val="20"/>
                <w:szCs w:val="20"/>
                <w:color w:val="auto"/>
              </w:rPr>
            </w:pPr>
            <w:r>
              <w:rPr>
                <w:rFonts w:ascii="Arial" w:cs="Arial" w:eastAsia="Arial" w:hAnsi="Arial"/>
                <w:sz w:val="14"/>
                <w:szCs w:val="14"/>
                <w:color w:val="auto"/>
              </w:rPr>
              <w:t>Operating expenses</w:t>
            </w:r>
          </w:p>
        </w:tc>
        <w:tc>
          <w:tcPr>
            <w:tcW w:w="10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75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04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7500" w:type="dxa"/>
            <w:vAlign w:val="bottom"/>
          </w:tcPr>
          <w:p>
            <w:pPr>
              <w:spacing w:after="0"/>
              <w:rPr>
                <w:sz w:val="20"/>
                <w:szCs w:val="20"/>
                <w:color w:val="auto"/>
              </w:rPr>
            </w:pPr>
            <w:r>
              <w:rPr>
                <w:rFonts w:ascii="Arial" w:cs="Arial" w:eastAsia="Arial" w:hAnsi="Arial"/>
                <w:sz w:val="14"/>
                <w:szCs w:val="14"/>
                <w:color w:val="auto"/>
              </w:rPr>
              <w:t>COVID-19 charges, net</w:t>
            </w: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1"/>
        </w:trPr>
        <w:tc>
          <w:tcPr>
            <w:tcW w:w="7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87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4,567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149 %</w:t>
            </w:r>
          </w:p>
        </w:tc>
      </w:tr>
    </w:tbl>
    <w:p>
      <w:pPr>
        <w:spacing w:after="0" w:line="3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increased 50% during the six months ended June 30, 2022 compared to the similar period in 2021, primarily due to a 38% increase in volume and an 8% increase in revenue per day.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decreased to 43.0% of revenue during the six months ended June 30, 2022 compared to 46.9% during the similar period in 2021, primarily due to increased revenues and cost discipline as volume returned. Vehicle depreciation and lease charges decreased to 3.4% of revenue during the six months ended June 30, 2022 compared to 14.5% during the similar period in 2021, primarily due to increased revenues and a 75% decrease in per-unit fleet costs, driven by the continued favorable trend in the used-vehicle market. Selling, general and administrative costs decreased to 9.7% of revenue during the six months ended June 30, 2022</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6" w:name="page37"/>
    <w:bookmarkEnd w:id="36"/>
    <w:p>
      <w:pPr>
        <w:jc w:val="both"/>
        <w:spacing w:after="0" w:line="268" w:lineRule="auto"/>
        <w:rPr>
          <w:sz w:val="20"/>
          <w:szCs w:val="20"/>
          <w:color w:val="auto"/>
        </w:rPr>
      </w:pPr>
      <w:r>
        <w:rPr>
          <w:rFonts w:ascii="Arial" w:cs="Arial" w:eastAsia="Arial" w:hAnsi="Arial"/>
          <w:sz w:val="18"/>
          <w:szCs w:val="18"/>
          <w:color w:val="auto"/>
        </w:rPr>
        <w:t>compared to 10.2% during the similar period in 2021, primarily due to increased revenues and cost discipline as volume returned. Vehicle interest costs decreased to 3.3% of revenue during the six months ended June 30, 2022 compared to 4.1% during the similar period in 2021, primarily due to increased revenues.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was $1.1 billion higher during the six months ended June 30, 2022 compared to the similar period in 2021, primarily due to increased revenues, lower per-unit fleet costs and cost discipline as volume returned.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87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590 %</w:t>
            </w:r>
          </w:p>
        </w:tc>
      </w:tr>
    </w:tbl>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61% during the six months ended June 30, 2022, compared to the similar period in 2021, primarily due to a 37% increase in revenue per day, excluding exchange rate effects and a 30% increase in volume, partially offset by a $110 million negative impact from currency exchange rate movements.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decreased to 47.1% of revenue during the six months ended June 30, 2022 compared to 62.7% during the similar period in 2021, primarily due to increased revenues and cost discipline as volume returned. Vehicle depreciation and lease charges decreased to 17.2% of revenue during the six months ended June 30, 2022 compared to 21.6% during the similar period in 2021, primarily due to increased revenues partially offset by a 10% increase in per-unit fleet costs, excluding exchange rate effects. Selling, general and administrative costs decreased to 15.2% of revenue during the six months ended June 30, 2022 compared to 19.1% during the similar period in 2021, primarily due to increased revenues and cost discipline as volume returned. Vehicle interest costs decreased to 2.0% of revenue during the six months ended June 30, 2022 compared to 3.8% during the similar period in 2021, primarily due to increased revenues.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was $248 million higher during the six months ended June 30, 2022 compared to the similar period in 2021, primarily due to increased revenues and cost discipline as volume returned, offset by higher per-unit fleet costs and a $23 million negative impact from currency exchange rate movements.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2021</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8,445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8,581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5"/>
        </w:trPr>
        <w:tc>
          <w:tcPr>
            <w:tcW w:w="604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8,933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3,631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16,944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13,876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3,068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increase in liabilities exclusive of liabilities under vehicle programs is principally related to the increase in corporate indebtedness from the issuance of Floating Rate Term Loan due March 2029. See “Liquidity and Capital Resources” and Note 10 to our Consolidated Condensed Financial Statements.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increase in the size of our vehicle rental fleet to meet increased rental demand.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decrease in stockholders’ equity is primarily due to our share repurchases, partially offset by comprehensive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2022, we entered into a $750 million Floating Rate Term Loan due March 2029, at a price of 97% of the aggregate principal amount, with interest paid monthly, which is part of our senior credit facilities. The Floating Rate Term Loan due March 2029 bears interest at one-month SOFR plus 350 basis points for an aggregate rate of 5.13%.</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second quarter 2022, our Avis Budget Rental Car Funding (AESOP) LLC subsidiary issued an aggregate of approximately $870 million of asset-backed notes. We used the proceeds from these borrowings to fund the repayment of maturing vehicle-backed debt and the acquisition of rental cars in the United States. Borrowings under the Avis Budget Rental Car Funding program primarily represent fixed rate notes. Our Avis Budget Rental Car Funding (AESOP) LLC subsidiary also entered into $800 million of variable funding asset-backed notes and as of June 30, 2022, no funds were drawn on these notes.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62626"/>
        </w:rPr>
        <w:t xml:space="preserve">Our Board of Directors has authorized the repurchase of up to </w:t>
      </w:r>
      <w:r>
        <w:rPr>
          <w:rFonts w:ascii="Arial" w:cs="Arial" w:eastAsia="Arial" w:hAnsi="Arial"/>
          <w:sz w:val="18"/>
          <w:szCs w:val="18"/>
          <w:color w:val="000000"/>
        </w:rPr>
        <w:t>$7.1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May 2022.</w:t>
      </w:r>
      <w:r>
        <w:rPr>
          <w:rFonts w:ascii="Arial" w:cs="Arial" w:eastAsia="Arial" w:hAnsi="Arial"/>
          <w:sz w:val="18"/>
          <w:szCs w:val="18"/>
          <w:color w:val="262626"/>
        </w:rPr>
        <w:t xml:space="preserve">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repurchase program has no set expiration or termination date. D</w:t>
      </w:r>
      <w:r>
        <w:rPr>
          <w:rFonts w:ascii="Arial" w:cs="Arial" w:eastAsia="Arial" w:hAnsi="Arial"/>
          <w:sz w:val="18"/>
          <w:szCs w:val="18"/>
          <w:color w:val="000000"/>
        </w:rPr>
        <w:t>uring the six months ended June 30, 2022, we repurchased approximately 7.9 million</w:t>
      </w:r>
      <w:r>
        <w:rPr>
          <w:rFonts w:ascii="Arial" w:cs="Arial" w:eastAsia="Arial" w:hAnsi="Arial"/>
          <w:sz w:val="18"/>
          <w:szCs w:val="18"/>
          <w:color w:val="262626"/>
        </w:rPr>
        <w:t xml:space="preserve"> </w:t>
      </w:r>
      <w:r>
        <w:rPr>
          <w:rFonts w:ascii="Arial" w:cs="Arial" w:eastAsia="Arial" w:hAnsi="Arial"/>
          <w:sz w:val="18"/>
          <w:szCs w:val="18"/>
          <w:color w:val="000000"/>
        </w:rPr>
        <w:t>shares of common stock at a cost of approximately $1.7 billion under the program. As of June 30, 2022, approximately $2.25 billion of authorization remained available to repurchase common stock under the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vMerge w:val="restart"/>
          </w:tcPr>
          <w:p>
            <w:pPr>
              <w:spacing w:after="0"/>
              <w:rPr>
                <w:sz w:val="20"/>
                <w:szCs w:val="20"/>
                <w:color w:val="auto"/>
              </w:rPr>
            </w:pPr>
            <w:r>
              <w:rPr>
                <w:rFonts w:ascii="Arial" w:cs="Arial" w:eastAsia="Arial" w:hAnsi="Arial"/>
                <w:sz w:val="16"/>
                <w:szCs w:val="16"/>
                <w:color w:val="auto"/>
              </w:rPr>
              <w:t>Cash provided by (used in):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4"/>
        </w:trPr>
        <w:tc>
          <w:tcPr>
            <w:tcW w:w="6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2,371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(1,848)</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6"/>
                <w:szCs w:val="16"/>
                <w:color w:val="auto"/>
              </w:rPr>
              <w:t>Net increase in cash and cash equivalents, program and 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1"/>
        </w:trPr>
        <w:tc>
          <w:tcPr>
            <w:tcW w:w="696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cash provided by operating activities during the six months ended June 30, 2022 compared with the same period in 2021 is primarily due to the increase in our net income.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decrease in cash used in investing activities during the six months ended June 30, 2022 compared with the same period in 2021 is primarily due to the increase in proceeds received on vehicle sales.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cash provided by financing activities during the six months ended June 30, 2022 compared with the same period in 2021 is primarily due to the increase in repurchases of common stock and payments on vehicle borrowings, offset by a decrease in net payments on corporate borrowings.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June 30, 2022, we had approximately $19 billion of indebtedness, including corporate indebtedness of approximately $5 billion and debt under vehicle programs of approximately $14 billion. For information regarding our debt and borrowing arrangements, see Notes 1, 10 and 11 to our Consolidated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liquidity position was impacted by COVID-19 as a result of significant volume declines. However, since 2021, travel advisories and restrictions were eased, which led to a significant increase in global travel demand, resulting in increased demand for rental vehicles and improved pricing across the industry. However, the full extent of the ongoing impact of this virus on our long-term operational performance and liquidity will depend on future developments, including those outside of our control, such as the spread of new variants of the virus, which may be resistant to currently approved vaccines and the implementation of new or continued travel restrictions.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could be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w:t>
      </w:r>
    </w:p>
    <w:p>
      <w:pPr>
        <w:spacing w:after="0" w:line="3" w:lineRule="exact"/>
        <w:rPr>
          <w:sz w:val="20"/>
          <w:szCs w:val="20"/>
          <w:color w:val="auto"/>
        </w:rPr>
      </w:pPr>
    </w:p>
    <w:p>
      <w:pPr>
        <w:jc w:val="both"/>
        <w:ind w:firstLine="8"/>
        <w:spacing w:after="0" w:line="257" w:lineRule="auto"/>
        <w:tabs>
          <w:tab w:leader="none" w:pos="2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2022, we had $579 million of available cash and cash equivalents and access to available borrowings under our revolving credit facility of approximately $271 million, providing us with approximately $850 million of total liquidity.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June 30, 2022, we were in compliance with the financial covenants governing our indebtedness. For additional information regarding our liquidity risks, see Part I, Item 1A, “Risk Factors” of our 2021 Form 10-K, as well as the “Risk Factors” section in this quarterly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2021 Form 10-K with the exception of our commitment to purchase vehicles, which decreased by approximately $2.1 billion from December 31, 2021, to approximately $3.8 billion as of June 30, 2022 due to seasonality. Changes to our obligations related to corporate indebtedness and debt under vehicle programs are presented above within the section titled “Liquidity and Capital Resources—Debt and Financing Arrangements” and also within Notes 10 and 11 to our Consolidated Condensed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18"/>
          <w:szCs w:val="18"/>
          <w:color w:val="auto"/>
        </w:rPr>
        <w:t>that affect the amounts reported therein. Several of the estimates and assumptions that we are required to make pertain to matters that are inherently uncertain as they relate to future events. Presented within the section titled “Critical Accounting Policies” of our 2021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2022 reported results. There have been no significant changes to those accounting policies or our assessment of which accounting policies we would consider to be critical accounting policies.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Goodwill and Other Indefinite-lived Intangible Assets</w:t>
      </w:r>
      <w:r>
        <w:rPr>
          <w:rFonts w:ascii="Arial" w:cs="Arial" w:eastAsia="Arial" w:hAnsi="Arial"/>
          <w:sz w:val="18"/>
          <w:szCs w:val="18"/>
          <w:color w:val="auto"/>
        </w:rPr>
        <w:t>. We perform our annual goodwill and other indefinite-lived intangible assets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in the fourth quarter of each year at the reporting unit level, or more frequently if events or circumstances indicate that the carrying amount of goodwill and other indefinite-lived intangible assets may be impaired. For our Europe, Middle East and Africa (“EMEA”) reporting unit, the percentage by which the estimated fair value exceeded the carrying value as of October 1, 2021 was 10% and the amount of goodwill allocated to our reporting unit was $488 million.</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evaluated qualitative factors and determined that an interim impairment test was not required this quarter as we believe it is more likely than not that the fair value of our goodwill and other indefinite-lived intangible assets exceeds the carrying value. We will continue to closely monitor actual results versus our expectations as well as any significant changes in events or conditions, including the impact of COVID-19 on our business and the travel industry, and the resulting impact to our assumptions about future estimated cash flows, the discount rate and market multiples. In the future, failure to achieve our business plans, a deterioration of the general economic conditions of the countries in which we operate, or significant changes in the assumptions and estimates that are used in our impairment testing for goodwill and indefinite-lived intangible assets (such as the discount rate) could result in significantly different estimates of fair value that could trigger an impairment of the goodwill of our reporting units or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2022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June 30, 2022. For additional information regarding our long-term borrowings and financial instruments, see Notes 10, 11 and 16 to our Consolidated Condensed Financial Statements.</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ind w:left="340" w:hanging="332"/>
        <w:spacing w:after="0" w:line="259" w:lineRule="auto"/>
        <w:tabs>
          <w:tab w:leader="none" w:pos="33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June 30, 2022.</w:t>
      </w:r>
    </w:p>
    <w:p>
      <w:pPr>
        <w:spacing w:after="0" w:line="206" w:lineRule="exact"/>
        <w:rPr>
          <w:rFonts w:ascii="Arial" w:cs="Arial" w:eastAsia="Arial" w:hAnsi="Arial"/>
          <w:sz w:val="18"/>
          <w:szCs w:val="18"/>
          <w:color w:val="auto"/>
        </w:rPr>
      </w:pPr>
    </w:p>
    <w:p>
      <w:pPr>
        <w:ind w:left="340" w:right="20" w:hanging="332"/>
        <w:spacing w:after="0" w:line="287" w:lineRule="auto"/>
        <w:tabs>
          <w:tab w:leader="none" w:pos="33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internal control over financial reporting (as such term is defined in Rules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line="287" w:lineRule="auto"/>
        <w:rPr>
          <w:sz w:val="20"/>
          <w:szCs w:val="20"/>
          <w:color w:val="auto"/>
        </w:rPr>
      </w:pPr>
      <w:r>
        <w:rPr>
          <w:rFonts w:ascii="Arial" w:cs="Arial" w:eastAsia="Arial" w:hAnsi="Arial"/>
          <w:sz w:val="18"/>
          <w:szCs w:val="18"/>
          <w:color w:val="auto"/>
        </w:rPr>
        <w:t>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3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legal proceedings, see Note 12 – Commitments and Contingencies to our Consolidated Condensed Financial Statements and refer to our 2021 Form 10-K.</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risk factors are provided to update the risk factors previously disclosed in our periodic reports filed with the SEC, including our 2021 Form 10-K.</w:t>
      </w:r>
    </w:p>
    <w:p>
      <w:pPr>
        <w:spacing w:after="0" w:line="18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ongoing military conflict between Russia and Ukraine and the related sanctions are causing uncertainty that may have an adverse impact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world economy and markets are experiencing volatility and disruption from the ongoing military conflict between Russia and Ukraine, the length and impact of which are highly unpredictable. This conflict could lead to significant increases in our costs, including gas and fleet costs, including as a result of sanctions or any embargos on oil sales imposed on or by the Russian government; further impact fleet availability; and impact demand for travel as a result of weakness in economic conditions, increased inflation or increases in the cost of gas. In addition, as a result of the conflict, governmental and non-governmental entities have issued alerts noting the potential for increased cyber-attacks. Such risks and disruptions could adversely impact our business, results of operations and financial condition.</w:t>
      </w:r>
    </w:p>
    <w:p>
      <w:pPr>
        <w:spacing w:after="0" w:line="20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6"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6"/>
                <w:szCs w:val="16"/>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Average Price</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 Purchased as</w:t>
            </w:r>
          </w:p>
        </w:tc>
        <w:tc>
          <w:tcPr>
            <w:tcW w:w="140" w:type="dxa"/>
            <w:vAlign w:val="bottom"/>
          </w:tcPr>
          <w:p>
            <w:pPr>
              <w:spacing w:after="0"/>
              <w:rPr>
                <w:sz w:val="16"/>
                <w:szCs w:val="16"/>
                <w:color w:val="auto"/>
              </w:rPr>
            </w:pPr>
          </w:p>
        </w:tc>
        <w:tc>
          <w:tcPr>
            <w:tcW w:w="3120" w:type="dxa"/>
            <w:vAlign w:val="bottom"/>
          </w:tcPr>
          <w:p>
            <w:pPr>
              <w:jc w:val="center"/>
              <w:spacing w:after="0"/>
              <w:rPr>
                <w:sz w:val="20"/>
                <w:szCs w:val="20"/>
                <w:color w:val="auto"/>
              </w:rPr>
            </w:pPr>
            <w:r>
              <w:rPr>
                <w:rFonts w:ascii="Arial" w:cs="Arial" w:eastAsia="Arial" w:hAnsi="Arial"/>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 or</w:t>
            </w:r>
          </w:p>
        </w:tc>
        <w:tc>
          <w:tcPr>
            <w:tcW w:w="140" w:type="dxa"/>
            <w:vAlign w:val="bottom"/>
          </w:tcPr>
          <w:p>
            <w:pPr>
              <w:spacing w:after="0"/>
              <w:rPr>
                <w:sz w:val="14"/>
                <w:szCs w:val="14"/>
                <w:color w:val="auto"/>
              </w:rPr>
            </w:pPr>
          </w:p>
        </w:tc>
        <w:tc>
          <w:tcPr>
            <w:tcW w:w="3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That May Yet Be Purchased Under the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(in millions) </w:t>
            </w:r>
            <w:r>
              <w:rPr>
                <w:rFonts w:ascii="Arial" w:cs="Arial" w:eastAsia="Arial" w:hAnsi="Arial"/>
                <w:sz w:val="21"/>
                <w:szCs w:val="21"/>
                <w:b w:val="1"/>
                <w:bCs w:val="1"/>
                <w:color w:val="auto"/>
                <w:w w:val="96"/>
                <w:vertAlign w:val="superscript"/>
              </w:rPr>
              <w:t>(a)</w:t>
            </w:r>
          </w:p>
        </w:tc>
        <w:tc>
          <w:tcPr>
            <w:tcW w:w="1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Paid per Share</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Programs (in millions)</w:t>
            </w:r>
          </w:p>
        </w:tc>
        <w:tc>
          <w:tcPr>
            <w:tcW w:w="1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6"/>
                <w:szCs w:val="16"/>
                <w:b w:val="1"/>
                <w:bCs w:val="1"/>
                <w:color w:val="auto"/>
              </w:rPr>
              <w:t>Plans or Programs ($ in millions)</w:t>
            </w:r>
          </w:p>
        </w:tc>
        <w:tc>
          <w:tcPr>
            <w:tcW w:w="0" w:type="dxa"/>
            <w:vAlign w:val="bottom"/>
          </w:tcPr>
          <w:p>
            <w:pPr>
              <w:spacing w:after="0"/>
              <w:rPr>
                <w:sz w:val="1"/>
                <w:szCs w:val="1"/>
                <w:color w:val="auto"/>
              </w:rPr>
            </w:pPr>
          </w:p>
        </w:tc>
      </w:tr>
      <w:tr>
        <w:trPr>
          <w:trHeight w:val="208"/>
        </w:trPr>
        <w:tc>
          <w:tcPr>
            <w:tcW w:w="760" w:type="dxa"/>
            <w:vAlign w:val="bottom"/>
          </w:tcPr>
          <w:p>
            <w:pPr>
              <w:jc w:val="right"/>
              <w:spacing w:after="0"/>
              <w:rPr>
                <w:sz w:val="20"/>
                <w:szCs w:val="20"/>
                <w:color w:val="auto"/>
              </w:rPr>
            </w:pPr>
            <w:r>
              <w:rPr>
                <w:rFonts w:ascii="Arial" w:cs="Arial" w:eastAsia="Arial" w:hAnsi="Arial"/>
                <w:sz w:val="16"/>
                <w:szCs w:val="16"/>
                <w:color w:val="auto"/>
              </w:rPr>
              <w:t>April 2022</w:t>
            </w: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1.46</w:t>
            </w:r>
          </w:p>
        </w:tc>
        <w:tc>
          <w:tcPr>
            <w:tcW w:w="16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$269.43</w:t>
            </w:r>
          </w:p>
        </w:tc>
        <w:tc>
          <w:tcPr>
            <w:tcW w:w="120" w:type="dxa"/>
            <w:vAlign w:val="bottom"/>
          </w:tcPr>
          <w:p>
            <w:pPr>
              <w:spacing w:after="0"/>
              <w:rPr>
                <w:sz w:val="18"/>
                <w:szCs w:val="18"/>
                <w:color w:val="auto"/>
              </w:rPr>
            </w:pP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1.46</w:t>
            </w:r>
          </w:p>
        </w:tc>
        <w:tc>
          <w:tcPr>
            <w:tcW w:w="140" w:type="dxa"/>
            <w:vAlign w:val="bottom"/>
          </w:tcPr>
          <w:p>
            <w:pPr>
              <w:spacing w:after="0"/>
              <w:rPr>
                <w:sz w:val="18"/>
                <w:szCs w:val="18"/>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5"/>
        </w:trPr>
        <w:tc>
          <w:tcPr>
            <w:tcW w:w="760" w:type="dxa"/>
            <w:vAlign w:val="bottom"/>
          </w:tcPr>
          <w:p>
            <w:pPr>
              <w:jc w:val="right"/>
              <w:spacing w:after="0"/>
              <w:rPr>
                <w:sz w:val="20"/>
                <w:szCs w:val="20"/>
                <w:color w:val="auto"/>
              </w:rPr>
            </w:pPr>
            <w:r>
              <w:rPr>
                <w:rFonts w:ascii="Arial" w:cs="Arial" w:eastAsia="Arial" w:hAnsi="Arial"/>
                <w:sz w:val="16"/>
                <w:szCs w:val="16"/>
                <w:color w:val="auto"/>
              </w:rPr>
              <w:t>May 2022</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30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2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$2,259</w:t>
            </w:r>
          </w:p>
        </w:tc>
        <w:tc>
          <w:tcPr>
            <w:tcW w:w="0" w:type="dxa"/>
            <w:vAlign w:val="bottom"/>
          </w:tcPr>
          <w:p>
            <w:pPr>
              <w:spacing w:after="0"/>
              <w:rPr>
                <w:sz w:val="1"/>
                <w:szCs w:val="1"/>
                <w:color w:val="auto"/>
              </w:rPr>
            </w:pPr>
          </w:p>
        </w:tc>
      </w:tr>
      <w:tr>
        <w:trPr>
          <w:trHeight w:val="217"/>
        </w:trPr>
        <w:tc>
          <w:tcPr>
            <w:tcW w:w="760" w:type="dxa"/>
            <w:vAlign w:val="bottom"/>
          </w:tcPr>
          <w:p>
            <w:pPr>
              <w:jc w:val="right"/>
              <w:spacing w:after="0"/>
              <w:rPr>
                <w:sz w:val="20"/>
                <w:szCs w:val="20"/>
                <w:color w:val="auto"/>
              </w:rPr>
            </w:pPr>
            <w:r>
              <w:rPr>
                <w:rFonts w:ascii="Arial" w:cs="Arial" w:eastAsia="Arial" w:hAnsi="Arial"/>
                <w:sz w:val="16"/>
                <w:szCs w:val="16"/>
                <w:color w:val="auto"/>
                <w:w w:val="98"/>
              </w:rPr>
              <w:t>June 2022</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0.06</w:t>
            </w:r>
          </w:p>
        </w:tc>
        <w:tc>
          <w:tcPr>
            <w:tcW w:w="1500" w:type="dxa"/>
            <w:vAlign w:val="bottom"/>
            <w:gridSpan w:val="2"/>
          </w:tcPr>
          <w:p>
            <w:pPr>
              <w:jc w:val="center"/>
              <w:ind w:left="79"/>
              <w:spacing w:after="0"/>
              <w:rPr>
                <w:sz w:val="20"/>
                <w:szCs w:val="20"/>
                <w:color w:val="auto"/>
              </w:rPr>
            </w:pPr>
            <w:r>
              <w:rPr>
                <w:rFonts w:ascii="Arial" w:cs="Arial" w:eastAsia="Arial" w:hAnsi="Arial"/>
                <w:sz w:val="16"/>
                <w:szCs w:val="16"/>
                <w:color w:val="auto"/>
              </w:rPr>
              <w:t>147.31</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0.06</w:t>
            </w:r>
          </w:p>
        </w:tc>
        <w:tc>
          <w:tcPr>
            <w:tcW w:w="32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$2,250</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1.52</w:t>
            </w:r>
          </w:p>
        </w:tc>
        <w:tc>
          <w:tcPr>
            <w:tcW w:w="1500" w:type="dxa"/>
            <w:vAlign w:val="bottom"/>
            <w:gridSpan w:val="2"/>
          </w:tcPr>
          <w:p>
            <w:pPr>
              <w:jc w:val="center"/>
              <w:ind w:left="79"/>
              <w:spacing w:after="0"/>
              <w:rPr>
                <w:sz w:val="20"/>
                <w:szCs w:val="20"/>
                <w:color w:val="auto"/>
              </w:rPr>
            </w:pPr>
            <w:r>
              <w:rPr>
                <w:rFonts w:ascii="Arial" w:cs="Arial" w:eastAsia="Arial" w:hAnsi="Arial"/>
                <w:sz w:val="16"/>
                <w:szCs w:val="16"/>
                <w:color w:val="auto"/>
              </w:rPr>
              <w:t>$264.66</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1.52</w:t>
            </w:r>
          </w:p>
        </w:tc>
        <w:tc>
          <w:tcPr>
            <w:tcW w:w="32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$2,250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7"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Excludes shares which were withheld by the Company to satisfy employees’ income tax liabilities attributable to the vesting of restricted stock unit awards.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62626"/>
        </w:rPr>
        <w:t xml:space="preserve">Our Board of Directors has authorized the repurchase of up to </w:t>
      </w:r>
      <w:r>
        <w:rPr>
          <w:rFonts w:ascii="Arial" w:cs="Arial" w:eastAsia="Arial" w:hAnsi="Arial"/>
          <w:sz w:val="18"/>
          <w:szCs w:val="18"/>
          <w:color w:val="000000"/>
        </w:rPr>
        <w:t>$7.1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May 2022</w:t>
      </w:r>
      <w:r>
        <w:rPr>
          <w:rFonts w:ascii="Arial" w:cs="Arial" w:eastAsia="Arial" w:hAnsi="Arial"/>
          <w:sz w:val="18"/>
          <w:szCs w:val="18"/>
          <w:color w:val="262626"/>
        </w:rPr>
        <w:t>. Under our stock repurchase program, we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timing and amount of repurchase transactions will be determined by our management based on our evaluation of market conditions, our share price, legal requirements, restricted payment capacity under our debt instruments and other factors. The stock repurchase program may be suspended, modified or discontinued at any time without prior notice.</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88"/>
        </w:trPr>
        <w:tc>
          <w:tcPr>
            <w:tcW w:w="3660" w:type="dxa"/>
            <w:vAlign w:val="bottom"/>
          </w:tcPr>
          <w:p>
            <w:pPr>
              <w:ind w:left="20"/>
              <w:spacing w:after="0"/>
              <w:rPr>
                <w:sz w:val="20"/>
                <w:szCs w:val="20"/>
                <w:color w:val="auto"/>
              </w:rPr>
            </w:pPr>
            <w:r>
              <w:rPr>
                <w:rFonts w:ascii="Arial" w:cs="Arial" w:eastAsia="Arial" w:hAnsi="Arial"/>
                <w:sz w:val="18"/>
                <w:szCs w:val="18"/>
                <w:color w:val="auto"/>
              </w:rPr>
              <w:t>Date:   August 2, 2022</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18"/>
        </w:trPr>
        <w:tc>
          <w:tcPr>
            <w:tcW w:w="36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29"/>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39"/>
        </w:trPr>
        <w:tc>
          <w:tcPr>
            <w:tcW w:w="366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41</w:t>
            </w:r>
          </w:p>
        </w:tc>
      </w:tr>
      <w:tr>
        <w:trPr>
          <w:trHeight w:val="111"/>
        </w:trPr>
        <w:tc>
          <w:tcPr>
            <w:tcW w:w="366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20" w:type="dxa"/>
            <w:vAlign w:val="bottom"/>
            <w:gridSpan w:val="24"/>
          </w:tcPr>
          <w:p>
            <w:pPr>
              <w:ind w:left="800"/>
              <w:spacing w:after="0"/>
              <w:rPr>
                <w:sz w:val="20"/>
                <w:szCs w:val="20"/>
                <w:color w:val="auto"/>
              </w:rPr>
            </w:pPr>
            <w:r>
              <w:rPr>
                <w:rFonts w:ascii="Arial" w:cs="Arial" w:eastAsia="Arial" w:hAnsi="Arial"/>
                <w:sz w:val="16"/>
                <w:szCs w:val="16"/>
                <w:b w:val="1"/>
                <w:bCs w:val="1"/>
                <w:color w:val="auto"/>
              </w:rPr>
              <w:t>Exhibit Index</w:t>
            </w:r>
          </w:p>
        </w:tc>
      </w:tr>
      <w:tr>
        <w:trPr>
          <w:trHeight w:val="426"/>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9"/>
              </w:rPr>
              <w:t>Description</w:t>
            </w:r>
          </w:p>
        </w:tc>
        <w:tc>
          <w:tcPr>
            <w:tcW w:w="4520" w:type="dxa"/>
            <w:vAlign w:val="bottom"/>
            <w:gridSpan w:val="18"/>
          </w:tcPr>
          <w:p>
            <w:pPr>
              <w:spacing w:after="0"/>
              <w:rPr>
                <w:sz w:val="24"/>
                <w:szCs w:val="24"/>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71">
              <w:r>
                <w:rPr>
                  <w:rFonts w:ascii="Arial" w:cs="Arial" w:eastAsia="Arial" w:hAnsi="Arial"/>
                  <w:sz w:val="16"/>
                  <w:szCs w:val="16"/>
                  <w:color w:val="0000FF"/>
                </w:rPr>
                <w:t>Amended and Restated Certificate of Incorporation of Avis Budget Group, Inc. (incorporated by reference to Exhibit 3.1 to the Company’s</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Current Report on Form 8-K dated September 5, 2006).</w:t>
              </w:r>
            </w:hyperlink>
          </w:p>
        </w:tc>
        <w:tc>
          <w:tcPr>
            <w:tcW w:w="582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3.2</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72">
              <w:r>
                <w:rPr>
                  <w:rFonts w:ascii="Arial" w:cs="Arial" w:eastAsia="Arial" w:hAnsi="Arial"/>
                  <w:sz w:val="16"/>
                  <w:szCs w:val="16"/>
                  <w:color w:val="0000FF"/>
                </w:rPr>
                <w:t>Amended and Restated Bylaws of Avis Budget Group, Inc., dated as of August 10, 2020 (incorporated by reference to Exhibit 3.2 to the</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Company’s Current Report on Form 8-K dated August 13,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17"/>
                <w:szCs w:val="17"/>
                <w:color w:val="auto"/>
              </w:rPr>
            </w:pPr>
          </w:p>
        </w:tc>
        <w:tc>
          <w:tcPr>
            <w:tcW w:w="9940" w:type="dxa"/>
            <w:vAlign w:val="bottom"/>
            <w:tcBorders>
              <w:bottom w:val="single" w:sz="8" w:color="0000FF"/>
            </w:tcBorders>
            <w:gridSpan w:val="27"/>
          </w:tcPr>
          <w:p>
            <w:pPr>
              <w:spacing w:after="0"/>
              <w:rPr>
                <w:rFonts w:ascii="Arial" w:cs="Arial" w:eastAsia="Arial" w:hAnsi="Arial"/>
                <w:sz w:val="16"/>
                <w:szCs w:val="16"/>
                <w:color w:val="0000FF"/>
              </w:rPr>
            </w:pPr>
            <w:hyperlink r:id="rId73">
              <w:r>
                <w:rPr>
                  <w:rFonts w:ascii="Arial" w:cs="Arial" w:eastAsia="Arial" w:hAnsi="Arial"/>
                  <w:sz w:val="16"/>
                  <w:szCs w:val="16"/>
                  <w:color w:val="0000FF"/>
                </w:rPr>
                <w:t>Series 2022-1 Supplement, dated as of April 14, 2022, between Avis Budget Rental Car Funding (AESOP) LLC and The Bank of New York</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940" w:type="dxa"/>
            <w:vAlign w:val="bottom"/>
            <w:gridSpan w:val="27"/>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Mellon Trust Company, N.A., as trustee and Series 2022-1 Agent (incorporated by reference to Exhibit 10.1 to the Company’s Current</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56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Report on Form 8-K dated April 19, 2022).</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74">
              <w:r>
                <w:rPr>
                  <w:rFonts w:ascii="Arial" w:cs="Arial" w:eastAsia="Arial" w:hAnsi="Arial"/>
                  <w:sz w:val="16"/>
                  <w:szCs w:val="16"/>
                  <w:color w:val="0000FF"/>
                </w:rPr>
                <w:t>Fifth Amended and Restated Series 2010-6 Supplement, dated as of April 14, 2022, by and among Avis Budget Rental Car Funding</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4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(AESOP) LLC, as Issuer, Avis Budget Car Rental, LLC, as Administrator, JPMorgan Chase Bank, N.A., as Administrative Agent, the</w:t>
              </w:r>
            </w:hyperlink>
          </w:p>
        </w:tc>
        <w:tc>
          <w:tcPr>
            <w:tcW w:w="500" w:type="dxa"/>
            <w:vAlign w:val="bottom"/>
            <w:gridSpan w:val="16"/>
          </w:tcPr>
          <w:p>
            <w:pPr>
              <w:jc w:val="right"/>
              <w:ind w:right="120"/>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Non-</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Conduit Purchasers, the CP Conduit Purchasers, the Committed Note Purchasers, the APA Banks and the Funding Agents named therein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900" w:type="dxa"/>
            <w:vAlign w:val="bottom"/>
            <w:tcBorders>
              <w:bottom w:val="single" w:sz="8" w:color="0000FF"/>
            </w:tcBorders>
            <w:gridSpan w:val="25"/>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and The Bank of New York Mellon Trust Company, N.A., as Trustee and as Series 2010-6 Agent (incorporated by reference to Exhibit 10.2</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20" w:type="dxa"/>
            <w:vAlign w:val="bottom"/>
            <w:tcBorders>
              <w:bottom w:val="single" w:sz="8" w:color="0000FF"/>
            </w:tcBorders>
            <w:gridSpan w:val="8"/>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to the Company’s Current Report on Form 8-K dated April 19, 2022).</w:t>
              </w:r>
            </w:hyperlink>
          </w:p>
        </w:tc>
        <w:tc>
          <w:tcPr>
            <w:tcW w:w="5000" w:type="dxa"/>
            <w:vAlign w:val="bottom"/>
            <w:gridSpan w:val="18"/>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75">
              <w:r>
                <w:rPr>
                  <w:rFonts w:ascii="Arial" w:cs="Arial" w:eastAsia="Arial" w:hAnsi="Arial"/>
                  <w:sz w:val="16"/>
                  <w:szCs w:val="16"/>
                  <w:color w:val="0000FF"/>
                </w:rPr>
                <w:t>Third Amended and Restated Series 2015-3 Supplement, dated as of April 14, 2022, by and among Avis Budget Rental Car Funding</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5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(AESOP) LLC, as Issuer, Avis Budget Car Rental, LLC, as Administrator, JPMorgan Chase Bank, N.A., as Administrative Agent, the</w:t>
              </w:r>
            </w:hyperlink>
          </w:p>
        </w:tc>
        <w:tc>
          <w:tcPr>
            <w:tcW w:w="440" w:type="dxa"/>
            <w:vAlign w:val="bottom"/>
            <w:gridSpan w:val="15"/>
          </w:tcPr>
          <w:p>
            <w:pPr>
              <w:jc w:val="right"/>
              <w:ind w:right="120"/>
              <w:spacing w:after="0" w:line="142" w:lineRule="exact"/>
              <w:rPr>
                <w:rFonts w:ascii="Arial" w:cs="Arial" w:eastAsia="Arial" w:hAnsi="Arial"/>
                <w:sz w:val="16"/>
                <w:szCs w:val="16"/>
                <w:color w:val="0000FF"/>
                <w:w w:val="86"/>
              </w:rPr>
            </w:pPr>
            <w:hyperlink r:id="rId75">
              <w:r>
                <w:rPr>
                  <w:rFonts w:ascii="Arial" w:cs="Arial" w:eastAsia="Arial" w:hAnsi="Arial"/>
                  <w:sz w:val="16"/>
                  <w:szCs w:val="16"/>
                  <w:color w:val="0000FF"/>
                  <w:w w:val="86"/>
                </w:rPr>
                <w:t>Non-</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Conduit Purchasers, the CP Conduit Purchasers, the Committed Note Purchasers, the APA Banks and the Funding Agents named therein</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9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and The Bank of New York Mellon Trust Company, N.A., as Trustee and as Series 2015-3 Agent (incorporated by reference to Exhibit 10.3</w:t>
              </w:r>
            </w:hyperlink>
          </w:p>
        </w:tc>
        <w:tc>
          <w:tcPr>
            <w:tcW w:w="40" w:type="dxa"/>
            <w:vAlign w:val="bottom"/>
            <w:gridSpan w:val="2"/>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to the Company’s Current Report on Form 8-K dated April 19, 2022).</w:t>
              </w:r>
            </w:hyperlink>
          </w:p>
        </w:tc>
        <w:tc>
          <w:tcPr>
            <w:tcW w:w="500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10.4</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76">
              <w:r>
                <w:rPr>
                  <w:rFonts w:ascii="Arial" w:cs="Arial" w:eastAsia="Arial" w:hAnsi="Arial"/>
                  <w:sz w:val="16"/>
                  <w:szCs w:val="16"/>
                  <w:color w:val="0000FF"/>
                </w:rPr>
                <w:t>Separation Agreement, dated April 19, 2022, between Veresh Sita and Avis Budget Group, Inc. (incorporated by reference to Exhibit 10.1</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76">
              <w:r>
                <w:rPr>
                  <w:rFonts w:ascii="Arial" w:cs="Arial" w:eastAsia="Arial" w:hAnsi="Arial"/>
                  <w:sz w:val="16"/>
                  <w:szCs w:val="16"/>
                  <w:color w:val="0000FF"/>
                </w:rPr>
                <w:t>to the Company’s Current Report on Form 8-K dated April 22, 2022).</w:t>
              </w:r>
            </w:hyperlink>
          </w:p>
        </w:tc>
        <w:tc>
          <w:tcPr>
            <w:tcW w:w="4960" w:type="dxa"/>
            <w:vAlign w:val="bottom"/>
            <w:tcBorders>
              <w:top w:val="single" w:sz="8" w:color="0000FF"/>
            </w:tcBorders>
            <w:gridSpan w:val="16"/>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10.5</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77">
              <w:r>
                <w:rPr>
                  <w:rFonts w:ascii="Arial" w:cs="Arial" w:eastAsia="Arial" w:hAnsi="Arial"/>
                  <w:sz w:val="16"/>
                  <w:szCs w:val="16"/>
                  <w:color w:val="0000FF"/>
                </w:rPr>
                <w:t>Series 2022-2 Supplement, dated as of June 7, 2022, between Avis Budget Rental Car Funding (AESOP) LLC, Avis Budget Car Rental,</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72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77">
              <w:r>
                <w:rPr>
                  <w:rFonts w:ascii="Arial" w:cs="Arial" w:eastAsia="Arial" w:hAnsi="Arial"/>
                  <w:sz w:val="16"/>
                  <w:szCs w:val="16"/>
                  <w:color w:val="0000FF"/>
                </w:rPr>
                <w:t>LLC, as Administrator, JPMorgan Chase Bank, N.A., as Administrative Agent, the Non-Conduit Purchasers, the CP Conduit Purchasers,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760" w:type="dxa"/>
            <w:vAlign w:val="bottom"/>
            <w:gridSpan w:val="20"/>
          </w:tcPr>
          <w:p>
            <w:pPr>
              <w:spacing w:after="0" w:line="142" w:lineRule="exact"/>
              <w:rPr>
                <w:rFonts w:ascii="Arial" w:cs="Arial" w:eastAsia="Arial" w:hAnsi="Arial"/>
                <w:sz w:val="16"/>
                <w:szCs w:val="16"/>
                <w:color w:val="0000FF"/>
              </w:rPr>
            </w:pPr>
            <w:hyperlink r:id="rId77">
              <w:r>
                <w:rPr>
                  <w:rFonts w:ascii="Arial" w:cs="Arial" w:eastAsia="Arial" w:hAnsi="Arial"/>
                  <w:sz w:val="16"/>
                  <w:szCs w:val="16"/>
                  <w:color w:val="0000FF"/>
                </w:rPr>
                <w:t>the Committed Note Purchasers, the APA Banks and the Funding Agents named therein, and The Bank of New York Mellon Trust</w:t>
              </w:r>
            </w:hyperlink>
          </w:p>
        </w:tc>
        <w:tc>
          <w:tcPr>
            <w:tcW w:w="8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60" w:type="dxa"/>
            <w:vAlign w:val="bottom"/>
            <w:tcBorders>
              <w:top w:val="single" w:sz="8" w:color="0000FF"/>
            </w:tcBorders>
            <w:gridSpan w:val="10"/>
          </w:tcPr>
          <w:p>
            <w:pPr>
              <w:spacing w:after="0" w:line="142" w:lineRule="exact"/>
              <w:rPr>
                <w:rFonts w:ascii="Arial" w:cs="Arial" w:eastAsia="Arial" w:hAnsi="Arial"/>
                <w:sz w:val="16"/>
                <w:szCs w:val="16"/>
                <w:color w:val="0000FF"/>
                <w:w w:val="99"/>
              </w:rPr>
            </w:pPr>
            <w:hyperlink r:id="rId77">
              <w:r>
                <w:rPr>
                  <w:rFonts w:ascii="Arial" w:cs="Arial" w:eastAsia="Arial" w:hAnsi="Arial"/>
                  <w:sz w:val="16"/>
                  <w:szCs w:val="16"/>
                  <w:color w:val="0000FF"/>
                  <w:w w:val="99"/>
                </w:rPr>
                <w:t>Company, N.A., as trustee and as Series 2022-2 Agent (incorporated by reference to Exhibit 10.1 to the Company’s Current Report</w:t>
              </w:r>
            </w:hyperlink>
          </w:p>
        </w:tc>
        <w:tc>
          <w:tcPr>
            <w:tcW w:w="680" w:type="dxa"/>
            <w:vAlign w:val="bottom"/>
            <w:gridSpan w:val="17"/>
          </w:tcPr>
          <w:p>
            <w:pPr>
              <w:ind w:left="160"/>
              <w:spacing w:after="0" w:line="142" w:lineRule="exact"/>
              <w:rPr>
                <w:rFonts w:ascii="Arial" w:cs="Arial" w:eastAsia="Arial" w:hAnsi="Arial"/>
                <w:sz w:val="16"/>
                <w:szCs w:val="16"/>
                <w:color w:val="0000FF"/>
              </w:rPr>
            </w:pPr>
            <w:hyperlink r:id="rId77">
              <w:r>
                <w:rPr>
                  <w:rFonts w:ascii="Arial" w:cs="Arial" w:eastAsia="Arial" w:hAnsi="Arial"/>
                  <w:sz w:val="16"/>
                  <w:szCs w:val="16"/>
                  <w:color w:val="0000FF"/>
                </w:rPr>
                <w:t>on</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77">
              <w:r>
                <w:rPr>
                  <w:rFonts w:ascii="Arial" w:cs="Arial" w:eastAsia="Arial" w:hAnsi="Arial"/>
                  <w:sz w:val="16"/>
                  <w:szCs w:val="16"/>
                  <w:color w:val="0000FF"/>
                </w:rPr>
                <w:t>Form 8-K dated June 10, 2022).</w:t>
              </w:r>
            </w:hyperlink>
          </w:p>
        </w:tc>
        <w:tc>
          <w:tcPr>
            <w:tcW w:w="7300" w:type="dxa"/>
            <w:vAlign w:val="bottom"/>
            <w:tcBorders>
              <w:top w:val="single" w:sz="8" w:color="0000FF"/>
            </w:tcBorders>
            <w:gridSpan w:val="1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10.6</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78">
              <w:r>
                <w:rPr>
                  <w:rFonts w:ascii="Arial" w:cs="Arial" w:eastAsia="Arial" w:hAnsi="Arial"/>
                  <w:sz w:val="16"/>
                  <w:szCs w:val="16"/>
                  <w:color w:val="0000FF"/>
                </w:rPr>
                <w:t>Amended and Restated Series 2019-3 Supplement, dated as of May 26, 2022, between Avis Budget Rental Car Funding (AESOP) LLC</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7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78">
              <w:r>
                <w:rPr>
                  <w:rFonts w:ascii="Arial" w:cs="Arial" w:eastAsia="Arial" w:hAnsi="Arial"/>
                  <w:sz w:val="16"/>
                  <w:szCs w:val="16"/>
                  <w:color w:val="0000FF"/>
                </w:rPr>
                <w:t>and The Bank of New York Mellon Trust Company, N.A., as trustee and Series 2019-3 Agent (incorporated by reference to Exhibit 10.2</w:t>
              </w:r>
            </w:hyperlink>
          </w:p>
        </w:tc>
        <w:tc>
          <w:tcPr>
            <w:tcW w:w="240" w:type="dxa"/>
            <w:vAlign w:val="bottom"/>
            <w:gridSpan w:val="10"/>
          </w:tcPr>
          <w:p>
            <w:pPr>
              <w:jc w:val="right"/>
              <w:ind w:right="120"/>
              <w:spacing w:after="0" w:line="142" w:lineRule="exact"/>
              <w:rPr>
                <w:rFonts w:ascii="Arial" w:cs="Arial" w:eastAsia="Arial" w:hAnsi="Arial"/>
                <w:sz w:val="16"/>
                <w:szCs w:val="16"/>
                <w:color w:val="0000FF"/>
                <w:w w:val="74"/>
              </w:rPr>
            </w:pPr>
            <w:hyperlink r:id="rId78">
              <w:r>
                <w:rPr>
                  <w:rFonts w:ascii="Arial" w:cs="Arial" w:eastAsia="Arial" w:hAnsi="Arial"/>
                  <w:sz w:val="16"/>
                  <w:szCs w:val="16"/>
                  <w:color w:val="0000FF"/>
                  <w:w w:val="74"/>
                </w:rPr>
                <w:t>to</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78">
              <w:r>
                <w:rPr>
                  <w:rFonts w:ascii="Arial" w:cs="Arial" w:eastAsia="Arial" w:hAnsi="Arial"/>
                  <w:sz w:val="16"/>
                  <w:szCs w:val="16"/>
                  <w:color w:val="0000FF"/>
                </w:rPr>
                <w:t>the Company’s Current Report on Form 8-K dated June 10, 2022).</w:t>
              </w:r>
            </w:hyperlink>
          </w:p>
        </w:tc>
        <w:tc>
          <w:tcPr>
            <w:tcW w:w="100" w:type="dxa"/>
            <w:vAlign w:val="bottom"/>
            <w:gridSpan w:val="5"/>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380" w:type="dxa"/>
            <w:vAlign w:val="bottom"/>
            <w:gridSpan w:val="6"/>
            <w:shd w:val="clear" w:color="auto" w:fill="0000FF"/>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10.7</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79">
              <w:r>
                <w:rPr>
                  <w:rFonts w:ascii="Arial" w:cs="Arial" w:eastAsia="Arial" w:hAnsi="Arial"/>
                  <w:sz w:val="16"/>
                  <w:szCs w:val="16"/>
                  <w:color w:val="0000FF"/>
                </w:rPr>
                <w:t>Amended and Restated Series 2017-2 Supplement, dated as of May 31, 2022, between Avis Budget Rental Car Funding (AESOP) LLC</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7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and The Bank of New York Mellon Trust Company, N.A., as trustee and Series 2017-2 Agent (incorporated by reference to Exhibit 10.3</w:t>
              </w:r>
            </w:hyperlink>
          </w:p>
        </w:tc>
        <w:tc>
          <w:tcPr>
            <w:tcW w:w="240" w:type="dxa"/>
            <w:vAlign w:val="bottom"/>
            <w:gridSpan w:val="10"/>
          </w:tcPr>
          <w:p>
            <w:pPr>
              <w:jc w:val="right"/>
              <w:ind w:right="120"/>
              <w:spacing w:after="0" w:line="142" w:lineRule="exact"/>
              <w:rPr>
                <w:rFonts w:ascii="Arial" w:cs="Arial" w:eastAsia="Arial" w:hAnsi="Arial"/>
                <w:sz w:val="16"/>
                <w:szCs w:val="16"/>
                <w:color w:val="0000FF"/>
                <w:w w:val="74"/>
              </w:rPr>
            </w:pPr>
            <w:hyperlink r:id="rId79">
              <w:r>
                <w:rPr>
                  <w:rFonts w:ascii="Arial" w:cs="Arial" w:eastAsia="Arial" w:hAnsi="Arial"/>
                  <w:sz w:val="16"/>
                  <w:szCs w:val="16"/>
                  <w:color w:val="0000FF"/>
                  <w:w w:val="74"/>
                </w:rPr>
                <w:t>to</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the Company’s Current Report on Form 8-K dated June 10, 2022).</w:t>
              </w:r>
            </w:hyperlink>
          </w:p>
        </w:tc>
        <w:tc>
          <w:tcPr>
            <w:tcW w:w="100" w:type="dxa"/>
            <w:vAlign w:val="bottom"/>
            <w:gridSpan w:val="5"/>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380" w:type="dxa"/>
            <w:vAlign w:val="bottom"/>
            <w:gridSpan w:val="6"/>
            <w:shd w:val="clear" w:color="auto" w:fill="0000FF"/>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10.8</w:t>
            </w:r>
          </w:p>
        </w:tc>
        <w:tc>
          <w:tcPr>
            <w:tcW w:w="400" w:type="dxa"/>
            <w:vAlign w:val="bottom"/>
          </w:tcPr>
          <w:p>
            <w:pPr>
              <w:spacing w:after="0"/>
              <w:rPr>
                <w:sz w:val="17"/>
                <w:szCs w:val="17"/>
                <w:color w:val="auto"/>
              </w:rPr>
            </w:pPr>
          </w:p>
        </w:tc>
        <w:tc>
          <w:tcPr>
            <w:tcW w:w="9940" w:type="dxa"/>
            <w:vAlign w:val="bottom"/>
            <w:gridSpan w:val="27"/>
          </w:tcPr>
          <w:p>
            <w:pPr>
              <w:spacing w:after="0"/>
              <w:rPr>
                <w:rFonts w:ascii="Arial" w:cs="Arial" w:eastAsia="Arial" w:hAnsi="Arial"/>
                <w:sz w:val="16"/>
                <w:szCs w:val="16"/>
                <w:color w:val="0000FF"/>
              </w:rPr>
            </w:pPr>
            <w:hyperlink r:id="rId80">
              <w:r>
                <w:rPr>
                  <w:rFonts w:ascii="Arial" w:cs="Arial" w:eastAsia="Arial" w:hAnsi="Arial"/>
                  <w:sz w:val="16"/>
                  <w:szCs w:val="16"/>
                  <w:color w:val="0000FF"/>
                </w:rPr>
                <w:t>Amended and Restated Series 2018-1 Supplement, dated as of May 31, 2022, between Avis Budget Rental Car Funding (AESOP) LLC</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7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80">
              <w:r>
                <w:rPr>
                  <w:rFonts w:ascii="Arial" w:cs="Arial" w:eastAsia="Arial" w:hAnsi="Arial"/>
                  <w:sz w:val="16"/>
                  <w:szCs w:val="16"/>
                  <w:color w:val="0000FF"/>
                </w:rPr>
                <w:t>and The Bank of New York Mellon Trust Company, N.A., as trustee and Series 2018-1 Agent (incorporated by reference to Exhibit 10.4</w:t>
              </w:r>
            </w:hyperlink>
          </w:p>
        </w:tc>
        <w:tc>
          <w:tcPr>
            <w:tcW w:w="240" w:type="dxa"/>
            <w:vAlign w:val="bottom"/>
            <w:gridSpan w:val="10"/>
          </w:tcPr>
          <w:p>
            <w:pPr>
              <w:jc w:val="right"/>
              <w:ind w:right="120"/>
              <w:spacing w:after="0" w:line="142" w:lineRule="exact"/>
              <w:rPr>
                <w:rFonts w:ascii="Arial" w:cs="Arial" w:eastAsia="Arial" w:hAnsi="Arial"/>
                <w:sz w:val="16"/>
                <w:szCs w:val="16"/>
                <w:color w:val="0000FF"/>
                <w:w w:val="74"/>
              </w:rPr>
            </w:pPr>
            <w:hyperlink r:id="rId80">
              <w:r>
                <w:rPr>
                  <w:rFonts w:ascii="Arial" w:cs="Arial" w:eastAsia="Arial" w:hAnsi="Arial"/>
                  <w:sz w:val="16"/>
                  <w:szCs w:val="16"/>
                  <w:color w:val="0000FF"/>
                  <w:w w:val="74"/>
                </w:rPr>
                <w:t>to</w:t>
              </w:r>
            </w:hyperlink>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80">
              <w:r>
                <w:rPr>
                  <w:rFonts w:ascii="Arial" w:cs="Arial" w:eastAsia="Arial" w:hAnsi="Arial"/>
                  <w:sz w:val="16"/>
                  <w:szCs w:val="16"/>
                  <w:color w:val="0000FF"/>
                </w:rPr>
                <w:t>the Company’s Current Report on Form 8-K dated June 10, 2022).</w:t>
              </w:r>
            </w:hyperlink>
          </w:p>
        </w:tc>
        <w:tc>
          <w:tcPr>
            <w:tcW w:w="100" w:type="dxa"/>
            <w:vAlign w:val="bottom"/>
            <w:gridSpan w:val="5"/>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380" w:type="dxa"/>
            <w:vAlign w:val="bottom"/>
            <w:gridSpan w:val="6"/>
            <w:shd w:val="clear" w:color="auto" w:fill="0000FF"/>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400" w:type="dxa"/>
            <w:vAlign w:val="bottom"/>
          </w:tcPr>
          <w:p>
            <w:pPr>
              <w:spacing w:after="0"/>
              <w:rPr>
                <w:sz w:val="17"/>
                <w:szCs w:val="17"/>
                <w:color w:val="auto"/>
              </w:rPr>
            </w:pPr>
          </w:p>
        </w:tc>
        <w:tc>
          <w:tcPr>
            <w:tcW w:w="9940" w:type="dxa"/>
            <w:vAlign w:val="bottom"/>
            <w:gridSpan w:val="27"/>
          </w:tcPr>
          <w:p>
            <w:pPr>
              <w:spacing w:after="0"/>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74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1934, as amended.</w:t>
            </w:r>
          </w:p>
        </w:tc>
        <w:tc>
          <w:tcPr>
            <w:tcW w:w="200" w:type="dxa"/>
            <w:vAlign w:val="bottom"/>
            <w:gridSpan w:val="8"/>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80" w:type="dxa"/>
            <w:vAlign w:val="bottom"/>
            <w:gridSpan w:val="14"/>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400" w:type="dxa"/>
            <w:vAlign w:val="bottom"/>
          </w:tcPr>
          <w:p>
            <w:pPr>
              <w:spacing w:after="0"/>
              <w:rPr>
                <w:sz w:val="17"/>
                <w:szCs w:val="17"/>
                <w:color w:val="auto"/>
              </w:rPr>
            </w:pPr>
          </w:p>
        </w:tc>
        <w:tc>
          <w:tcPr>
            <w:tcW w:w="9940" w:type="dxa"/>
            <w:vAlign w:val="bottom"/>
            <w:gridSpan w:val="27"/>
          </w:tcPr>
          <w:p>
            <w:pPr>
              <w:spacing w:after="0"/>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6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1934, as amended.</w:t>
            </w:r>
          </w:p>
        </w:tc>
        <w:tc>
          <w:tcPr>
            <w:tcW w:w="280" w:type="dxa"/>
            <w:vAlign w:val="bottom"/>
            <w:gridSpan w:val="12"/>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1260" w:hanging="1254"/>
        <w:spacing w:after="0"/>
        <w:tabs>
          <w:tab w:leader="none" w:pos="126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0000FF"/>
        </w:rPr>
        <w:t>Certification pursuant to 18 U.S.C. Section 1350, as adopted pursuant to Section 906 of the Sarbanes-Oxley Act of 2002.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20"/>
                <w:szCs w:val="20"/>
                <w:color w:val="auto"/>
              </w:rPr>
            </w:pPr>
            <w:r>
              <w:rPr>
                <w:rFonts w:ascii="Arial" w:cs="Arial" w:eastAsia="Arial" w:hAnsi="Arial"/>
                <w:sz w:val="16"/>
                <w:szCs w:val="16"/>
                <w:color w:val="auto"/>
              </w:rPr>
              <w:t>101.INS</w:t>
            </w:r>
          </w:p>
        </w:tc>
        <w:tc>
          <w:tcPr>
            <w:tcW w:w="9860" w:type="dxa"/>
            <w:vAlign w:val="bottom"/>
          </w:tcPr>
          <w:p>
            <w:pPr>
              <w:ind w:left="30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960" w:type="dxa"/>
            <w:vAlign w:val="bottom"/>
          </w:tcPr>
          <w:p>
            <w:pPr>
              <w:spacing w:after="0"/>
              <w:rPr>
                <w:sz w:val="18"/>
                <w:szCs w:val="18"/>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within the Inline XBRL document.</w:t>
            </w:r>
          </w:p>
        </w:tc>
      </w:tr>
      <w:tr>
        <w:trPr>
          <w:trHeight w:val="215"/>
        </w:trPr>
        <w:tc>
          <w:tcPr>
            <w:tcW w:w="960" w:type="dxa"/>
            <w:vAlign w:val="bottom"/>
          </w:tcPr>
          <w:p>
            <w:pPr>
              <w:spacing w:after="0"/>
              <w:rPr>
                <w:sz w:val="20"/>
                <w:szCs w:val="20"/>
                <w:color w:val="auto"/>
              </w:rPr>
            </w:pPr>
            <w:r>
              <w:rPr>
                <w:rFonts w:ascii="Arial" w:cs="Arial" w:eastAsia="Arial" w:hAnsi="Arial"/>
                <w:sz w:val="16"/>
                <w:szCs w:val="16"/>
                <w:color w:val="auto"/>
              </w:rPr>
              <w:t>101.SCH</w:t>
            </w:r>
          </w:p>
        </w:tc>
        <w:tc>
          <w:tcPr>
            <w:tcW w:w="9860" w:type="dxa"/>
            <w:vAlign w:val="bottom"/>
          </w:tcPr>
          <w:p>
            <w:pPr>
              <w:ind w:left="300"/>
              <w:spacing w:after="0"/>
              <w:rPr>
                <w:sz w:val="20"/>
                <w:szCs w:val="20"/>
                <w:color w:val="auto"/>
              </w:rPr>
            </w:pPr>
            <w:r>
              <w:rPr>
                <w:rFonts w:ascii="Arial" w:cs="Arial" w:eastAsia="Arial" w:hAnsi="Arial"/>
                <w:sz w:val="16"/>
                <w:szCs w:val="16"/>
                <w:color w:val="auto"/>
              </w:rPr>
              <w:t>XBRL Taxonomy Extension Schema.</w:t>
            </w: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101.CAL</w:t>
            </w:r>
          </w:p>
        </w:tc>
        <w:tc>
          <w:tcPr>
            <w:tcW w:w="9860" w:type="dxa"/>
            <w:vAlign w:val="bottom"/>
          </w:tcPr>
          <w:p>
            <w:pPr>
              <w:ind w:left="300"/>
              <w:spacing w:after="0"/>
              <w:rPr>
                <w:sz w:val="20"/>
                <w:szCs w:val="20"/>
                <w:color w:val="auto"/>
              </w:rPr>
            </w:pPr>
            <w:r>
              <w:rPr>
                <w:rFonts w:ascii="Arial" w:cs="Arial" w:eastAsia="Arial" w:hAnsi="Arial"/>
                <w:sz w:val="16"/>
                <w:szCs w:val="16"/>
                <w:color w:val="auto"/>
              </w:rPr>
              <w:t>XBRL Taxonomy Extension Calculation Linkbase.</w:t>
            </w: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101.DEF</w:t>
            </w:r>
          </w:p>
        </w:tc>
        <w:tc>
          <w:tcPr>
            <w:tcW w:w="9860" w:type="dxa"/>
            <w:vAlign w:val="bottom"/>
          </w:tcPr>
          <w:p>
            <w:pPr>
              <w:ind w:left="300"/>
              <w:spacing w:after="0"/>
              <w:rPr>
                <w:sz w:val="20"/>
                <w:szCs w:val="20"/>
                <w:color w:val="auto"/>
              </w:rPr>
            </w:pPr>
            <w:r>
              <w:rPr>
                <w:rFonts w:ascii="Arial" w:cs="Arial" w:eastAsia="Arial" w:hAnsi="Arial"/>
                <w:sz w:val="16"/>
                <w:szCs w:val="16"/>
                <w:color w:val="auto"/>
              </w:rPr>
              <w:t>XBRL Taxonomy Extension Definition Linkbase.</w:t>
            </w: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101.LAB</w:t>
            </w:r>
          </w:p>
        </w:tc>
        <w:tc>
          <w:tcPr>
            <w:tcW w:w="9860" w:type="dxa"/>
            <w:vAlign w:val="bottom"/>
          </w:tcPr>
          <w:p>
            <w:pPr>
              <w:ind w:left="300"/>
              <w:spacing w:after="0"/>
              <w:rPr>
                <w:sz w:val="20"/>
                <w:szCs w:val="20"/>
                <w:color w:val="auto"/>
              </w:rPr>
            </w:pPr>
            <w:r>
              <w:rPr>
                <w:rFonts w:ascii="Arial" w:cs="Arial" w:eastAsia="Arial" w:hAnsi="Arial"/>
                <w:sz w:val="16"/>
                <w:szCs w:val="16"/>
                <w:color w:val="auto"/>
              </w:rPr>
              <w:t>XBRL Taxonomy Extension Label Linkbase.</w:t>
            </w: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101.PRE</w:t>
            </w:r>
          </w:p>
        </w:tc>
        <w:tc>
          <w:tcPr>
            <w:tcW w:w="9860" w:type="dxa"/>
            <w:vAlign w:val="bottom"/>
          </w:tcPr>
          <w:p>
            <w:pPr>
              <w:ind w:left="30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1" w:lineRule="exact"/>
        <w:rPr>
          <w:sz w:val="20"/>
          <w:szCs w:val="20"/>
          <w:color w:val="auto"/>
        </w:rPr>
      </w:pPr>
    </w:p>
    <w:p>
      <w:pPr>
        <w:ind w:left="1260" w:hanging="1254"/>
        <w:spacing w:after="0"/>
        <w:tabs>
          <w:tab w:leader="none" w:pos="1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Cover Page Interactive Data File -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5"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42</w:t>
      </w:r>
    </w:p>
    <w:p>
      <w:pPr>
        <w:sectPr>
          <w:pgSz w:w="11900" w:h="16838" w:orient="portrait"/>
          <w:cols w:equalWidth="0" w:num="1">
            <w:col w:w="11200"/>
          </w:cols>
          <w:pgMar w:left="340" w:top="935"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17780</wp:posOffset>
            </wp:positionV>
            <wp:extent cx="28632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2022</w:t>
      </w:r>
    </w:p>
    <w:p>
      <w:pPr>
        <w:spacing w:after="0" w:line="266"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17780</wp:posOffset>
            </wp:positionV>
            <wp:extent cx="41662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2022,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2, 2022</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CHOI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2, 2022</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lowerLetter"/>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1."/>
      <w:numFmt w:val="decimal"/>
      <w:start w:val="4"/>
    </w:lvl>
  </w:abstractNum>
  <w:abstractNum w:abstractNumId="10">
    <w:nsid w:val="3A95F874"/>
    <w:multiLevelType w:val="hybridMultilevel"/>
    <w:lvl w:ilvl="0">
      <w:lvlJc w:val="left"/>
      <w:lvlText w:val="%1"/>
      <w:numFmt w:val="decimal"/>
      <w:start w:val="1"/>
    </w:lvl>
    <w:lvl w:ilvl="1">
      <w:lvlJc w:val="left"/>
      <w:lvlText w:val="(%2)"/>
      <w:numFmt w:val="lowerLetter"/>
      <w:start w:val="1"/>
    </w:lvl>
  </w:abstractNum>
  <w:abstractNum w:abstractNumId="11">
    <w:nsid w:val="8138641"/>
    <w:multiLevelType w:val="hybridMultilevel"/>
    <w:lvl w:ilvl="0">
      <w:lvlJc w:val="left"/>
      <w:lvlText w:val="%1."/>
      <w:numFmt w:val="decimal"/>
      <w:start w:val="5"/>
    </w:lvl>
    <w:lvl w:ilvl="1">
      <w:lvlJc w:val="left"/>
      <w:lvlText w:val="%2"/>
      <w:numFmt w:val="lowerLetter"/>
      <w:start w:val="1"/>
    </w:lvl>
  </w:abstractNum>
  <w:abstractNum w:abstractNumId="12">
    <w:nsid w:val="1E7FF521"/>
    <w:multiLevelType w:val="hybridMultilevel"/>
    <w:lvl w:ilvl="0">
      <w:lvlJc w:val="left"/>
      <w:lvlText w:val="%1."/>
      <w:numFmt w:val="decimal"/>
      <w:start w:val="7"/>
    </w:lvl>
  </w:abstractNum>
  <w:abstractNum w:abstractNumId="13">
    <w:nsid w:val="7C3DBD3D"/>
    <w:multiLevelType w:val="hybridMultilevel"/>
    <w:lvl w:ilvl="0">
      <w:lvlJc w:val="left"/>
      <w:lvlText w:val="%1."/>
      <w:numFmt w:val="decimal"/>
      <w:start w:val="8"/>
    </w:lvl>
  </w:abstractNum>
  <w:abstractNum w:abstractNumId="14">
    <w:nsid w:val="737B8DDC"/>
    <w:multiLevelType w:val="hybridMultilevel"/>
    <w:lvl w:ilvl="0">
      <w:lvlJc w:val="left"/>
      <w:lvlText w:val="%1."/>
      <w:numFmt w:val="decimal"/>
      <w:start w:val="10"/>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decimal"/>
      <w:start w:val="1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decimal"/>
      <w:start w:val="12"/>
    </w:lvl>
  </w:abstractNum>
  <w:abstractNum w:abstractNumId="24">
    <w:nsid w:val="3804823E"/>
    <w:multiLevelType w:val="hybridMultilevel"/>
    <w:lvl w:ilvl="0">
      <w:lvlJc w:val="left"/>
      <w:lvlText w:val="%1."/>
      <w:numFmt w:val="decimal"/>
      <w:start w:val="13"/>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decimal"/>
      <w:start w:val="14"/>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decimal"/>
      <w:start w:val="16"/>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decimal"/>
      <w:start w:val="1"/>
    </w:lvl>
    <w:lvl w:ilvl="1">
      <w:lvlJc w:val="left"/>
      <w:lvlText w:val="(%2)"/>
      <w:numFmt w:val="lowerLetter"/>
      <w:start w:val="1"/>
    </w:lvl>
  </w:abstractNum>
  <w:abstractNum w:abstractNumId="33">
    <w:nsid w:val="153EA438"/>
    <w:multiLevelType w:val="hybridMultilevel"/>
    <w:lvl w:ilvl="0">
      <w:lvlJc w:val="left"/>
      <w:lvlText w:val="%1."/>
      <w:numFmt w:val="decimal"/>
      <w:start w:val="17"/>
    </w:lvl>
    <w:lvl w:ilvl="1">
      <w:lvlJc w:val="left"/>
      <w:lvlText w:val="%2"/>
      <w:numFmt w:val="lowerLetter"/>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decimal"/>
      <w:start w:val="18"/>
    </w:lvl>
    <w:lvl w:ilvl="1">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Roman"/>
      <w:start w:val="2"/>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decimal"/>
      <w:start w:val="32"/>
    </w:lvl>
  </w:abstractNum>
  <w:abstractNum w:abstractNumId="44">
    <w:nsid w:val="542289EC"/>
    <w:multiLevelType w:val="hybridMultilevel"/>
    <w:lvl w:ilvl="0">
      <w:lvlJc w:val="left"/>
      <w:lvlText w:val="%1"/>
      <w:numFmt w:val="decimal"/>
      <w:start w:val="104"/>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71" Type="http://schemas.openxmlformats.org/officeDocument/2006/relationships/hyperlink" Target="http://www.sec.gov/Archives/edgar/data/723612/000072361206000058/articles.htm" TargetMode="External"/><Relationship Id="rId72" Type="http://schemas.openxmlformats.org/officeDocument/2006/relationships/hyperlink" Target="http://www.sec.gov/Archives/edgar/data/723612/000119312520218349/d84038dex32.htm" TargetMode="External"/><Relationship Id="rId73" Type="http://schemas.openxmlformats.org/officeDocument/2006/relationships/hyperlink" Target="http://www.sec.gov/Archives/edgar/data/0000723612/000095014222001417/eh220244714_ex1001.htm" TargetMode="External"/><Relationship Id="rId74" Type="http://schemas.openxmlformats.org/officeDocument/2006/relationships/hyperlink" Target="http://www.sec.gov/Archives/edgar/data/0000723612/000095014222001417/eh220244714_ex1002.htm" TargetMode="External"/><Relationship Id="rId75" Type="http://schemas.openxmlformats.org/officeDocument/2006/relationships/hyperlink" Target="http://www.sec.gov/Archives/edgar/data/0000723612/000095014222001417/eh220244714_ex1003.htm" TargetMode="External"/><Relationship Id="rId76" Type="http://schemas.openxmlformats.org/officeDocument/2006/relationships/hyperlink" Target="http://www.sec.gov/Archives/edgar/data/0000723612/000095014222001473/eh220233563_ex1001.htm" TargetMode="External"/><Relationship Id="rId77" Type="http://schemas.openxmlformats.org/officeDocument/2006/relationships/hyperlink" Target="http://www.sec.gov/Archives/edgar/data/0000723612/000095014222001871/eh220256619_ex1001.htm" TargetMode="External"/><Relationship Id="rId78" Type="http://schemas.openxmlformats.org/officeDocument/2006/relationships/hyperlink" Target="http://www.sec.gov/Archives/edgar/data/0000723612/000095014222001871/eh220256619_ex1002.htm" TargetMode="External"/><Relationship Id="rId79" Type="http://schemas.openxmlformats.org/officeDocument/2006/relationships/hyperlink" Target="http://www.sec.gov/Archives/edgar/data/0000723612/000095014222001871/eh220256619_ex1003.htm" TargetMode="External"/><Relationship Id="rId80" Type="http://schemas.openxmlformats.org/officeDocument/2006/relationships/hyperlink" Target="http://www.sec.gov/Archives/edgar/data/0000723612/000095014222001871/eh220256619_ex10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2022-08-02T08:31:35Z</dcterms:created>
  <dcterms:modified xsi:type="dcterms:W3CDTF">2022-08-02T08:31:35Z</dcterms:modified>
</cp:coreProperties>
</file>