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pPr>
      <w:r>
        <w:rPr>
          <w:rFonts w:ascii="Arial;sans-serif" w:hAnsi="Arial;sans-serif"/>
          <w:b/>
          <w:color w:val="000000"/>
          <w:sz w:val="16"/>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center"/>
        <w:rPr/>
      </w:pPr>
      <w:r>
        <w:rPr/>
      </w:r>
    </w:p>
    <w:tbl>
      <w:tblPr>
        <w:tblW w:w="8939" w:type="dxa"/>
        <w:jc w:val="center"/>
        <w:tblInd w:w="0" w:type="dxa"/>
        <w:tblLayout w:type="fixed"/>
        <w:tblCellMar>
          <w:top w:w="28" w:type="dxa"/>
          <w:left w:w="28" w:type="dxa"/>
          <w:bottom w:w="28" w:type="dxa"/>
          <w:right w:w="28" w:type="dxa"/>
        </w:tblCellMar>
      </w:tblPr>
      <w:tblGrid>
        <w:gridCol w:w="2858"/>
        <w:gridCol w:w="2516"/>
        <w:gridCol w:w="3565"/>
      </w:tblGrid>
      <w:tr>
        <w:trPr/>
        <w:tc>
          <w:tcPr>
            <w:tcW w:w="285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quarterly period ended June 30, 2026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OR</w:t>
      </w:r>
    </w:p>
    <w:tbl>
      <w:tblPr>
        <w:tblW w:w="8924" w:type="dxa"/>
        <w:jc w:val="center"/>
        <w:tblInd w:w="0" w:type="dxa"/>
        <w:tblLayout w:type="fixed"/>
        <w:tblCellMar>
          <w:top w:w="28" w:type="dxa"/>
          <w:left w:w="28" w:type="dxa"/>
          <w:bottom w:w="28" w:type="dxa"/>
          <w:right w:w="28" w:type="dxa"/>
        </w:tblCellMar>
      </w:tblPr>
      <w:tblGrid>
        <w:gridCol w:w="2859"/>
        <w:gridCol w:w="2513"/>
        <w:gridCol w:w="3552"/>
      </w:tblGrid>
      <w:tr>
        <w:trPr/>
        <w:tc>
          <w:tcPr>
            <w:tcW w:w="2859"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 _____ to 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Commission File No. 001-10308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4289" w:type="dxa"/>
        <w:jc w:val="center"/>
        <w:tblInd w:w="0" w:type="dxa"/>
        <w:tblLayout w:type="fixed"/>
        <w:tblCellMar>
          <w:top w:w="28" w:type="dxa"/>
          <w:left w:w="28" w:type="dxa"/>
          <w:bottom w:w="28" w:type="dxa"/>
          <w:right w:w="28" w:type="dxa"/>
        </w:tblCellMar>
      </w:tblPr>
      <w:tblGrid>
        <w:gridCol w:w="1373"/>
        <w:gridCol w:w="1207"/>
        <w:gridCol w:w="1709"/>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8"/>
              </w:rPr>
            </w:pPr>
            <w:r>
              <w:rPr>
                <w:rFonts w:ascii="Arial;sans-serif" w:hAnsi="Arial;sans-serif"/>
                <w:b/>
                <w:color w:val="000000"/>
                <w:sz w:val="28"/>
              </w:rPr>
              <w:t>AVIS BUDGET GROUP, INC.</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i/>
                <w:color w:val="000000"/>
                <w:sz w:val="16"/>
              </w:rPr>
            </w:pPr>
            <w:r>
              <w:rPr>
                <w:rFonts w:ascii="Arial;sans-serif" w:hAnsi="Arial;sans-serif"/>
                <w:b/>
                <w:i/>
                <w:color w:val="000000"/>
                <w:sz w:val="16"/>
              </w:rPr>
              <w:t>(Exact name of registrant as specified in its charter) </w:t>
            </w:r>
          </w:p>
        </w:tc>
      </w:tr>
    </w:tbl>
    <w:tbl>
      <w:tblPr>
        <w:tblW w:w="8638" w:type="dxa"/>
        <w:jc w:val="center"/>
        <w:tblInd w:w="0" w:type="dxa"/>
        <w:tblLayout w:type="fixed"/>
        <w:tblCellMar>
          <w:top w:w="28" w:type="dxa"/>
          <w:left w:w="28" w:type="dxa"/>
          <w:bottom w:w="28" w:type="dxa"/>
          <w:right w:w="28" w:type="dxa"/>
        </w:tblCellMar>
      </w:tblPr>
      <w:tblGrid>
        <w:gridCol w:w="1067"/>
        <w:gridCol w:w="939"/>
        <w:gridCol w:w="948"/>
        <w:gridCol w:w="1313"/>
        <w:gridCol w:w="1313"/>
        <w:gridCol w:w="1319"/>
        <w:gridCol w:w="506"/>
        <w:gridCol w:w="506"/>
        <w:gridCol w:w="727"/>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06-0918165</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w:t>
              <w:br/>
              <w:t>incorporation or organization)</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w:t>
              <w:br/>
              <w:t>Identification Number)</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379 Interpace Parkway</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Parsippany, NJ</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07054</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(973) 496-4700</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53" w:type="dxa"/>
        <w:jc w:val="center"/>
        <w:tblInd w:w="0" w:type="dxa"/>
        <w:tblLayout w:type="fixed"/>
        <w:tblCellMar>
          <w:top w:w="28" w:type="dxa"/>
          <w:left w:w="28" w:type="dxa"/>
          <w:bottom w:w="28" w:type="dxa"/>
          <w:right w:w="28" w:type="dxa"/>
        </w:tblCellMar>
      </w:tblPr>
      <w:tblGrid>
        <w:gridCol w:w="869"/>
        <w:gridCol w:w="764"/>
        <w:gridCol w:w="766"/>
        <w:gridCol w:w="614"/>
        <w:gridCol w:w="614"/>
        <w:gridCol w:w="616"/>
        <w:gridCol w:w="1291"/>
        <w:gridCol w:w="1291"/>
        <w:gridCol w:w="1828"/>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$.01</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before="0" w:after="0"/>
        <w:jc w:val="left"/>
        <w:rPr/>
      </w:pPr>
      <w:r>
        <w:rPr/>
      </w:r>
    </w:p>
    <w:p>
      <w:pPr>
        <w:pStyle w:val="TextBody"/>
        <w:bidi w:val="0"/>
        <w:spacing w:lineRule="auto" w:line="288" w:before="80" w:after="283"/>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80" w:after="283"/>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70" w:type="dxa"/>
        <w:jc w:val="center"/>
        <w:tblInd w:w="0" w:type="dxa"/>
        <w:tblLayout w:type="fixed"/>
        <w:tblCellMar>
          <w:top w:w="28" w:type="dxa"/>
          <w:left w:w="28" w:type="dxa"/>
          <w:bottom w:w="28" w:type="dxa"/>
          <w:right w:w="28" w:type="dxa"/>
        </w:tblCellMar>
      </w:tblPr>
      <w:tblGrid>
        <w:gridCol w:w="749"/>
        <w:gridCol w:w="659"/>
        <w:gridCol w:w="663"/>
        <w:gridCol w:w="109"/>
        <w:gridCol w:w="109"/>
        <w:gridCol w:w="109"/>
        <w:gridCol w:w="684"/>
        <w:gridCol w:w="684"/>
        <w:gridCol w:w="686"/>
        <w:gridCol w:w="109"/>
        <w:gridCol w:w="109"/>
        <w:gridCol w:w="109"/>
        <w:gridCol w:w="539"/>
        <w:gridCol w:w="539"/>
        <w:gridCol w:w="541"/>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Indicate by check mark whether the registrant is a shell company (as defined in Rule 12b-2 of the Exchange Act).   Yes</w:t>
      </w:r>
      <w:r>
        <w:rPr>
          <w:color w:val="000000"/>
        </w:rPr>
        <w:t>  ☐    </w:t>
      </w:r>
      <w:r>
        <w:rPr>
          <w:rFonts w:ascii="Arial;sans-serif" w:hAnsi="Arial;sans-serif"/>
          <w:b w:val="false"/>
          <w:color w:val="000000"/>
          <w:sz w:val="16"/>
        </w:rPr>
        <w:t>No</w:t>
      </w:r>
      <w:r>
        <w:rPr>
          <w:color w:val="000000"/>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 of July 22, 2026, the number of shares outstanding of the registrant’s common stock was 35,325,754.</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9"/>
        <w:gridCol w:w="254"/>
        <w:gridCol w:w="256"/>
        <w:gridCol w:w="2977"/>
        <w:gridCol w:w="2914"/>
        <w:gridCol w:w="2896"/>
        <w:gridCol w:w="180"/>
        <w:gridCol w:w="180"/>
        <w:gridCol w:w="259"/>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u w:val="single"/>
              </w:rPr>
            </w:pPr>
            <w:r>
              <w:rPr>
                <w:rFonts w:ascii="Arial;sans-serif" w:hAnsi="Arial;sans-serif"/>
                <w:b/>
                <w:color w:val="000000"/>
                <w:sz w:val="20"/>
                <w:u w:val="single"/>
              </w:rPr>
              <w:t>Page</w:t>
            </w:r>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6">
              <w:r>
                <w:rPr>
                  <w:rStyle w:val="InternetLink"/>
                  <w:rFonts w:ascii="Arial;sans-serif" w:hAnsi="Arial;sans-serif"/>
                  <w:b w:val="false"/>
                  <w:color w:val="0000FF"/>
                  <w:sz w:val="20"/>
                  <w:u w:val="single"/>
                </w:rPr>
                <w:t>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9">
              <w:r>
                <w:rPr>
                  <w:rStyle w:val="InternetLink"/>
                  <w:rFonts w:ascii="Arial;sans-serif" w:hAnsi="Arial;sans-serif"/>
                  <w:b w:val="false"/>
                  <w:color w:val="000080"/>
                  <w:sz w:val="20"/>
                  <w:u w:val="single"/>
                </w:rPr>
                <w:t>Financial Statement</w:t>
              </w:r>
            </w:hyperlink>
            <w:r>
              <w:rPr>
                <w:rFonts w:ascii="Arial;sans-serif" w:hAnsi="Arial;sans-serif"/>
                <w:b w:val="false"/>
                <w:color w:val="0000FF"/>
                <w:sz w:val="20"/>
                <w:u w:val="single"/>
              </w:rPr>
              <w:t>s</w:t>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88e678938c4a069cd270b93ecc2107_22">
              <w:r>
                <w:rPr>
                  <w:rStyle w:val="InternetLink"/>
                  <w:rFonts w:ascii="Arial;sans-serif" w:hAnsi="Arial;sans-serif"/>
                  <w:b w:val="false"/>
                  <w:color w:val="000080"/>
                  <w:sz w:val="20"/>
                  <w:u w:val="single"/>
                </w:rPr>
                <w:t xml:space="preserve">Condensed Consolidated Statements of Comprehensive Income for the </w:t>
              </w:r>
            </w:hyperlink>
            <w:hyperlink w:anchor="i8688e678938c4a069cd270b93ecc2107_22">
              <w:r>
                <w:rPr>
                  <w:rStyle w:val="InternetLink"/>
                  <w:rFonts w:ascii="Arial;sans-serif" w:hAnsi="Arial;sans-serif"/>
                  <w:b w:val="false"/>
                  <w:color w:val="000080"/>
                  <w:sz w:val="20"/>
                  <w:u w:val="single"/>
                </w:rPr>
                <w:t xml:space="preserve">Three and </w:t>
              </w:r>
            </w:hyperlink>
            <w:hyperlink w:anchor="i8688e678938c4a069cd270b93ecc2107_22">
              <w:r>
                <w:rPr>
                  <w:rStyle w:val="InternetLink"/>
                  <w:rFonts w:ascii="Arial;sans-serif" w:hAnsi="Arial;sans-serif"/>
                  <w:b w:val="false"/>
                  <w:color w:val="000080"/>
                  <w:sz w:val="20"/>
                  <w:u w:val="single"/>
                </w:rPr>
                <w:t>Six Months Ended June 30, 2026 and 2025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22">
              <w:r>
                <w:rPr>
                  <w:rStyle w:val="InternetLink"/>
                  <w:rFonts w:ascii="Arial;sans-serif" w:hAnsi="Arial;sans-serif"/>
                  <w:b w:val="false"/>
                  <w:color w:val="0000FF"/>
                  <w:sz w:val="20"/>
                  <w:u w:val="single"/>
                </w:rPr>
                <w:t>4</w:t>
              </w:r>
            </w:hyperlink>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88e678938c4a069cd270b93ecc2107_25">
              <w:r>
                <w:rPr>
                  <w:rStyle w:val="InternetLink"/>
                  <w:rFonts w:ascii="Arial;sans-serif" w:hAnsi="Arial;sans-serif"/>
                  <w:b w:val="false"/>
                  <w:color w:val="0000FF"/>
                  <w:sz w:val="20"/>
                  <w:u w:val="single"/>
                </w:rPr>
                <w:t>Condensed Consolidated Balance Sheets as of June 30, 2026 and December 31, 2025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25">
              <w:r>
                <w:rPr>
                  <w:rStyle w:val="InternetLink"/>
                  <w:rFonts w:ascii="Arial;sans-serif" w:hAnsi="Arial;sans-serif"/>
                  <w:b w:val="false"/>
                  <w:color w:val="0000FF"/>
                  <w:sz w:val="20"/>
                  <w:u w:val="single"/>
                </w:rPr>
                <w:t>5</w:t>
              </w:r>
            </w:hyperlink>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88e678938c4a069cd270b93ecc2107_28">
              <w:r>
                <w:rPr>
                  <w:rStyle w:val="InternetLink"/>
                  <w:rFonts w:ascii="Arial;sans-serif" w:hAnsi="Arial;sans-serif"/>
                  <w:b w:val="false"/>
                  <w:color w:val="0000FF"/>
                  <w:sz w:val="20"/>
                  <w:u w:val="single"/>
                </w:rPr>
                <w:t>Condensed Consolidated Statements of Cash Flows for the Six Months Ended June 30, 2026 and 2025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28">
              <w:r>
                <w:rPr>
                  <w:rStyle w:val="InternetLink"/>
                  <w:rFonts w:ascii="Arial;sans-serif" w:hAnsi="Arial;sans-serif"/>
                  <w:b w:val="false"/>
                  <w:color w:val="0000FF"/>
                  <w:sz w:val="20"/>
                  <w:u w:val="single"/>
                </w:rPr>
                <w:t>6</w:t>
              </w:r>
            </w:hyperlink>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88e678938c4a069cd270b93ecc2107_31">
              <w:r>
                <w:rPr>
                  <w:rStyle w:val="InternetLink"/>
                  <w:rFonts w:ascii="Arial;sans-serif" w:hAnsi="Arial;sans-serif"/>
                  <w:b w:val="false"/>
                  <w:color w:val="0000FF"/>
                  <w:sz w:val="20"/>
                  <w:u w:val="single"/>
                </w:rPr>
                <w:t>Condensed Consolidated Statements of Stockholders’ Equity for the Three and Six Months Ended June 30, 2026 and 2025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31">
              <w:r>
                <w:rPr>
                  <w:rStyle w:val="InternetLink"/>
                  <w:rFonts w:ascii="Arial;sans-serif" w:hAnsi="Arial;sans-serif"/>
                  <w:b w:val="false"/>
                  <w:color w:val="0000FF"/>
                  <w:sz w:val="20"/>
                  <w:u w:val="single"/>
                </w:rPr>
                <w:t>8</w:t>
              </w:r>
            </w:hyperlink>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37">
              <w:r>
                <w:rPr>
                  <w:rStyle w:val="InternetLink"/>
                  <w:rFonts w:ascii="Arial;sans-serif" w:hAnsi="Arial;sans-serif"/>
                  <w:b w:val="false"/>
                  <w:color w:val="0000FF"/>
                  <w:sz w:val="20"/>
                  <w:u w:val="single"/>
                </w:rPr>
                <w:t>Notes to Condensed Consolidated Financial Statements (Unaudited)</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37">
              <w:r>
                <w:rPr>
                  <w:rStyle w:val="InternetLink"/>
                  <w:rFonts w:ascii="Arial;sans-serif" w:hAnsi="Arial;sans-serif"/>
                  <w:b w:val="false"/>
                  <w:color w:val="0000FF"/>
                  <w:sz w:val="20"/>
                  <w:u w:val="single"/>
                </w:rPr>
                <w:t>9</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00">
              <w:r>
                <w:rPr>
                  <w:rStyle w:val="InternetLink"/>
                  <w:rFonts w:ascii="Arial;sans-serif" w:hAnsi="Arial;sans-serif"/>
                  <w:b w:val="false"/>
                  <w:color w:val="0000FF"/>
                  <w:sz w:val="20"/>
                  <w:u w:val="singl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00">
              <w:r>
                <w:rPr>
                  <w:rStyle w:val="InternetLink"/>
                  <w:rFonts w:ascii="Arial;sans-serif" w:hAnsi="Arial;sans-serif"/>
                  <w:b w:val="false"/>
                  <w:color w:val="0000FF"/>
                  <w:sz w:val="20"/>
                  <w:u w:val="single"/>
                </w:rPr>
                <w:t>34</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27">
              <w:r>
                <w:rPr>
                  <w:rStyle w:val="InternetLink"/>
                  <w:rFonts w:ascii="Arial;sans-serif" w:hAnsi="Arial;sans-serif"/>
                  <w:b w:val="false"/>
                  <w:color w:val="0000FF"/>
                  <w:sz w:val="20"/>
                  <w:u w:val="singl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27">
              <w:r>
                <w:rPr>
                  <w:rStyle w:val="InternetLink"/>
                  <w:rFonts w:ascii="Arial;sans-serif" w:hAnsi="Arial;sans-serif"/>
                  <w:b w:val="false"/>
                  <w:color w:val="0000FF"/>
                  <w:sz w:val="20"/>
                  <w:u w:val="single"/>
                </w:rPr>
                <w:t>45</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30">
              <w:r>
                <w:rPr>
                  <w:rStyle w:val="InternetLink"/>
                  <w:rFonts w:ascii="Arial;sans-serif" w:hAnsi="Arial;sans-serif"/>
                  <w:b w:val="false"/>
                  <w:color w:val="0000FF"/>
                  <w:sz w:val="20"/>
                  <w:u w:val="singl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30">
              <w:r>
                <w:rPr>
                  <w:rStyle w:val="InternetLink"/>
                  <w:rFonts w:ascii="Arial;sans-serif" w:hAnsi="Arial;sans-serif"/>
                  <w:b w:val="false"/>
                  <w:color w:val="0000FF"/>
                  <w:sz w:val="20"/>
                  <w:u w:val="single"/>
                </w:rPr>
                <w:t>45</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33">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36">
              <w:r>
                <w:rPr>
                  <w:rStyle w:val="InternetLink"/>
                  <w:rFonts w:ascii="Arial;sans-serif" w:hAnsi="Arial;sans-serif"/>
                  <w:b w:val="false"/>
                  <w:color w:val="0000FF"/>
                  <w:sz w:val="20"/>
                  <w:u w:val="singl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36">
              <w:r>
                <w:rPr>
                  <w:rStyle w:val="InternetLink"/>
                  <w:rFonts w:ascii="Arial;sans-serif" w:hAnsi="Arial;sans-serif"/>
                  <w:b w:val="false"/>
                  <w:color w:val="0000FF"/>
                  <w:sz w:val="20"/>
                  <w:u w:val="single"/>
                </w:rPr>
                <w:t>46</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39">
              <w:r>
                <w:rPr>
                  <w:rStyle w:val="InternetLink"/>
                  <w:rFonts w:ascii="Arial;sans-serif" w:hAnsi="Arial;sans-serif"/>
                  <w:b w:val="false"/>
                  <w:color w:val="0000FF"/>
                  <w:sz w:val="20"/>
                  <w:u w:val="singl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39">
              <w:r>
                <w:rPr>
                  <w:rStyle w:val="InternetLink"/>
                  <w:rFonts w:ascii="Arial;sans-serif" w:hAnsi="Arial;sans-serif"/>
                  <w:b w:val="false"/>
                  <w:color w:val="0000FF"/>
                  <w:sz w:val="20"/>
                  <w:u w:val="single"/>
                </w:rPr>
                <w:t>46</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42">
              <w:r>
                <w:rPr>
                  <w:rStyle w:val="InternetLink"/>
                  <w:rFonts w:ascii="Arial;sans-serif" w:hAnsi="Arial;sans-serif"/>
                  <w:b w:val="false"/>
                  <w:color w:val="0000FF"/>
                  <w:sz w:val="20"/>
                  <w:u w:val="singl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42">
              <w:r>
                <w:rPr>
                  <w:rStyle w:val="InternetLink"/>
                  <w:rFonts w:ascii="Arial;sans-serif" w:hAnsi="Arial;sans-serif"/>
                  <w:b w:val="false"/>
                  <w:color w:val="0000FF"/>
                  <w:sz w:val="20"/>
                  <w:u w:val="single"/>
                </w:rPr>
                <w:t>46</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48">
              <w:r>
                <w:rPr>
                  <w:rStyle w:val="InternetLink"/>
                  <w:rFonts w:ascii="Arial;sans-serif" w:hAnsi="Arial;sans-serif"/>
                  <w:b w:val="false"/>
                  <w:color w:val="0000FF"/>
                  <w:sz w:val="20"/>
                  <w:u w:val="singl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48">
              <w:r>
                <w:rPr>
                  <w:rStyle w:val="InternetLink"/>
                  <w:rFonts w:ascii="Arial;sans-serif" w:hAnsi="Arial;sans-serif"/>
                  <w:b w:val="false"/>
                  <w:color w:val="0000FF"/>
                  <w:sz w:val="20"/>
                  <w:u w:val="single"/>
                </w:rPr>
                <w:t>46</w:t>
              </w:r>
            </w:hyperlink>
          </w:p>
        </w:tc>
      </w:tr>
      <w:tr>
        <w:trPr/>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51">
              <w:r>
                <w:rPr>
                  <w:rStyle w:val="InternetLink"/>
                  <w:rFonts w:ascii="Arial;sans-serif" w:hAnsi="Arial;sans-serif"/>
                  <w:b w:val="false"/>
                  <w:color w:val="0000FF"/>
                  <w:sz w:val="20"/>
                  <w:u w:val="single"/>
                </w:rPr>
                <w:t>Exhibits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51">
              <w:r>
                <w:rPr>
                  <w:rStyle w:val="InternetLink"/>
                  <w:rFonts w:ascii="Arial;sans-serif" w:hAnsi="Arial;sans-serif"/>
                  <w:b w:val="false"/>
                  <w:color w:val="0000FF"/>
                  <w:sz w:val="20"/>
                  <w:u w:val="single"/>
                </w:rPr>
                <w:t>46</w:t>
              </w:r>
            </w:hyperlink>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154">
              <w:r>
                <w:rPr>
                  <w:rStyle w:val="InternetLink"/>
                  <w:rFonts w:ascii="Arial;sans-serif" w:hAnsi="Arial;sans-serif"/>
                  <w:b w:val="false"/>
                  <w:color w:val="0000FF"/>
                  <w:sz w:val="20"/>
                  <w:u w:val="singl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154">
              <w:r>
                <w:rPr>
                  <w:rStyle w:val="InternetLink"/>
                  <w:rFonts w:ascii="Arial;sans-serif" w:hAnsi="Arial;sans-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w:t>
      </w:r>
      <w:r>
        <w:rPr>
          <w:color w:val="000000"/>
          <w:shd w:fill="FFFFFF" w:val="clear"/>
        </w:rPr>
        <w:t xml:space="preserve"> </w:t>
      </w:r>
      <w:r>
        <w:rPr>
          <w:rFonts w:ascii="Arial;sans-serif" w:hAnsi="Arial;sans-serif"/>
          <w:b w:val="false"/>
          <w:color w:val="000000"/>
          <w:sz w:val="20"/>
          <w:shd w:fill="FFFFFF" w:val="clear"/>
        </w:rPr>
        <w:t>These factors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the high level of competition in the mobility industry, including from new companies or technology, and the impact such competition may have on pricing and rental volume;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levels of and volatility in travel demand, including volatility in airline passenger traffic;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a deterioration or fluctuation in economic conditions, resulting in a recession, decreased levels of discretionary consumer spending for travel, or otherwise, particularly during our peak season or in key market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 xml:space="preserve">an occurrence or threat of terrorism, pandemics, severe weather events or natural disasters, military conflicts, </w:t>
      </w:r>
      <w:r>
        <w:rPr>
          <w:rFonts w:ascii="Arial;sans-serif" w:hAnsi="Arial;sans-serif"/>
          <w:b w:val="false"/>
          <w:color w:val="000000"/>
          <w:sz w:val="20"/>
        </w:rPr>
        <w:t xml:space="preserve">including the ongoing military conflicts in the Middle East and Eastern Europe, </w:t>
      </w:r>
      <w:r>
        <w:rPr>
          <w:rFonts w:ascii="Arial;sans-serif" w:hAnsi="Arial;sans-serif"/>
          <w:b w:val="false"/>
          <w:color w:val="000000"/>
          <w:sz w:val="20"/>
          <w:shd w:fill="FFFFFF" w:val="clear"/>
        </w:rPr>
        <w:t>or civil unrest in the locations in which we operate, trade disputes and tariffs, and</w:t>
      </w:r>
      <w:r>
        <w:rPr>
          <w:color w:val="000000"/>
        </w:rPr>
        <w:t xml:space="preserve"> </w:t>
      </w:r>
      <w:r>
        <w:rPr>
          <w:rFonts w:ascii="Arial;sans-serif" w:hAnsi="Arial;sans-serif"/>
          <w:b w:val="false"/>
          <w:color w:val="000000"/>
          <w:sz w:val="20"/>
        </w:rPr>
        <w:t>the potential effects of sanctions on the world economy and markets and/or international trade</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w:t>
      </w:r>
      <w:r>
        <w:rPr>
          <w:color w:val="000000"/>
        </w:rPr>
        <w:t xml:space="preserve"> </w:t>
      </w:r>
      <w:r>
        <w:rPr>
          <w:rFonts w:ascii="Arial;sans-serif" w:hAnsi="Arial;sans-serif"/>
          <w:b w:val="false"/>
          <w:color w:val="000000"/>
          <w:sz w:val="20"/>
        </w:rPr>
        <w:t>any embargoes on oil sales imposed on or by the Russian government</w:t>
      </w:r>
      <w:r>
        <w:rPr>
          <w:rFonts w:ascii="Arial;sans-serif" w:hAnsi="Arial;sans-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successfully implement or achieve our business plans and strategies, achieve and maintain cost savings and adapt our business to changes in mobility, and successfully implement digital transformation initiatives;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political, economic, or commercial instability and/or political, regulatory, or legal changes in the countries in which we operate, and our ability to conform to multiple and conflicting laws or regulations in tho</w:t>
      </w:r>
      <w:r>
        <w:rPr>
          <w:rFonts w:ascii="Arial;sans-serif" w:hAnsi="Arial;sans-serif"/>
          <w:b w:val="false"/>
          <w:color w:val="000000"/>
          <w:sz w:val="20"/>
        </w:rPr>
        <w:t>se countries;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the performance of the used vehicle market from time to time, including our ability to dispose of vehicles in the used vehicle market on attractive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our dependence on third-party distribution channels, third-party suppliers of other services an</w:t>
      </w:r>
      <w:r>
        <w:rPr>
          <w:rFonts w:ascii="Arial;sans-serif" w:hAnsi="Arial;sans-serif"/>
          <w:b w:val="false"/>
          <w:color w:val="000000"/>
          <w:sz w:val="20"/>
        </w:rPr>
        <w:t>d co-marketing arrangements with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utilize derivative instruments, and the impact of derivative instruments we utilize, which can be affected by fluctuations in interest rates, fuel prices and exchange rates, changes in government regulations and other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exposure to uninsured or unpaid claims in excess of historical levels or changes in the number of incidents or cost per incident, and our ability to obtain insurance at desired levels and the cost of that insurance;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associated with litigation or governmental or regulatory inquiries, uncertainties related to the ability to recover amounts pursuant to settlement agreements, including risks related to the failure to obtain any necessary court approvals, timing related to such approvals and any potential termination of such settlement agreements,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impact on us from the actions of our third-party vendors, licensees, dealers, independent operators and independent contractors and/or disputes that may arise out of our agreements with such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major disruptions in our communication networks or information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tax obligations and the effect of future changes in tax laws, including the expiration of tax credits, and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our indebtedness, including our substantial outstanding debt obligations, recent and future interest rate increases, which increase our financing costs, downgrades by rating agencies and our ability to incur substantially more debt;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obtain financing for our global operations, including the funding of our vehicle fleet through the issuance of asset-backed securities and use of the global lending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meet the financial and other covenants contained in the agreements governing our indebtedness, or to obtain a waiver or amendment of such covenants should we be unable to meet such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business, economic, competitive, governmental, regulatory, political or technological factors affecting our operations, pricing or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similarly-titled sections set forth in Item 7 and in Item 1A and in other portions of our 2025 Annual Report on Form 10-K filed with the Securities and Exchange Commission (the “SEC”) on February 19, 2026 (the “2025 Form 10-K”), may contain forward-looking statements and involve uncertainties that could cause actual results to differ materially from those projected in any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90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12"/>
        <w:gridCol w:w="1622"/>
        <w:gridCol w:w="163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89"/>
        <w:gridCol w:w="156"/>
      </w:tblGrid>
      <w:tr>
        <w:trPr/>
        <w:tc>
          <w:tcPr>
            <w:tcW w:w="20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20"/>
              </w:rPr>
            </w:pPr>
            <w:r>
              <w:rPr>
                <w:rFonts w:ascii="Arial;sans-serif" w:hAnsi="Arial;sans-serif"/>
                <w:b/>
                <w:color w:val="000000"/>
                <w:sz w:val="20"/>
              </w:rPr>
              <w:t>2025</w:t>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5,469 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extinguishment of debt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Avis Budget Group, Inc.</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color w:val="000000"/>
                <w:sz w:val="20"/>
              </w:rPr>
            </w:pPr>
            <w:r>
              <w:rPr>
                <w:rFonts w:ascii="Arial;sans-serif" w:hAnsi="Arial;sans-serif"/>
                <w:b/>
                <w:color w:val="000000"/>
                <w:sz w:val="20"/>
              </w:rPr>
              <w:t>Comprehensive income (loss) attributable to Avis Budget Group, Inc.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share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w:t>
            </w:r>
          </w:p>
        </w:tc>
        <w:tc>
          <w:tcPr>
            <w:tcW w:w="156"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par value)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63" w:type="dxa"/>
        <w:jc w:val="left"/>
        <w:tblInd w:w="0" w:type="dxa"/>
        <w:tblLayout w:type="fixed"/>
        <w:tblCellMar>
          <w:top w:w="28" w:type="dxa"/>
          <w:left w:w="28" w:type="dxa"/>
          <w:bottom w:w="28" w:type="dxa"/>
          <w:right w:w="28" w:type="dxa"/>
        </w:tblCellMar>
      </w:tblPr>
      <w:tblGrid>
        <w:gridCol w:w="2698"/>
        <w:gridCol w:w="2369"/>
        <w:gridCol w:w="2403"/>
        <w:gridCol w:w="196"/>
        <w:gridCol w:w="646"/>
        <w:gridCol w:w="109"/>
        <w:gridCol w:w="109"/>
        <w:gridCol w:w="109"/>
        <w:gridCol w:w="109"/>
        <w:gridCol w:w="239"/>
        <w:gridCol w:w="788"/>
        <w:gridCol w:w="188"/>
      </w:tblGrid>
      <w:tr>
        <w:trPr/>
        <w:tc>
          <w:tcPr>
            <w:tcW w:w="2698"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exclusive of assets under vehicle programs</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10,306 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vehicle programs: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cash</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vehicle manufacturers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Avis Budget Rental Car Funding (AESOP) LLC—related party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20,951 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31,257 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redeemable non-controlling interests and stockholders’ 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current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exclusive of liabilities under vehicle programs</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12,047 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under vehicle programs: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due to Avis Budget Rental Car Funding (AESOP) LLC—related party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22,252 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$0.01 par value—authorized 10 shares; none issued and outstanding,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value—authorized 250 shares; issued 137 shares,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at cost—102 shares,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(10,753)</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Stockholders’ equity attributable to Avis Budget Group, Inc.</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(3,129)</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(3,116)</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non-controlling interests and stockholders’ equity</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31,257 </w:t>
            </w:r>
          </w:p>
        </w:tc>
        <w:tc>
          <w:tcPr>
            <w:tcW w:w="1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pPr>
      <w:r>
        <w:rPr>
          <w:rFonts w:ascii="Arial;sans-serif" w:hAnsi="Arial;sans-serif"/>
          <w:b w:val="false"/>
          <w:color w:val="000000"/>
          <w:sz w:val="14"/>
        </w:rPr>
        <w:br/>
      </w:r>
      <w:r>
        <w:rPr>
          <w:rFonts w:ascii="Arial;sans-serif" w:hAnsi="Arial;sans-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47"/>
        <w:gridCol w:w="2579"/>
        <w:gridCol w:w="2588"/>
        <w:gridCol w:w="211"/>
        <w:gridCol w:w="538"/>
        <w:gridCol w:w="109"/>
        <w:gridCol w:w="109"/>
        <w:gridCol w:w="109"/>
        <w:gridCol w:w="109"/>
        <w:gridCol w:w="211"/>
        <w:gridCol w:w="538"/>
        <w:gridCol w:w="157"/>
      </w:tblGrid>
      <w:tr>
        <w:trPr/>
        <w:tc>
          <w:tcPr>
            <w:tcW w:w="2947"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provided by operating activities: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right-of-use assets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vehicles, net</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related reserves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financing fees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extinguishment of debt costs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shd w:fill="FFFFFF" w:val="clear"/>
              </w:rPr>
            </w:pPr>
            <w:r>
              <w:rPr>
                <w:rFonts w:ascii="Arial;sans-serif" w:hAnsi="Arial;sans-serif"/>
                <w:b w:val="false"/>
                <w:color w:val="000000"/>
                <w:sz w:val="20"/>
                <w:shd w:fill="FFFFFF" w:val="clear"/>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assets and liabilities: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and deferred income taxes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additions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 on asset sales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 acquired (net of cash acquired)</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 exclusive of vehicle programs</w:t>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Vehicle programs:</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vehicles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received on disposition of vehicles</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debt securities of Avis Budget Rental Car Funding (AESOP) LLC—related party</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debt securities of Avis Budget Rental Car Funding (AESOP) LLC—related party</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(3,873)</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74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(1,611)</w:t>
            </w:r>
          </w:p>
        </w:tc>
        <w:tc>
          <w:tcPr>
            <w:tcW w:w="10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(3,956)</w:t>
            </w:r>
          </w:p>
        </w:tc>
        <w:tc>
          <w:tcPr>
            <w:tcW w:w="15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92"/>
        <w:gridCol w:w="2523"/>
        <w:gridCol w:w="2536"/>
        <w:gridCol w:w="244"/>
        <w:gridCol w:w="561"/>
        <w:gridCol w:w="109"/>
        <w:gridCol w:w="109"/>
        <w:gridCol w:w="109"/>
        <w:gridCol w:w="109"/>
        <w:gridCol w:w="211"/>
        <w:gridCol w:w="646"/>
        <w:gridCol w:w="156"/>
      </w:tblGrid>
      <w:tr>
        <w:trPr/>
        <w:tc>
          <w:tcPr>
            <w:tcW w:w="2892"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 (original maturities greater than three months)</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borrowings (original maturities greater than three months)</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95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financing fees</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95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795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(used in) financing activities exclusive of vehicle programs</w:t>
            </w:r>
          </w:p>
        </w:tc>
        <w:tc>
          <w:tcPr>
            <w:tcW w:w="8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Vehicle programs:</w:t>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borrowings</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financing fees</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80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changes in exchange rates on cash and cash equivalents, program and restricted cash</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 program and restricted cash</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program and restricted cash, beginning of period</w:t>
            </w:r>
          </w:p>
        </w:tc>
        <w:tc>
          <w:tcPr>
            <w:tcW w:w="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program and restricted cash, end of period</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480" w:after="283"/>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1756" w:type="dxa"/>
        <w:jc w:val="left"/>
        <w:tblInd w:w="0" w:type="dxa"/>
        <w:tblLayout w:type="fixed"/>
        <w:tblCellMar>
          <w:top w:w="28" w:type="dxa"/>
          <w:left w:w="28" w:type="dxa"/>
          <w:bottom w:w="28" w:type="dxa"/>
          <w:right w:w="28" w:type="dxa"/>
        </w:tblCellMar>
      </w:tblPr>
      <w:tblGrid>
        <w:gridCol w:w="607"/>
        <w:gridCol w:w="206"/>
        <w:gridCol w:w="178"/>
        <w:gridCol w:w="203"/>
        <w:gridCol w:w="203"/>
        <w:gridCol w:w="161"/>
        <w:gridCol w:w="109"/>
        <w:gridCol w:w="109"/>
        <w:gridCol w:w="109"/>
        <w:gridCol w:w="201"/>
        <w:gridCol w:w="237"/>
        <w:gridCol w:w="133"/>
        <w:gridCol w:w="109"/>
        <w:gridCol w:w="109"/>
        <w:gridCol w:w="109"/>
        <w:gridCol w:w="168"/>
        <w:gridCol w:w="411"/>
        <w:gridCol w:w="112"/>
        <w:gridCol w:w="109"/>
        <w:gridCol w:w="109"/>
        <w:gridCol w:w="109"/>
        <w:gridCol w:w="215"/>
        <w:gridCol w:w="528"/>
        <w:gridCol w:w="143"/>
        <w:gridCol w:w="109"/>
        <w:gridCol w:w="109"/>
        <w:gridCol w:w="109"/>
        <w:gridCol w:w="267"/>
        <w:gridCol w:w="533"/>
        <w:gridCol w:w="176"/>
        <w:gridCol w:w="109"/>
        <w:gridCol w:w="109"/>
        <w:gridCol w:w="109"/>
        <w:gridCol w:w="210"/>
        <w:gridCol w:w="211"/>
        <w:gridCol w:w="161"/>
        <w:gridCol w:w="109"/>
        <w:gridCol w:w="109"/>
        <w:gridCol w:w="109"/>
        <w:gridCol w:w="166"/>
        <w:gridCol w:w="481"/>
        <w:gridCol w:w="109"/>
        <w:gridCol w:w="109"/>
        <w:gridCol w:w="109"/>
        <w:gridCol w:w="109"/>
        <w:gridCol w:w="207"/>
        <w:gridCol w:w="526"/>
        <w:gridCol w:w="138"/>
        <w:gridCol w:w="109"/>
        <w:gridCol w:w="109"/>
        <w:gridCol w:w="109"/>
        <w:gridCol w:w="314"/>
        <w:gridCol w:w="485"/>
        <w:gridCol w:w="207"/>
        <w:gridCol w:w="109"/>
        <w:gridCol w:w="109"/>
        <w:gridCol w:w="109"/>
        <w:gridCol w:w="205"/>
        <w:gridCol w:w="520"/>
        <w:gridCol w:w="191"/>
      </w:tblGrid>
      <w:tr>
        <w:trPr/>
        <w:tc>
          <w:tcPr>
            <w:tcW w:w="6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Stockholders’ Equity Attributable to Avis Budget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March 31, 2026</w:t>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6,607 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856 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(136)</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(3,415)</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(3,402)</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June 30, 2026</w:t>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6,612 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891 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(3,388)</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(3,374)</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March 31, 2025</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(2,822)</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(2,811)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71 </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72 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June 30, 2025</w:t>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6,618 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1,528 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(2,745)</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(2,733)</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Stockholders’ Equity Attributable to Avis Budget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December 31, 2025</w:t>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6,622 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1,139 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(3,129)</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(3,116)</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(248)</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(259)</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(258)</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June 30, 2026</w:t>
            </w:r>
          </w:p>
        </w:tc>
        <w:tc>
          <w:tcPr>
            <w:tcW w:w="4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6,612 </w:t>
            </w:r>
          </w:p>
        </w:tc>
        <w:tc>
          <w:tcPr>
            <w:tcW w:w="11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891 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(149)</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(101.8)</w:t>
            </w:r>
          </w:p>
        </w:tc>
        <w:tc>
          <w:tcPr>
            <w:tcW w:w="1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(10,743)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(3,388)</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(3,374)</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December 31, 2024</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(499)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(501)</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75 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(426)</w:t>
            </w:r>
          </w:p>
        </w:tc>
        <w:tc>
          <w:tcPr>
            <w:tcW w:w="1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2 </w:t>
            </w:r>
          </w:p>
        </w:tc>
        <w:tc>
          <w:tcPr>
            <w:tcW w:w="20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(424)</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as of June 30, 2025</w:t>
            </w:r>
          </w:p>
        </w:tc>
        <w:tc>
          <w:tcPr>
            <w:tcW w:w="40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6,618 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1,528 </w:t>
            </w:r>
          </w:p>
        </w:tc>
        <w:tc>
          <w:tcPr>
            <w:tcW w:w="1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(135)</w:t>
            </w:r>
          </w:p>
        </w:tc>
        <w:tc>
          <w:tcPr>
            <w:tcW w:w="1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(101.9)</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(10,757)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(2,745)</w:t>
            </w:r>
          </w:p>
        </w:tc>
        <w:tc>
          <w:tcPr>
            <w:tcW w:w="1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20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(2,733)</w:t>
            </w:r>
          </w:p>
        </w:tc>
        <w:tc>
          <w:tcPr>
            <w:tcW w:w="1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before="300" w:after="283"/>
        <w:jc w:val="center"/>
        <w:rPr/>
      </w:pPr>
      <w:r>
        <w:rPr/>
      </w:r>
    </w:p>
    <w:p>
      <w:pPr>
        <w:pStyle w:val="TextBody"/>
        <w:bidi w:val="0"/>
        <w:spacing w:lineRule="auto" w:line="288" w:before="300" w:after="283"/>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CONDENSED CONSOLIDATED FINANCIAL STATEMENTS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color w:val="000000"/>
        </w:rPr>
      </w:pPr>
      <w:r>
        <w:rPr>
          <w:color w:val="000000"/>
        </w:rPr>
        <w:t> </w:t>
      </w:r>
    </w:p>
    <w:tbl>
      <w:tblPr>
        <w:tblW w:w="6661" w:type="dxa"/>
        <w:jc w:val="left"/>
        <w:tblInd w:w="0" w:type="dxa"/>
        <w:tblLayout w:type="fixed"/>
        <w:tblCellMar>
          <w:top w:w="28" w:type="dxa"/>
          <w:left w:w="28" w:type="dxa"/>
          <w:bottom w:w="28" w:type="dxa"/>
          <w:right w:w="28" w:type="dxa"/>
        </w:tblCellMar>
      </w:tblPr>
      <w:tblGrid>
        <w:gridCol w:w="287"/>
        <w:gridCol w:w="252"/>
        <w:gridCol w:w="256"/>
        <w:gridCol w:w="1749"/>
        <w:gridCol w:w="1749"/>
        <w:gridCol w:w="1752"/>
        <w:gridCol w:w="180"/>
        <w:gridCol w:w="180"/>
        <w:gridCol w:w="256"/>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0">
              <w:r>
                <w:rPr>
                  <w:rStyle w:val="InternetLink"/>
                  <w:rFonts w:ascii="Arial;sans-serif" w:hAnsi="Arial;sans-serif"/>
                  <w:b w:val="false"/>
                  <w:color w:val="0000FF"/>
                  <w:sz w:val="20"/>
                  <w:u w:val="single"/>
                </w:rPr>
                <w:t>Note 1</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0">
              <w:r>
                <w:rPr>
                  <w:rStyle w:val="InternetLink"/>
                  <w:rFonts w:ascii="Arial;sans-serif" w:hAnsi="Arial;sans-serif"/>
                  <w:b w:val="false"/>
                  <w:color w:val="0000FF"/>
                  <w:sz w:val="20"/>
                  <w:u w:val="single"/>
                </w:rPr>
                <w:t>Basis of Presentation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40">
              <w:r>
                <w:rPr>
                  <w:rStyle w:val="InternetLink"/>
                  <w:rFonts w:ascii="Arial;sans-serif" w:hAnsi="Arial;sans-serif"/>
                  <w:b w:val="false"/>
                  <w:color w:val="0000FF"/>
                  <w:sz w:val="20"/>
                  <w:u w:val="single"/>
                </w:rPr>
                <w:t>10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3">
              <w:r>
                <w:rPr>
                  <w:rStyle w:val="InternetLink"/>
                  <w:rFonts w:ascii="Arial;sans-serif" w:hAnsi="Arial;sans-serif"/>
                  <w:b w:val="false"/>
                  <w:color w:val="0000FF"/>
                  <w:sz w:val="20"/>
                  <w:u w:val="single"/>
                </w:rPr>
                <w:t>Note 2</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3">
              <w:r>
                <w:rPr>
                  <w:rStyle w:val="InternetLink"/>
                  <w:rFonts w:ascii="Arial;sans-serif" w:hAnsi="Arial;sans-serif"/>
                  <w:b w:val="false"/>
                  <w:color w:val="0000FF"/>
                  <w:sz w:val="20"/>
                  <w:u w:val="single"/>
                </w:rPr>
                <w:t>Leases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43">
              <w:r>
                <w:rPr>
                  <w:rStyle w:val="InternetLink"/>
                  <w:rFonts w:ascii="Arial;sans-serif" w:hAnsi="Arial;sans-serif"/>
                  <w:b w:val="false"/>
                  <w:color w:val="0000FF"/>
                  <w:sz w:val="20"/>
                  <w:u w:val="single"/>
                </w:rPr>
                <w:t>13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6">
              <w:r>
                <w:rPr>
                  <w:rStyle w:val="InternetLink"/>
                  <w:rFonts w:ascii="Arial;sans-serif" w:hAnsi="Arial;sans-serif"/>
                  <w:b w:val="false"/>
                  <w:color w:val="0000FF"/>
                  <w:sz w:val="20"/>
                  <w:u w:val="single"/>
                </w:rPr>
                <w:t>Note 3</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6">
              <w:r>
                <w:rPr>
                  <w:rStyle w:val="InternetLink"/>
                  <w:rFonts w:ascii="Arial;sans-serif" w:hAnsi="Arial;sans-serif"/>
                  <w:b w:val="false"/>
                  <w:color w:val="0000FF"/>
                  <w:sz w:val="20"/>
                  <w:u w:val="single"/>
                </w:rPr>
                <w:t>Restructuring and Other Related Charges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46">
              <w:r>
                <w:rPr>
                  <w:rStyle w:val="InternetLink"/>
                  <w:rFonts w:ascii="Arial;sans-serif" w:hAnsi="Arial;sans-serif"/>
                  <w:b w:val="false"/>
                  <w:color w:val="0000FF"/>
                  <w:sz w:val="20"/>
                  <w:u w:val="single"/>
                </w:rPr>
                <w:t>15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9">
              <w:r>
                <w:rPr>
                  <w:rStyle w:val="InternetLink"/>
                  <w:rFonts w:ascii="Arial;sans-serif" w:hAnsi="Arial;sans-serif"/>
                  <w:b w:val="false"/>
                  <w:color w:val="0000FF"/>
                  <w:sz w:val="20"/>
                  <w:u w:val="single"/>
                </w:rPr>
                <w:t>Note 4</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49">
              <w:r>
                <w:rPr>
                  <w:rStyle w:val="InternetLink"/>
                  <w:rFonts w:ascii="Arial;sans-serif" w:hAnsi="Arial;sans-serif"/>
                  <w:b w:val="false"/>
                  <w:color w:val="0000FF"/>
                  <w:sz w:val="20"/>
                  <w:u w:val="single"/>
                </w:rPr>
                <w:t>Earnings Per Share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49">
              <w:r>
                <w:rPr>
                  <w:rStyle w:val="InternetLink"/>
                  <w:rFonts w:ascii="Arial;sans-serif" w:hAnsi="Arial;sans-serif"/>
                  <w:b w:val="false"/>
                  <w:color w:val="0000FF"/>
                  <w:sz w:val="20"/>
                  <w:u w:val="single"/>
                </w:rPr>
                <w:t>16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2">
              <w:r>
                <w:rPr>
                  <w:rStyle w:val="InternetLink"/>
                  <w:rFonts w:ascii="Arial;sans-serif" w:hAnsi="Arial;sans-serif"/>
                  <w:b w:val="false"/>
                  <w:color w:val="0000FF"/>
                  <w:sz w:val="20"/>
                  <w:u w:val="single"/>
                </w:rPr>
                <w:t>Note 5</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2">
              <w:r>
                <w:rPr>
                  <w:rStyle w:val="InternetLink"/>
                  <w:rFonts w:ascii="Arial;sans-serif" w:hAnsi="Arial;sans-serif"/>
                  <w:b w:val="false"/>
                  <w:color w:val="0000FF"/>
                  <w:sz w:val="20"/>
                  <w:u w:val="single"/>
                </w:rPr>
                <w:t>Other Current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52">
              <w:r>
                <w:rPr>
                  <w:rStyle w:val="InternetLink"/>
                  <w:rFonts w:ascii="Arial;sans-serif" w:hAnsi="Arial;sans-serif"/>
                  <w:b w:val="false"/>
                  <w:color w:val="0000FF"/>
                  <w:sz w:val="20"/>
                  <w:u w:val="single"/>
                </w:rPr>
                <w:t>16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5">
              <w:r>
                <w:rPr>
                  <w:rStyle w:val="InternetLink"/>
                  <w:rFonts w:ascii="Arial;sans-serif" w:hAnsi="Arial;sans-serif"/>
                  <w:b w:val="false"/>
                  <w:color w:val="0000FF"/>
                  <w:sz w:val="20"/>
                  <w:u w:val="single"/>
                </w:rPr>
                <w:t>Note 6</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5">
              <w:r>
                <w:rPr>
                  <w:rStyle w:val="InternetLink"/>
                  <w:rFonts w:ascii="Arial;sans-serif" w:hAnsi="Arial;sans-serif"/>
                  <w:b w:val="false"/>
                  <w:color w:val="0000FF"/>
                  <w:sz w:val="20"/>
                  <w:u w:val="single"/>
                </w:rPr>
                <w:t>Acquisitions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55">
              <w:r>
                <w:rPr>
                  <w:rStyle w:val="InternetLink"/>
                  <w:rFonts w:ascii="Arial;sans-serif" w:hAnsi="Arial;sans-serif"/>
                  <w:b w:val="false"/>
                  <w:color w:val="0000FF"/>
                  <w:sz w:val="20"/>
                  <w:u w:val="single"/>
                </w:rPr>
                <w:t>17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8">
              <w:r>
                <w:rPr>
                  <w:rStyle w:val="InternetLink"/>
                  <w:rFonts w:ascii="Arial;sans-serif" w:hAnsi="Arial;sans-serif"/>
                  <w:b w:val="false"/>
                  <w:color w:val="0000FF"/>
                  <w:sz w:val="20"/>
                  <w:u w:val="single"/>
                </w:rPr>
                <w:t>Note 7</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58">
              <w:r>
                <w:rPr>
                  <w:rStyle w:val="InternetLink"/>
                  <w:rFonts w:ascii="Arial;sans-serif" w:hAnsi="Arial;sans-serif"/>
                  <w:b w:val="false"/>
                  <w:color w:val="0000FF"/>
                  <w:sz w:val="20"/>
                  <w:u w:val="single"/>
                </w:rPr>
                <w:t>Intangible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58">
              <w:r>
                <w:rPr>
                  <w:rStyle w:val="InternetLink"/>
                  <w:rFonts w:ascii="Arial;sans-serif" w:hAnsi="Arial;sans-serif"/>
                  <w:b w:val="false"/>
                  <w:color w:val="0000FF"/>
                  <w:sz w:val="20"/>
                  <w:u w:val="single"/>
                </w:rPr>
                <w:t>17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1">
              <w:r>
                <w:rPr>
                  <w:rStyle w:val="InternetLink"/>
                  <w:rFonts w:ascii="Arial;sans-serif" w:hAnsi="Arial;sans-serif"/>
                  <w:b w:val="false"/>
                  <w:color w:val="0000FF"/>
                  <w:sz w:val="20"/>
                  <w:u w:val="single"/>
                </w:rPr>
                <w:t>Note 8</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1">
              <w:r>
                <w:rPr>
                  <w:rStyle w:val="InternetLink"/>
                  <w:rFonts w:ascii="Arial;sans-serif" w:hAnsi="Arial;sans-serif"/>
                  <w:b w:val="false"/>
                  <w:color w:val="0000FF"/>
                  <w:sz w:val="20"/>
                  <w:u w:val="single"/>
                </w:rPr>
                <w:t>Vehicle Rental Activities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61">
              <w:r>
                <w:rPr>
                  <w:rStyle w:val="InternetLink"/>
                  <w:rFonts w:ascii="Arial;sans-serif" w:hAnsi="Arial;sans-serif"/>
                  <w:b w:val="false"/>
                  <w:color w:val="0000FF"/>
                  <w:sz w:val="20"/>
                  <w:u w:val="single"/>
                </w:rPr>
                <w:t>17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4">
              <w:r>
                <w:rPr>
                  <w:rStyle w:val="InternetLink"/>
                  <w:rFonts w:ascii="Arial;sans-serif" w:hAnsi="Arial;sans-serif"/>
                  <w:b w:val="false"/>
                  <w:color w:val="0000FF"/>
                  <w:sz w:val="20"/>
                  <w:u w:val="single"/>
                </w:rPr>
                <w:t>Note 9</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4">
              <w:r>
                <w:rPr>
                  <w:rStyle w:val="InternetLink"/>
                  <w:rFonts w:ascii="Arial;sans-serif" w:hAnsi="Arial;sans-serif"/>
                  <w:b w:val="false"/>
                  <w:color w:val="0000FF"/>
                  <w:sz w:val="20"/>
                  <w:u w:val="single"/>
                </w:rPr>
                <w:t>Income Taxes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64">
              <w:r>
                <w:rPr>
                  <w:rStyle w:val="InternetLink"/>
                  <w:rFonts w:ascii="Arial;sans-serif" w:hAnsi="Arial;sans-serif"/>
                  <w:b w:val="false"/>
                  <w:color w:val="0000FF"/>
                  <w:sz w:val="20"/>
                  <w:u w:val="single"/>
                </w:rPr>
                <w:t>18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7">
              <w:r>
                <w:rPr>
                  <w:rStyle w:val="InternetLink"/>
                  <w:rFonts w:ascii="Arial;sans-serif" w:hAnsi="Arial;sans-serif"/>
                  <w:b w:val="false"/>
                  <w:color w:val="0000FF"/>
                  <w:sz w:val="20"/>
                  <w:u w:val="single"/>
                </w:rPr>
                <w:t>Note 10</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67">
              <w:r>
                <w:rPr>
                  <w:rStyle w:val="InternetLink"/>
                  <w:rFonts w:ascii="Arial;sans-serif" w:hAnsi="Arial;sans-serif"/>
                  <w:b w:val="false"/>
                  <w:color w:val="0000FF"/>
                  <w:sz w:val="20"/>
                  <w:u w:val="single"/>
                </w:rPr>
                <w:t>Accounts Payable and Other Current Liabilities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67">
              <w:r>
                <w:rPr>
                  <w:rStyle w:val="InternetLink"/>
                  <w:rFonts w:ascii="Arial;sans-serif" w:hAnsi="Arial;sans-serif"/>
                  <w:b w:val="false"/>
                  <w:color w:val="0000FF"/>
                  <w:sz w:val="20"/>
                  <w:u w:val="single"/>
                </w:rPr>
                <w:t>19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0">
              <w:r>
                <w:rPr>
                  <w:rStyle w:val="InternetLink"/>
                  <w:rFonts w:ascii="Arial;sans-serif" w:hAnsi="Arial;sans-serif"/>
                  <w:b w:val="false"/>
                  <w:color w:val="0000FF"/>
                  <w:sz w:val="20"/>
                  <w:u w:val="single"/>
                </w:rPr>
                <w:t>Note 11</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0">
              <w:r>
                <w:rPr>
                  <w:rStyle w:val="InternetLink"/>
                  <w:rFonts w:ascii="Arial;sans-serif" w:hAnsi="Arial;sans-serif"/>
                  <w:b w:val="false"/>
                  <w:color w:val="0000FF"/>
                  <w:sz w:val="20"/>
                  <w:u w:val="single"/>
                </w:rPr>
                <w:t>Long-term Corporate Debt and Borrowing Arrangements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70">
              <w:r>
                <w:rPr>
                  <w:rStyle w:val="InternetLink"/>
                  <w:rFonts w:ascii="Arial;sans-serif" w:hAnsi="Arial;sans-serif"/>
                  <w:b w:val="false"/>
                  <w:color w:val="0000FF"/>
                  <w:sz w:val="20"/>
                  <w:u w:val="single"/>
                </w:rPr>
                <w:t>19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3">
              <w:r>
                <w:rPr>
                  <w:rStyle w:val="InternetLink"/>
                  <w:rFonts w:ascii="Arial;sans-serif" w:hAnsi="Arial;sans-serif"/>
                  <w:b w:val="false"/>
                  <w:color w:val="0000FF"/>
                  <w:sz w:val="20"/>
                  <w:u w:val="single"/>
                </w:rPr>
                <w:t>Note 12</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3">
              <w:r>
                <w:rPr>
                  <w:rStyle w:val="InternetLink"/>
                  <w:rFonts w:ascii="Arial;sans-serif" w:hAnsi="Arial;sans-serif"/>
                  <w:b w:val="false"/>
                  <w:color w:val="0000FF"/>
                  <w:sz w:val="20"/>
                  <w:u w:val="single"/>
                </w:rPr>
                <w:t>Debt Under Vehicle Programs and Borrowing Arrangements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73">
              <w:r>
                <w:rPr>
                  <w:rStyle w:val="InternetLink"/>
                  <w:rFonts w:ascii="Arial;sans-serif" w:hAnsi="Arial;sans-serif"/>
                  <w:b w:val="false"/>
                  <w:color w:val="0000FF"/>
                  <w:sz w:val="20"/>
                  <w:u w:val="single"/>
                </w:rPr>
                <w:t>20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6">
              <w:r>
                <w:rPr>
                  <w:rStyle w:val="InternetLink"/>
                  <w:rFonts w:ascii="Arial;sans-serif" w:hAnsi="Arial;sans-serif"/>
                  <w:b w:val="false"/>
                  <w:color w:val="0000FF"/>
                  <w:sz w:val="20"/>
                  <w:u w:val="single"/>
                </w:rPr>
                <w:t>Note 13</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6">
              <w:r>
                <w:rPr>
                  <w:rStyle w:val="InternetLink"/>
                  <w:rFonts w:ascii="Arial;sans-serif" w:hAnsi="Arial;sans-serif"/>
                  <w:b w:val="false"/>
                  <w:color w:val="0000FF"/>
                  <w:sz w:val="20"/>
                  <w:u w:val="single"/>
                </w:rPr>
                <w:t>Commitments and Contingencies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76">
              <w:r>
                <w:rPr>
                  <w:rStyle w:val="InternetLink"/>
                  <w:rFonts w:ascii="Arial;sans-serif" w:hAnsi="Arial;sans-serif"/>
                  <w:b w:val="false"/>
                  <w:color w:val="0000FF"/>
                  <w:sz w:val="20"/>
                  <w:u w:val="single"/>
                </w:rPr>
                <w:t>22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9">
              <w:r>
                <w:rPr>
                  <w:rStyle w:val="InternetLink"/>
                  <w:rFonts w:ascii="Arial;sans-serif" w:hAnsi="Arial;sans-serif"/>
                  <w:b w:val="false"/>
                  <w:color w:val="0000FF"/>
                  <w:sz w:val="20"/>
                  <w:u w:val="single"/>
                </w:rPr>
                <w:t>Note 14</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79">
              <w:r>
                <w:rPr>
                  <w:rStyle w:val="InternetLink"/>
                  <w:rFonts w:ascii="Arial;sans-serif" w:hAnsi="Arial;sans-serif"/>
                  <w:b w:val="false"/>
                  <w:color w:val="0000FF"/>
                  <w:sz w:val="20"/>
                  <w:u w:val="single"/>
                </w:rPr>
                <w:t>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79">
              <w:r>
                <w:rPr>
                  <w:rStyle w:val="InternetLink"/>
                  <w:rFonts w:ascii="Arial;sans-serif" w:hAnsi="Arial;sans-serif"/>
                  <w:b w:val="false"/>
                  <w:color w:val="0000FF"/>
                  <w:sz w:val="20"/>
                  <w:u w:val="single"/>
                </w:rPr>
                <w:t>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2">
              <w:r>
                <w:rPr>
                  <w:rStyle w:val="InternetLink"/>
                  <w:rFonts w:ascii="Arial;sans-serif" w:hAnsi="Arial;sans-serif"/>
                  <w:b w:val="false"/>
                  <w:color w:val="0000FF"/>
                  <w:sz w:val="20"/>
                  <w:u w:val="single"/>
                </w:rPr>
                <w:t>Note 15</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2">
              <w:r>
                <w:rPr>
                  <w:rStyle w:val="InternetLink"/>
                  <w:rFonts w:ascii="Arial;sans-serif" w:hAnsi="Arial;sans-serif"/>
                  <w:b w:val="false"/>
                  <w:color w:val="0000FF"/>
                  <w:sz w:val="20"/>
                  <w:u w:val="single"/>
                </w:rPr>
                <w:t>Related Party Transactions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82">
              <w:r>
                <w:rPr>
                  <w:rStyle w:val="InternetLink"/>
                  <w:rFonts w:ascii="Arial;sans-serif" w:hAnsi="Arial;sans-serif"/>
                  <w:b w:val="false"/>
                  <w:color w:val="0000FF"/>
                  <w:sz w:val="20"/>
                  <w:u w:val="single"/>
                </w:rPr>
                <w:t>26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5">
              <w:r>
                <w:rPr>
                  <w:rStyle w:val="InternetLink"/>
                  <w:rFonts w:ascii="Arial;sans-serif" w:hAnsi="Arial;sans-serif"/>
                  <w:b w:val="false"/>
                  <w:color w:val="0000FF"/>
                  <w:sz w:val="20"/>
                  <w:u w:val="single"/>
                </w:rPr>
                <w:t>Note 16</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5">
              <w:r>
                <w:rPr>
                  <w:rStyle w:val="InternetLink"/>
                  <w:rFonts w:ascii="Arial;sans-serif" w:hAnsi="Arial;sans-serif"/>
                  <w:b w:val="false"/>
                  <w:color w:val="0000FF"/>
                  <w:sz w:val="20"/>
                  <w:u w:val="single"/>
                </w:rPr>
                <w:t>Stock-Based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85">
              <w:r>
                <w:rPr>
                  <w:rStyle w:val="InternetLink"/>
                  <w:rFonts w:ascii="Arial;sans-serif" w:hAnsi="Arial;sans-serif"/>
                  <w:b w:val="false"/>
                  <w:color w:val="0000FF"/>
                  <w:sz w:val="20"/>
                  <w:u w:val="single"/>
                </w:rPr>
                <w:t>27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8">
              <w:r>
                <w:rPr>
                  <w:rStyle w:val="InternetLink"/>
                  <w:rFonts w:ascii="Arial;sans-serif" w:hAnsi="Arial;sans-serif"/>
                  <w:b w:val="false"/>
                  <w:color w:val="0000FF"/>
                  <w:sz w:val="20"/>
                  <w:u w:val="single"/>
                </w:rPr>
                <w:t>Note 17</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88">
              <w:r>
                <w:rPr>
                  <w:rStyle w:val="InternetLink"/>
                  <w:rFonts w:ascii="Arial;sans-serif" w:hAnsi="Arial;sans-serif"/>
                  <w:b w:val="false"/>
                  <w:color w:val="0000FF"/>
                  <w:sz w:val="20"/>
                  <w:u w:val="single"/>
                </w:rPr>
                <w:t>Financial Instruments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88">
              <w:r>
                <w:rPr>
                  <w:rStyle w:val="InternetLink"/>
                  <w:rFonts w:ascii="Arial;sans-serif" w:hAnsi="Arial;sans-serif"/>
                  <w:b w:val="false"/>
                  <w:color w:val="0000FF"/>
                  <w:sz w:val="20"/>
                  <w:u w:val="single"/>
                </w:rPr>
                <w:t>28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91">
              <w:r>
                <w:rPr>
                  <w:rStyle w:val="InternetLink"/>
                  <w:rFonts w:ascii="Arial;sans-serif" w:hAnsi="Arial;sans-serif"/>
                  <w:b w:val="false"/>
                  <w:color w:val="0000FF"/>
                  <w:sz w:val="20"/>
                  <w:u w:val="single"/>
                </w:rPr>
                <w:t>Note 18</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88e678938c4a069cd270b93ecc2107_91">
              <w:r>
                <w:rPr>
                  <w:rStyle w:val="InternetLink"/>
                  <w:rFonts w:ascii="Arial;sans-serif" w:hAnsi="Arial;sans-serif"/>
                  <w:b w:val="false"/>
                  <w:color w:val="0000FF"/>
                  <w:sz w:val="20"/>
                  <w:u w:val="single"/>
                </w:rPr>
                <w:t>Segment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688e678938c4a069cd270b93ecc2107_91">
              <w:r>
                <w:rPr>
                  <w:rStyle w:val="InternetLink"/>
                  <w:rFonts w:ascii="Arial;sans-serif" w:hAnsi="Arial;sans-serif"/>
                  <w:b w:val="false"/>
                  <w:color w:val="0000FF"/>
                  <w:sz w:val="20"/>
                  <w:u w:val="single"/>
                </w:rPr>
                <w:t>30</w:t>
              </w:r>
            </w:hyperlink>
          </w:p>
        </w:tc>
      </w:tr>
      <w:tr>
        <w:trPr/>
        <w:tc>
          <w:tcPr>
            <w:tcW w:w="795"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95"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(Unless otherwise noted, all dollar amounts are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Arial;sans-serif" w:hAnsi="Arial;sans-serif"/>
          <w:b/>
          <w:color w:val="000000"/>
          <w:sz w:val="20"/>
        </w:rPr>
        <w:t>1.</w:t>
      </w:r>
      <w:r>
        <w:rPr>
          <w:color w:val="000000"/>
        </w:rPr>
        <w:t>    </w:t>
      </w:r>
      <w:r>
        <w:rPr>
          <w:rFonts w:ascii="Arial;sans-serif" w:hAnsi="Arial;sans-serif"/>
          <w:b/>
          <w:color w:val="000000"/>
          <w:sz w:val="20"/>
        </w:rPr>
        <w:t xml:space="preserve">Basis of Presentation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Avis Budget Group, Inc. provides mobility solutions to businesses and consumers worldwide. The accompanying unaudited Condensed Consolidated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the following reportable business segments: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Arial;sans-serif" w:hAnsi="Arial;sans-serif"/>
          <w:b/>
          <w:color w:val="000000"/>
          <w:sz w:val="20"/>
        </w:rPr>
        <w:t xml:space="preserve">Americas </w:t>
      </w:r>
      <w:r>
        <w:rPr>
          <w:rFonts w:ascii="Arial;sans-serif" w:hAnsi="Arial;sans-serif"/>
          <w:b w:val="false"/>
          <w:color w:val="000000"/>
          <w:sz w:val="20"/>
        </w:rPr>
        <w:t xml:space="preserve">- consisting primarily of (i) vehicle rental operations in North America, South America, Central America and the Caribbean, (ii) car sharing operations in certain of these markets, and (iii) licensees in the areas in which we do not operate directly. </w:t>
      </w:r>
    </w:p>
    <w:p>
      <w:pPr>
        <w:pStyle w:val="TextBody"/>
        <w:bidi w:val="0"/>
        <w:spacing w:lineRule="auto" w:line="288" w:before="120" w:after="283"/>
        <w:ind w:left="0" w:right="0" w:hanging="540"/>
        <w:jc w:val="both"/>
        <w:rPr/>
      </w:pPr>
      <w:r>
        <w:rPr>
          <w:color w:val="000000"/>
        </w:rPr>
        <w:t>•</w:t>
      </w:r>
      <w:r>
        <w:rPr>
          <w:rFonts w:ascii="Arial;sans-serif" w:hAnsi="Arial;sans-serif"/>
          <w:b/>
          <w:color w:val="000000"/>
          <w:sz w:val="20"/>
        </w:rPr>
        <w:t>International</w:t>
      </w:r>
      <w:r>
        <w:rPr>
          <w:color w:val="000000"/>
        </w:rPr>
        <w:t xml:space="preserve"> </w:t>
      </w:r>
      <w:r>
        <w:rPr>
          <w:rFonts w:ascii="Arial;sans-serif" w:hAnsi="Arial;sans-serif"/>
          <w:b w:val="false"/>
          <w:color w:val="000000"/>
          <w:sz w:val="20"/>
        </w:rPr>
        <w:t xml:space="preserve">- consisting primarily of (i) vehicle rental operations in Europe, the Middle East, Africa, Asia and Australasia, (ii) car sharing operations in certain of these markets, and (iii) licensees in the areas in which we do not operate directly.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operating results of acquired businesses are included in the accompanying Condensed Consolidated Financial Statements from the dates of acquisition. We consolidate joint venture activities when we have a controlling interest and record non-controlling interests within stockholders’ equity, temporary equity and the statement of comprehensive income equal to the percentage of ownership interest retained in such entities by the respective non-controlling party. Intercompany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presenting the Condensed Consolidated Financial Statements in accordance with accounting principles generally accepted in the United States of America (“GAAP”), management makes estimates and assumptions that may affect the amounts reported and related disclosures. Estimates, by their nature, are based on judgment and available information. Accordingly, actual results could differ from those estimates. In management’s opinion, the Condensed Consolidated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2025 Annual Report on Form 10-K (the “2025 Form 10-K”).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Summary of Significant Accounting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significant accounting policies are fully described in Note 2 – Summary of Significant Accounting Policies in our 2025 Form 10-K.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Cash and cash equivalents, Program cash and Restricted cash. </w:t>
      </w:r>
      <w:r>
        <w:rPr>
          <w:rFonts w:ascii="Arial;sans-serif" w:hAnsi="Arial;sans-serif"/>
          <w:b w:val="false"/>
          <w:color w:val="000000"/>
          <w:sz w:val="20"/>
        </w:rPr>
        <w:t>The following table provides a detail of cash and cash equivalents, program and restricted cash reported within the Condensed Consolidated Balance Sheets to the amounts shown in the Condensed Consolidated Statements of Cash Flows.</w:t>
      </w:r>
    </w:p>
    <w:p>
      <w:pPr>
        <w:pStyle w:val="TextBody"/>
        <w:bidi w:val="0"/>
        <w:spacing w:before="0" w:after="0"/>
        <w:jc w:val="both"/>
        <w:rPr/>
      </w:pPr>
      <w:r>
        <w:rPr/>
      </w:r>
    </w:p>
    <w:tbl>
      <w:tblPr>
        <w:tblW w:w="7059" w:type="dxa"/>
        <w:jc w:val="left"/>
        <w:tblInd w:w="0" w:type="dxa"/>
        <w:tblLayout w:type="fixed"/>
        <w:tblCellMar>
          <w:top w:w="28" w:type="dxa"/>
          <w:left w:w="28" w:type="dxa"/>
          <w:bottom w:w="28" w:type="dxa"/>
          <w:right w:w="28" w:type="dxa"/>
        </w:tblCellMar>
      </w:tblPr>
      <w:tblGrid>
        <w:gridCol w:w="1852"/>
        <w:gridCol w:w="1627"/>
        <w:gridCol w:w="1636"/>
        <w:gridCol w:w="211"/>
        <w:gridCol w:w="466"/>
        <w:gridCol w:w="109"/>
        <w:gridCol w:w="109"/>
        <w:gridCol w:w="109"/>
        <w:gridCol w:w="109"/>
        <w:gridCol w:w="211"/>
        <w:gridCol w:w="466"/>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Program cash</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Restricted cash </w:t>
            </w:r>
            <w:r>
              <w:rPr>
                <w:rFonts w:ascii="Arial;sans-serif" w:hAnsi="Arial;sans-serif"/>
                <w:b w:val="false"/>
                <w:color w:val="000000"/>
                <w:sz w:val="12"/>
              </w:rPr>
              <w:t>(a)</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 equivalents, program and restricted cash</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Included within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Vehicle Programs.</w:t>
      </w:r>
      <w:r>
        <w:rPr>
          <w:color w:val="000000"/>
        </w:rPr>
        <w:t> </w:t>
      </w:r>
      <w:r>
        <w:rPr>
          <w:rFonts w:ascii="Arial;sans-serif" w:hAnsi="Arial;sans-serif"/>
          <w:b w:val="false"/>
          <w:color w:val="000000"/>
          <w:sz w:val="20"/>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Transaction-related costs, net. </w:t>
      </w:r>
      <w:r>
        <w:rPr>
          <w:rFonts w:ascii="Arial;sans-serif" w:hAnsi="Arial;sans-serif"/>
          <w:b w:val="false"/>
          <w:color w:val="000000"/>
          <w:sz w:val="20"/>
        </w:rPr>
        <w:t>Transaction-related costs, net are classified separately in the Condensed Consolidated Statements of Comprehensive Income. These costs are comprised of expenses primarily related to acquisition-related activities such as due-diligence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shd w:fill="FFFFFF" w:val="clear"/>
        </w:rPr>
        <w:t xml:space="preserve">Currency Transactions. </w:t>
      </w:r>
      <w:r>
        <w:rPr>
          <w:rFonts w:ascii="Arial;sans-serif" w:hAnsi="Arial;sans-serif"/>
          <w:b w:val="false"/>
          <w:color w:val="000000"/>
          <w:sz w:val="20"/>
        </w:rPr>
        <w:t>Currency gains and losses resulting from foreign currency transactions are generally included in operating expenses within the Condensed Consolidated Statements of Comprehensive Income; however, the net gain or loss of currency transactions on intercompany loans and the unrealized gain or loss on intercompany loan hedges are included within interest expense related to corporate debt, net.</w:t>
      </w:r>
    </w:p>
    <w:p>
      <w:pPr>
        <w:pStyle w:val="TextBody"/>
        <w:bidi w:val="0"/>
        <w:spacing w:lineRule="auto" w:line="288" w:before="180" w:after="283"/>
        <w:jc w:val="both"/>
        <w:rPr/>
      </w:pPr>
      <w:r>
        <w:rPr>
          <w:rFonts w:ascii="Arial;sans-serif" w:hAnsi="Arial;sans-serif"/>
          <w:b w:val="false"/>
          <w:i/>
          <w:color w:val="000000"/>
          <w:sz w:val="20"/>
          <w:shd w:fill="FFFFFF" w:val="clear"/>
        </w:rPr>
        <w:t xml:space="preserve">Variable Interest Entities (“VIE”) and Non-Controlling Interests. </w:t>
      </w:r>
      <w:r>
        <w:rPr>
          <w:rFonts w:ascii="Arial;sans-serif" w:hAnsi="Arial;sans-serif"/>
          <w:b w:val="false"/>
          <w:color w:val="000000"/>
          <w:sz w:val="20"/>
        </w:rPr>
        <w:t>We review our investments to determine if they are VIEs. A VIE is an entity in which either (i) the equity 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Entities that are determined to be VIEs are consolidated if we are the primary beneficiary of the entity. 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We account for VIEs where we are not the primary beneficiary under the equity method.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former subsidiary, Avis Mobility Ventures LLC (“AMV”), is a VIE. We lack the ability to direct the significant activities of AMV and are not its primary beneficiary. As such, we account for AMV under the equity method. See Note 15 – Related Party Transactions for our VIE investment in our former subsidiary.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Interpace Ventures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30, 2025, we received a contribution of $12 million from a non-controlling interest party (“Class A Member”) in exchange for approximately 17% in a new joint venture establishing Interpace Ventures LLC (“Interpace Ventures”). On December 30, 2025, we completed the joint venture transaction and Interpace Ventures subsequently funded its wholly-owned subsidiary, Interpace Funding LLC (“Interpace Funding”), with the total contribution from both its Class A members, the third-party investors in the amount of $183 million, and the Company, as the Class B member. Interpace Funding was established to acquire, own, operate, manage, lease, and sell vehicles. This transaction was undertaken as part of our efforts to monetize a portion of our available tax credits. Additionally, in conjunction with this transaction, we reviewed our fleet strategy, specific to certain United States EV rental car vehicles, and as a result shortened the useful life associated with such vehicles.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consolidate joint venture activities when we have a controlling financial interest. We determined that Interpace Ventures and its related subsidiaries are VIEs and that we are the primary beneficiary. In accordance with Accounting Standards Codification Topic 810-10, all entities created as a result of the Interpace Ventures transaction have been consolidated. Based on the substance of the transaction, the non-controlling interests are presented as temporary equity.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has determined the allocation of economics between the controlling party and third-party investors should follow the hypothetical liquidation at book value (“HLBV”) method of accounting, based on governing provisions in each respective limited liability company agreement, instead of respective ownership percentages. Under the HLBV method, the amounts of income and loss attributable to the non-controlling interest reflects changes in the amount the owners would hypothetically receive at each balance sheet date under the respective liquidation provisions, assuming the net assets of these entities were liquidated at the recorded amounts, after taking into account any capital transactions, such as contributions and distributions, between the entities and the owners.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As specified in the respective limited liability company agreements, the Class A members’ interests are redeemable based upon events that are not solely within our control. As such, the non-controlling interests were classified as redeemable non-controlling interests of $147 million and $74 million and presented outside of permanent equity on the </w:t>
      </w:r>
      <w:r>
        <w:rPr>
          <w:rFonts w:ascii="Arial;sans-serif" w:hAnsi="Arial;sans-serif"/>
          <w:b w:val="false"/>
          <w:color w:val="000000"/>
          <w:sz w:val="20"/>
        </w:rPr>
        <w:t>Condensed Consolidated Balance Sheets</w:t>
      </w:r>
      <w:r>
        <w:rPr>
          <w:color w:val="000000"/>
          <w:shd w:fill="FFFFFF" w:val="clear"/>
        </w:rPr>
        <w:t xml:space="preserve"> </w:t>
      </w: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 and December 31, 2025</w:t>
      </w:r>
      <w:r>
        <w:rPr>
          <w:rFonts w:ascii="Arial;sans-serif" w:hAnsi="Arial;sans-serif"/>
          <w:b w:val="false"/>
          <w:color w:val="000000"/>
          <w:sz w:val="20"/>
          <w:shd w:fill="FFFFFF" w:val="clear"/>
        </w:rPr>
        <w:t>, respectively. See Note 14 – Stockholders' Equity</w:t>
      </w:r>
      <w:r>
        <w:rPr>
          <w:color w:val="000000"/>
        </w:rPr>
        <w:t xml:space="preserve"> </w:t>
      </w:r>
      <w:r>
        <w:rPr>
          <w:rFonts w:ascii="Arial;sans-serif" w:hAnsi="Arial;sans-serif"/>
          <w:b w:val="false"/>
          <w:color w:val="000000"/>
          <w:sz w:val="20"/>
        </w:rPr>
        <w:t>for the components of redeemable non-controlling interests.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As of June 30, 2026 and December 31, 2025, we had investments with a carrying value o</w:t>
      </w:r>
      <w:r>
        <w:rPr>
          <w:rFonts w:ascii="Arial;sans-serif" w:hAnsi="Arial;sans-serif"/>
          <w:b w:val="false"/>
          <w:color w:val="000000"/>
          <w:sz w:val="20"/>
          <w:shd w:fill="FFFFFF" w:val="clear"/>
        </w:rPr>
        <w:t>f</w:t>
      </w:r>
      <w:r>
        <w:rPr>
          <w:color w:val="000000"/>
        </w:rPr>
        <w:t xml:space="preserve"> </w:t>
      </w:r>
      <w:r>
        <w:rPr>
          <w:rFonts w:ascii="Arial;sans-serif" w:hAnsi="Arial;sans-serif"/>
          <w:b w:val="false"/>
          <w:color w:val="000000"/>
          <w:sz w:val="20"/>
        </w:rPr>
        <w:t>$125 million and $130 million, respectively, recorded within other non-current assets on the Condensed Consolidated Balance Sheets. Aggregate realized gains and losses on equity method investments are recorded within operating expenses on the Condensed Consolidated Statements of Comprehensive Income. For the three months ended June 30, 2026 and 2025, we recorded net gains from our equity method investments of $4 million and $3 million, respectively. For the six months ended June 30, 2026 and 2025, we recorded net gains from our equity method investments of $5 million, in each period. In January 2026, we received an $8 million dividend, and in December 2025, we purchased additional shares for $1 million, relating to our equity method investment in our Greece licensee. See Note 15 – Related Party Transactions for our equity method investment in our former subsidiary, AMV.</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shd w:fill="FFFFFF" w:val="clear"/>
        </w:rPr>
        <w:t xml:space="preserve">Revenues. </w:t>
      </w:r>
      <w:r>
        <w:rPr>
          <w:rFonts w:ascii="Arial;sans-serif" w:hAnsi="Arial;sans-serif"/>
          <w:b w:val="false"/>
          <w:color w:val="000000"/>
          <w:sz w:val="20"/>
          <w:shd w:fill="FFFFFF" w:val="clear"/>
        </w:rPr>
        <w:t xml:space="preserve">Revenues are recognized under Leases (Topic 842) with the exception of royalty fee revenue derived from our licensees and revenue related to our customer loyalty program, which were $52 million and $50 million during the </w:t>
      </w:r>
      <w:r>
        <w:rPr>
          <w:rFonts w:ascii="Arial;sans-serif" w:hAnsi="Arial;sans-serif"/>
          <w:b w:val="false"/>
          <w:color w:val="000000"/>
          <w:sz w:val="20"/>
        </w:rPr>
        <w:t>three months ended June 30, 2026</w:t>
      </w:r>
      <w:r>
        <w:rPr>
          <w:color w:val="000000"/>
          <w:shd w:fill="FFFFFF" w:val="clear"/>
        </w:rPr>
        <w:t xml:space="preserve"> </w:t>
      </w:r>
      <w:r>
        <w:rPr>
          <w:rFonts w:ascii="Arial;sans-serif" w:hAnsi="Arial;sans-serif"/>
          <w:b w:val="false"/>
          <w:color w:val="000000"/>
          <w:sz w:val="20"/>
          <w:shd w:fill="FFFFFF" w:val="clear"/>
        </w:rPr>
        <w:t>and 2025, respectively, and $98 million and $95 million during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following table presents our revenues disaggregated by geography: </w:t>
      </w:r>
    </w:p>
    <w:tbl>
      <w:tblPr>
        <w:tblW w:w="7409" w:type="dxa"/>
        <w:jc w:val="left"/>
        <w:tblInd w:w="0" w:type="dxa"/>
        <w:tblLayout w:type="fixed"/>
        <w:tblCellMar>
          <w:top w:w="28" w:type="dxa"/>
          <w:left w:w="28" w:type="dxa"/>
          <w:bottom w:w="28" w:type="dxa"/>
          <w:right w:w="28" w:type="dxa"/>
        </w:tblCellMar>
      </w:tblPr>
      <w:tblGrid>
        <w:gridCol w:w="956"/>
        <w:gridCol w:w="840"/>
        <w:gridCol w:w="84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4,239 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and Australasia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revenues disaggregated by brand:</w:t>
      </w:r>
    </w:p>
    <w:tbl>
      <w:tblPr>
        <w:tblW w:w="6104" w:type="dxa"/>
        <w:jc w:val="left"/>
        <w:tblInd w:w="0" w:type="dxa"/>
        <w:tblLayout w:type="fixed"/>
        <w:tblCellMar>
          <w:top w:w="28" w:type="dxa"/>
          <w:left w:w="28" w:type="dxa"/>
          <w:bottom w:w="28" w:type="dxa"/>
          <w:right w:w="28" w:type="dxa"/>
        </w:tblCellMar>
      </w:tblPr>
      <w:tblGrid>
        <w:gridCol w:w="479"/>
        <w:gridCol w:w="423"/>
        <w:gridCol w:w="43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Budget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Other includes Zipcar and other operating brands.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Targeted Improvements to the Accounting for Internal-Use Software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In September 2025, the FASB issued ASU 2025-06, “Targeted Improvements to the Accounting for Internal-Use Software,” which amends Topic 350 primarily to modernize the accounting for software costs. The amendments are effective for annual periods beginning after December 15, 2027, and interim periods within those annual periods.</w:t>
      </w:r>
      <w:r>
        <w:rPr>
          <w:color w:val="000000"/>
          <w:shd w:fill="FFFFFF" w:val="clear"/>
        </w:rPr>
        <w:t xml:space="preserve"> </w:t>
      </w:r>
      <w:r>
        <w:rPr>
          <w:rFonts w:ascii="Arial;sans-serif" w:hAnsi="Arial;sans-serif"/>
          <w:b w:val="false"/>
          <w:color w:val="000000"/>
          <w:sz w:val="20"/>
          <w:shd w:fill="FFFFFF" w:val="clear"/>
        </w:rPr>
        <w:t xml:space="preserve">Early adoption is permitted as of the beginning of an annual period. </w:t>
      </w:r>
      <w:r>
        <w:rPr>
          <w:rFonts w:ascii="Arial;sans-serif" w:hAnsi="Arial;sans-serif"/>
          <w:b w:val="false"/>
          <w:color w:val="000000"/>
          <w:sz w:val="20"/>
        </w:rPr>
        <w:t>A prospective, modified or retrospective transition approach is permitted. ASU 2025-06 becomes effective for us on an interim basis beginning on January 1, 2028. We are currently evaluating the impact of the adoption of this accounting pronouncement.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Hedge Accounting Improvements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2025, the FASB issued ASU 2025-09, “Hedge Accounting Improvements,” which clarifies certain aspects of the guidance on hedge accounting and addresses several incremental hedge accounting issues arising from the global reference rate reform initiative. The amendments are effective for annual reporting periods beginning after December 15, 2026, and interim periods within those annual reporting periods, with early adoption permitted on a prospective basis. ASU 2025-09 becomes effective for us on an interim basis beginning on January 1, 2027. We are currently evaluating the impact of the adoption of this accounting pronouncement.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Narrow-Scope Improvements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2025, the FASB issued ASU 2025-11, “Narrow-Scope Improvements,” which clarifies interim disclosure requirements and the applicability of Topic 270. The amendments are effective for interim reporting periods within annual reporting periods beginning after December 15, 2027, with early adoption permitted on a prospective or retrospective basis. ASU 2025-11 becomes effective for us on an interim basis beginning on January 1, 2028. We are currently evaluating the impact of the adoption of this accounting pronouncement.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2.    Leases</w:t>
      </w:r>
    </w:p>
    <w:p>
      <w:pPr>
        <w:pStyle w:val="TextBody"/>
        <w:bidi w:val="0"/>
        <w:spacing w:before="0" w:after="0"/>
        <w:ind w:left="0" w:right="0" w:hanging="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Lessor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geography:</w:t>
      </w:r>
    </w:p>
    <w:tbl>
      <w:tblPr>
        <w:tblW w:w="7409" w:type="dxa"/>
        <w:jc w:val="left"/>
        <w:tblInd w:w="0" w:type="dxa"/>
        <w:tblLayout w:type="fixed"/>
        <w:tblCellMar>
          <w:top w:w="28" w:type="dxa"/>
          <w:left w:w="28" w:type="dxa"/>
          <w:bottom w:w="28" w:type="dxa"/>
          <w:right w:w="28" w:type="dxa"/>
        </w:tblCellMar>
      </w:tblPr>
      <w:tblGrid>
        <w:gridCol w:w="956"/>
        <w:gridCol w:w="840"/>
        <w:gridCol w:w="84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 Middle East and Africa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 and Australasia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revenues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brand:</w:t>
      </w:r>
    </w:p>
    <w:tbl>
      <w:tblPr>
        <w:tblW w:w="6600" w:type="dxa"/>
        <w:jc w:val="left"/>
        <w:tblInd w:w="0" w:type="dxa"/>
        <w:tblLayout w:type="fixed"/>
        <w:tblCellMar>
          <w:top w:w="28" w:type="dxa"/>
          <w:left w:w="28" w:type="dxa"/>
          <w:bottom w:w="28" w:type="dxa"/>
          <w:right w:w="28" w:type="dxa"/>
        </w:tblCellMar>
      </w:tblPr>
      <w:tblGrid>
        <w:gridCol w:w="657"/>
        <w:gridCol w:w="580"/>
        <w:gridCol w:w="59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Budget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revenues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Other includes Zipcar and other operating brands.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Lessee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right-of-use assets and operating lease liabilities and are recorded as variable lease expense as incurred. Our operating leases for rental locations often also require us to pay or reimburse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lease expense are as follows:</w:t>
      </w:r>
    </w:p>
    <w:tbl>
      <w:tblPr>
        <w:tblW w:w="7171" w:type="dxa"/>
        <w:jc w:val="left"/>
        <w:tblInd w:w="0" w:type="dxa"/>
        <w:tblLayout w:type="fixed"/>
        <w:tblCellMar>
          <w:top w:w="28" w:type="dxa"/>
          <w:left w:w="28" w:type="dxa"/>
          <w:bottom w:w="28" w:type="dxa"/>
          <w:right w:w="28" w:type="dxa"/>
        </w:tblCellMar>
      </w:tblPr>
      <w:tblGrid>
        <w:gridCol w:w="1015"/>
        <w:gridCol w:w="892"/>
        <w:gridCol w:w="897"/>
        <w:gridCol w:w="233"/>
        <w:gridCol w:w="515"/>
        <w:gridCol w:w="120"/>
        <w:gridCol w:w="120"/>
        <w:gridCol w:w="120"/>
        <w:gridCol w:w="120"/>
        <w:gridCol w:w="233"/>
        <w:gridCol w:w="515"/>
        <w:gridCol w:w="120"/>
        <w:gridCol w:w="109"/>
        <w:gridCol w:w="109"/>
        <w:gridCol w:w="109"/>
        <w:gridCol w:w="211"/>
        <w:gridCol w:w="466"/>
        <w:gridCol w:w="109"/>
        <w:gridCol w:w="109"/>
        <w:gridCol w:w="109"/>
        <w:gridCol w:w="109"/>
        <w:gridCol w:w="211"/>
        <w:gridCol w:w="46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w:t>
              <w:br/>
              <w:t>June 30,</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leases</w:t>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property lease expense </w:t>
            </w:r>
            <w:r>
              <w:rPr>
                <w:rFonts w:ascii="Arial;sans-serif" w:hAnsi="Arial;sans-serif"/>
                <w:b/>
                <w:color w:val="000000"/>
                <w:sz w:val="12"/>
              </w:rPr>
              <w:t>(a)</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Primarily included within operating expenses.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is as follows:</w:t>
      </w:r>
    </w:p>
    <w:tbl>
      <w:tblPr>
        <w:tblW w:w="5991" w:type="dxa"/>
        <w:jc w:val="left"/>
        <w:tblInd w:w="0" w:type="dxa"/>
        <w:tblLayout w:type="fixed"/>
        <w:tblCellMar>
          <w:top w:w="28" w:type="dxa"/>
          <w:left w:w="28" w:type="dxa"/>
          <w:bottom w:w="28" w:type="dxa"/>
          <w:right w:w="28" w:type="dxa"/>
        </w:tblCellMar>
      </w:tblPr>
      <w:tblGrid>
        <w:gridCol w:w="1227"/>
        <w:gridCol w:w="1078"/>
        <w:gridCol w:w="1084"/>
        <w:gridCol w:w="294"/>
        <w:gridCol w:w="223"/>
        <w:gridCol w:w="408"/>
        <w:gridCol w:w="109"/>
        <w:gridCol w:w="109"/>
        <w:gridCol w:w="109"/>
        <w:gridCol w:w="447"/>
        <w:gridCol w:w="231"/>
        <w:gridCol w:w="672"/>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leases</w:t>
            </w:r>
          </w:p>
        </w:tc>
        <w:tc>
          <w:tcPr>
            <w:tcW w:w="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Short-term operating lease liabilities </w:t>
            </w:r>
            <w:r>
              <w:rPr>
                <w:rFonts w:ascii="Arial;sans-serif" w:hAnsi="Arial;sans-serif"/>
                <w:b w:val="false"/>
                <w:color w:val="000000"/>
                <w:sz w:val="12"/>
              </w:rPr>
              <w:t>(a)</w:t>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29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years</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5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Included within accounts payable and other current liabilities.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is as follows:</w:t>
      </w:r>
    </w:p>
    <w:tbl>
      <w:tblPr>
        <w:tblW w:w="9204" w:type="dxa"/>
        <w:jc w:val="left"/>
        <w:tblInd w:w="0" w:type="dxa"/>
        <w:tblLayout w:type="fixed"/>
        <w:tblCellMar>
          <w:top w:w="28" w:type="dxa"/>
          <w:left w:w="28" w:type="dxa"/>
          <w:bottom w:w="28" w:type="dxa"/>
          <w:right w:w="28" w:type="dxa"/>
        </w:tblCellMar>
      </w:tblPr>
      <w:tblGrid>
        <w:gridCol w:w="2626"/>
        <w:gridCol w:w="2313"/>
        <w:gridCol w:w="2321"/>
        <w:gridCol w:w="211"/>
        <w:gridCol w:w="466"/>
        <w:gridCol w:w="109"/>
        <w:gridCol w:w="109"/>
        <w:gridCol w:w="109"/>
        <w:gridCol w:w="109"/>
        <w:gridCol w:w="211"/>
        <w:gridCol w:w="466"/>
        <w:gridCol w:w="154"/>
      </w:tblGrid>
      <w:tr>
        <w:trPr/>
        <w:tc>
          <w:tcPr>
            <w:tcW w:w="262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w:t>
              <w:br/>
              <w:t>June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payments for lease liabilities within operating activities: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activities - increase in right-of-use assets in exchange for lease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3.    Restructuring and Other Related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2024, we initiated a global restructuring plan to right size our operations (“Global Rightsizing”). The costs associated with this initiative are primarily related to the operational scaling of processes, locations, and lines of business. We expect further restructuring expense of approximately $9 million related to this initiative to be incurred this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summarize the changes to our restructuring-related liabilities and identify the amounts recorded within our reportable segments for restructuring charges and corresponding payments and utilizations:</w:t>
      </w:r>
    </w:p>
    <w:p>
      <w:pPr>
        <w:pStyle w:val="TextBody"/>
        <w:bidi w:val="0"/>
        <w:spacing w:before="0" w:after="0"/>
        <w:jc w:val="both"/>
        <w:rPr/>
      </w:pPr>
      <w:r>
        <w:rPr/>
      </w:r>
    </w:p>
    <w:tbl>
      <w:tblPr>
        <w:tblW w:w="8654" w:type="dxa"/>
        <w:jc w:val="left"/>
        <w:tblInd w:w="0" w:type="dxa"/>
        <w:tblLayout w:type="fixed"/>
        <w:tblCellMar>
          <w:top w:w="28" w:type="dxa"/>
          <w:left w:w="28" w:type="dxa"/>
          <w:bottom w:w="28" w:type="dxa"/>
          <w:right w:w="28" w:type="dxa"/>
        </w:tblCellMar>
      </w:tblPr>
      <w:tblGrid>
        <w:gridCol w:w="1026"/>
        <w:gridCol w:w="901"/>
        <w:gridCol w:w="908"/>
        <w:gridCol w:w="109"/>
        <w:gridCol w:w="109"/>
        <w:gridCol w:w="109"/>
        <w:gridCol w:w="520"/>
        <w:gridCol w:w="890"/>
        <w:gridCol w:w="270"/>
        <w:gridCol w:w="109"/>
        <w:gridCol w:w="109"/>
        <w:gridCol w:w="109"/>
        <w:gridCol w:w="521"/>
        <w:gridCol w:w="632"/>
        <w:gridCol w:w="271"/>
        <w:gridCol w:w="109"/>
        <w:gridCol w:w="109"/>
        <w:gridCol w:w="109"/>
        <w:gridCol w:w="211"/>
        <w:gridCol w:w="361"/>
        <w:gridCol w:w="109"/>
        <w:gridCol w:w="109"/>
        <w:gridCol w:w="109"/>
        <w:gridCol w:w="109"/>
        <w:gridCol w:w="211"/>
        <w:gridCol w:w="36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Personnel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Facility 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Global Rightsizing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payment/utilization: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Global Rightsizing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Other includes the disposition of vehicles.</w:t>
      </w:r>
    </w:p>
    <w:p>
      <w:pPr>
        <w:pStyle w:val="TextBody"/>
        <w:bidi w:val="0"/>
        <w:spacing w:before="0" w:after="0"/>
        <w:ind w:left="0" w:right="0" w:hanging="360"/>
        <w:jc w:val="both"/>
        <w:rPr/>
      </w:pPr>
      <w:r>
        <w:rPr/>
      </w:r>
    </w:p>
    <w:tbl>
      <w:tblPr>
        <w:tblW w:w="6659" w:type="dxa"/>
        <w:jc w:val="left"/>
        <w:tblInd w:w="0" w:type="dxa"/>
        <w:tblLayout w:type="fixed"/>
        <w:tblCellMar>
          <w:top w:w="28" w:type="dxa"/>
          <w:left w:w="28" w:type="dxa"/>
          <w:bottom w:w="28" w:type="dxa"/>
          <w:right w:w="28" w:type="dxa"/>
        </w:tblCellMar>
      </w:tblPr>
      <w:tblGrid>
        <w:gridCol w:w="1026"/>
        <w:gridCol w:w="901"/>
        <w:gridCol w:w="908"/>
        <w:gridCol w:w="109"/>
        <w:gridCol w:w="109"/>
        <w:gridCol w:w="109"/>
        <w:gridCol w:w="274"/>
        <w:gridCol w:w="529"/>
        <w:gridCol w:w="143"/>
        <w:gridCol w:w="109"/>
        <w:gridCol w:w="109"/>
        <w:gridCol w:w="109"/>
        <w:gridCol w:w="362"/>
        <w:gridCol w:w="620"/>
        <w:gridCol w:w="189"/>
        <w:gridCol w:w="109"/>
        <w:gridCol w:w="109"/>
        <w:gridCol w:w="109"/>
        <w:gridCol w:w="211"/>
        <w:gridCol w:w="36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Global Rightsizing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payment/utilization: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Global Rightsizing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Related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Officer Separation Costs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February 2025, we announced that Joseph A. Ferraro, President and Chief Executive Officer, would transition to a Board Advisor role effective June 30, 2025. In connection with Mr. Ferraro’s departure, for the three months ended June 30,</w:t>
      </w:r>
      <w:r>
        <w:rPr>
          <w:color w:val="000000"/>
        </w:rPr>
        <w:t xml:space="preserve"> </w:t>
      </w:r>
      <w:r>
        <w:rPr>
          <w:rFonts w:ascii="Arial;sans-serif" w:hAnsi="Arial;sans-serif"/>
          <w:b w:val="false"/>
          <w:color w:val="000000"/>
          <w:sz w:val="20"/>
        </w:rPr>
        <w:t>2026 and 2025 we recorded other related charges of $1 million and $8 million, respectively. For the six months ended June 30, 2026 and 2025, we recorded other related charges of $1 million and $8 million, respectively. We do not expect further expenses to be incurred this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Limited Voluntary Opportunity Plans (“LVOP”)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2026, our Americas segment offered a voluntary termination program to certain employees in field operations and general and administrative functions for a limited time. These employees, if qualified, elected resignation from employment in return for enhanced severance benefits to be settled in cash. In connection with the LVOP, we recorded minimal other related charges for the three months ended June 30, 2026 and $7 million for the six months ended June 30, 2026. As of June 30, 2026, approximately 200 employees elected to participate in the plan and have been terminated.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4.    Earnings Per Share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(loss) per share (“EPS”) (shares in millions): </w:t>
      </w:r>
    </w:p>
    <w:tbl>
      <w:tblPr>
        <w:tblW w:w="10205" w:type="dxa"/>
        <w:jc w:val="left"/>
        <w:tblInd w:w="0" w:type="dxa"/>
        <w:tblLayout w:type="fixed"/>
        <w:tblCellMar>
          <w:top w:w="28" w:type="dxa"/>
          <w:left w:w="28" w:type="dxa"/>
          <w:bottom w:w="28" w:type="dxa"/>
          <w:right w:w="28" w:type="dxa"/>
        </w:tblCellMar>
      </w:tblPr>
      <w:tblGrid>
        <w:gridCol w:w="1028"/>
        <w:gridCol w:w="791"/>
        <w:gridCol w:w="791"/>
        <w:gridCol w:w="904"/>
        <w:gridCol w:w="791"/>
        <w:gridCol w:w="791"/>
        <w:gridCol w:w="257"/>
        <w:gridCol w:w="623"/>
        <w:gridCol w:w="132"/>
        <w:gridCol w:w="132"/>
        <w:gridCol w:w="132"/>
        <w:gridCol w:w="132"/>
        <w:gridCol w:w="257"/>
        <w:gridCol w:w="623"/>
        <w:gridCol w:w="132"/>
        <w:gridCol w:w="109"/>
        <w:gridCol w:w="109"/>
        <w:gridCol w:w="109"/>
        <w:gridCol w:w="220"/>
        <w:gridCol w:w="594"/>
        <w:gridCol w:w="113"/>
        <w:gridCol w:w="113"/>
        <w:gridCol w:w="113"/>
        <w:gridCol w:w="113"/>
        <w:gridCol w:w="220"/>
        <w:gridCol w:w="704"/>
        <w:gridCol w:w="172"/>
      </w:tblGrid>
      <w:tr>
        <w:trPr/>
        <w:tc>
          <w:tcPr>
            <w:tcW w:w="102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09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(loss) attributable to Avis Budget Group, Inc. for basic and diluted EPS</w:t>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shares outstanding</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Non-vested stock </w:t>
            </w:r>
            <w:r>
              <w:rPr>
                <w:rFonts w:ascii="Arial;sans-serif" w:hAnsi="Arial;sans-serif"/>
                <w:b w:val="false"/>
                <w:color w:val="000000"/>
                <w:sz w:val="12"/>
              </w:rPr>
              <w:t>(a)</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weighted average shares outstanding</w:t>
            </w:r>
            <w:r>
              <w:rPr>
                <w:color w:val="000000"/>
              </w:rPr>
              <w:t xml:space="preserve"> </w:t>
            </w:r>
            <w:r>
              <w:rPr>
                <w:rFonts w:ascii="Arial;sans-serif" w:hAnsi="Arial;sans-serif"/>
                <w:b w:val="false"/>
                <w:color w:val="000000"/>
                <w:sz w:val="12"/>
              </w:rPr>
              <w:t>(b)</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Earnings (loss) per share</w:t>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w:t>
            </w:r>
            <w:r>
              <w:rPr>
                <w:color w:val="000000"/>
              </w:rPr>
              <w:t xml:space="preserve"> </w:t>
            </w:r>
            <w:r>
              <w:rPr>
                <w:rFonts w:ascii="Arial;sans-serif" w:hAnsi="Arial;sans-serif"/>
                <w:b w:val="false"/>
                <w:color w:val="000000"/>
                <w:sz w:val="12"/>
              </w:rPr>
              <w:t>(c)</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three months ended June 30, 2025, 0.1 million non-vested stock awards have an anti-dilutive effect and therefore have been excluded from the computation of diluted weighted average shares outstanding.</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For the six months ended June 30, 2026 and 2025, our number of diluted weighted average shares outstanding excludes the effect of non-vested stock as the effect would have been anti-dilutive. This occurs when a net loss is reported and the effect of using dilutive shares would be anti-dilutive. For the six months ended June 30, 2026 and 2025, 0.6 million and 0.4 million non-vested stock awards have an anti-dilutive effect and therefore have been excluded from the computation of diluted weighted average shares outstanding.</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Diluted earnings (loss) per share was computed using the treasury stock method for non-vested stock.</w:t>
      </w:r>
    </w:p>
    <w:p>
      <w:pPr>
        <w:pStyle w:val="TextBody"/>
        <w:bidi w:val="0"/>
        <w:spacing w:before="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5.    Other 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current assets consisted of:</w:t>
      </w:r>
    </w:p>
    <w:tbl>
      <w:tblPr>
        <w:tblW w:w="6166" w:type="dxa"/>
        <w:jc w:val="left"/>
        <w:tblInd w:w="0" w:type="dxa"/>
        <w:tblLayout w:type="fixed"/>
        <w:tblCellMar>
          <w:top w:w="28" w:type="dxa"/>
          <w:left w:w="28" w:type="dxa"/>
          <w:bottom w:w="28" w:type="dxa"/>
          <w:right w:w="28" w:type="dxa"/>
        </w:tblCellMar>
      </w:tblPr>
      <w:tblGrid>
        <w:gridCol w:w="1286"/>
        <w:gridCol w:w="1128"/>
        <w:gridCol w:w="1140"/>
        <w:gridCol w:w="211"/>
        <w:gridCol w:w="616"/>
        <w:gridCol w:w="109"/>
        <w:gridCol w:w="109"/>
        <w:gridCol w:w="109"/>
        <w:gridCol w:w="109"/>
        <w:gridCol w:w="341"/>
        <w:gridCol w:w="757"/>
        <w:gridCol w:w="251"/>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use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Prepaid expenses </w:t>
            </w:r>
            <w:r>
              <w:rPr>
                <w:rFonts w:ascii="Arial;sans-serif" w:hAnsi="Arial;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Prepaid vehicle license and registration</w:t>
            </w:r>
            <w:r>
              <w:rPr>
                <w:color w:val="000000"/>
              </w:rPr>
              <w:t xml:space="preserve"> </w:t>
            </w:r>
            <w:r>
              <w:rPr>
                <w:rFonts w:ascii="Arial;sans-serif" w:hAnsi="Arial;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year ended December 31, 2025 balance, we reclassified $85 million of prepaid vehicle license and registration to conform to the current year presentation. This reclassification had no impact to other current assets.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6.    Acquisitions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In February 2026, we completed the acquisition of a licensee in North America for approximately $46 million, plus approximately $1 million in acquired fleet, with approximately $16 million remaining to be paid through March 2027. This investment is in-line with our strategy to re-acquire licensees when advantageous to expand our footprint of Company-operated locations. In connection with this acquisition, approximately $43 million was recorded to other intangibles related to license agreements, which are being amortized over a weighted average useful life of approximately </w:t>
      </w:r>
      <w:r>
        <w:rPr>
          <w:rFonts w:ascii="Arial;sans-serif" w:hAnsi="Arial;sans-serif"/>
          <w:b w:val="false"/>
          <w:color w:val="000000"/>
          <w:sz w:val="20"/>
          <w:shd w:fill="FFFFFF" w:val="clear"/>
        </w:rPr>
        <w:t>five years</w:t>
      </w:r>
      <w:r>
        <w:rPr>
          <w:rFonts w:ascii="Arial;sans-serif" w:hAnsi="Arial;sans-serif"/>
          <w:b w:val="false"/>
          <w:color w:val="000000"/>
          <w:sz w:val="20"/>
        </w:rPr>
        <w:t xml:space="preserve">. The fair value of the assets acquired and liabilities assumed has not yet been finalized and is therefore subject to change.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7.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w:t>
      </w:r>
    </w:p>
    <w:tbl>
      <w:tblPr>
        <w:tblW w:w="10205" w:type="dxa"/>
        <w:jc w:val="left"/>
        <w:tblInd w:w="0" w:type="dxa"/>
        <w:tblLayout w:type="fixed"/>
        <w:tblCellMar>
          <w:top w:w="28" w:type="dxa"/>
          <w:left w:w="28" w:type="dxa"/>
          <w:bottom w:w="28" w:type="dxa"/>
          <w:right w:w="28" w:type="dxa"/>
        </w:tblCellMar>
      </w:tblPr>
      <w:tblGrid>
        <w:gridCol w:w="901"/>
        <w:gridCol w:w="771"/>
        <w:gridCol w:w="776"/>
        <w:gridCol w:w="211"/>
        <w:gridCol w:w="616"/>
        <w:gridCol w:w="109"/>
        <w:gridCol w:w="109"/>
        <w:gridCol w:w="109"/>
        <w:gridCol w:w="109"/>
        <w:gridCol w:w="334"/>
        <w:gridCol w:w="738"/>
        <w:gridCol w:w="174"/>
        <w:gridCol w:w="109"/>
        <w:gridCol w:w="109"/>
        <w:gridCol w:w="109"/>
        <w:gridCol w:w="229"/>
        <w:gridCol w:w="507"/>
        <w:gridCol w:w="120"/>
        <w:gridCol w:w="109"/>
        <w:gridCol w:w="109"/>
        <w:gridCol w:w="109"/>
        <w:gridCol w:w="211"/>
        <w:gridCol w:w="616"/>
        <w:gridCol w:w="109"/>
        <w:gridCol w:w="109"/>
        <w:gridCol w:w="109"/>
        <w:gridCol w:w="109"/>
        <w:gridCol w:w="334"/>
        <w:gridCol w:w="738"/>
        <w:gridCol w:w="174"/>
        <w:gridCol w:w="109"/>
        <w:gridCol w:w="109"/>
        <w:gridCol w:w="109"/>
        <w:gridCol w:w="261"/>
        <w:gridCol w:w="448"/>
        <w:gridCol w:w="193"/>
      </w:tblGrid>
      <w:tr>
        <w:trPr/>
        <w:tc>
          <w:tcPr>
            <w:tcW w:w="9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Amortized Intangible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License agreements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Unamortized Intangible Assets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w:t>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0" w:after="0"/>
        <w:jc w:val="both"/>
        <w:rPr/>
      </w:pPr>
      <w:r>
        <w:rPr>
          <w:rFonts w:ascii="Arial;sans-serif" w:hAnsi="Arial;sans-serif"/>
          <w:b w:val="false"/>
          <w:color w:val="000000"/>
          <w:sz w:val="20"/>
        </w:rPr>
        <w:t>For the three months ended June 30, 2026 and 2025, amortization expense related to amortizable intangible assets was approximat</w:t>
      </w:r>
      <w:r>
        <w:rPr>
          <w:rFonts w:ascii="Arial;sans-serif" w:hAnsi="Arial;sans-serif"/>
          <w:b w:val="false"/>
          <w:color w:val="000000"/>
          <w:sz w:val="20"/>
          <w:shd w:fill="FFFFFF" w:val="clear"/>
        </w:rPr>
        <w:t>el</w:t>
      </w:r>
      <w:r>
        <w:rPr>
          <w:rFonts w:ascii="Arial;sans-serif" w:hAnsi="Arial;sans-serif"/>
          <w:b w:val="false"/>
          <w:color w:val="000000"/>
          <w:sz w:val="20"/>
        </w:rPr>
        <w:t xml:space="preserve">y </w:t>
      </w:r>
      <w:r>
        <w:rPr>
          <w:rFonts w:ascii="Arial;sans-serif" w:hAnsi="Arial;sans-serif"/>
          <w:b w:val="false"/>
          <w:color w:val="000000"/>
          <w:sz w:val="20"/>
          <w:shd w:fill="FFFFFF" w:val="clear"/>
        </w:rPr>
        <w:t>$8 million</w:t>
      </w:r>
      <w:r>
        <w:rPr>
          <w:color w:val="000000"/>
        </w:rPr>
        <w:t xml:space="preserve"> </w:t>
      </w:r>
      <w:r>
        <w:rPr>
          <w:rFonts w:ascii="Arial;sans-serif" w:hAnsi="Arial;sans-serif"/>
          <w:b w:val="false"/>
          <w:color w:val="000000"/>
          <w:sz w:val="20"/>
        </w:rPr>
        <w:t>and $5 million, respectively. For the six months ended June 30, 2026 and 2025, amortization expense related to amortizable intangible assets was approximat</w:t>
      </w:r>
      <w:r>
        <w:rPr>
          <w:rFonts w:ascii="Arial;sans-serif" w:hAnsi="Arial;sans-serif"/>
          <w:b w:val="false"/>
          <w:color w:val="000000"/>
          <w:sz w:val="20"/>
          <w:shd w:fill="FFFFFF" w:val="clear"/>
        </w:rPr>
        <w:t>el</w:t>
      </w:r>
      <w:r>
        <w:rPr>
          <w:rFonts w:ascii="Arial;sans-serif" w:hAnsi="Arial;sans-serif"/>
          <w:b w:val="false"/>
          <w:color w:val="000000"/>
          <w:sz w:val="20"/>
        </w:rPr>
        <w:t xml:space="preserve">y $15 million and $11 million, respectively.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on our amortizable intangible assets as of June 30, 2026, we expect amortization expense of approximately $15 million for the remainder of 2026, $24 million for 2027, $19 million for 2028, $16 million for 2029, $16 million for 2030 and $7 million for 2031, excluding effects of currency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8.    Vehicle Rental Activities</w:t>
      </w:r>
    </w:p>
    <w:p>
      <w:pPr>
        <w:pStyle w:val="TextBody"/>
        <w:bidi w:val="0"/>
        <w:spacing w:before="0" w:after="0"/>
        <w:ind w:left="0" w:right="0" w:hanging="540"/>
        <w:jc w:val="left"/>
        <w:rPr/>
      </w:pPr>
      <w:r>
        <w:rPr/>
      </w:r>
    </w:p>
    <w:p>
      <w:pPr>
        <w:pStyle w:val="TextBody"/>
        <w:bidi w:val="0"/>
        <w:spacing w:lineRule="auto" w:line="288" w:before="0" w:after="0"/>
        <w:jc w:val="left"/>
        <w:rPr/>
      </w:pPr>
      <w:r>
        <w:rPr>
          <w:rFonts w:ascii="Arial;sans-serif" w:hAnsi="Arial;sans-serif"/>
          <w:b w:val="false"/>
          <w:color w:val="000000"/>
          <w:sz w:val="20"/>
        </w:rPr>
        <w:t>The components of vehicles, net within assets under vehicle programs are as follows:</w:t>
      </w:r>
      <w:r>
        <w:rPr>
          <w:color w:val="000000"/>
        </w:rPr>
        <w:t> </w:t>
      </w:r>
    </w:p>
    <w:tbl>
      <w:tblPr>
        <w:tblW w:w="5702" w:type="dxa"/>
        <w:jc w:val="left"/>
        <w:tblInd w:w="0" w:type="dxa"/>
        <w:tblLayout w:type="fixed"/>
        <w:tblCellMar>
          <w:top w:w="28" w:type="dxa"/>
          <w:left w:w="28" w:type="dxa"/>
          <w:bottom w:w="28" w:type="dxa"/>
          <w:right w:w="28" w:type="dxa"/>
        </w:tblCellMar>
      </w:tblPr>
      <w:tblGrid>
        <w:gridCol w:w="1081"/>
        <w:gridCol w:w="948"/>
        <w:gridCol w:w="956"/>
        <w:gridCol w:w="211"/>
        <w:gridCol w:w="721"/>
        <w:gridCol w:w="109"/>
        <w:gridCol w:w="109"/>
        <w:gridCol w:w="109"/>
        <w:gridCol w:w="109"/>
        <w:gridCol w:w="262"/>
        <w:gridCol w:w="89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Rental vehicles </w:t>
            </w:r>
            <w:r>
              <w:rPr>
                <w:rFonts w:ascii="Arial;sans-serif" w:hAnsi="Arial;sans-serif"/>
                <w:b w:val="false"/>
                <w:color w:val="000000"/>
                <w:sz w:val="12"/>
              </w:rPr>
              <w:t>(a)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21,011 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18,152 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Vehicles held for sale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Vehicles, net investment in lease </w:t>
            </w:r>
            <w:r>
              <w:rPr>
                <w:rFonts w:ascii="Arial;sans-serif" w:hAnsi="Arial;sans-serif"/>
                <w:b w:val="false"/>
                <w:color w:val="000000"/>
                <w:sz w:val="12"/>
              </w:rPr>
              <w:t>(b)</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net</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19,589 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18,720 </w:t>
            </w:r>
          </w:p>
        </w:tc>
        <w:tc>
          <w:tcPr>
            <w:tcW w:w="1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year ended December 31, 2025, reflects long-lived asset impairment and other related charges, which reduced the carrying value of our rental vehicles to fair value.</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See Note 15 – Related Party Transactions.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vehicle depreciation and lease charges, net are summarized below:</w:t>
      </w:r>
    </w:p>
    <w:tbl>
      <w:tblPr>
        <w:tblW w:w="8176" w:type="dxa"/>
        <w:jc w:val="left"/>
        <w:tblInd w:w="0" w:type="dxa"/>
        <w:tblLayout w:type="fixed"/>
        <w:tblCellMar>
          <w:top w:w="28" w:type="dxa"/>
          <w:left w:w="28" w:type="dxa"/>
          <w:bottom w:w="28" w:type="dxa"/>
          <w:right w:w="28" w:type="dxa"/>
        </w:tblCellMar>
      </w:tblPr>
      <w:tblGrid>
        <w:gridCol w:w="1341"/>
        <w:gridCol w:w="1179"/>
        <w:gridCol w:w="1184"/>
        <w:gridCol w:w="211"/>
        <w:gridCol w:w="467"/>
        <w:gridCol w:w="109"/>
        <w:gridCol w:w="109"/>
        <w:gridCol w:w="109"/>
        <w:gridCol w:w="109"/>
        <w:gridCol w:w="211"/>
        <w:gridCol w:w="467"/>
        <w:gridCol w:w="109"/>
        <w:gridCol w:w="109"/>
        <w:gridCol w:w="109"/>
        <w:gridCol w:w="109"/>
        <w:gridCol w:w="211"/>
        <w:gridCol w:w="616"/>
        <w:gridCol w:w="109"/>
        <w:gridCol w:w="109"/>
        <w:gridCol w:w="109"/>
        <w:gridCol w:w="109"/>
        <w:gridCol w:w="211"/>
        <w:gridCol w:w="61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w:t>
              <w:br/>
              <w:t>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charges</w:t>
            </w:r>
          </w:p>
        </w:tc>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(Gain) loss on sale of vehicles, net </w:t>
            </w:r>
            <w:r>
              <w:rPr>
                <w:rFonts w:ascii="Arial;sans-serif" w:hAnsi="Arial;sans-serif"/>
                <w:b w:val="false"/>
                <w:color w:val="000000"/>
                <w:sz w:val="12"/>
              </w:rPr>
              <w:t>(a)</w:t>
            </w:r>
          </w:p>
        </w:tc>
        <w:tc>
          <w:tcPr>
            <w:tcW w:w="6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 and lease charges,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 xml:space="preserve">For the six months ended June 30, 2025, includes other fleet charges of $390 million related to the disposal of certain fleet in our Americas reportable segment.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and 2025, we had payables related to vehicle purchases included in liabilities under vehicle programs - other of $664 million and $630 million, respectively, and receivables related to vehicle sales included in assets under vehicle programs - receivables from vehicle manufacturers and other of $190 million and $137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9.    Income Taxes</w:t>
      </w:r>
    </w:p>
    <w:p>
      <w:pPr>
        <w:pStyle w:val="TextBody"/>
        <w:bidi w:val="0"/>
        <w:spacing w:before="0" w:after="0"/>
        <w:ind w:left="0" w:right="0" w:hanging="54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effective tax rate for the six months ended June 30, 2026 was a benefit of 36.0%. Such rate differed from the Federal Statutory rate of 21.0% primarily due to foreign income inclusions and foreign taxes associated with our International operations, as well as state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effective tax rate for the six months ended June 30, 2025 was a benefit of 24.6%. Such rate differed from the Federal Statutory rate of 21.0% primarily due to foreign taxes on our International operations and state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July 2025, the One Big Beautiful Bill Act (“OBBBA”) was enacted, making permanent key provisions of the Tax Cuts and Jobs Act, including full expensing on qualified property, and modifications to the business interest expense limitation, as well as introducing phased-in modifications to certain foreign income inclusion provisions effective in 2026 and future periods. As a result of the enactment of OBBBA, our deferred tax balances as of June 30, 2026 reflect the new law. In addition, these phased-in provisions impacted our income tax expense and effective tax rate for the three and six months ended June 30, 2026; however, the overall impact on our condensed consolidated results of operations was not significant.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the implementation of the Organisation for Economic Cooperation and Development (“OECD”) Pillar Two global minimum tax framework, including recent administrative guidance; however, it did not have a material impact on our condensed consolidated financial statements for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10.    Accounts Payable and Other Current Liabilities</w:t>
      </w:r>
    </w:p>
    <w:p>
      <w:pPr>
        <w:pStyle w:val="TextBody"/>
        <w:bidi w:val="0"/>
        <w:spacing w:before="0" w:after="0"/>
        <w:ind w:left="0" w:right="0" w:hanging="5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payable and other current liabilities consisted of:</w:t>
      </w:r>
    </w:p>
    <w:tbl>
      <w:tblPr>
        <w:tblW w:w="8042" w:type="dxa"/>
        <w:jc w:val="left"/>
        <w:tblInd w:w="0" w:type="dxa"/>
        <w:tblLayout w:type="fixed"/>
        <w:tblCellMar>
          <w:top w:w="28" w:type="dxa"/>
          <w:left w:w="28" w:type="dxa"/>
          <w:bottom w:w="28" w:type="dxa"/>
          <w:right w:w="28" w:type="dxa"/>
        </w:tblCellMar>
      </w:tblPr>
      <w:tblGrid>
        <w:gridCol w:w="1964"/>
        <w:gridCol w:w="1730"/>
        <w:gridCol w:w="1735"/>
        <w:gridCol w:w="211"/>
        <w:gridCol w:w="616"/>
        <w:gridCol w:w="109"/>
        <w:gridCol w:w="109"/>
        <w:gridCol w:w="109"/>
        <w:gridCol w:w="109"/>
        <w:gridCol w:w="290"/>
        <w:gridCol w:w="847"/>
        <w:gridCol w:w="213"/>
      </w:tblGrid>
      <w:tr>
        <w:trPr/>
        <w:tc>
          <w:tcPr>
            <w:tcW w:w="196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operating lease liabilities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sales and use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advertising and marketing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 liability and property damage insurance liabilities – current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lease revenues - current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related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2,865 </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pPr>
      <w:r>
        <w:rPr>
          <w:color w:val="000000"/>
        </w:rPr>
        <w:t> </w:t>
      </w:r>
      <w:r>
        <w:rPr>
          <w:rFonts w:ascii="Arial;sans-serif" w:hAnsi="Arial;sans-serif"/>
          <w:b/>
          <w:color w:val="000000"/>
          <w:sz w:val="20"/>
        </w:rPr>
        <w:t>11.</w:t>
      </w:r>
      <w:r>
        <w:rPr>
          <w:color w:val="000000"/>
        </w:rPr>
        <w:t>    </w:t>
      </w:r>
      <w:r>
        <w:rPr>
          <w:rFonts w:ascii="Arial;sans-serif" w:hAnsi="Arial;sans-serif"/>
          <w:b/>
          <w:color w:val="000000"/>
          <w:sz w:val="20"/>
        </w:rPr>
        <w:t>Long-term Corporate Debt and Borrowing Arrangements</w:t>
      </w:r>
    </w:p>
    <w:p>
      <w:pPr>
        <w:pStyle w:val="TextBody"/>
        <w:bidi w:val="0"/>
        <w:spacing w:before="0" w:after="0"/>
        <w:ind w:left="0" w:right="0" w:hanging="45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Long-term debt and other borrowing arrangements consisted of:</w:t>
      </w:r>
    </w:p>
    <w:tbl>
      <w:tblPr>
        <w:tblW w:w="9119" w:type="dxa"/>
        <w:jc w:val="left"/>
        <w:tblInd w:w="0" w:type="dxa"/>
        <w:tblLayout w:type="fixed"/>
        <w:tblCellMar>
          <w:top w:w="28" w:type="dxa"/>
          <w:left w:w="28" w:type="dxa"/>
          <w:bottom w:w="28" w:type="dxa"/>
          <w:right w:w="28" w:type="dxa"/>
        </w:tblCellMar>
      </w:tblPr>
      <w:tblGrid>
        <w:gridCol w:w="1766"/>
        <w:gridCol w:w="1551"/>
        <w:gridCol w:w="1557"/>
        <w:gridCol w:w="434"/>
        <w:gridCol w:w="434"/>
        <w:gridCol w:w="437"/>
        <w:gridCol w:w="109"/>
        <w:gridCol w:w="109"/>
        <w:gridCol w:w="109"/>
        <w:gridCol w:w="211"/>
        <w:gridCol w:w="616"/>
        <w:gridCol w:w="109"/>
        <w:gridCol w:w="109"/>
        <w:gridCol w:w="109"/>
        <w:gridCol w:w="109"/>
        <w:gridCol w:w="290"/>
        <w:gridCol w:w="847"/>
        <w:gridCol w:w="213"/>
      </w:tblGrid>
      <w:tr>
        <w:trPr/>
        <w:tc>
          <w:tcPr>
            <w:tcW w:w="17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5.750% Senior Notes</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4.750% Senior Notes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7.000% euro-denominated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5.375%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8.250%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7.250% euro-denominated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8.000%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8.375% Senior Notes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Floating Rate Term Loan </w:t>
            </w:r>
            <w:r>
              <w:rPr>
                <w:rFonts w:ascii="Arial;sans-serif" w:hAnsi="Arial;sans-serif"/>
                <w:b w:val="false"/>
                <w:color w:val="000000"/>
                <w:sz w:val="12"/>
              </w:rPr>
              <w:t>(a)</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(b)</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fees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6,073 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and current portion of long-term debt</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6,049 </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The floating rate term loan is part of our senior revolving credit facilities, which is secured by pledges of capital stock of certain of our subsidiaries, and liens on substantially all of our intellectual property and certain other real and personal property. As of June 30, 2026, the floating rate term loan due 2032 bears interest at one-month Secured Overnight Financing Rate (“SOFR”) plus 2.50%, for an aggregate rate of 6.14%. We have entered into a swap to hedge $750 million of interest rate exposure related to the floating rate term loan at an aggregate rate of 4.01%.</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Primarily includes finance leases, which are secured by liens on the related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2026, we issued an additional $300 million of 8.000% Senior Notes due February 2031. Net proceeds were used to redeem a portion of our 5.750% Senior Notes due July 2027.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2026, we redeemed $300 million of our outstanding 5.750% Senior Notes due July 2027.</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Committed Credit Facilities And Available Funding Arrangements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 of June 30, 2026, the committed corporate credit facilities available to us and/or our subsidiaries were as follows:</w:t>
      </w:r>
      <w:r>
        <w:rPr>
          <w:color w:val="000000"/>
        </w:rPr>
        <w:t> </w:t>
      </w:r>
    </w:p>
    <w:tbl>
      <w:tblPr>
        <w:tblW w:w="10048" w:type="dxa"/>
        <w:jc w:val="left"/>
        <w:tblInd w:w="0" w:type="dxa"/>
        <w:tblLayout w:type="fixed"/>
        <w:tblCellMar>
          <w:top w:w="28" w:type="dxa"/>
          <w:left w:w="28" w:type="dxa"/>
          <w:bottom w:w="28" w:type="dxa"/>
          <w:right w:w="28" w:type="dxa"/>
        </w:tblCellMar>
      </w:tblPr>
      <w:tblGrid>
        <w:gridCol w:w="1421"/>
        <w:gridCol w:w="1250"/>
        <w:gridCol w:w="1259"/>
        <w:gridCol w:w="211"/>
        <w:gridCol w:w="616"/>
        <w:gridCol w:w="109"/>
        <w:gridCol w:w="109"/>
        <w:gridCol w:w="109"/>
        <w:gridCol w:w="109"/>
        <w:gridCol w:w="331"/>
        <w:gridCol w:w="638"/>
        <w:gridCol w:w="172"/>
        <w:gridCol w:w="109"/>
        <w:gridCol w:w="109"/>
        <w:gridCol w:w="109"/>
        <w:gridCol w:w="475"/>
        <w:gridCol w:w="1392"/>
        <w:gridCol w:w="247"/>
        <w:gridCol w:w="109"/>
        <w:gridCol w:w="109"/>
        <w:gridCol w:w="109"/>
        <w:gridCol w:w="240"/>
        <w:gridCol w:w="530"/>
        <w:gridCol w:w="176"/>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b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w:t>
              <w:b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Letters of Credit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Capacity</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Senior revolving credit facility maturing 2028 </w:t>
            </w:r>
            <w:r>
              <w:rPr>
                <w:rFonts w:ascii="Arial;sans-serif" w:hAnsi="Arial;sans-serif"/>
                <w:b w:val="false"/>
                <w:color w:val="000000"/>
                <w:sz w:val="12"/>
              </w:rPr>
              <w:t>(a)</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Senior revolving credit facility maturing 2031 </w:t>
            </w:r>
            <w:r>
              <w:rPr>
                <w:rFonts w:ascii="Arial;sans-serif" w:hAnsi="Arial;sans-serif"/>
                <w:b w:val="false"/>
                <w:color w:val="000000"/>
                <w:sz w:val="12"/>
              </w:rPr>
              <w:t>(a)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The senior revolving credit facilities bear interest at one-month SOFR plus 2.00% and are part of our senior credit facilities, which include the floating rate term loan and the senior revolving credit facilities, and which are secured by pledges of capital stock of certain of our subsidiaries, and liens on substantially all of our intellectual property and certain other real and personal property.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2026, we refinanced our existing $2 billion senior revolving credit facility with a new $2 billion senior revolving credit facility with a maturity in June 2031 and also established a new $200 million senior revolving credit facility with a maturity in June 2028.</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As of June 30, 2026, we have other uncommitted standby letter of credit facilities (“SBLC facilities”) with an additional letter of credit capacity of up to $464 million. As of June 30, 2026, letters of credit totaling $464 million have been issued on our SBLC facilities,</w:t>
      </w:r>
      <w:r>
        <w:rPr>
          <w:color w:val="000000"/>
          <w:shd w:fill="FFFFFF" w:val="clear"/>
        </w:rPr>
        <w:t xml:space="preserve"> </w:t>
      </w:r>
      <w:r>
        <w:rPr>
          <w:rFonts w:ascii="Arial;sans-serif" w:hAnsi="Arial;sans-serif"/>
          <w:b w:val="false"/>
          <w:color w:val="000000"/>
          <w:sz w:val="20"/>
          <w:shd w:fill="FFFFFF" w:val="clear"/>
        </w:rPr>
        <w:t>which results in no remaining available capacity</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Debt Covenants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facilities also contain a maximum leverage ratio requirement. As of June 30, 2026, we were in compliance with the financial covenants governing our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12.    Debt Under Vehicle Programs and Borrowing Arrangements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Debt under vehicle programs, including related party debt due to Avis Budget Rental Car Funding (AESOP) LLC (“Avis Budget Rental Car Funding”), consisted of:</w:t>
      </w:r>
    </w:p>
    <w:tbl>
      <w:tblPr>
        <w:tblW w:w="7561" w:type="dxa"/>
        <w:jc w:val="left"/>
        <w:tblInd w:w="0" w:type="dxa"/>
        <w:tblLayout w:type="fixed"/>
        <w:tblCellMar>
          <w:top w:w="28" w:type="dxa"/>
          <w:left w:w="28" w:type="dxa"/>
          <w:bottom w:w="28" w:type="dxa"/>
          <w:right w:w="28" w:type="dxa"/>
        </w:tblCellMar>
      </w:tblPr>
      <w:tblGrid>
        <w:gridCol w:w="1755"/>
        <w:gridCol w:w="1542"/>
        <w:gridCol w:w="1547"/>
        <w:gridCol w:w="211"/>
        <w:gridCol w:w="721"/>
        <w:gridCol w:w="109"/>
        <w:gridCol w:w="109"/>
        <w:gridCol w:w="109"/>
        <w:gridCol w:w="109"/>
        <w:gridCol w:w="262"/>
        <w:gridCol w:w="896"/>
        <w:gridCol w:w="191"/>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Americas - Debt due to Avis Budget Rental Car Funding </w:t>
            </w:r>
            <w:r>
              <w:rPr>
                <w:rFonts w:ascii="Arial;sans-serif" w:hAnsi="Arial;sans-serif"/>
                <w:b w:val="false"/>
                <w:color w:val="000000"/>
                <w:sz w:val="12"/>
              </w:rPr>
              <w:t>(a)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14,447 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Americas - Debt borrowings </w:t>
            </w:r>
            <w:r>
              <w:rPr>
                <w:rFonts w:ascii="Arial;sans-serif" w:hAnsi="Arial;sans-serif"/>
                <w:b w:val="false"/>
                <w:color w:val="000000"/>
                <w:sz w:val="12"/>
              </w:rPr>
              <w:t>(b)</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International - Debt borrowings </w:t>
            </w:r>
            <w:r>
              <w:rPr>
                <w:rFonts w:ascii="Arial;sans-serif" w:hAnsi="Arial;sans-serif"/>
                <w:b w:val="false"/>
                <w:color w:val="000000"/>
                <w:sz w:val="12"/>
              </w:rPr>
              <w:t>(c)</w:t>
            </w:r>
            <w:r>
              <w:rPr>
                <w:color w:val="000000"/>
              </w:rPr>
              <w:t xml:space="preserve">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International - Finance leases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Deferred financing fees </w:t>
            </w:r>
            <w:r>
              <w:rPr>
                <w:rFonts w:ascii="Arial;sans-serif" w:hAnsi="Arial;sans-serif"/>
                <w:b w:val="false"/>
                <w:color w:val="000000"/>
                <w:sz w:val="12"/>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19,188 </w:t>
            </w:r>
          </w:p>
        </w:tc>
        <w:tc>
          <w:tcPr>
            <w:tcW w:w="1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Includes approximately $780 million and $826 million of Class R notes as of June 30, 2026 and December 31, 2025, respectively, which are held by us.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 xml:space="preserve">Includes our Repurchase Facilities and $694 million and </w:t>
      </w:r>
      <w:r>
        <w:rPr>
          <w:rFonts w:ascii="Arial;sans-serif" w:hAnsi="Arial;sans-serif"/>
          <w:b w:val="false"/>
          <w:color w:val="000000"/>
          <w:sz w:val="16"/>
          <w:shd w:fill="FFFFFF" w:val="clear"/>
        </w:rPr>
        <w:t xml:space="preserve">$965 million associated with the Interpace Ventures transaction </w:t>
      </w:r>
      <w:r>
        <w:rPr>
          <w:rFonts w:ascii="Arial;sans-serif" w:hAnsi="Arial;sans-serif"/>
          <w:b w:val="false"/>
          <w:color w:val="000000"/>
          <w:sz w:val="16"/>
        </w:rPr>
        <w:t>as of June 30, 2026 and December 31, 2025, respectively</w:t>
      </w:r>
      <w:r>
        <w:rPr>
          <w:rFonts w:ascii="Arial;sans-serif" w:hAnsi="Arial;sans-serif"/>
          <w:b w:val="false"/>
          <w:color w:val="000000"/>
          <w:sz w:val="16"/>
          <w:shd w:fill="FFFFFF" w:val="clear"/>
        </w:rPr>
        <w:t>.</w:t>
      </w:r>
      <w:r>
        <w:rPr>
          <w:color w:val="000000"/>
        </w:rPr>
        <w:t xml:space="preserve"> </w:t>
      </w:r>
      <w:r>
        <w:rPr>
          <w:rFonts w:ascii="Arial;sans-serif" w:hAnsi="Arial;sans-serif"/>
          <w:b w:val="false"/>
          <w:color w:val="000000"/>
          <w:sz w:val="16"/>
          <w:shd w:fill="FFFFFF" w:val="clear"/>
        </w:rPr>
        <w:t>See Note 1 – Basis of Presentation.</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In February 2026, we amended our European rental fleet securitization program to increase its capacity to approximately €2.1 billion and £250 million and extended the maturity of the program to February 2029.</w:t>
      </w:r>
    </w:p>
    <w:p>
      <w:pPr>
        <w:pStyle w:val="TextBody"/>
        <w:bidi w:val="0"/>
        <w:spacing w:lineRule="auto" w:line="256"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Deferred financing fees related to Debt due to Avis Budget Rental Car Funding as of June 30, 2026 and December 31, 2025 were $53 million and $51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shd w:fill="FFFFFF" w:val="clear"/>
        </w:rPr>
        <w:t>The following table provi</w:t>
      </w:r>
      <w:r>
        <w:rPr>
          <w:rFonts w:ascii="Arial;sans-serif" w:hAnsi="Arial;sans-serif"/>
          <w:b w:val="false"/>
          <w:color w:val="000000"/>
          <w:sz w:val="20"/>
        </w:rPr>
        <w:t>des a summary of debt issued by Avis Budget Rental Car Funding during the six months ended June 30, 2026:</w:t>
      </w:r>
    </w:p>
    <w:tbl>
      <w:tblPr>
        <w:tblW w:w="7069"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109"/>
        <w:gridCol w:w="109"/>
        <w:gridCol w:w="109"/>
        <w:gridCol w:w="109"/>
        <w:gridCol w:w="109"/>
        <w:gridCol w:w="109"/>
        <w:gridCol w:w="474"/>
        <w:gridCol w:w="474"/>
        <w:gridCol w:w="476"/>
        <w:gridCol w:w="109"/>
        <w:gridCol w:w="109"/>
        <w:gridCol w:w="109"/>
        <w:gridCol w:w="373"/>
        <w:gridCol w:w="373"/>
        <w:gridCol w:w="934"/>
        <w:gridCol w:w="109"/>
        <w:gridCol w:w="109"/>
        <w:gridCol w:w="109"/>
        <w:gridCol w:w="211"/>
        <w:gridCol w:w="61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br/>
              <w:t>Issued</w:t>
            </w:r>
          </w:p>
        </w:tc>
      </w:tr>
      <w:tr>
        <w:trPr/>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93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2"/>
              </w:rPr>
            </w:pP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7.20 </w:t>
            </w:r>
          </w:p>
        </w:tc>
        <w:tc>
          <w:tcPr>
            <w:tcW w:w="9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9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9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9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December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9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9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 March 2026, Avis Budget Rental Car Funding issued additional notes under several previously outstanding series of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entered into several repurchase agreements (the “Repurchase Facilities”) pursuant to which we may sell certain of our Class D notes issued by our wholly-owned subsidiary, Avis Budget Rental Car Funding (AESOP) LLC, to the Repurchase Facility’s respective counterparty and repurchase such notes at a later date and subject to certain conditions set forth in the applicable Repurchase Facility. Transactions under the Repurchase Facilities may be extended at our sole discretion and the interest rate for such Repurchase Facility is simultaneously repriced in connection with such extensions.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table provides a summary of the Repurchase Facilities as of June 30, 2026</w:t>
      </w:r>
      <w:r>
        <w:rPr>
          <w:rFonts w:ascii="Arial;sans-serif" w:hAnsi="Arial;sans-serif"/>
          <w:b w:val="false"/>
          <w:color w:val="000000"/>
          <w:sz w:val="20"/>
          <w:shd w:fill="FFFFFF" w:val="clear"/>
        </w:rPr>
        <w:t>:</w:t>
      </w:r>
    </w:p>
    <w:p>
      <w:pPr>
        <w:pStyle w:val="TextBody"/>
        <w:bidi w:val="0"/>
        <w:spacing w:before="0" w:after="0"/>
        <w:jc w:val="both"/>
        <w:rPr/>
      </w:pPr>
      <w:r>
        <w:rPr/>
      </w:r>
    </w:p>
    <w:tbl>
      <w:tblPr>
        <w:tblW w:w="6437"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69"/>
        <w:gridCol w:w="269"/>
        <w:gridCol w:w="676"/>
        <w:gridCol w:w="109"/>
        <w:gridCol w:w="109"/>
        <w:gridCol w:w="109"/>
        <w:gridCol w:w="283"/>
        <w:gridCol w:w="283"/>
        <w:gridCol w:w="288"/>
        <w:gridCol w:w="109"/>
        <w:gridCol w:w="109"/>
        <w:gridCol w:w="109"/>
        <w:gridCol w:w="483"/>
        <w:gridCol w:w="1068"/>
        <w:gridCol w:w="353"/>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Tenor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 Outstanding</w:t>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6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5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September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35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 xml:space="preserve">As of </w:t>
      </w:r>
      <w:r>
        <w:rPr>
          <w:rFonts w:ascii="Arial;sans-serif" w:hAnsi="Arial;sans-serif"/>
          <w:b w:val="false"/>
          <w:color w:val="000000"/>
          <w:sz w:val="20"/>
          <w:shd w:fill="FFFFFF" w:val="clear"/>
        </w:rPr>
        <w:t>June 30, 2026, we had $326 million of securities pledged as collateral f</w:t>
      </w:r>
      <w:r>
        <w:rPr>
          <w:rFonts w:ascii="Arial;sans-serif" w:hAnsi="Arial;sans-serif"/>
          <w:b w:val="false"/>
          <w:color w:val="000000"/>
          <w:sz w:val="20"/>
        </w:rPr>
        <w:t>or the Repurchase Facilities, included within investment in Avis Budget Rental Car Funding (AESOP) LLC—related party on our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Debt Maturities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the contractual maturities of our debt under vehicle programs, including related party debt due to Avis Budget Rental Car Funding, as of June 30, 2026:</w:t>
      </w:r>
    </w:p>
    <w:tbl>
      <w:tblPr>
        <w:tblW w:w="5054" w:type="dxa"/>
        <w:jc w:val="left"/>
        <w:tblInd w:w="0" w:type="dxa"/>
        <w:tblLayout w:type="fixed"/>
        <w:tblCellMar>
          <w:top w:w="28" w:type="dxa"/>
          <w:left w:w="28" w:type="dxa"/>
          <w:bottom w:w="28" w:type="dxa"/>
          <w:right w:w="28" w:type="dxa"/>
        </w:tblCellMar>
      </w:tblPr>
      <w:tblGrid>
        <w:gridCol w:w="791"/>
        <w:gridCol w:w="697"/>
        <w:gridCol w:w="702"/>
        <w:gridCol w:w="556"/>
        <w:gridCol w:w="1902"/>
        <w:gridCol w:w="406"/>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Debt under Vehicle Programs </w:t>
            </w:r>
            <w:r>
              <w:rPr>
                <w:rFonts w:ascii="Arial;sans-serif" w:hAnsi="Arial;sans-serif"/>
                <w:b/>
                <w:color w:val="000000"/>
                <w:sz w:val="12"/>
              </w:rPr>
              <w:t>(a)</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Within 1 year </w:t>
            </w:r>
            <w:r>
              <w:rPr>
                <w:rFonts w:ascii="Arial;sans-serif" w:hAnsi="Arial;sans-serif"/>
                <w:b w:val="false"/>
                <w:color w:val="000000"/>
                <w:sz w:val="12"/>
              </w:rPr>
              <w:t>(b)</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4,700 </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Between 1 and 2 years </w:t>
            </w:r>
            <w:r>
              <w:rPr>
                <w:rFonts w:ascii="Arial;sans-serif" w:hAnsi="Arial;sans-serif"/>
                <w:b w:val="false"/>
                <w:color w:val="000000"/>
                <w:sz w:val="12"/>
              </w:rPr>
              <w:t>(c)</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Between 2 and 3 years </w:t>
            </w:r>
            <w:r>
              <w:rPr>
                <w:rFonts w:ascii="Arial;sans-serif" w:hAnsi="Arial;sans-serif"/>
                <w:b w:val="false"/>
                <w:color w:val="000000"/>
                <w:sz w:val="12"/>
              </w:rPr>
              <w:t>(d)</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Between 3 and 4 years</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8"/>
              </w:rPr>
            </w:pPr>
            <w:r>
              <w:rPr>
                <w:rFonts w:ascii="Arial;sans-serif" w:hAnsi="Arial;sans-serif"/>
                <w:b w:val="false"/>
                <w:color w:val="000000"/>
                <w:sz w:val="18"/>
              </w:rPr>
              <w:t>Between 4 and 5 years</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2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19,931 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color w:val="000000"/>
        </w:rPr>
        <w:t>    </w:t>
      </w:r>
      <w:r>
        <w:rPr>
          <w:rFonts w:ascii="Arial;sans-serif" w:hAnsi="Arial;sans-serif"/>
          <w:b w:val="false"/>
          <w:color w:val="000000"/>
          <w:sz w:val="16"/>
        </w:rPr>
        <w:t>Vehicle-backed debt primarily represents asset-backed securities.</w:t>
      </w:r>
    </w:p>
    <w:p>
      <w:pPr>
        <w:pStyle w:val="TextBody"/>
        <w:bidi w:val="0"/>
        <w:spacing w:lineRule="auto" w:line="288" w:before="0" w:after="0"/>
        <w:ind w:left="0" w:right="0" w:hanging="360"/>
        <w:jc w:val="left"/>
        <w:rPr/>
      </w:pPr>
      <w:r>
        <w:rPr>
          <w:rFonts w:ascii="Arial;sans-serif" w:hAnsi="Arial;sans-serif"/>
          <w:b w:val="false"/>
          <w:color w:val="000000"/>
          <w:sz w:val="10"/>
        </w:rPr>
        <w:t>(b)</w:t>
      </w:r>
      <w:r>
        <w:rPr>
          <w:color w:val="000000"/>
        </w:rPr>
        <w:t>    </w:t>
      </w:r>
      <w:r>
        <w:rPr>
          <w:rFonts w:ascii="Arial;sans-serif" w:hAnsi="Arial;sans-serif"/>
          <w:b w:val="false"/>
          <w:color w:val="000000"/>
          <w:sz w:val="16"/>
        </w:rPr>
        <w:t>Includes $0.8 billion of bank and bank-sponsored facilities. These short-term borrowings have a weighted average interest rate of 4.81%</w:t>
      </w:r>
      <w:r>
        <w:rPr>
          <w:color w:val="000000"/>
          <w:shd w:fill="FFFFFF" w:val="clear"/>
        </w:rPr>
        <w:t xml:space="preserve"> </w:t>
      </w:r>
      <w:r>
        <w:rPr>
          <w:rFonts w:ascii="Arial;sans-serif" w:hAnsi="Arial;sans-serif"/>
          <w:b w:val="false"/>
          <w:color w:val="000000"/>
          <w:sz w:val="16"/>
          <w:shd w:fill="FFFFFF" w:val="clear"/>
        </w:rPr>
        <w:t>as</w:t>
      </w:r>
      <w:r>
        <w:rPr>
          <w:color w:val="000000"/>
        </w:rPr>
        <w:t xml:space="preserve"> </w:t>
      </w:r>
      <w:r>
        <w:rPr>
          <w:rFonts w:ascii="Arial;sans-serif" w:hAnsi="Arial;sans-serif"/>
          <w:b w:val="false"/>
          <w:color w:val="000000"/>
          <w:sz w:val="16"/>
        </w:rPr>
        <w:t>of June 30, 2026.</w:t>
      </w:r>
    </w:p>
    <w:p>
      <w:pPr>
        <w:pStyle w:val="TextBody"/>
        <w:bidi w:val="0"/>
        <w:spacing w:lineRule="auto" w:line="288" w:before="0" w:after="0"/>
        <w:ind w:left="0" w:right="0" w:hanging="360"/>
        <w:jc w:val="left"/>
        <w:rPr/>
      </w:pPr>
      <w:r>
        <w:rPr>
          <w:rFonts w:ascii="Arial;sans-serif" w:hAnsi="Arial;sans-serif"/>
          <w:b w:val="false"/>
          <w:color w:val="000000"/>
          <w:sz w:val="10"/>
        </w:rPr>
        <w:t>(c)</w:t>
      </w:r>
      <w:r>
        <w:rPr>
          <w:color w:val="000000"/>
        </w:rPr>
        <w:t>    </w:t>
      </w:r>
      <w:r>
        <w:rPr>
          <w:rFonts w:ascii="Arial;sans-serif" w:hAnsi="Arial;sans-serif"/>
          <w:b w:val="false"/>
          <w:color w:val="000000"/>
          <w:sz w:val="16"/>
        </w:rPr>
        <w:t>Includes $2.4 billion of bank and bank-sponsored facilities.</w:t>
      </w:r>
    </w:p>
    <w:p>
      <w:pPr>
        <w:pStyle w:val="TextBody"/>
        <w:bidi w:val="0"/>
        <w:spacing w:lineRule="auto" w:line="288" w:before="0" w:after="0"/>
        <w:ind w:left="0" w:right="0" w:hanging="360"/>
        <w:jc w:val="left"/>
        <w:rPr/>
      </w:pPr>
      <w:r>
        <w:rPr>
          <w:rFonts w:ascii="Arial;sans-serif" w:hAnsi="Arial;sans-serif"/>
          <w:b w:val="false"/>
          <w:color w:val="000000"/>
          <w:sz w:val="10"/>
        </w:rPr>
        <w:t>(d)</w:t>
      </w:r>
      <w:r>
        <w:rPr>
          <w:color w:val="000000"/>
        </w:rPr>
        <w:t>    </w:t>
      </w:r>
      <w:r>
        <w:rPr>
          <w:rFonts w:ascii="Arial;sans-serif" w:hAnsi="Arial;sans-serif"/>
          <w:b w:val="false"/>
          <w:color w:val="000000"/>
          <w:sz w:val="16"/>
        </w:rPr>
        <w:t>Includes $2.8 billion of bank and bank-sponsored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Committed Credit Facilities And Available Funding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available funding under our debt arrangements related to our vehicle programs, including related party debt due to Avis Budget Rental Car Funding, as of June 30, 2026:</w:t>
      </w:r>
    </w:p>
    <w:p>
      <w:pPr>
        <w:pStyle w:val="TextBody"/>
        <w:bidi w:val="0"/>
        <w:spacing w:before="0" w:after="0"/>
        <w:jc w:val="both"/>
        <w:rPr/>
      </w:pPr>
      <w:r>
        <w:rPr/>
      </w:r>
    </w:p>
    <w:tbl>
      <w:tblPr>
        <w:tblW w:w="8655" w:type="dxa"/>
        <w:jc w:val="left"/>
        <w:tblInd w:w="0" w:type="dxa"/>
        <w:tblLayout w:type="fixed"/>
        <w:tblCellMar>
          <w:top w:w="28" w:type="dxa"/>
          <w:left w:w="28" w:type="dxa"/>
          <w:bottom w:w="28" w:type="dxa"/>
          <w:right w:w="28" w:type="dxa"/>
        </w:tblCellMar>
      </w:tblPr>
      <w:tblGrid>
        <w:gridCol w:w="1685"/>
        <w:gridCol w:w="1480"/>
        <w:gridCol w:w="1485"/>
        <w:gridCol w:w="216"/>
        <w:gridCol w:w="738"/>
        <w:gridCol w:w="111"/>
        <w:gridCol w:w="109"/>
        <w:gridCol w:w="109"/>
        <w:gridCol w:w="109"/>
        <w:gridCol w:w="264"/>
        <w:gridCol w:w="904"/>
        <w:gridCol w:w="137"/>
        <w:gridCol w:w="109"/>
        <w:gridCol w:w="109"/>
        <w:gridCol w:w="109"/>
        <w:gridCol w:w="211"/>
        <w:gridCol w:w="61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w:t>
            </w:r>
          </w:p>
          <w:p>
            <w:pPr>
              <w:pStyle w:val="TableContents"/>
              <w:bidi w:val="0"/>
              <w:spacing w:lineRule="auto" w:line="240" w:before="0" w:after="0"/>
              <w:jc w:val="center"/>
              <w:rPr/>
            </w:pPr>
            <w:r>
              <w:rPr>
                <w:rFonts w:ascii="Arial;sans-serif" w:hAnsi="Arial;sans-serif"/>
                <w:b/>
                <w:color w:val="000000"/>
                <w:sz w:val="18"/>
              </w:rPr>
              <w:t xml:space="preserve">Capacity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8"/>
              </w:rPr>
            </w:pPr>
            <w:r>
              <w:rPr>
                <w:rFonts w:ascii="Arial;sans-serif" w:hAnsi="Arial;sans-serif"/>
                <w:b/>
                <w:color w:val="000000"/>
                <w:sz w:val="18"/>
              </w:rPr>
              <w:t>Outstanding</w:t>
            </w:r>
          </w:p>
          <w:p>
            <w:pPr>
              <w:pStyle w:val="TableContents"/>
              <w:bidi w:val="0"/>
              <w:spacing w:lineRule="auto" w:line="240" w:before="0" w:after="0"/>
              <w:jc w:val="center"/>
              <w:rPr/>
            </w:pPr>
            <w:r>
              <w:rPr>
                <w:rFonts w:ascii="Arial;sans-serif" w:hAnsi="Arial;sans-serif"/>
                <w:b/>
                <w:color w:val="000000"/>
                <w:sz w:val="18"/>
              </w:rPr>
              <w:t>Borrowings</w:t>
            </w:r>
            <w:r>
              <w:rPr>
                <w:color w:val="000000"/>
              </w:rPr>
              <w:t xml:space="preserve"> </w:t>
            </w:r>
            <w:r>
              <w:rPr>
                <w:rFonts w:ascii="Arial;sans-serif" w:hAnsi="Arial;sans-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w:t>
              <w:br/>
              <w:t>Capacity</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 Debt due to Avis Budget Rental Car Funding</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14,489 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 Debt borrowings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 Debt borrowings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 - Finance leases</w:t>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19,931 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Capacity is subject to maintaining sufficient assets to collateralize debt. The total capacity for Americas - Debt due to Avis Budget Rental Car Funding includes increases from our asset-backed variable funding financing facilities. These facilities were most recently amended and extended in April 2026.</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(b)</w:t>
      </w:r>
      <w:r>
        <w:rPr>
          <w:rFonts w:ascii="Arial;sans-serif" w:hAnsi="Arial;sans-serif"/>
          <w:b w:val="false"/>
          <w:color w:val="000000"/>
          <w:sz w:val="16"/>
          <w:shd w:fill="FFFFFF" w:val="clear"/>
        </w:rPr>
        <w:t>The outstanding debt is collateralized by vehicles and related assets of $14.6 billion for Americas - Debt due to Avis Budget Rental Car Funding; $2.5 billion for Americas - Debt borrowings; $3.7 billion for International - Debt borrowings; and $0.2 billion for International - Finance leases.</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Debt Covenants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June 30, 2026, we are not aware of any instances of non-compliance with any of the financial or restrictive covenants contained in the debt agreements under our vehicle-backed funding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13.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before="60" w:after="283"/>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Anywhere Real Estate, Inc., Wyndham Hotels and Resorts, Inc. and Travel + Leisure Co. have agreed to assume responsibility for these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also involved in litigation that is primarily related to the businesses of our former subsidiaries, including Realogy and Wyndham. We are entitled to indemnification from such entities for any liability resulting from such 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In February 2026, plaintiffs agreed to limit the class to the period from September 30, 2008 through April 2016. We have been named as a defendant in other purported consumer class action lawsuits, including a class action filed against us in New Jersey seeking damages in connection with a breach of contract claim, which the Company intends to vigorously defend.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19, 2026, we entered into a Settlement and Release Agreement (the “Settlement Agreement”) with Pentwater Capital Management LP and certain affiliated persons (“Pentwater”) to settle our pending lawsuit against Pentwater for the recovery of short-swing profits under Section 16(b) of the Securities Exchange Act of 1934 (the “Section 16(b) Action”). Under the Settlement Agreement, the settlement amount is $650 million in cash (the “Settlement Amount”). The Settlement Agreement and payment to the Company of the Settlement Amount is subject to court approval, including the issuance of an order approving the terms of the settlement agreement and making a finding that, among other things, the Company has diligently pursued the claims raised in the Section 16(b) Action and that the Settlement Amount is fair, reasonable and adequate, and other customary conditions. As of June 30, 2026, no amount related to the Settlement Amount has been recognized in the Company's Condensed Consolidated Financial Statements, as receipt of the Settlement Amount remains contingent upon satisfaction of the conditions described above, including court approval.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In addition, we are a defendant in a number of legal proceedings for personal injury arising from the operation of our vehicles.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June 30, 2026. We do not believe that the impact should result in a material liability to us in relation to our consolidated financial condition, results of operations or cash flows.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Commitments to Purchase Vehicles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maintain agreements with vehicle manufacturers under which we have agreed to purchase approximately $2.6 billion of vehicles from manufacturers over the next 12 months, a $4.2 billion decrease compared to December 31, 2025,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Concentrations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Concentrations of credit risk as of June 30, 2026 include risks related to our repurchase and guaranteed depreciation agreements with domestic and foreign automobile manufacturers, and primarily with respect to receivables for program cars that have been disposed of, but for which we have not yet received payment from the manufacturer</w:t>
      </w:r>
      <w:r>
        <w:rPr>
          <w:rFonts w:ascii="Arial;sans-serif" w:hAnsi="Arial;sans-serif"/>
          <w:b w:val="false"/>
          <w:color w:val="000000"/>
          <w:sz w:val="20"/>
          <w:shd w:fill="FFFFFF" w:val="clear"/>
        </w:rPr>
        <w: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14.    Stockholders' Equity</w:t>
      </w:r>
    </w:p>
    <w:p>
      <w:pPr>
        <w:pStyle w:val="TextBody"/>
        <w:bidi w:val="0"/>
        <w:spacing w:before="0" w:after="0"/>
        <w:ind w:left="0" w:right="0" w:hanging="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Share Repurchases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Board of Directors has authorized the repurchase of up to approximately $8.1 billion of our common stock under a plan originally approved in 2013 and subsequently expanded, most recently in February 2023 (the “Stock Repurchase Program”). During the six months ended June 30, 2026 and 2025, we did not repurchase shares of common stock under the Stock Repurchase Program. As of June 30, 2026, approximately $757 million of authorization remained available to repurchase common stock under the Stock Repurchase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Common stock repurchases under the Stock Repurchase Program do not include shares withheld to satisfy employees’ income tax liabilities attributable to the vesting of restricted stock unit awards.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Total Comprehensive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Comprehensive income (loss) consists of net income (loss) and other gains and losses affecting stockholders’ equity that, under GAAP, are excluded from net income (loss).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other comprehensive income (loss) were as follows:</w:t>
      </w:r>
    </w:p>
    <w:tbl>
      <w:tblPr>
        <w:tblW w:w="10205" w:type="dxa"/>
        <w:jc w:val="left"/>
        <w:tblInd w:w="0" w:type="dxa"/>
        <w:tblLayout w:type="fixed"/>
        <w:tblCellMar>
          <w:top w:w="28" w:type="dxa"/>
          <w:left w:w="28" w:type="dxa"/>
          <w:bottom w:w="28" w:type="dxa"/>
          <w:right w:w="28" w:type="dxa"/>
        </w:tblCellMar>
      </w:tblPr>
      <w:tblGrid>
        <w:gridCol w:w="2203"/>
        <w:gridCol w:w="1909"/>
        <w:gridCol w:w="1851"/>
        <w:gridCol w:w="231"/>
        <w:gridCol w:w="395"/>
        <w:gridCol w:w="119"/>
        <w:gridCol w:w="119"/>
        <w:gridCol w:w="119"/>
        <w:gridCol w:w="119"/>
        <w:gridCol w:w="231"/>
        <w:gridCol w:w="395"/>
        <w:gridCol w:w="119"/>
        <w:gridCol w:w="109"/>
        <w:gridCol w:w="109"/>
        <w:gridCol w:w="109"/>
        <w:gridCol w:w="211"/>
        <w:gridCol w:w="525"/>
        <w:gridCol w:w="109"/>
        <w:gridCol w:w="109"/>
        <w:gridCol w:w="109"/>
        <w:gridCol w:w="109"/>
        <w:gridCol w:w="211"/>
        <w:gridCol w:w="525"/>
        <w:gridCol w:w="160"/>
      </w:tblGrid>
      <w:tr>
        <w:trPr/>
        <w:tc>
          <w:tcPr>
            <w:tcW w:w="220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Six Months Ended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w:t>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2025</w:t>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Avis Budget Group, Inc.</w:t>
            </w:r>
          </w:p>
        </w:tc>
        <w:tc>
          <w:tcPr>
            <w:tcW w:w="6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 (loss), net of tax</w:t>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Currency translation adjustments, net of tax of $(4), $30, $(10) and $44, respectively </w:t>
            </w:r>
            <w:r>
              <w:rPr>
                <w:rFonts w:ascii="Arial;sans-serif" w:hAnsi="Arial;sans-serif"/>
                <w:b w:val="false"/>
                <w:color w:val="000000"/>
                <w:sz w:val="12"/>
              </w:rPr>
              <w:t>(a)</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unrealized gain (loss) on cash flow hedges, net of tax of $0, $1, $1 and $4, respectively</w:t>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Minimum pension liability adjustment, net of tax of $1, $0, $1 and $0, respectively</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Total comprehensive income (loss) attributable to Avis Budget Group, Inc.</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Currency translation adjustments exclude income taxes related to indefinite investments in foreign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Accumulated Other Comprehensive Income (Loss)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accumulated other comprehensive income (loss) were as follows: </w:t>
      </w:r>
    </w:p>
    <w:tbl>
      <w:tblPr>
        <w:tblW w:w="10205" w:type="dxa"/>
        <w:jc w:val="left"/>
        <w:tblInd w:w="0" w:type="dxa"/>
        <w:tblLayout w:type="fixed"/>
        <w:tblCellMar>
          <w:top w:w="28" w:type="dxa"/>
          <w:left w:w="28" w:type="dxa"/>
          <w:bottom w:w="28" w:type="dxa"/>
          <w:right w:w="28" w:type="dxa"/>
        </w:tblCellMar>
      </w:tblPr>
      <w:tblGrid>
        <w:gridCol w:w="1898"/>
        <w:gridCol w:w="1630"/>
        <w:gridCol w:w="1624"/>
        <w:gridCol w:w="244"/>
        <w:gridCol w:w="508"/>
        <w:gridCol w:w="149"/>
        <w:gridCol w:w="109"/>
        <w:gridCol w:w="109"/>
        <w:gridCol w:w="109"/>
        <w:gridCol w:w="324"/>
        <w:gridCol w:w="541"/>
        <w:gridCol w:w="196"/>
        <w:gridCol w:w="109"/>
        <w:gridCol w:w="109"/>
        <w:gridCol w:w="109"/>
        <w:gridCol w:w="261"/>
        <w:gridCol w:w="546"/>
        <w:gridCol w:w="159"/>
        <w:gridCol w:w="109"/>
        <w:gridCol w:w="109"/>
        <w:gridCol w:w="109"/>
        <w:gridCol w:w="290"/>
        <w:gridCol w:w="603"/>
        <w:gridCol w:w="251"/>
      </w:tblGrid>
      <w:tr>
        <w:trPr/>
        <w:tc>
          <w:tcPr>
            <w:tcW w:w="189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Net Unrealized</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Gains (Losses)</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on Cash Flow</w:t>
            </w:r>
          </w:p>
          <w:p>
            <w:pPr>
              <w:pStyle w:val="TableContents"/>
              <w:bidi w:val="0"/>
              <w:spacing w:lineRule="auto" w:line="240" w:before="0" w:after="0"/>
              <w:jc w:val="center"/>
              <w:rPr/>
            </w:pPr>
            <w:r>
              <w:rPr>
                <w:rFonts w:ascii="Arial;sans-serif" w:hAnsi="Arial;sans-serif"/>
                <w:b/>
                <w:color w:val="000000"/>
                <w:sz w:val="14"/>
              </w:rPr>
              <w:t xml:space="preserve">Hedges </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Minimum</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Pension</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Liability</w:t>
            </w:r>
          </w:p>
          <w:p>
            <w:pPr>
              <w:pStyle w:val="TableContents"/>
              <w:bidi w:val="0"/>
              <w:spacing w:lineRule="auto" w:line="240" w:before="0" w:after="0"/>
              <w:jc w:val="center"/>
              <w:rPr/>
            </w:pPr>
            <w:r>
              <w:rPr>
                <w:rFonts w:ascii="Arial;sans-serif" w:hAnsi="Arial;sans-serif"/>
                <w:b/>
                <w:color w:val="000000"/>
                <w:sz w:val="14"/>
              </w:rPr>
              <w:t xml:space="preserve">Adjustment </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Income (Loss)</w:t>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as of April 1, 2026</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2026</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Balance as of April 1, 2025</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70 </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5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2025</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w:t>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11"/>
        <w:gridCol w:w="1616"/>
        <w:gridCol w:w="1624"/>
        <w:gridCol w:w="244"/>
        <w:gridCol w:w="508"/>
        <w:gridCol w:w="149"/>
        <w:gridCol w:w="109"/>
        <w:gridCol w:w="109"/>
        <w:gridCol w:w="109"/>
        <w:gridCol w:w="324"/>
        <w:gridCol w:w="541"/>
        <w:gridCol w:w="196"/>
        <w:gridCol w:w="109"/>
        <w:gridCol w:w="109"/>
        <w:gridCol w:w="109"/>
        <w:gridCol w:w="261"/>
        <w:gridCol w:w="546"/>
        <w:gridCol w:w="159"/>
        <w:gridCol w:w="109"/>
        <w:gridCol w:w="109"/>
        <w:gridCol w:w="109"/>
        <w:gridCol w:w="290"/>
        <w:gridCol w:w="603"/>
        <w:gridCol w:w="252"/>
      </w:tblGrid>
      <w:tr>
        <w:trPr/>
        <w:tc>
          <w:tcPr>
            <w:tcW w:w="19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Net Unrealized</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Gains (Losses)</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on Cash Flow</w:t>
            </w:r>
          </w:p>
          <w:p>
            <w:pPr>
              <w:pStyle w:val="TableContents"/>
              <w:bidi w:val="0"/>
              <w:spacing w:lineRule="auto" w:line="240" w:before="0" w:after="0"/>
              <w:jc w:val="center"/>
              <w:rPr/>
            </w:pPr>
            <w:r>
              <w:rPr>
                <w:rFonts w:ascii="Arial;sans-serif" w:hAnsi="Arial;sans-serif"/>
                <w:b/>
                <w:color w:val="000000"/>
                <w:sz w:val="14"/>
              </w:rPr>
              <w:t xml:space="preserve">Hedges </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Minimum</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Pension</w:t>
            </w:r>
          </w:p>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Liability</w:t>
            </w:r>
          </w:p>
          <w:p>
            <w:pPr>
              <w:pStyle w:val="TableContents"/>
              <w:bidi w:val="0"/>
              <w:spacing w:lineRule="auto" w:line="240" w:before="0" w:after="0"/>
              <w:jc w:val="center"/>
              <w:rPr/>
            </w:pPr>
            <w:r>
              <w:rPr>
                <w:rFonts w:ascii="Arial;sans-serif" w:hAnsi="Arial;sans-serif"/>
                <w:b/>
                <w:color w:val="000000"/>
                <w:sz w:val="14"/>
              </w:rPr>
              <w:t xml:space="preserve">Adjustment </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Income (Loss)</w:t>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January 1, 2026</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w:t>
            </w:r>
          </w:p>
        </w:tc>
        <w:tc>
          <w:tcPr>
            <w:tcW w:w="25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25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5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5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25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2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2026</w:t>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w:t>
            </w:r>
          </w:p>
        </w:tc>
        <w:tc>
          <w:tcPr>
            <w:tcW w:w="15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2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January 1, 2025</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25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as of June 30, 2025</w:t>
            </w:r>
          </w:p>
        </w:tc>
        <w:tc>
          <w:tcPr>
            <w:tcW w:w="24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1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w:t>
            </w:r>
          </w:p>
        </w:tc>
        <w:tc>
          <w:tcPr>
            <w:tcW w:w="2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All components of accumulated other comprehensive income (loss) are net of tax, except currency translation adjustments, which exclude income taxes related to indefinite investments in foreign subsidiaries and include $53 million gain, net of tax, as of June 30, 2026 related to our hedge of our investment in euro-denominated foreign operations (See Note 17 – Financial Instruments).</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Amounts reclassified to interest expense.</w:t>
      </w:r>
    </w:p>
    <w:p>
      <w:pPr>
        <w:pStyle w:val="TextBody"/>
        <w:bidi w:val="0"/>
        <w:spacing w:lineRule="auto" w:line="288" w:before="0" w:after="0"/>
        <w:ind w:left="0" w:right="0" w:hanging="360"/>
        <w:jc w:val="left"/>
        <w:rPr/>
      </w:pPr>
      <w:r>
        <w:rPr>
          <w:rFonts w:ascii="Arial;sans-serif" w:hAnsi="Arial;sans-serif"/>
          <w:b w:val="false"/>
          <w:color w:val="000000"/>
          <w:sz w:val="10"/>
        </w:rPr>
        <w:t>(b)</w:t>
      </w:r>
      <w:r>
        <w:rPr>
          <w:rFonts w:ascii="Arial;sans-serif" w:hAnsi="Arial;sans-serif"/>
          <w:b w:val="false"/>
          <w:color w:val="000000"/>
          <w:sz w:val="16"/>
        </w:rPr>
        <w:t>Amounts reclassified to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tables present changes in our redeemable non-controlling interests:</w:t>
      </w:r>
    </w:p>
    <w:tbl>
      <w:tblPr>
        <w:tblW w:w="3637" w:type="dxa"/>
        <w:jc w:val="left"/>
        <w:tblInd w:w="0" w:type="dxa"/>
        <w:tblLayout w:type="fixed"/>
        <w:tblCellMar>
          <w:top w:w="28" w:type="dxa"/>
          <w:left w:w="28" w:type="dxa"/>
          <w:bottom w:w="28" w:type="dxa"/>
          <w:right w:w="28" w:type="dxa"/>
        </w:tblCellMar>
      </w:tblPr>
      <w:tblGrid>
        <w:gridCol w:w="700"/>
        <w:gridCol w:w="615"/>
        <w:gridCol w:w="619"/>
        <w:gridCol w:w="109"/>
        <w:gridCol w:w="109"/>
        <w:gridCol w:w="109"/>
        <w:gridCol w:w="211"/>
        <w:gridCol w:w="466"/>
        <w:gridCol w:w="109"/>
        <w:gridCol w:w="109"/>
        <w:gridCol w:w="10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April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(loss)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788" w:type="dxa"/>
        <w:jc w:val="left"/>
        <w:tblInd w:w="0" w:type="dxa"/>
        <w:tblLayout w:type="fixed"/>
        <w:tblCellMar>
          <w:top w:w="28" w:type="dxa"/>
          <w:left w:w="28" w:type="dxa"/>
          <w:bottom w:w="28" w:type="dxa"/>
          <w:right w:w="28" w:type="dxa"/>
        </w:tblCellMar>
      </w:tblPr>
      <w:tblGrid>
        <w:gridCol w:w="754"/>
        <w:gridCol w:w="663"/>
        <w:gridCol w:w="668"/>
        <w:gridCol w:w="109"/>
        <w:gridCol w:w="109"/>
        <w:gridCol w:w="109"/>
        <w:gridCol w:w="211"/>
        <w:gridCol w:w="466"/>
        <w:gridCol w:w="109"/>
        <w:gridCol w:w="109"/>
        <w:gridCol w:w="109"/>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January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Net income (loss)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8"/>
        </w:rPr>
      </w:pPr>
      <w:r>
        <w:rPr>
          <w:rFonts w:ascii="Arial;sans-serif" w:hAnsi="Arial;sans-serif"/>
          <w:b w:val="false"/>
          <w:color w:val="000000"/>
          <w:sz w:val="18"/>
        </w:rPr>
        <w:t>________</w:t>
      </w:r>
    </w:p>
    <w:p>
      <w:pPr>
        <w:pStyle w:val="TextBody"/>
        <w:bidi w:val="0"/>
        <w:spacing w:lineRule="auto" w:line="288" w:before="0" w:after="0"/>
        <w:ind w:left="0" w:right="0" w:hanging="360"/>
        <w:jc w:val="both"/>
        <w:rPr/>
      </w:pPr>
      <w:r>
        <w:rPr>
          <w:rFonts w:ascii="Arial;sans-serif" w:hAnsi="Arial;sans-serif"/>
          <w:b w:val="false"/>
          <w:color w:val="000000"/>
          <w:sz w:val="10"/>
        </w:rPr>
        <w:t>(a)    </w:t>
      </w:r>
      <w:r>
        <w:rPr>
          <w:rFonts w:ascii="Arial;sans-serif" w:hAnsi="Arial;sans-serif"/>
          <w:b w:val="false"/>
          <w:color w:val="000000"/>
          <w:sz w:val="16"/>
        </w:rPr>
        <w:t>Represents the allocation of net income (loss) to the redeemable non-controlling interest holders under the HLBV method. See Note 1 – Basis of Presentation - Variable Interest Entities (“VIE”) and Non-Controlling Interests.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color w:val="000000"/>
        </w:rPr>
      </w:pPr>
      <w:r>
        <w:rPr>
          <w:color w:val="000000"/>
        </w:rPr>
        <w:t> </w:t>
      </w:r>
      <w:r>
        <w:rPr>
          <w:rFonts w:ascii="Arial;sans-serif" w:hAnsi="Arial;sans-serif"/>
          <w:b/>
          <w:color w:val="000000"/>
          <w:sz w:val="20"/>
        </w:rPr>
        <w:t>15.    Related Party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Avis Mobility Ventures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Avis Mobility Ventures LLC (“AMV”) is our former subsidiary. We ceased to have a controlling interest in AMV in 2022, and as a result we deconsolidated AMV from our financial statements. Our proportional share of AMV’s income or loss is included within other (income) expense, net in our Condensed Consolidated Statements of Comprehensive Income. In November 2025, we made a capital contribution of approximately $9 million to AMV. As of June 30, 2026, we own approximately 35% of AMV. We continue to provide vehicles, related fleet services, and certain administrative services to AMV to support their operations. The following tables provide amounts reported within our financial statements related to our equity method investment in AMV and these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other (income) expense, net are summarized below:</w:t>
      </w:r>
    </w:p>
    <w:p>
      <w:pPr>
        <w:pStyle w:val="TextBody"/>
        <w:bidi w:val="0"/>
        <w:spacing w:before="0" w:after="0"/>
        <w:jc w:val="both"/>
        <w:rPr/>
      </w:pPr>
      <w:r>
        <w:rPr/>
      </w:r>
    </w:p>
    <w:tbl>
      <w:tblPr>
        <w:tblW w:w="8522" w:type="dxa"/>
        <w:jc w:val="left"/>
        <w:tblInd w:w="0" w:type="dxa"/>
        <w:tblLayout w:type="fixed"/>
        <w:tblCellMar>
          <w:top w:w="28" w:type="dxa"/>
          <w:left w:w="28" w:type="dxa"/>
          <w:bottom w:w="28" w:type="dxa"/>
          <w:right w:w="28" w:type="dxa"/>
        </w:tblCellMar>
      </w:tblPr>
      <w:tblGrid>
        <w:gridCol w:w="1653"/>
        <w:gridCol w:w="1458"/>
        <w:gridCol w:w="1463"/>
        <w:gridCol w:w="258"/>
        <w:gridCol w:w="405"/>
        <w:gridCol w:w="133"/>
        <w:gridCol w:w="133"/>
        <w:gridCol w:w="133"/>
        <w:gridCol w:w="133"/>
        <w:gridCol w:w="258"/>
        <w:gridCol w:w="313"/>
        <w:gridCol w:w="133"/>
        <w:gridCol w:w="109"/>
        <w:gridCol w:w="109"/>
        <w:gridCol w:w="109"/>
        <w:gridCol w:w="223"/>
        <w:gridCol w:w="271"/>
        <w:gridCol w:w="115"/>
        <w:gridCol w:w="115"/>
        <w:gridCol w:w="115"/>
        <w:gridCol w:w="115"/>
        <w:gridCol w:w="223"/>
        <w:gridCol w:w="382"/>
        <w:gridCol w:w="163"/>
      </w:tblGrid>
      <w:tr>
        <w:trPr/>
        <w:tc>
          <w:tcPr>
            <w:tcW w:w="165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Six Months Ended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expense for services to AMV, net</w:t>
            </w:r>
          </w:p>
        </w:tc>
        <w:tc>
          <w:tcPr>
            <w:tcW w:w="2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on equity method investment in AMV, net</w:t>
            </w:r>
          </w:p>
        </w:tc>
        <w:tc>
          <w:tcPr>
            <w:tcW w:w="6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amounts reported within our Condensed Consolidated Balance Sheets related to AMV:</w:t>
      </w:r>
    </w:p>
    <w:tbl>
      <w:tblPr>
        <w:tblW w:w="6295" w:type="dxa"/>
        <w:jc w:val="left"/>
        <w:tblInd w:w="0" w:type="dxa"/>
        <w:tblLayout w:type="fixed"/>
        <w:tblCellMar>
          <w:top w:w="28" w:type="dxa"/>
          <w:left w:w="28" w:type="dxa"/>
          <w:bottom w:w="28" w:type="dxa"/>
          <w:right w:w="28" w:type="dxa"/>
        </w:tblCellMar>
      </w:tblPr>
      <w:tblGrid>
        <w:gridCol w:w="1373"/>
        <w:gridCol w:w="1207"/>
        <w:gridCol w:w="1214"/>
        <w:gridCol w:w="302"/>
        <w:gridCol w:w="367"/>
        <w:gridCol w:w="156"/>
        <w:gridCol w:w="109"/>
        <w:gridCol w:w="109"/>
        <w:gridCol w:w="109"/>
        <w:gridCol w:w="458"/>
        <w:gridCol w:w="556"/>
        <w:gridCol w:w="335"/>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Receivables from AMV </w:t>
            </w:r>
            <w:r>
              <w:rPr>
                <w:rFonts w:ascii="Arial;sans-serif" w:hAnsi="Arial;sans-serif"/>
                <w:b w:val="false"/>
                <w:color w:val="000000"/>
                <w:sz w:val="12"/>
              </w:rPr>
              <w:t>(a)</w:t>
            </w:r>
          </w:p>
        </w:tc>
        <w:tc>
          <w:tcPr>
            <w:tcW w:w="3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method investment in AMV</w:t>
            </w:r>
            <w:r>
              <w:rPr>
                <w:color w:val="000000"/>
              </w:rPr>
              <w:t xml:space="preserve"> </w:t>
            </w:r>
            <w:r>
              <w:rPr>
                <w:rFonts w:ascii="Arial;sans-serif" w:hAnsi="Arial;sans-serif"/>
                <w:b w:val="false"/>
                <w:color w:val="000000"/>
                <w:sz w:val="12"/>
              </w:rPr>
              <w:t>(b)</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Vehicles, net investment in lease with AMV </w:t>
            </w:r>
            <w:r>
              <w:rPr>
                <w:rFonts w:ascii="Arial;sans-serif" w:hAnsi="Arial;sans-serif"/>
                <w:b w:val="false"/>
                <w:color w:val="000000"/>
                <w:sz w:val="12"/>
              </w:rPr>
              <w:t>(c)</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Included within other current assets.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Included within other non-current assets.</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Included within vehicles, net. See Note 8 – Vehicle Rental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SRS Mobility Ventures,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SRS Mobility Ventures, LLC is an affiliate of our largest shareholder, SRS Investment Management, LLC. SRS Mobility Ventures, LLC obtained a controlling interest in AMV in 2022. In November 2025, SRS Mobility Ventures, LLC made a capital contribution of approximately $16 million to AMV. As of June 30, 2026, they own approximately 65% of AMV.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16.    Stock-Based Compensation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We recorded stock-based compensation expense of </w:t>
      </w:r>
      <w:r>
        <w:rPr>
          <w:rFonts w:ascii="Arial;sans-serif" w:hAnsi="Arial;sans-serif"/>
          <w:b w:val="false"/>
          <w:color w:val="000000"/>
          <w:sz w:val="20"/>
        </w:rPr>
        <w:t>$6 million</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$4 million</w:t>
      </w:r>
      <w:r>
        <w:rPr>
          <w:rFonts w:ascii="Arial;sans-serif" w:hAnsi="Arial;sans-serif"/>
          <w:b w:val="false"/>
          <w:color w:val="000000"/>
          <w:sz w:val="20"/>
          <w:shd w:fill="FFFFFF" w:val="clear"/>
        </w:rPr>
        <w:t xml:space="preserve">, net of tax) and </w:t>
      </w:r>
      <w:r>
        <w:rPr>
          <w:rFonts w:ascii="Arial;sans-serif" w:hAnsi="Arial;sans-serif"/>
          <w:b w:val="false"/>
          <w:color w:val="000000"/>
          <w:sz w:val="20"/>
        </w:rPr>
        <w:t>$6 million</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$5 million</w:t>
      </w:r>
      <w:r>
        <w:rPr>
          <w:rFonts w:ascii="Arial;sans-serif" w:hAnsi="Arial;sans-serif"/>
          <w:b w:val="false"/>
          <w:color w:val="000000"/>
          <w:sz w:val="20"/>
          <w:shd w:fill="FFFFFF" w:val="clear"/>
        </w:rPr>
        <w:t>, net of tax) during the three months ended June 30, 2026 and 2025, respectively</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We recorded stock-based compensation expense of $7 million ($5 million, net of tax) and </w:t>
      </w:r>
      <w:r>
        <w:rPr>
          <w:rFonts w:ascii="Arial;sans-serif" w:hAnsi="Arial;sans-serif"/>
          <w:b w:val="false"/>
          <w:color w:val="000000"/>
          <w:sz w:val="20"/>
        </w:rPr>
        <w:t>$12 million</w:t>
      </w:r>
      <w:r>
        <w:rPr>
          <w:color w:val="000000"/>
          <w:shd w:fill="FFFFFF" w:val="clear"/>
        </w:rPr>
        <w:t xml:space="preserve"> </w:t>
      </w:r>
      <w:r>
        <w:rPr>
          <w:rFonts w:ascii="Arial;sans-serif" w:hAnsi="Arial;sans-serif"/>
          <w:b w:val="false"/>
          <w:color w:val="000000"/>
          <w:sz w:val="20"/>
          <w:shd w:fill="FFFFFF" w:val="clear"/>
        </w:rPr>
        <w:t>(</w:t>
      </w:r>
      <w:r>
        <w:rPr>
          <w:rFonts w:ascii="Arial;sans-serif" w:hAnsi="Arial;sans-serif"/>
          <w:b w:val="false"/>
          <w:color w:val="000000"/>
          <w:sz w:val="20"/>
        </w:rPr>
        <w:t>$9 million</w:t>
      </w:r>
      <w:r>
        <w:rPr>
          <w:rFonts w:ascii="Arial;sans-serif" w:hAnsi="Arial;sans-serif"/>
          <w:b w:val="false"/>
          <w:color w:val="000000"/>
          <w:sz w:val="20"/>
          <w:shd w:fill="FFFFFF" w:val="clear"/>
        </w:rPr>
        <w:t>, net of tax) during the six months ended June 30, 2026 and 2025, respectively</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As part of our declaration and payment of a special cash dividend in December 2023, we granted additional </w:t>
      </w:r>
      <w:r>
        <w:rPr>
          <w:rFonts w:ascii="Arial;sans-serif" w:hAnsi="Arial;sans-serif"/>
          <w:b w:val="false"/>
          <w:color w:val="000000"/>
          <w:sz w:val="20"/>
          <w:shd w:fill="FFFFFF" w:val="clear"/>
        </w:rPr>
        <w:t>restricted stock units (“</w:t>
      </w:r>
      <w:r>
        <w:rPr>
          <w:rFonts w:ascii="Arial;sans-serif" w:hAnsi="Arial;sans-serif"/>
          <w:b w:val="false"/>
          <w:color w:val="000000"/>
          <w:sz w:val="20"/>
        </w:rPr>
        <w:t>RSUs</w:t>
      </w:r>
      <w:r>
        <w:rPr>
          <w:color w:val="000000"/>
          <w:shd w:fill="FFFFFF" w:val="clear"/>
        </w:rPr>
        <w:t>”</w:t>
      </w:r>
      <w:r>
        <w:rPr>
          <w:rFonts w:ascii="Arial;sans-serif" w:hAnsi="Arial;sans-serif"/>
          <w:b w:val="false"/>
          <w:color w:val="000000"/>
          <w:sz w:val="20"/>
          <w:shd w:fill="FFFFFF" w:val="clear"/>
        </w:rPr>
        <w:t xml:space="preserve">) </w:t>
      </w:r>
      <w:r>
        <w:rPr>
          <w:rFonts w:ascii="Arial;sans-serif" w:hAnsi="Arial;sans-serif"/>
          <w:b w:val="false"/>
          <w:color w:val="000000"/>
          <w:sz w:val="20"/>
        </w:rPr>
        <w:t>to our award holders with unvested shares as a dividend equivalent, which has been deferred until, and will not be paid unless, the shares of stock underlying the award vest.</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March 2026, the Company granted market-based RSUs that vest based on the level of total shareholder return. The grant date fair value of the market-based RSUs incorporates the total shareholder return metric, which is estimated using a Monte Carlo simulation model to estimate the Company’s ranking relative to an applicable stock index. The weighted average assumptions used in the Monte Carlo simulation model to calculate the fair value of the Company’s stock unit awards are outlined in the table below.</w:t>
      </w:r>
    </w:p>
    <w:tbl>
      <w:tblPr>
        <w:tblW w:w="5608" w:type="dxa"/>
        <w:jc w:val="left"/>
        <w:tblInd w:w="0" w:type="dxa"/>
        <w:tblLayout w:type="fixed"/>
        <w:tblCellMar>
          <w:top w:w="28" w:type="dxa"/>
          <w:left w:w="28" w:type="dxa"/>
          <w:bottom w:w="28" w:type="dxa"/>
          <w:right w:w="28" w:type="dxa"/>
        </w:tblCellMar>
      </w:tblPr>
      <w:tblGrid>
        <w:gridCol w:w="978"/>
        <w:gridCol w:w="859"/>
        <w:gridCol w:w="862"/>
        <w:gridCol w:w="592"/>
        <w:gridCol w:w="592"/>
        <w:gridCol w:w="1725"/>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 of stock price</w:t>
            </w:r>
          </w:p>
        </w:tc>
        <w:tc>
          <w:tcPr>
            <w:tcW w:w="11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7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7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period</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yield</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activity related to stock units consisted of (in thousands of shares):</w:t>
      </w:r>
    </w:p>
    <w:tbl>
      <w:tblPr>
        <w:tblW w:w="10205" w:type="dxa"/>
        <w:jc w:val="left"/>
        <w:tblInd w:w="0" w:type="dxa"/>
        <w:tblLayout w:type="fixed"/>
        <w:tblCellMar>
          <w:top w:w="28" w:type="dxa"/>
          <w:left w:w="28" w:type="dxa"/>
          <w:bottom w:w="28" w:type="dxa"/>
          <w:right w:w="28" w:type="dxa"/>
        </w:tblCellMar>
      </w:tblPr>
      <w:tblGrid>
        <w:gridCol w:w="1256"/>
        <w:gridCol w:w="820"/>
        <w:gridCol w:w="826"/>
        <w:gridCol w:w="372"/>
        <w:gridCol w:w="372"/>
        <w:gridCol w:w="373"/>
        <w:gridCol w:w="109"/>
        <w:gridCol w:w="109"/>
        <w:gridCol w:w="109"/>
        <w:gridCol w:w="196"/>
        <w:gridCol w:w="648"/>
        <w:gridCol w:w="109"/>
        <w:gridCol w:w="109"/>
        <w:gridCol w:w="109"/>
        <w:gridCol w:w="109"/>
        <w:gridCol w:w="894"/>
        <w:gridCol w:w="894"/>
        <w:gridCol w:w="897"/>
        <w:gridCol w:w="109"/>
        <w:gridCol w:w="109"/>
        <w:gridCol w:w="109"/>
        <w:gridCol w:w="447"/>
        <w:gridCol w:w="758"/>
        <w:gridCol w:w="362"/>
      </w:tblGrid>
      <w:tr>
        <w:trPr/>
        <w:tc>
          <w:tcPr>
            <w:tcW w:w="125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Aggregate Intrinsic Value </w:t>
              <w:br/>
              <w:t>(in millions)</w:t>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Time-based RSUs</w:t>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as of January 1, 2026</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Vested </w:t>
            </w:r>
            <w:r>
              <w:rPr>
                <w:rFonts w:ascii="Arial;sans-serif" w:hAnsi="Arial;sans-serif"/>
                <w:b w:val="false"/>
                <w:color w:val="000000"/>
                <w:sz w:val="10"/>
              </w:rPr>
              <w:t>(b)</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Outstanding and expected to vest as of June 30, 2026 </w:t>
            </w:r>
            <w:r>
              <w:rPr>
                <w:rFonts w:ascii="Arial;sans-serif" w:hAnsi="Arial;sans-serif"/>
                <w:b w:val="false"/>
                <w:color w:val="000000"/>
                <w:sz w:val="10"/>
              </w:rPr>
              <w:t>(c)</w:t>
            </w:r>
          </w:p>
        </w:tc>
        <w:tc>
          <w:tcPr>
            <w:tcW w:w="7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3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Performance-based and market-based RSUs</w:t>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1, 2026</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as of June 30, 2026</w:t>
            </w:r>
          </w:p>
        </w:tc>
        <w:tc>
          <w:tcPr>
            <w:tcW w:w="74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3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Outstanding and expected to vest as of June 30, 2026 </w:t>
            </w:r>
            <w:r>
              <w:rPr>
                <w:rFonts w:ascii="Arial;sans-serif" w:hAnsi="Arial;sans-serif"/>
                <w:b w:val="false"/>
                <w:color w:val="000000"/>
                <w:sz w:val="10"/>
              </w:rPr>
              <w:t>(c)</w:t>
            </w:r>
          </w:p>
        </w:tc>
        <w:tc>
          <w:tcPr>
            <w:tcW w:w="744"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373"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2"/>
          <w:shd w:fill="FFFFFF" w:val="clear"/>
        </w:rPr>
        <w:t>(a)</w:t>
      </w:r>
      <w:r>
        <w:rPr>
          <w:rFonts w:ascii="Arial;sans-serif" w:hAnsi="Arial;sans-serif"/>
          <w:b w:val="false"/>
          <w:color w:val="000000"/>
          <w:sz w:val="16"/>
          <w:shd w:fill="FFFFFF" w:val="clear"/>
        </w:rPr>
        <w:t>Reflects the maximum number of stock units assuming achievement of all time-, performance- and market-vesting criteria and does not include those for non-employee directors. The weighted-average fair value of time- and performance-based RSUs granted during the six months ended June 30, 2025 w</w:t>
      </w:r>
      <w:r>
        <w:rPr>
          <w:rFonts w:ascii="Arial;sans-serif" w:hAnsi="Arial;sans-serif"/>
          <w:b w:val="false"/>
          <w:color w:val="000000"/>
          <w:sz w:val="16"/>
        </w:rPr>
        <w:t>as $62.67 and $62.64, respectively.</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(b)</w:t>
      </w:r>
      <w:r>
        <w:rPr>
          <w:rFonts w:ascii="Arial;sans-serif" w:hAnsi="Arial;sans-serif"/>
          <w:b w:val="false"/>
          <w:color w:val="000000"/>
          <w:sz w:val="16"/>
          <w:shd w:fill="FFFFFF" w:val="clear"/>
        </w:rPr>
        <w:t xml:space="preserve">The total fair value of time-based RSUs vested during the six months ended June 30, 2026 was $15 million and the total fair value of time- and performance-based RSUs vested during the six months ended June 30, 2025 was </w:t>
      </w:r>
      <w:r>
        <w:rPr>
          <w:rFonts w:ascii="Arial;sans-serif" w:hAnsi="Arial;sans-serif"/>
          <w:b w:val="false"/>
          <w:color w:val="000000"/>
          <w:sz w:val="16"/>
        </w:rPr>
        <w:t>$23 million.</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(c)</w:t>
      </w:r>
      <w:r>
        <w:rPr>
          <w:rFonts w:ascii="Arial;sans-serif" w:hAnsi="Arial;sans-serif"/>
          <w:b w:val="false"/>
          <w:color w:val="000000"/>
          <w:sz w:val="16"/>
          <w:shd w:fill="FFFFFF" w:val="clear"/>
        </w:rPr>
        <w:t>Aggregate unrecognized compensation expense related to time-, performance- and market-based RSUs amoun</w:t>
      </w:r>
      <w:r>
        <w:rPr>
          <w:rFonts w:ascii="Arial;sans-serif" w:hAnsi="Arial;sans-serif"/>
          <w:b w:val="false"/>
          <w:color w:val="000000"/>
          <w:sz w:val="16"/>
        </w:rPr>
        <w:t>ted to</w:t>
      </w:r>
      <w:r>
        <w:rPr>
          <w:color w:val="000000"/>
          <w:shd w:fill="FFFFFF" w:val="clear"/>
        </w:rPr>
        <w:t> </w:t>
      </w:r>
      <w:r>
        <w:rPr>
          <w:rFonts w:ascii="Arial;sans-serif" w:hAnsi="Arial;sans-serif"/>
          <w:b w:val="false"/>
          <w:color w:val="000000"/>
          <w:sz w:val="16"/>
          <w:shd w:fill="FFFFFF" w:val="clear"/>
        </w:rPr>
        <w:t>$40 million a</w:t>
      </w:r>
      <w:r>
        <w:rPr>
          <w:rFonts w:ascii="Arial;sans-serif" w:hAnsi="Arial;sans-serif"/>
          <w:b w:val="false"/>
          <w:color w:val="000000"/>
          <w:sz w:val="16"/>
        </w:rPr>
        <w:t xml:space="preserve">nd will </w:t>
      </w:r>
      <w:r>
        <w:rPr>
          <w:rFonts w:ascii="Arial;sans-serif" w:hAnsi="Arial;sans-serif"/>
          <w:b w:val="false"/>
          <w:color w:val="000000"/>
          <w:sz w:val="16"/>
          <w:shd w:fill="FFFFFF" w:val="clear"/>
        </w:rPr>
        <w:t>be recognized over a weighted average vesting period of 1.4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17.    Financial Instruments</w:t>
      </w:r>
    </w:p>
    <w:p>
      <w:pPr>
        <w:pStyle w:val="TextBody"/>
        <w:bidi w:val="0"/>
        <w:spacing w:before="0" w:after="0"/>
        <w:ind w:left="0" w:right="0" w:hanging="54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Derivative Instruments and Hedging Activities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Currency Risk. </w:t>
      </w:r>
      <w:r>
        <w:rPr>
          <w:rFonts w:ascii="Arial;sans-serif" w:hAnsi="Arial;sans-serif"/>
          <w:b w:val="false"/>
          <w:color w:val="000000"/>
          <w:sz w:val="20"/>
        </w:rPr>
        <w:t xml:space="preserve">We use currency exchange contracts to manage our exposure to changes in currency exchange rates associated with 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estimated net amount of existing gains or losses we expect to reclassify from accumulated other comprehensive income (loss) to earnings for cash flow and net investment hedges over the next 12 months is not material.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Interest Rate Risk. </w:t>
      </w:r>
      <w:r>
        <w:rPr>
          <w:rFonts w:ascii="Arial;sans-serif" w:hAnsi="Arial;sans-serif"/>
          <w:b w:val="false"/>
          <w:color w:val="000000"/>
          <w:sz w:val="20"/>
        </w:rPr>
        <w:t>We use various hedging strategies including interest rate swaps and interest rate caps to create what we deem an 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$14 million of gain curr</w:t>
      </w:r>
      <w:r>
        <w:rPr>
          <w:rFonts w:ascii="Arial;sans-serif" w:hAnsi="Arial;sans-serif"/>
          <w:b w:val="false"/>
          <w:color w:val="000000"/>
          <w:sz w:val="20"/>
          <w:shd w:fill="FFFFFF" w:val="clear"/>
        </w:rPr>
        <w:t>ently recorded in accumulated other comprehensive income (loss) will be recognized in earnings over the next 12 months.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shd w:fill="FFFFFF" w:val="clear"/>
        </w:rPr>
        <w:t>Commodity Risk.</w:t>
      </w:r>
      <w:r>
        <w:rPr>
          <w:color w:val="000000"/>
          <w:shd w:fill="FFFFFF" w:val="clear"/>
        </w:rPr>
        <w:t> </w:t>
      </w:r>
      <w:r>
        <w:rPr>
          <w:rFonts w:ascii="Arial;sans-serif" w:hAnsi="Arial;sans-serif"/>
          <w:b w:val="false"/>
          <w:color w:val="000000"/>
          <w:sz w:val="20"/>
          <w:shd w:fill="FFFFFF" w:val="clear"/>
        </w:rPr>
        <w:t>We periodically enter into derivative commodity contracts to manage our exposure to chan</w:t>
      </w:r>
      <w:r>
        <w:rPr>
          <w:rFonts w:ascii="Arial;sans-serif" w:hAnsi="Arial;sans-serif"/>
          <w:b w:val="false"/>
          <w:color w:val="000000"/>
          <w:sz w:val="20"/>
        </w:rPr>
        <w:t>ges in the price of fuel. These instruments were designated as freestanding derivatives and the changes in fair value are recorded in earnings and are presented in the same line of the income statement expected for the hedged item.</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w:t>
      </w:r>
      <w:r>
        <w:rPr>
          <w:rFonts w:ascii="Arial;sans-serif" w:hAnsi="Arial;sans-serif"/>
          <w:b w:val="false"/>
          <w:color w:val="000000"/>
          <w:sz w:val="20"/>
          <w:shd w:fill="FFFFFF" w:val="clear"/>
        </w:rPr>
        <w:t xml:space="preserve">held derivative instruments with absolute notional values as follows: </w:t>
      </w:r>
    </w:p>
    <w:tbl>
      <w:tblPr>
        <w:tblW w:w="3718" w:type="dxa"/>
        <w:jc w:val="left"/>
        <w:tblInd w:w="0" w:type="dxa"/>
        <w:tblLayout w:type="fixed"/>
        <w:tblCellMar>
          <w:top w:w="28" w:type="dxa"/>
          <w:left w:w="28" w:type="dxa"/>
          <w:bottom w:w="28" w:type="dxa"/>
          <w:right w:w="28" w:type="dxa"/>
        </w:tblCellMar>
      </w:tblPr>
      <w:tblGrid>
        <w:gridCol w:w="863"/>
        <w:gridCol w:w="758"/>
        <w:gridCol w:w="763"/>
        <w:gridCol w:w="287"/>
        <w:gridCol w:w="838"/>
        <w:gridCol w:w="209"/>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w:t>
              <w:br/>
              <w:t>June 30, 2026</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2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8"/>
              </w:rPr>
              <w:t xml:space="preserve">Interest rate caps </w:t>
            </w:r>
            <w:r>
              <w:rPr>
                <w:rFonts w:ascii="Arial;sans-serif" w:hAnsi="Arial;sans-serif"/>
                <w:b w:val="false"/>
                <w:color w:val="000000"/>
                <w:sz w:val="12"/>
              </w:rPr>
              <w:t>(a)</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11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Repres</w:t>
      </w:r>
      <w:r>
        <w:rPr>
          <w:rFonts w:ascii="Arial;sans-serif" w:hAnsi="Arial;sans-serif"/>
          <w:b w:val="false"/>
          <w:color w:val="000000"/>
          <w:sz w:val="16"/>
        </w:rPr>
        <w:t>ents $6.6 billion of interest rate caps sold and approximately $6.7 billion of interest rate caps purchased. These amounts exclude $0.2 billion of interest rate caps purchased by our Avis Budget Rental Car Funding subsidiary as it is not consolidated by us</w:t>
      </w:r>
      <w:r>
        <w:rPr>
          <w:rFonts w:ascii="Arial;sans-serif" w:hAnsi="Arial;sans-serif"/>
          <w:b w:val="false"/>
          <w:color w:val="000000"/>
          <w:sz w:val="16"/>
          <w:shd w:fill="FFFFFF" w:val="clear"/>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Estimated fair values (Level 2) of derivative instruments are as follows: </w:t>
      </w:r>
    </w:p>
    <w:tbl>
      <w:tblPr>
        <w:tblW w:w="10205" w:type="dxa"/>
        <w:jc w:val="left"/>
        <w:tblInd w:w="0" w:type="dxa"/>
        <w:tblLayout w:type="fixed"/>
        <w:tblCellMar>
          <w:top w:w="28" w:type="dxa"/>
          <w:left w:w="28" w:type="dxa"/>
          <w:bottom w:w="28" w:type="dxa"/>
          <w:right w:w="28" w:type="dxa"/>
        </w:tblCellMar>
      </w:tblPr>
      <w:tblGrid>
        <w:gridCol w:w="1394"/>
        <w:gridCol w:w="1224"/>
        <w:gridCol w:w="1227"/>
        <w:gridCol w:w="477"/>
        <w:gridCol w:w="817"/>
        <w:gridCol w:w="249"/>
        <w:gridCol w:w="111"/>
        <w:gridCol w:w="111"/>
        <w:gridCol w:w="111"/>
        <w:gridCol w:w="318"/>
        <w:gridCol w:w="612"/>
        <w:gridCol w:w="166"/>
        <w:gridCol w:w="109"/>
        <w:gridCol w:w="109"/>
        <w:gridCol w:w="109"/>
        <w:gridCol w:w="477"/>
        <w:gridCol w:w="817"/>
        <w:gridCol w:w="249"/>
        <w:gridCol w:w="134"/>
        <w:gridCol w:w="134"/>
        <w:gridCol w:w="134"/>
        <w:gridCol w:w="304"/>
        <w:gridCol w:w="586"/>
        <w:gridCol w:w="226"/>
      </w:tblGrid>
      <w:tr>
        <w:trPr/>
        <w:tc>
          <w:tcPr>
            <w:tcW w:w="139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3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Asset Derivatives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br/>
              <w:t>Asset Derivatives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Fair Value,</w:t>
              <w:br/>
              <w:t>Liability</w:t>
              <w:br/>
              <w:t>Derivatives</w:t>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Derivatives designated as hedging instruments</w:t>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swaps </w:t>
            </w:r>
            <w:r>
              <w:rPr>
                <w:rFonts w:ascii="Arial;sans-serif" w:hAnsi="Arial;sans-serif"/>
                <w:b w:val="false"/>
                <w:color w:val="000000"/>
                <w:sz w:val="12"/>
              </w:rPr>
              <w:t>(a)</w:t>
            </w:r>
          </w:p>
        </w:tc>
        <w:tc>
          <w:tcPr>
            <w:tcW w:w="4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Derivatives not designated as hedging instruments</w:t>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Foreign exchange contracts </w:t>
            </w:r>
            <w:r>
              <w:rPr>
                <w:rFonts w:ascii="Arial;sans-serif" w:hAnsi="Arial;sans-serif"/>
                <w:b w:val="false"/>
                <w:color w:val="000000"/>
                <w:sz w:val="12"/>
              </w:rPr>
              <w:t>(b)</w:t>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(c)</w:t>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5"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jc w:val="both"/>
        <w:rPr/>
      </w:pPr>
      <w:r>
        <w:rPr>
          <w:rFonts w:ascii="Arial;sans-serif" w:hAnsi="Arial;sans-serif"/>
          <w:b w:val="false"/>
          <w:color w:val="000000"/>
          <w:sz w:val="16"/>
        </w:rPr>
        <w:t>Amounts in this table exclude derivatives issued by Avis Budget Rental Car Funding, as it is not consolidated by us; however, certain amounts related to the deriv</w:t>
      </w:r>
      <w:r>
        <w:rPr>
          <w:rFonts w:ascii="Arial;sans-serif" w:hAnsi="Arial;sans-serif"/>
          <w:b w:val="false"/>
          <w:color w:val="000000"/>
          <w:sz w:val="16"/>
          <w:shd w:fill="FFFFFF" w:val="clear"/>
        </w:rPr>
        <w:t>atives held by Avis Budget Rental Car Funding are included within accumulated other comprehensive income (loss), as discussed in Note 14 – Stockholders' Equity.</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Included within other non-current assets or other non-current liabilities.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Included within other current assets or other current liabilities.</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Included within assets under vehicle programs or liabilities under vehicle programs.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effects of financial instruments recognized in our Condensed Consolidated Financial Statements are as follows:</w:t>
      </w:r>
    </w:p>
    <w:tbl>
      <w:tblPr>
        <w:tblW w:w="9675" w:type="dxa"/>
        <w:jc w:val="left"/>
        <w:tblInd w:w="0" w:type="dxa"/>
        <w:tblLayout w:type="fixed"/>
        <w:tblCellMar>
          <w:top w:w="28" w:type="dxa"/>
          <w:left w:w="28" w:type="dxa"/>
          <w:bottom w:w="28" w:type="dxa"/>
          <w:right w:w="28" w:type="dxa"/>
        </w:tblCellMar>
      </w:tblPr>
      <w:tblGrid>
        <w:gridCol w:w="2002"/>
        <w:gridCol w:w="1763"/>
        <w:gridCol w:w="1770"/>
        <w:gridCol w:w="231"/>
        <w:gridCol w:w="363"/>
        <w:gridCol w:w="119"/>
        <w:gridCol w:w="119"/>
        <w:gridCol w:w="119"/>
        <w:gridCol w:w="119"/>
        <w:gridCol w:w="231"/>
        <w:gridCol w:w="479"/>
        <w:gridCol w:w="119"/>
        <w:gridCol w:w="109"/>
        <w:gridCol w:w="109"/>
        <w:gridCol w:w="109"/>
        <w:gridCol w:w="211"/>
        <w:gridCol w:w="361"/>
        <w:gridCol w:w="109"/>
        <w:gridCol w:w="109"/>
        <w:gridCol w:w="109"/>
        <w:gridCol w:w="109"/>
        <w:gridCol w:w="211"/>
        <w:gridCol w:w="541"/>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w:t>
              <w:br/>
              <w:t>June 30,</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 xml:space="preserve">Financial instruments designated as hedging instruments </w:t>
            </w:r>
            <w:r>
              <w:rPr>
                <w:rFonts w:ascii="Arial;sans-serif" w:hAnsi="Arial;sans-serif"/>
                <w:b/>
                <w:color w:val="000000"/>
                <w:sz w:val="12"/>
              </w:rPr>
              <w:t>(a)</w:t>
            </w:r>
          </w:p>
        </w:tc>
        <w:tc>
          <w:tcPr>
            <w:tcW w:w="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rate swaps</w:t>
            </w:r>
            <w:r>
              <w:rPr>
                <w:color w:val="000000"/>
              </w:rPr>
              <w:t xml:space="preserve"> </w:t>
            </w:r>
            <w:r>
              <w:rPr>
                <w:rFonts w:ascii="Arial;sans-serif" w:hAnsi="Arial;sans-serif"/>
                <w:b w:val="false"/>
                <w:color w:val="000000"/>
                <w:sz w:val="12"/>
              </w:rPr>
              <w:t>(b)</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Euro-denominated notes</w:t>
            </w:r>
            <w:r>
              <w:rPr>
                <w:color w:val="000000"/>
              </w:rPr>
              <w:t xml:space="preserve"> </w:t>
            </w:r>
            <w:r>
              <w:rPr>
                <w:rFonts w:ascii="Arial;sans-serif" w:hAnsi="Arial;sans-serif"/>
                <w:b w:val="false"/>
                <w:color w:val="000000"/>
                <w:sz w:val="12"/>
              </w:rPr>
              <w:t xml:space="preserve">(c) </w:t>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8"/>
              </w:rPr>
              <w:t xml:space="preserve">Financial instruments not designated as hedging instruments </w:t>
            </w:r>
            <w:r>
              <w:rPr>
                <w:rFonts w:ascii="Arial;sans-serif" w:hAnsi="Arial;sans-serif"/>
                <w:b/>
                <w:color w:val="000000"/>
                <w:sz w:val="12"/>
              </w:rPr>
              <w:t>(d)</w:t>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Foreign exchange contracts</w:t>
            </w:r>
            <w:r>
              <w:rPr>
                <w:color w:val="000000"/>
              </w:rPr>
              <w:t xml:space="preserve"> </w:t>
            </w:r>
            <w:r>
              <w:rPr>
                <w:rFonts w:ascii="Arial;sans-serif" w:hAnsi="Arial;sans-serif"/>
                <w:b w:val="false"/>
                <w:color w:val="000000"/>
                <w:sz w:val="12"/>
              </w:rPr>
              <w:t>(e)</w:t>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(f)</w:t>
            </w:r>
          </w:p>
        </w:tc>
        <w:tc>
          <w:tcPr>
            <w:tcW w:w="5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Recognized, net of tax, as a component of accumulated other comprehensive income (loss) within stockholders’ equity.</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(b)</w:t>
      </w:r>
      <w:r>
        <w:rPr>
          <w:rFonts w:ascii="Arial;sans-serif" w:hAnsi="Arial;sans-serif"/>
          <w:b w:val="false"/>
          <w:color w:val="000000"/>
          <w:sz w:val="16"/>
          <w:shd w:fill="FFFFFF" w:val="clear"/>
        </w:rPr>
        <w:t>Classified as a net unrealized gain (loss) on cash flow hedges in accumulated other comprehensive income (loss). Refer to Note 14 – Stockholders' Equity for amounts reclassified from accumulated other comprehensive income (loss) into earnings.</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 xml:space="preserve">Classified as a net investment hedge within currency translation adjustments in accumulated other comprehensive income (loss). </w:t>
      </w:r>
    </w:p>
    <w:p>
      <w:pPr>
        <w:pStyle w:val="TextBody"/>
        <w:bidi w:val="0"/>
        <w:spacing w:lineRule="auto" w:line="288"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Gains (losses) related to derivative instruments are expected to be largely offset by (losses) gains on the underlying exposures being hedged.</w:t>
      </w:r>
    </w:p>
    <w:p>
      <w:pPr>
        <w:pStyle w:val="TextBody"/>
        <w:bidi w:val="0"/>
        <w:spacing w:lineRule="auto" w:line="288" w:before="0" w:after="0"/>
        <w:ind w:left="0" w:right="0" w:hanging="360"/>
        <w:jc w:val="left"/>
        <w:rPr/>
      </w:pPr>
      <w:r>
        <w:rPr>
          <w:rFonts w:ascii="Arial;sans-serif" w:hAnsi="Arial;sans-serif"/>
          <w:b w:val="false"/>
          <w:color w:val="000000"/>
          <w:sz w:val="10"/>
          <w:shd w:fill="FFFFFF" w:val="clear"/>
        </w:rPr>
        <w:t>(e)</w:t>
      </w:r>
      <w:r>
        <w:rPr>
          <w:rFonts w:ascii="Arial;sans-serif" w:hAnsi="Arial;sans-serif"/>
          <w:b w:val="false"/>
          <w:color w:val="000000"/>
          <w:sz w:val="16"/>
          <w:shd w:fill="FFFFFF" w:val="clear"/>
        </w:rPr>
        <w:t>Primarily included within interest expense.</w:t>
      </w:r>
    </w:p>
    <w:p>
      <w:pPr>
        <w:pStyle w:val="TextBody"/>
        <w:bidi w:val="0"/>
        <w:spacing w:lineRule="auto" w:line="288" w:before="0" w:after="0"/>
        <w:ind w:left="0" w:right="0" w:hanging="360"/>
        <w:jc w:val="left"/>
        <w:rPr/>
      </w:pPr>
      <w:r>
        <w:rPr>
          <w:rFonts w:ascii="Arial;sans-serif" w:hAnsi="Arial;sans-serif"/>
          <w:b w:val="false"/>
          <w:color w:val="000000"/>
          <w:sz w:val="10"/>
          <w:shd w:fill="FFFFFF" w:val="clear"/>
        </w:rPr>
        <w:t>(f)</w:t>
      </w:r>
      <w:r>
        <w:rPr>
          <w:rFonts w:ascii="Arial;sans-serif" w:hAnsi="Arial;sans-serif"/>
          <w:b w:val="false"/>
          <w:color w:val="000000"/>
          <w:sz w:val="16"/>
          <w:shd w:fill="FFFFFF" w:val="clear"/>
        </w:rPr>
        <w:t>Primarily included within vehicle interest,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Debt Instruments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carrying amounts and estimated fair values (Level 2) of debt instruments are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818"/>
        <w:gridCol w:w="1592"/>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1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2025</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debt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and current portion of long-term debt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Debt under vehicle programs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Vehicle-backed debt due to Avis Budget Rental Car Funding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14,634 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Vehicle-backed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Interest rate swaps and interest rate caps </w:t>
            </w:r>
            <w:r>
              <w:rPr>
                <w:rFonts w:ascii="Arial;sans-serif" w:hAnsi="Arial;sans-serif"/>
                <w:b w:val="false"/>
                <w:color w:val="000000"/>
                <w:sz w:val="12"/>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Derivatives in a liability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18.    Segment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w:t>
      </w:r>
      <w:r>
        <w:rPr>
          <w:rFonts w:ascii="Arial;sans-serif" w:hAnsi="Arial;sans-serif"/>
          <w:b w:val="false"/>
          <w:color w:val="000000"/>
          <w:sz w:val="20"/>
          <w:shd w:fill="FFFFFF" w:val="clear"/>
        </w:rPr>
        <w:t xml:space="preserve">legal matters, net, which primarily includes amounts recorded in excess of </w:t>
      </w:r>
      <w:r>
        <w:rPr>
          <w:rFonts w:ascii="Arial;sans-serif" w:hAnsi="Arial;sans-serif"/>
          <w:b w:val="false"/>
          <w:color w:val="000000"/>
          <w:sz w:val="20"/>
        </w:rPr>
        <w:t>$5 million</w:t>
      </w:r>
      <w:r>
        <w:rPr>
          <w:rFonts w:ascii="Arial;sans-serif" w:hAnsi="Arial;sans-serif"/>
          <w:b w:val="false"/>
          <w:color w:val="000000"/>
          <w:sz w:val="20"/>
          <w:shd w:fill="FFFFFF" w:val="clear"/>
        </w:rPr>
        <w:t xml:space="preserve">, related to unprecedented self-insurance reserves for allocated loss adjustment expense, class action lawsuits and personal injury matters; </w:t>
      </w:r>
      <w:r>
        <w:rPr>
          <w:rFonts w:ascii="Arial;sans-serif" w:hAnsi="Arial;sans-serif"/>
          <w:b w:val="false"/>
          <w:color w:val="000000"/>
          <w:sz w:val="20"/>
        </w:rPr>
        <w:t xml:space="preserve">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Provided below is information about our revenues, significant segment expenses, and reportable segment Adjusted EBITDA, together with a reconciliation of reportable segment Adjusted EBITDA to income (loss) before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15"/>
        <w:gridCol w:w="679"/>
        <w:gridCol w:w="684"/>
        <w:gridCol w:w="208"/>
        <w:gridCol w:w="591"/>
        <w:gridCol w:w="115"/>
        <w:gridCol w:w="115"/>
        <w:gridCol w:w="115"/>
        <w:gridCol w:w="115"/>
        <w:gridCol w:w="317"/>
        <w:gridCol w:w="684"/>
        <w:gridCol w:w="178"/>
        <w:gridCol w:w="109"/>
        <w:gridCol w:w="109"/>
        <w:gridCol w:w="109"/>
        <w:gridCol w:w="196"/>
        <w:gridCol w:w="556"/>
        <w:gridCol w:w="109"/>
        <w:gridCol w:w="109"/>
        <w:gridCol w:w="109"/>
        <w:gridCol w:w="109"/>
        <w:gridCol w:w="196"/>
        <w:gridCol w:w="556"/>
        <w:gridCol w:w="109"/>
        <w:gridCol w:w="109"/>
        <w:gridCol w:w="109"/>
        <w:gridCol w:w="109"/>
        <w:gridCol w:w="299"/>
        <w:gridCol w:w="644"/>
        <w:gridCol w:w="168"/>
        <w:gridCol w:w="109"/>
        <w:gridCol w:w="109"/>
        <w:gridCol w:w="109"/>
        <w:gridCol w:w="196"/>
        <w:gridCol w:w="556"/>
        <w:gridCol w:w="109"/>
        <w:gridCol w:w="109"/>
        <w:gridCol w:w="109"/>
        <w:gridCol w:w="109"/>
        <w:gridCol w:w="160"/>
      </w:tblGrid>
      <w:tr>
        <w:trPr/>
        <w:tc>
          <w:tcPr>
            <w:tcW w:w="91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Significant segment expenses:</w:t>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Operating </w:t>
            </w:r>
            <w:r>
              <w:rPr>
                <w:rFonts w:ascii="Arial;sans-serif" w:hAnsi="Arial;sans-serif"/>
                <w:b w:val="false"/>
                <w:color w:val="000000"/>
                <w:sz w:val="10"/>
              </w:rPr>
              <w:t>(a)</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 depreciation and lease charges, net</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 interest, net</w:t>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Reportable segment Adjusted EBITDA</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7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6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of reportable segment Adjusted EBITDA to 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Reportable 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Non-vehicle related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related to corporate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Other segment expenses </w:t>
            </w:r>
            <w:r>
              <w:rPr>
                <w:rFonts w:ascii="Arial;sans-serif" w:hAnsi="Arial;sans-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Corporate and other </w:t>
            </w:r>
            <w:r>
              <w:rPr>
                <w:rFonts w:ascii="Arial;sans-serif" w:hAnsi="Arial;sans-serif"/>
                <w:b w:val="false"/>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Excludes other segment expenses.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Cloud computing costs and legal matters, net for the three months ended June 30, 2025.</w:t>
      </w:r>
    </w:p>
    <w:p>
      <w:pPr>
        <w:pStyle w:val="TextBody"/>
        <w:bidi w:val="0"/>
        <w:spacing w:lineRule="auto" w:line="288" w:before="0" w:after="0"/>
        <w:ind w:left="0" w:right="0" w:hanging="360"/>
        <w:jc w:val="both"/>
        <w:rPr/>
      </w:pPr>
      <w:r>
        <w:rPr>
          <w:rFonts w:ascii="Arial;sans-serif" w:hAnsi="Arial;sans-serif"/>
          <w:b w:val="false"/>
          <w:color w:val="000000"/>
          <w:sz w:val="12"/>
        </w:rPr>
        <w:t>(c)</w:t>
      </w:r>
      <w:r>
        <w:rPr>
          <w:rFonts w:ascii="Arial;sans-serif" w:hAnsi="Arial;sans-serif"/>
          <w:b w:val="false"/>
          <w:color w:val="000000"/>
          <w:sz w:val="16"/>
        </w:rPr>
        <w:t>Consists of unallocated corporate expenses which are not attributable to a particular reportable segment. For the three months ended June 30, 2026 and 2025, includes $106 million of interest expense, in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58"/>
        <w:gridCol w:w="848"/>
        <w:gridCol w:w="853"/>
        <w:gridCol w:w="204"/>
        <w:gridCol w:w="580"/>
        <w:gridCol w:w="113"/>
        <w:gridCol w:w="113"/>
        <w:gridCol w:w="113"/>
        <w:gridCol w:w="113"/>
        <w:gridCol w:w="262"/>
        <w:gridCol w:w="748"/>
        <w:gridCol w:w="147"/>
        <w:gridCol w:w="109"/>
        <w:gridCol w:w="109"/>
        <w:gridCol w:w="109"/>
        <w:gridCol w:w="196"/>
        <w:gridCol w:w="556"/>
        <w:gridCol w:w="109"/>
        <w:gridCol w:w="109"/>
        <w:gridCol w:w="109"/>
        <w:gridCol w:w="109"/>
        <w:gridCol w:w="196"/>
        <w:gridCol w:w="556"/>
        <w:gridCol w:w="109"/>
        <w:gridCol w:w="109"/>
        <w:gridCol w:w="109"/>
        <w:gridCol w:w="109"/>
        <w:gridCol w:w="252"/>
        <w:gridCol w:w="717"/>
        <w:gridCol w:w="142"/>
        <w:gridCol w:w="109"/>
        <w:gridCol w:w="109"/>
        <w:gridCol w:w="109"/>
        <w:gridCol w:w="196"/>
        <w:gridCol w:w="556"/>
        <w:gridCol w:w="160"/>
      </w:tblGrid>
      <w:tr>
        <w:trPr/>
        <w:tc>
          <w:tcPr>
            <w:tcW w:w="10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Revenues</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Significant segment expenses:</w:t>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Operating </w:t>
            </w:r>
            <w:r>
              <w:rPr>
                <w:rFonts w:ascii="Arial;sans-serif" w:hAnsi="Arial;sans-serif"/>
                <w:b w:val="false"/>
                <w:color w:val="000000"/>
                <w:sz w:val="10"/>
              </w:rPr>
              <w:t>(a)</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Vehicle depreciation and lease charges, net</w:t>
            </w:r>
            <w:r>
              <w:rPr>
                <w:color w:val="000000"/>
              </w:rPr>
              <w:t xml:space="preserve"> </w:t>
            </w:r>
            <w:r>
              <w:rPr>
                <w:rFonts w:ascii="Arial;sans-serif" w:hAnsi="Arial;sans-serif"/>
                <w:b w:val="false"/>
                <w:color w:val="000000"/>
                <w:sz w:val="10"/>
              </w:rPr>
              <w:t>(b)</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 interest, net</w:t>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Reportable segment Adjusted EBITDA</w:t>
            </w:r>
          </w:p>
        </w:tc>
        <w:tc>
          <w:tcPr>
            <w:tcW w:w="2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4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4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of reportable segment Adjusted EBITDA to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Reportable 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60"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Non-vehicle related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related to corporate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0" w:type="dxa"/>
            <w:gridSpan w:val="9"/>
            <w:tcBorders/>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2350" w:type="dxa"/>
            <w:gridSpan w:val="9"/>
            <w:tcBorders/>
          </w:tcPr>
          <w:p>
            <w:pPr>
              <w:pStyle w:val="TableContents"/>
              <w:bidi w:val="0"/>
              <w:spacing w:before="0" w:after="283"/>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fleet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Transaction-related costs,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Other segment expenses </w:t>
            </w:r>
            <w:r>
              <w:rPr>
                <w:rFonts w:ascii="Arial;sans-serif" w:hAnsi="Arial;sans-serif"/>
                <w:b w:val="false"/>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Corporate and other </w:t>
            </w:r>
            <w:r>
              <w:rPr>
                <w:rFonts w:ascii="Arial;sans-serif" w:hAnsi="Arial;sans-serif"/>
                <w:b w:val="false"/>
                <w:color w:val="000000"/>
                <w:sz w:val="1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Excludes other segment expenses.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For the six months ended June 30, 2025, excludes other fleet charges related to the disposal of certain fleet within our Americas reportable segment.</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Cloud computing costs for the six months ended June 30, 2026. Cloud computing cost and legal matters, net for the six months ended June 30, 2025.</w:t>
      </w:r>
    </w:p>
    <w:p>
      <w:pPr>
        <w:pStyle w:val="TextBody"/>
        <w:bidi w:val="0"/>
        <w:spacing w:lineRule="auto" w:line="288"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Consists of unallocated corporate expenses which are not attributable to a particular reportable segment. For the six months ended June 30, 2026 and 2025, includes $210 million and $201 million of interest expense,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Provided below is information about our segment assets.</w:t>
      </w:r>
    </w:p>
    <w:tbl>
      <w:tblPr>
        <w:tblW w:w="10168" w:type="dxa"/>
        <w:jc w:val="left"/>
        <w:tblInd w:w="0" w:type="dxa"/>
        <w:tblLayout w:type="fixed"/>
        <w:tblCellMar>
          <w:top w:w="28" w:type="dxa"/>
          <w:left w:w="28" w:type="dxa"/>
          <w:bottom w:w="28" w:type="dxa"/>
          <w:right w:w="28" w:type="dxa"/>
        </w:tblCellMar>
      </w:tblPr>
      <w:tblGrid>
        <w:gridCol w:w="1528"/>
        <w:gridCol w:w="1336"/>
        <w:gridCol w:w="1351"/>
        <w:gridCol w:w="293"/>
        <w:gridCol w:w="501"/>
        <w:gridCol w:w="152"/>
        <w:gridCol w:w="109"/>
        <w:gridCol w:w="109"/>
        <w:gridCol w:w="109"/>
        <w:gridCol w:w="362"/>
        <w:gridCol w:w="620"/>
        <w:gridCol w:w="189"/>
        <w:gridCol w:w="109"/>
        <w:gridCol w:w="109"/>
        <w:gridCol w:w="109"/>
        <w:gridCol w:w="531"/>
        <w:gridCol w:w="1173"/>
        <w:gridCol w:w="276"/>
        <w:gridCol w:w="109"/>
        <w:gridCol w:w="109"/>
        <w:gridCol w:w="109"/>
        <w:gridCol w:w="224"/>
        <w:gridCol w:w="497"/>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Unallocated Assets </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Six Months Ended June 30, 2026</w:t>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additions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8"/>
              </w:rPr>
            </w:pPr>
            <w:r>
              <w:rPr>
                <w:rFonts w:ascii="Arial;sans-serif" w:hAnsi="Arial;sans-serif"/>
                <w:b/>
                <w:color w:val="000000"/>
                <w:sz w:val="18"/>
              </w:rPr>
              <w:t>As of June 30, 2026</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exclusive of assets under vehicle programs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vehicle programs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long-lived assets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Year Ended December 31, 2025</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additions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December 31, 2025</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exclusive of assets under vehicle programs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vehicle programs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long-lived assets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Includes unallocated corporate assets which are not attributable to a particular reportable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900"/>
        <w:jc w:val="left"/>
        <w:rPr/>
      </w:pPr>
      <w:r>
        <w:rPr>
          <w:rFonts w:ascii="Arial;sans-serif" w:hAnsi="Arial;sans-serif"/>
          <w:b/>
          <w:color w:val="000000"/>
          <w:sz w:val="20"/>
        </w:rPr>
        <w:t>Item 2.    Management’s Discussion and Analysis of Financial Condition and</w:t>
      </w:r>
      <w:r>
        <w:rPr>
          <w:color w:val="000000"/>
        </w:rPr>
        <w:t xml:space="preserve"> </w:t>
      </w:r>
      <w:r>
        <w:rPr>
          <w:rFonts w:ascii="Arial;sans-serif" w:hAnsi="Arial;sans-serif"/>
          <w:b/>
          <w:color w:val="000000"/>
          <w:sz w:val="20"/>
        </w:rPr>
        <w:t xml:space="preserve">Results of Operations </w:t>
      </w:r>
    </w:p>
    <w:p>
      <w:pPr>
        <w:pStyle w:val="TextBody"/>
        <w:bidi w:val="0"/>
        <w:spacing w:before="0" w:after="0"/>
        <w:ind w:left="0" w:right="0" w:hanging="900"/>
        <w:jc w:val="left"/>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The following discussion should be read in conjunction with our Condensed Consolidated Financial Statements and accompanying Notes included in this Quarterly Report on Form 10-Q and with our 2025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pStyle w:val="TextBody"/>
        <w:bidi w:val="0"/>
        <w:spacing w:before="0" w:after="20"/>
        <w:jc w:val="both"/>
        <w:rPr/>
      </w:pPr>
      <w:r>
        <w:rPr/>
      </w:r>
    </w:p>
    <w:tbl>
      <w:tblPr>
        <w:tblW w:w="1231" w:type="dxa"/>
        <w:jc w:val="left"/>
        <w:tblInd w:w="0" w:type="dxa"/>
        <w:tblLayout w:type="fixed"/>
        <w:tblCellMar>
          <w:top w:w="28" w:type="dxa"/>
          <w:left w:w="28" w:type="dxa"/>
          <w:bottom w:w="28" w:type="dxa"/>
          <w:right w:w="28" w:type="dxa"/>
        </w:tblCellMar>
      </w:tblPr>
      <w:tblGrid>
        <w:gridCol w:w="394"/>
        <w:gridCol w:w="346"/>
        <w:gridCol w:w="491"/>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OVERVIEW</w:t>
            </w:r>
          </w:p>
        </w:tc>
      </w:tr>
    </w:tbl>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Company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665,000 vehicles in second quarter 2026. We also license the use of our trademarks to licensees in the areas in which we do not operate directly. We and our licensees operate our brands in approximately </w:t>
      </w:r>
      <w:r>
        <w:rPr>
          <w:rFonts w:ascii="Arial;sans-serif" w:hAnsi="Arial;sans-serif"/>
          <w:b w:val="false"/>
          <w:color w:val="000000"/>
          <w:sz w:val="20"/>
          <w:shd w:fill="FFFFFF" w:val="clear"/>
        </w:rPr>
        <w:t xml:space="preserve">180 </w:t>
      </w:r>
      <w:r>
        <w:rPr>
          <w:rFonts w:ascii="Arial;sans-serif" w:hAnsi="Arial;sans-serif"/>
          <w:b w:val="false"/>
          <w:color w:val="000000"/>
          <w:sz w:val="20"/>
        </w:rPr>
        <w:t xml:space="preserve">countries throughout the world.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Segments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categorize our operations into two reportable business segments: </w:t>
      </w:r>
      <w:r>
        <w:rPr>
          <w:rFonts w:ascii="Arial;sans-serif" w:hAnsi="Arial;sans-serif"/>
          <w:b w:val="false"/>
          <w:i/>
          <w:color w:val="000000"/>
          <w:sz w:val="20"/>
        </w:rPr>
        <w:t>Americas</w:t>
      </w:r>
      <w:r>
        <w:rPr>
          <w:rFonts w:ascii="Arial;sans-serif" w:hAnsi="Arial;sans-serif"/>
          <w:b w:val="false"/>
          <w:color w:val="000000"/>
          <w:sz w:val="20"/>
        </w:rPr>
        <w:t xml:space="preserve">, consisting primarily of (i) vehicle rental operations in North America, South America, Central America and the Caribbean, (ii) car sharing operations in certain of these markets, and (iii) licensees in the areas in which we do not operate directly; and </w:t>
      </w:r>
      <w:r>
        <w:rPr>
          <w:rFonts w:ascii="Arial;sans-serif" w:hAnsi="Arial;sans-serif"/>
          <w:b w:val="false"/>
          <w:i/>
          <w:color w:val="000000"/>
          <w:sz w:val="20"/>
        </w:rPr>
        <w:t>International</w:t>
      </w:r>
      <w:r>
        <w:rPr>
          <w:rFonts w:ascii="Arial;sans-serif" w:hAnsi="Arial;sans-serif"/>
          <w:b w:val="false"/>
          <w:color w:val="000000"/>
          <w:sz w:val="20"/>
        </w:rPr>
        <w:t>, consisting primarily of (i) vehicle rental operations in Europe, the Middle East, Africa, Asia and Australasia, (ii) car sharing operations in certain of these markets, and (iii) licensees in the areas in which we do not operate directly.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Business and Trends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strategy remains centered on driving sustainable growth through operational efficiency, analytics, customer experience and innovation. Additionally, during the fourth quarter of the fiscal year ended December 31, 2025, in conjunction with the Interpace Ventures transaction, we reviewed our fleet strategy, specific to certain United States EV rental car vehicles, and as a result shortened the useful life associated with such vehicles. We believe our strategies will continue to reinforce our competitive position, support long-term profitability, and deliver value to our stakeholders. During the three months ended June 30, 2026, we generated revenues of </w:t>
      </w:r>
      <w:r>
        <w:rPr>
          <w:rFonts w:ascii="Arial;sans-serif" w:hAnsi="Arial;sans-serif"/>
          <w:b w:val="false"/>
          <w:color w:val="000000"/>
          <w:sz w:val="20"/>
          <w:shd w:fill="FFFFFF" w:val="clear"/>
        </w:rPr>
        <w:t>$3.0 billion</w:t>
      </w:r>
      <w:r>
        <w:rPr>
          <w:rFonts w:ascii="Arial;sans-serif" w:hAnsi="Arial;sans-serif"/>
          <w:b w:val="false"/>
          <w:color w:val="000000"/>
          <w:sz w:val="20"/>
        </w:rPr>
        <w:t>, net income</w:t>
      </w:r>
      <w:r>
        <w:rPr>
          <w:color w:val="000000"/>
          <w:shd w:fill="FFFFFF" w:val="clear"/>
        </w:rPr>
        <w:t xml:space="preserve"> </w:t>
      </w:r>
      <w:r>
        <w:rPr>
          <w:rFonts w:ascii="Arial;sans-serif" w:hAnsi="Arial;sans-serif"/>
          <w:b w:val="false"/>
          <w:color w:val="000000"/>
          <w:sz w:val="20"/>
          <w:shd w:fill="FFFFFF" w:val="clear"/>
        </w:rPr>
        <w:t xml:space="preserve">of $63 million </w:t>
      </w:r>
      <w:r>
        <w:rPr>
          <w:rFonts w:ascii="Arial;sans-serif" w:hAnsi="Arial;sans-serif"/>
          <w:b w:val="false"/>
          <w:color w:val="000000"/>
          <w:sz w:val="20"/>
        </w:rPr>
        <w:t xml:space="preserve">and Adjusted EBITDA of </w:t>
      </w:r>
      <w:r>
        <w:rPr>
          <w:rFonts w:ascii="Arial;sans-serif" w:hAnsi="Arial;sans-serif"/>
          <w:b w:val="false"/>
          <w:color w:val="000000"/>
          <w:sz w:val="20"/>
          <w:shd w:fill="FFFFFF" w:val="clear"/>
        </w:rPr>
        <w:t>$286 million</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These results were primarily driven by lower per-unit fleet costs and increased revenue per day, partially offset by decreased volume.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government shutdowns, manufacturer recalls,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w:t>
      </w:r>
      <w:r>
        <w:rPr>
          <w:rFonts w:ascii="Arial;sans-serif" w:hAnsi="Arial;sans-serif"/>
          <w:b w:val="false"/>
          <w:color w:val="000000"/>
          <w:sz w:val="20"/>
          <w:shd w:fill="FFFFFF" w:val="clear"/>
        </w:rPr>
        <w:t xml:space="preserve">legal matters, net, which primarily includes amounts recorded in excess of </w:t>
      </w:r>
      <w:r>
        <w:rPr>
          <w:rFonts w:ascii="Arial;sans-serif" w:hAnsi="Arial;sans-serif"/>
          <w:b w:val="false"/>
          <w:color w:val="000000"/>
          <w:sz w:val="20"/>
        </w:rPr>
        <w:t>$5 million</w:t>
      </w:r>
      <w:r>
        <w:rPr>
          <w:rFonts w:ascii="Arial;sans-serif" w:hAnsi="Arial;sans-serif"/>
          <w:b w:val="false"/>
          <w:color w:val="000000"/>
          <w:sz w:val="20"/>
          <w:shd w:fill="FFFFFF" w:val="clear"/>
        </w:rPr>
        <w:t xml:space="preserve">, related to unprecedented self-insurance reserves for allocated loss adjustment expense, class action lawsuits and personal injury matters; </w:t>
      </w:r>
      <w:r>
        <w:rPr>
          <w:rFonts w:ascii="Arial;sans-serif" w:hAnsi="Arial;sans-serif"/>
          <w:b w:val="false"/>
          <w:color w:val="000000"/>
          <w:sz w:val="20"/>
        </w:rPr>
        <w:t xml:space="preserve">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six months ended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revenues totaled $5.5 billion, an increase of </w:t>
      </w:r>
      <w:r>
        <w:rPr>
          <w:rFonts w:ascii="Arial;sans-serif" w:hAnsi="Arial;sans-serif"/>
          <w:b w:val="false"/>
          <w:color w:val="000000"/>
          <w:sz w:val="20"/>
          <w:shd w:fill="FFFFFF" w:val="clear"/>
        </w:rPr>
        <w:t>$59 million</w:t>
      </w:r>
      <w:r>
        <w:rPr>
          <w:color w:val="000000"/>
        </w:rPr>
        <w:t xml:space="preserve"> </w:t>
      </w:r>
      <w:r>
        <w:rPr>
          <w:rFonts w:ascii="Arial;sans-serif" w:hAnsi="Arial;sans-serif"/>
          <w:b w:val="false"/>
          <w:color w:val="000000"/>
          <w:sz w:val="20"/>
        </w:rPr>
        <w:t>year-over-year, primarily due to increased revenue per day, partially offset by decreased volume.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net loss attributable to Avis Budget Group, Inc. was $248 million, representing a</w:t>
      </w:r>
      <w:r>
        <w:rPr>
          <w:color w:val="000000"/>
          <w:shd w:fill="FFFFFF" w:val="clear"/>
        </w:rPr>
        <w:t xml:space="preserve"> </w:t>
      </w:r>
      <w:r>
        <w:rPr>
          <w:rFonts w:ascii="Arial;sans-serif" w:hAnsi="Arial;sans-serif"/>
          <w:b w:val="false"/>
          <w:color w:val="000000"/>
          <w:sz w:val="20"/>
          <w:shd w:fill="FFFFFF" w:val="clear"/>
        </w:rPr>
        <w:t xml:space="preserve">decreased </w:t>
      </w:r>
      <w:r>
        <w:rPr>
          <w:rFonts w:ascii="Arial;sans-serif" w:hAnsi="Arial;sans-serif"/>
          <w:b w:val="false"/>
          <w:color w:val="000000"/>
          <w:sz w:val="20"/>
        </w:rPr>
        <w:t>loss of $253 million year-over-ye</w:t>
      </w:r>
      <w:r>
        <w:rPr>
          <w:rFonts w:ascii="Arial;sans-serif" w:hAnsi="Arial;sans-serif"/>
          <w:b w:val="false"/>
          <w:color w:val="000000"/>
          <w:sz w:val="20"/>
          <w:shd w:fill="FFFFFF" w:val="clear"/>
        </w:rPr>
        <w:t xml:space="preserve">ar, primarily due </w:t>
      </w:r>
      <w:r>
        <w:rPr>
          <w:rFonts w:ascii="Arial;sans-serif" w:hAnsi="Arial;sans-serif"/>
          <w:b w:val="false"/>
          <w:color w:val="000000"/>
          <w:sz w:val="20"/>
        </w:rPr>
        <w:t>t</w:t>
      </w:r>
      <w:r>
        <w:rPr>
          <w:rFonts w:ascii="Arial;sans-serif" w:hAnsi="Arial;sans-serif"/>
          <w:b w:val="false"/>
          <w:color w:val="000000"/>
          <w:sz w:val="20"/>
          <w:shd w:fill="FFFFFF" w:val="clear"/>
        </w:rPr>
        <w:t>o increased revenue per day and decreased fleet charges.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Adjusted EBITDA was $173 million, representing a</w:t>
      </w:r>
      <w:r>
        <w:rPr>
          <w:color w:val="000000"/>
          <w:shd w:fill="FFFFFF" w:val="clear"/>
        </w:rPr>
        <w:t xml:space="preserve"> </w:t>
      </w:r>
      <w:r>
        <w:rPr>
          <w:rFonts w:ascii="Arial;sans-serif" w:hAnsi="Arial;sans-serif"/>
          <w:b w:val="false"/>
          <w:color w:val="000000"/>
          <w:sz w:val="20"/>
          <w:shd w:fill="FFFFFF" w:val="clear"/>
        </w:rPr>
        <w:t>decrease</w:t>
      </w:r>
      <w:r>
        <w:rPr>
          <w:color w:val="000000"/>
        </w:rPr>
        <w:t xml:space="preserve"> </w:t>
      </w:r>
      <w:r>
        <w:rPr>
          <w:rFonts w:ascii="Arial;sans-serif" w:hAnsi="Arial;sans-serif"/>
          <w:b w:val="false"/>
          <w:color w:val="000000"/>
          <w:sz w:val="20"/>
        </w:rPr>
        <w:t>of $11 million year-over-year.</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Three Months Ended June 30, 2026 vs. Three Months Ended June 30,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condensed consolidated results of operations comprised of the following:</w:t>
      </w:r>
    </w:p>
    <w:p>
      <w:pPr>
        <w:pStyle w:val="TextBody"/>
        <w:bidi w:val="0"/>
        <w:spacing w:before="0" w:after="0"/>
        <w:jc w:val="left"/>
        <w:rPr/>
      </w:pPr>
      <w:r>
        <w:rPr/>
      </w:r>
    </w:p>
    <w:tbl>
      <w:tblPr>
        <w:tblW w:w="9528" w:type="dxa"/>
        <w:jc w:val="left"/>
        <w:tblInd w:w="0" w:type="dxa"/>
        <w:tblLayout w:type="fixed"/>
        <w:tblCellMar>
          <w:top w:w="28" w:type="dxa"/>
          <w:left w:w="28" w:type="dxa"/>
          <w:bottom w:w="28" w:type="dxa"/>
          <w:right w:w="28" w:type="dxa"/>
        </w:tblCellMar>
      </w:tblPr>
      <w:tblGrid>
        <w:gridCol w:w="1699"/>
        <w:gridCol w:w="1489"/>
        <w:gridCol w:w="1506"/>
        <w:gridCol w:w="211"/>
        <w:gridCol w:w="616"/>
        <w:gridCol w:w="109"/>
        <w:gridCol w:w="109"/>
        <w:gridCol w:w="109"/>
        <w:gridCol w:w="109"/>
        <w:gridCol w:w="211"/>
        <w:gridCol w:w="616"/>
        <w:gridCol w:w="109"/>
        <w:gridCol w:w="109"/>
        <w:gridCol w:w="109"/>
        <w:gridCol w:w="109"/>
        <w:gridCol w:w="290"/>
        <w:gridCol w:w="518"/>
        <w:gridCol w:w="152"/>
        <w:gridCol w:w="109"/>
        <w:gridCol w:w="109"/>
        <w:gridCol w:w="109"/>
        <w:gridCol w:w="208"/>
        <w:gridCol w:w="208"/>
        <w:gridCol w:w="605"/>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 and lease charges,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interest,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Avis Budget Group, Inc.</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Arial;sans-serif" w:hAnsi="Arial;sans-serif"/>
          <w:b w:val="false"/>
          <w:color w:val="000000"/>
          <w:sz w:val="20"/>
        </w:rPr>
        <w:t>Revenues decreased $41 million during the three months ended June 30, 2026 compared to the similar period in 2025, primarily due to a 2% decrease in volume, partially offset by a $20 million positive impact from currency exchange rate movements. Total expenses decreased 3% during the three months ended June 30, 2026 compared to the similar period in 2025, primarily due to lower fleet costs. Our effective tax rates were a provision</w:t>
      </w:r>
      <w:r>
        <w:rPr>
          <w:color w:val="000000"/>
          <w:shd w:fill="FFFFFF" w:val="clear"/>
        </w:rPr>
        <w:t xml:space="preserve"> </w:t>
      </w:r>
      <w:r>
        <w:rPr>
          <w:rFonts w:ascii="Arial;sans-serif" w:hAnsi="Arial;sans-serif"/>
          <w:b w:val="false"/>
          <w:color w:val="000000"/>
          <w:sz w:val="20"/>
          <w:shd w:fill="FFFFFF" w:val="clear"/>
        </w:rPr>
        <w:t>of 13.7%</w:t>
      </w:r>
      <w:r>
        <w:rPr>
          <w:color w:val="000000"/>
        </w:rPr>
        <w:t xml:space="preserve"> </w:t>
      </w:r>
      <w:r>
        <w:rPr>
          <w:rFonts w:ascii="Arial;sans-serif" w:hAnsi="Arial;sans-serif"/>
          <w:b w:val="false"/>
          <w:color w:val="000000"/>
          <w:sz w:val="20"/>
        </w:rPr>
        <w:t>and 66.7% for the three months ended June 30, 2026 and 2025, respectively. As a result of these items, our net income attributable to Avis Budget Group, Inc. increased by $31 million compared to the similar period in 2025. For the three months ended June 30, 2026 and 2025, we reported diluted earnings per share of</w:t>
      </w:r>
      <w:r>
        <w:rPr>
          <w:color w:val="000000"/>
          <w:shd w:fill="FFFFFF" w:val="clear"/>
        </w:rPr>
        <w:t xml:space="preserve"> </w:t>
      </w:r>
      <w:r>
        <w:rPr>
          <w:rFonts w:ascii="Arial;sans-serif" w:hAnsi="Arial;sans-serif"/>
          <w:b w:val="false"/>
          <w:color w:val="000000"/>
          <w:sz w:val="20"/>
          <w:shd w:fill="FFFFFF" w:val="clear"/>
        </w:rPr>
        <w:t xml:space="preserve">$0.98 </w:t>
      </w:r>
      <w:r>
        <w:rPr>
          <w:rFonts w:ascii="Arial;sans-serif" w:hAnsi="Arial;sans-serif"/>
          <w:b w:val="false"/>
          <w:color w:val="000000"/>
          <w:sz w:val="20"/>
        </w:rPr>
        <w:t>and $0.10, respectively.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Operating expenses increased to 50.9% of revenue during the three months ended June 30, 2026 compared to 50.2% during the similar period in 2025, primarily due to </w:t>
      </w:r>
      <w:r>
        <w:rPr>
          <w:rFonts w:ascii="Arial;sans-serif" w:hAnsi="Arial;sans-serif"/>
          <w:b w:val="false"/>
          <w:color w:val="000000"/>
          <w:sz w:val="20"/>
          <w:shd w:fill="FFFFFF" w:val="clear"/>
        </w:rPr>
        <w:t xml:space="preserve">increased facilities costs and decreased revenue, partially offset by decreased fleet operating costs. </w:t>
      </w:r>
      <w:r>
        <w:rPr>
          <w:rFonts w:ascii="Arial;sans-serif" w:hAnsi="Arial;sans-serif"/>
          <w:b w:val="false"/>
          <w:color w:val="000000"/>
          <w:sz w:val="20"/>
        </w:rPr>
        <w:t>Vehicle depreciation and lease charges decreased to 19.4% of revenue during the three months ended June 30, 2026 compared to 20.9% during the similar period in 2025, primarily due to decreased per-unit fleet costs, excluding exchange rate effects, driven by an increase in the gain on sale of vehicles</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Selling, general and administrative costs were 12.9% of revenue during the three months ended June 30, 2026 compared to 13.0% during the similar period in 2025. Vehicle interest costs were 7.7% of revenue during the three months ended June 30, 2026 compared to 7.6% during the similar period in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Following is a more detailed discussion of the results of each of our reportable segments and corporate and other, together with a reconciliation of net income to Adjusted EBITDA: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99"/>
        <w:gridCol w:w="1299"/>
        <w:gridCol w:w="1305"/>
        <w:gridCol w:w="220"/>
        <w:gridCol w:w="642"/>
        <w:gridCol w:w="114"/>
        <w:gridCol w:w="109"/>
        <w:gridCol w:w="109"/>
        <w:gridCol w:w="109"/>
        <w:gridCol w:w="417"/>
        <w:gridCol w:w="925"/>
        <w:gridCol w:w="218"/>
        <w:gridCol w:w="109"/>
        <w:gridCol w:w="109"/>
        <w:gridCol w:w="109"/>
        <w:gridCol w:w="220"/>
        <w:gridCol w:w="642"/>
        <w:gridCol w:w="114"/>
        <w:gridCol w:w="109"/>
        <w:gridCol w:w="109"/>
        <w:gridCol w:w="109"/>
        <w:gridCol w:w="406"/>
        <w:gridCol w:w="900"/>
        <w:gridCol w:w="303"/>
      </w:tblGrid>
      <w:tr>
        <w:trPr/>
        <w:tc>
          <w:tcPr>
            <w:tcW w:w="14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(a)</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Company</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net income to Adjusted EBITDA:</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03"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(b)</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Legal matters, net </w:t>
            </w:r>
            <w:r>
              <w:rPr>
                <w:rFonts w:ascii="Arial;sans-serif" w:hAnsi="Arial;sans-serif"/>
                <w:b w:val="false"/>
                <w:color w:val="000000"/>
                <w:sz w:val="12"/>
              </w:rPr>
              <w:t>(c)</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Cloud computing costs </w:t>
            </w:r>
            <w:r>
              <w:rPr>
                <w:rFonts w:ascii="Arial;sans-serif" w:hAnsi="Arial;sans-serif"/>
                <w:b w:val="false"/>
                <w:color w:val="000000"/>
                <w:sz w:val="12"/>
              </w:rPr>
              <w:t>(d)</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30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120" w:after="2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Includes unallocated corporate expenses which are not attributable to a particular segment.</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(b)</w:t>
      </w:r>
      <w:r>
        <w:rPr>
          <w:rFonts w:ascii="Arial;sans-serif" w:hAnsi="Arial;sans-serif"/>
          <w:b w:val="false"/>
          <w:color w:val="000000"/>
          <w:sz w:val="16"/>
        </w:rPr>
        <w:t>Primarily consists of gains or losses related to our equity method investment in a former subsidiary, offset by fleet related and certain administrative services provided to the same former subsidiary.</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(c)</w:t>
      </w:r>
      <w:r>
        <w:rPr>
          <w:rFonts w:ascii="Arial;sans-serif" w:hAnsi="Arial;sans-serif"/>
          <w:b w:val="false"/>
          <w:color w:val="000000"/>
          <w:sz w:val="16"/>
        </w:rPr>
        <w:t>Consists of $2 million and $1 million reported within selling, general, and administrative expenses for the three months ended June 30, 2026 and 2025, respectively and $1 million and $11 million reported within operating expenses for the three months ended June 30, 2026 and 2025, respectively.</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(d)</w:t>
      </w:r>
      <w:r>
        <w:rPr>
          <w:rFonts w:ascii="Arial;sans-serif" w:hAnsi="Arial;sans-serif"/>
          <w:b w:val="false"/>
          <w:color w:val="000000"/>
          <w:sz w:val="16"/>
        </w:rPr>
        <w:t>Reported within operating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Americas</w:t>
      </w:r>
    </w:p>
    <w:tbl>
      <w:tblPr>
        <w:tblW w:w="5404"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616"/>
        <w:gridCol w:w="109"/>
        <w:gridCol w:w="109"/>
        <w:gridCol w:w="109"/>
        <w:gridCol w:w="109"/>
        <w:gridCol w:w="208"/>
        <w:gridCol w:w="208"/>
        <w:gridCol w:w="6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Revenues decreased during the three months ended June 30, 2026 compared to the similar period in 2025, primarily due to a 2% decrease in volume and a $1 million negative impact from currency exchange rate movements.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Operating expenses increased to 51.2% of revenue during the three months ended June 30, 2026 compared to 50.6% during the similar period in 2025, primarily due to </w:t>
      </w:r>
      <w:r>
        <w:rPr>
          <w:rFonts w:ascii="Arial;sans-serif" w:hAnsi="Arial;sans-serif"/>
          <w:b w:val="false"/>
          <w:color w:val="000000"/>
          <w:sz w:val="20"/>
          <w:shd w:fill="FFFFFF" w:val="clear"/>
        </w:rPr>
        <w:t xml:space="preserve">increased facilities costs and decreased revenue, partially offset by decreased fleet operating costs. </w:t>
      </w:r>
      <w:r>
        <w:rPr>
          <w:rFonts w:ascii="Arial;sans-serif" w:hAnsi="Arial;sans-serif"/>
          <w:b w:val="false"/>
          <w:color w:val="000000"/>
          <w:sz w:val="20"/>
        </w:rPr>
        <w:t xml:space="preserve">Vehicle depreciation and lease charges decreased to 19.3% of revenue during the three months ended June 30, 2026 compared to 20.8% during the similar period in 2025, primarily due to decreased per-unit fleet costs, excluding exchange rate effects, driven by an increase in the gain on sale of vehicles. Selling, general and administrative costs decreased to 10.5% of revenue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months ended June 30, 2026 compared to 11.3% during the similar period in 2025, primarily due to decreased commissions and marketing costs. Vehicle interest costs were 8.6% of revenue during the three months ended June 30, 2026 compared to 8.4% during the similar period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increased during the three months ended June 30, 2026 compared to the similar period in 2025, primarily due to decreased vehicle depreciation and lease charges and selling, general and administrative costs, partially offset by decreased volume and a $1 million negative impact from currency exchange rate movements.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International</w:t>
      </w:r>
    </w:p>
    <w:tbl>
      <w:tblPr>
        <w:tblW w:w="5104"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466"/>
        <w:gridCol w:w="109"/>
        <w:gridCol w:w="109"/>
        <w:gridCol w:w="109"/>
        <w:gridCol w:w="109"/>
        <w:gridCol w:w="211"/>
        <w:gridCol w:w="466"/>
        <w:gridCol w:w="109"/>
        <w:gridCol w:w="109"/>
        <w:gridCol w:w="109"/>
        <w:gridCol w:w="109"/>
        <w:gridCol w:w="208"/>
        <w:gridCol w:w="208"/>
        <w:gridCol w:w="6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0"/>
        <w:jc w:val="both"/>
        <w:rPr>
          <w:rFonts w:ascii="Arial;sans-serif" w:hAnsi="Arial;sans-serif"/>
          <w:b w:val="false"/>
          <w:color w:val="000000"/>
          <w:sz w:val="20"/>
        </w:rPr>
      </w:pPr>
      <w:r>
        <w:rPr>
          <w:rFonts w:ascii="Arial;sans-serif" w:hAnsi="Arial;sans-serif"/>
          <w:b w:val="false"/>
          <w:color w:val="000000"/>
          <w:sz w:val="20"/>
        </w:rPr>
        <w:t>Revenues increased during the three months ended June 30, 2026 compared to the similar period in 2025, primarily due to a $21 million positive impact from currency exchange rate movements, offset by a 3% decrease in volume.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expenses increased to 48.1% of revenue during the three months ended June 30, 2026 compared to 46.7% during the similar period in 2025, primarily due to increased facilities costs. Vehicle depreciation and lease charges decreased to 19.7% of revenue during the three months ended June 30, 2026 compared to 21.4% during the similar period in 2025, primarily due to decreased per-unit fleet costs, excluding exchange rate effects, driven by decreased fleet levels. Selling, general and administrative costs increased to 17.0% of revenue during the three months ended June 30, 2026 compared to 15.5% during the similar period in 2025, primarily due to increased commissions and marketing costs. Vehicle interest costs were 4.9% of revenue during the three months ended June 30, 2026 compared to 4.9% during the similar period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decreased during the three months ended June 30, 2026 compared to the similar period in 2025, primarily due to increased operating expenses and selling, general and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Six Months Ended June 30, 2026 vs. Six Months Ended June 30,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condensed consolidated results of operations comprised of the following:</w:t>
      </w:r>
    </w:p>
    <w:tbl>
      <w:tblPr>
        <w:tblW w:w="9528" w:type="dxa"/>
        <w:jc w:val="left"/>
        <w:tblInd w:w="0" w:type="dxa"/>
        <w:tblLayout w:type="fixed"/>
        <w:tblCellMar>
          <w:top w:w="28" w:type="dxa"/>
          <w:left w:w="28" w:type="dxa"/>
          <w:bottom w:w="28" w:type="dxa"/>
          <w:right w:w="28" w:type="dxa"/>
        </w:tblCellMar>
      </w:tblPr>
      <w:tblGrid>
        <w:gridCol w:w="1699"/>
        <w:gridCol w:w="1489"/>
        <w:gridCol w:w="1506"/>
        <w:gridCol w:w="211"/>
        <w:gridCol w:w="616"/>
        <w:gridCol w:w="109"/>
        <w:gridCol w:w="109"/>
        <w:gridCol w:w="109"/>
        <w:gridCol w:w="109"/>
        <w:gridCol w:w="211"/>
        <w:gridCol w:w="616"/>
        <w:gridCol w:w="109"/>
        <w:gridCol w:w="109"/>
        <w:gridCol w:w="109"/>
        <w:gridCol w:w="109"/>
        <w:gridCol w:w="257"/>
        <w:gridCol w:w="569"/>
        <w:gridCol w:w="134"/>
        <w:gridCol w:w="109"/>
        <w:gridCol w:w="109"/>
        <w:gridCol w:w="109"/>
        <w:gridCol w:w="208"/>
        <w:gridCol w:w="208"/>
        <w:gridCol w:w="605"/>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 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 and lease charges,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interest,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shd w:fill="FFFFFF" w:val="clear"/>
              </w:rPr>
            </w:pPr>
            <w:r>
              <w:rPr>
                <w:rFonts w:ascii="Arial;sans-serif" w:hAnsi="Arial;sans-serif"/>
                <w:b w:val="false"/>
                <w:color w:val="000000"/>
                <w:sz w:val="18"/>
                <w:shd w:fill="FFFFFF" w:val="clear"/>
              </w:rPr>
              <w:t>41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attributable to Avis Budget Group, Inc.</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Arial;sans-serif" w:hAnsi="Arial;sans-serif"/>
          <w:b w:val="false"/>
          <w:color w:val="000000"/>
          <w:sz w:val="20"/>
        </w:rPr>
        <w:t xml:space="preserve">Revenues increased $59 million during the six months ended June 30, 2026 compared to the similar period in 2025, primarily due to a 1% increase in revenue per day, excluding exchange rate effects, and a $71 million positive impact from currency exchange rate movements, partially offset by a 2% decrease in volume. Total expenses decreased 5% during the six months ended June 30, 2026 compared to the similar period in 2025, primarily due to </w:t>
      </w:r>
      <w:r>
        <w:rPr>
          <w:rFonts w:ascii="Arial;sans-serif" w:hAnsi="Arial;sans-serif"/>
          <w:b w:val="false"/>
          <w:color w:val="000000"/>
          <w:sz w:val="20"/>
          <w:shd w:fill="FFFFFF" w:val="clear"/>
        </w:rPr>
        <w:t>other fleet charges related to the disposal of certain fleet in our Americas reportable segment recorded in 2025</w:t>
      </w:r>
      <w:r>
        <w:rPr>
          <w:rFonts w:ascii="Arial;sans-serif" w:hAnsi="Arial;sans-serif"/>
          <w:b w:val="false"/>
          <w:color w:val="000000"/>
          <w:sz w:val="20"/>
        </w:rPr>
        <w:t>. Our effective tax rates were a benefit of 36.0% and 24.6% for the six months ended June 30, 2026 and 2025, respectively. As a result of these items, our net loss attributable to Avis Budget Group, Inc. resulted i</w:t>
      </w:r>
      <w:r>
        <w:rPr>
          <w:rFonts w:ascii="Arial;sans-serif" w:hAnsi="Arial;sans-serif"/>
          <w:b w:val="false"/>
          <w:color w:val="000000"/>
          <w:sz w:val="20"/>
          <w:shd w:fill="FFFFFF" w:val="clear"/>
        </w:rPr>
        <w:t xml:space="preserve">n a decrease </w:t>
      </w:r>
      <w:r>
        <w:rPr>
          <w:rFonts w:ascii="Arial;sans-serif" w:hAnsi="Arial;sans-serif"/>
          <w:b w:val="false"/>
          <w:color w:val="000000"/>
          <w:sz w:val="20"/>
        </w:rPr>
        <w:t xml:space="preserve">of $253 million compared to the similar period in 2025. For the six months ended June 30, 2026 and 2025, we reported diluted loss per share of </w:t>
      </w:r>
      <w:r>
        <w:rPr>
          <w:rFonts w:ascii="Arial;sans-serif" w:hAnsi="Arial;sans-serif"/>
          <w:b w:val="false"/>
          <w:color w:val="000000"/>
          <w:sz w:val="20"/>
          <w:shd w:fill="FFFFFF" w:val="clear"/>
        </w:rPr>
        <w:t>$7.01 an</w:t>
      </w:r>
      <w:r>
        <w:rPr>
          <w:rFonts w:ascii="Arial;sans-serif" w:hAnsi="Arial;sans-serif"/>
          <w:b w:val="false"/>
          <w:color w:val="000000"/>
          <w:sz w:val="20"/>
        </w:rPr>
        <w:t>d $14.24, respectively.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Operating expenses increased to 53.3% of revenue during the six months ended June 30, 2026 compared to 52.6% during the similar period in 2025, primarily </w:t>
      </w:r>
      <w:r>
        <w:rPr>
          <w:rFonts w:ascii="Arial;sans-serif" w:hAnsi="Arial;sans-serif"/>
          <w:b w:val="false"/>
          <w:color w:val="000000"/>
          <w:sz w:val="20"/>
          <w:shd w:fill="FFFFFF" w:val="clear"/>
        </w:rPr>
        <w:t xml:space="preserve">due to increased facilities costs. </w:t>
      </w:r>
      <w:r>
        <w:rPr>
          <w:rFonts w:ascii="Arial;sans-serif" w:hAnsi="Arial;sans-serif"/>
          <w:b w:val="false"/>
          <w:color w:val="000000"/>
          <w:sz w:val="20"/>
        </w:rPr>
        <w:t>Vehicle depreciation and lease charges decreased to 22.5% of revenue during the six months ended June 30, 2026 compared to 30.9% during the similar period in 2025, primarily due t</w:t>
      </w:r>
      <w:r>
        <w:rPr>
          <w:rFonts w:ascii="Arial;sans-serif" w:hAnsi="Arial;sans-serif"/>
          <w:b w:val="false"/>
          <w:color w:val="000000"/>
          <w:sz w:val="20"/>
          <w:shd w:fill="FFFFFF" w:val="clear"/>
        </w:rPr>
        <w:t xml:space="preserve">o other fleet charges related to the accelerated disposal of certain fleet in our Americas reportable segment recorded in 2025. </w:t>
      </w:r>
      <w:r>
        <w:rPr>
          <w:rFonts w:ascii="Arial;sans-serif" w:hAnsi="Arial;sans-serif"/>
          <w:b w:val="false"/>
          <w:color w:val="000000"/>
          <w:sz w:val="20"/>
        </w:rPr>
        <w:t>Selling, general and administrative costs were 13.1% of revenue during the six months ended June 30, 2026 compared to 12.9% during the similar period in 2025. Vehicle interest costs increased to 8.3% of revenue during the six months ended June 30, 2026 compared to 8.0% during the similar period in 2025, primarily d</w:t>
      </w:r>
      <w:r>
        <w:rPr>
          <w:rFonts w:ascii="Arial;sans-serif" w:hAnsi="Arial;sans-serif"/>
          <w:b w:val="false"/>
          <w:color w:val="000000"/>
          <w:sz w:val="20"/>
          <w:shd w:fill="FFFFFF" w:val="clear"/>
        </w:rPr>
        <w:t>ue to increased interest rates, partially offset by decreased fleet levels.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Following is a more detailed discussion of the results of each of our reportable segments and corporate and other, together with a reconciliation of net loss to Adjusted EBITDA: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99"/>
        <w:gridCol w:w="1299"/>
        <w:gridCol w:w="1304"/>
        <w:gridCol w:w="220"/>
        <w:gridCol w:w="642"/>
        <w:gridCol w:w="114"/>
        <w:gridCol w:w="109"/>
        <w:gridCol w:w="109"/>
        <w:gridCol w:w="109"/>
        <w:gridCol w:w="402"/>
        <w:gridCol w:w="950"/>
        <w:gridCol w:w="208"/>
        <w:gridCol w:w="109"/>
        <w:gridCol w:w="109"/>
        <w:gridCol w:w="109"/>
        <w:gridCol w:w="220"/>
        <w:gridCol w:w="642"/>
        <w:gridCol w:w="114"/>
        <w:gridCol w:w="109"/>
        <w:gridCol w:w="109"/>
        <w:gridCol w:w="109"/>
        <w:gridCol w:w="391"/>
        <w:gridCol w:w="927"/>
        <w:gridCol w:w="292"/>
      </w:tblGrid>
      <w:tr>
        <w:trPr/>
        <w:tc>
          <w:tcPr>
            <w:tcW w:w="14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(a)</w:t>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Company</w:t>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5,528 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net loss to Adjusted EBITDA:</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20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292"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fleet charges </w:t>
            </w:r>
            <w:r>
              <w:rPr>
                <w:rFonts w:ascii="Arial;sans-serif" w:hAnsi="Arial;sans-serif"/>
                <w:b w:val="false"/>
                <w:color w:val="000000"/>
                <w:sz w:val="12"/>
              </w:rPr>
              <w:t>(b)</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(c)</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Legal matters, net </w:t>
            </w:r>
            <w:r>
              <w:rPr>
                <w:rFonts w:ascii="Arial;sans-serif" w:hAnsi="Arial;sans-serif"/>
                <w:b w:val="false"/>
                <w:color w:val="000000"/>
                <w:sz w:val="12"/>
              </w:rPr>
              <w:t>(d)</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Cloud computing costs </w:t>
            </w:r>
            <w:r>
              <w:rPr>
                <w:rFonts w:ascii="Arial;sans-serif" w:hAnsi="Arial;sans-serif"/>
                <w:b w:val="false"/>
                <w:color w:val="000000"/>
                <w:sz w:val="12"/>
              </w:rPr>
              <w:t>(e)</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0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rPr>
        <w:t>Includes unallocated corporate expenses which are not attributable to a particular segment.</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(b)</w:t>
      </w:r>
      <w:r>
        <w:rPr>
          <w:rFonts w:ascii="Arial;sans-serif" w:hAnsi="Arial;sans-serif"/>
          <w:b w:val="false"/>
          <w:color w:val="000000"/>
          <w:sz w:val="16"/>
          <w:shd w:fill="FFFFFF" w:val="clear"/>
        </w:rPr>
        <w:t xml:space="preserve">Costs reported within vehicle depreciation and lease charges, net related to the disposal of certain fleet in our Americas reportable segment. </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(c)</w:t>
      </w:r>
      <w:r>
        <w:rPr>
          <w:rFonts w:ascii="Arial;sans-serif" w:hAnsi="Arial;sans-serif"/>
          <w:b w:val="false"/>
          <w:color w:val="000000"/>
          <w:sz w:val="16"/>
        </w:rPr>
        <w:t>Primarily consists of gains or losses related to our equity method investment in a former subsidiary, offset by fleet related and certain administrative services provided to the same former subsidiary.</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(d)</w:t>
      </w:r>
      <w:r>
        <w:rPr>
          <w:rFonts w:ascii="Arial;sans-serif" w:hAnsi="Arial;sans-serif"/>
          <w:b w:val="false"/>
          <w:color w:val="000000"/>
          <w:sz w:val="16"/>
        </w:rPr>
        <w:t>Consists of $3 million and $2 million reported within selling, general and administrative expenses for the six months ended June 30, 2026 and 2025, respectively and $1 million and $11 million reported within operating expenses for the six months ended June 30, 2026 and 2025, respectively</w:t>
      </w:r>
      <w:r>
        <w:rPr>
          <w:rFonts w:ascii="Trebuchet;sans-serif" w:hAnsi="Trebuchet;sans-serif"/>
          <w:b w:val="false"/>
          <w:color w:val="000000"/>
          <w:sz w:val="18"/>
        </w:rPr>
        <w:t>.</w:t>
      </w:r>
    </w:p>
    <w:p>
      <w:pPr>
        <w:pStyle w:val="TextBody"/>
        <w:bidi w:val="0"/>
        <w:spacing w:lineRule="auto" w:line="288" w:before="0" w:after="20"/>
        <w:ind w:left="0" w:right="0" w:hanging="360"/>
        <w:jc w:val="both"/>
        <w:rPr/>
      </w:pPr>
      <w:r>
        <w:rPr>
          <w:rFonts w:ascii="Arial;sans-serif" w:hAnsi="Arial;sans-serif"/>
          <w:b w:val="false"/>
          <w:color w:val="000000"/>
          <w:sz w:val="10"/>
          <w:shd w:fill="FFFFFF" w:val="clear"/>
        </w:rPr>
        <w:t>(e)</w:t>
      </w:r>
      <w:r>
        <w:rPr>
          <w:rFonts w:ascii="Arial;sans-serif" w:hAnsi="Arial;sans-serif"/>
          <w:b w:val="false"/>
          <w:color w:val="000000"/>
          <w:sz w:val="16"/>
        </w:rPr>
        <w:t>Reported within operating expenses.</w:t>
      </w:r>
    </w:p>
    <w:p>
      <w:pPr>
        <w:pStyle w:val="TextBody"/>
        <w:bidi w:val="0"/>
        <w:spacing w:before="0" w:after="20"/>
        <w:jc w:val="both"/>
        <w:rPr/>
      </w:pPr>
      <w:r>
        <w:rPr/>
      </w:r>
    </w:p>
    <w:p>
      <w:pPr>
        <w:pStyle w:val="TextBody"/>
        <w:bidi w:val="0"/>
        <w:spacing w:lineRule="auto" w:line="288" w:before="0" w:after="20"/>
        <w:jc w:val="both"/>
        <w:rPr>
          <w:rFonts w:ascii="Arial;sans-serif" w:hAnsi="Arial;sans-serif"/>
          <w:b/>
          <w:i/>
          <w:color w:val="000000"/>
          <w:sz w:val="20"/>
        </w:rPr>
      </w:pPr>
      <w:r>
        <w:rPr>
          <w:rFonts w:ascii="Arial;sans-serif" w:hAnsi="Arial;sans-serif"/>
          <w:b/>
          <w:i/>
          <w:color w:val="000000"/>
          <w:sz w:val="20"/>
        </w:rPr>
        <w:t>Americas</w:t>
      </w:r>
    </w:p>
    <w:tbl>
      <w:tblPr>
        <w:tblW w:w="5404"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616"/>
        <w:gridCol w:w="109"/>
        <w:gridCol w:w="109"/>
        <w:gridCol w:w="109"/>
        <w:gridCol w:w="109"/>
        <w:gridCol w:w="208"/>
        <w:gridCol w:w="208"/>
        <w:gridCol w:w="6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0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6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Revenues increased during the six months ended June 30, 2026 compared to the similar period in 2025, primarily due to a 1% increase in revenue per day, excluding exchange rate effects and a $2 million positive impact from currency exchange rate movements, partially offset by a 1% decrease in volume.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Operating expenses increased to 53.2% of revenue during the six months ended June 30, 2026 compared to 52.9% during the similar period in 2025, primarily </w:t>
      </w:r>
      <w:r>
        <w:rPr>
          <w:rFonts w:ascii="Arial;sans-serif" w:hAnsi="Arial;sans-serif"/>
          <w:b w:val="false"/>
          <w:color w:val="000000"/>
          <w:sz w:val="20"/>
          <w:shd w:fill="FFFFFF" w:val="clear"/>
        </w:rPr>
        <w:t>due to increased facilities costs</w:t>
      </w:r>
      <w:r>
        <w:rPr>
          <w:rFonts w:ascii="Arial;sans-serif" w:hAnsi="Arial;sans-serif"/>
          <w:b w:val="false"/>
          <w:color w:val="000000"/>
          <w:sz w:val="20"/>
        </w:rPr>
        <w:t xml:space="preserve">. Vehicle depreciation and lease charges decreased to 22.9% of revenue during the six months ended June 30, 2026 compared to 33.2% during the similar period in 2025, primarily due to other fleet charges </w:t>
      </w:r>
      <w:r>
        <w:rPr>
          <w:rFonts w:ascii="Arial;sans-serif" w:hAnsi="Arial;sans-serif"/>
          <w:b w:val="false"/>
          <w:color w:val="000000"/>
          <w:sz w:val="20"/>
          <w:shd w:fill="FFFFFF" w:val="clear"/>
        </w:rPr>
        <w:t>related to the accelerated disposal of certain fleet recorded in 2025</w:t>
      </w:r>
      <w:r>
        <w:rPr>
          <w:rFonts w:ascii="Arial;sans-serif" w:hAnsi="Arial;sans-serif"/>
          <w:b w:val="false"/>
          <w:color w:val="000000"/>
          <w:sz w:val="20"/>
        </w:rPr>
        <w:t xml:space="preserve">. Selling, general and administrative costs were 10.9% of revenue during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June 30, 2026 compared to 10.9% during the similar period in 2025. Vehicle interest costs increased to 9.3% of revenue during the six months ended June 30, 2026 compared to 8.8% during the similar period in 2025, </w:t>
      </w:r>
      <w:r>
        <w:rPr>
          <w:rFonts w:ascii="Arial;sans-serif" w:hAnsi="Arial;sans-serif"/>
          <w:b w:val="false"/>
          <w:color w:val="000000"/>
          <w:sz w:val="20"/>
          <w:shd w:fill="FFFFFF" w:val="clear"/>
        </w:rPr>
        <w:t>primarily due to increased interest rates, partially offset by decreased fleet levels.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Adjusted EBITDA increased d</w:t>
      </w:r>
      <w:r>
        <w:rPr>
          <w:rFonts w:ascii="Arial;sans-serif" w:hAnsi="Arial;sans-serif"/>
          <w:b w:val="false"/>
          <w:color w:val="000000"/>
          <w:sz w:val="20"/>
        </w:rPr>
        <w:t>uring the six months ended June 30, 2026 compared to the similar period in 2025, primarily due to increased revenue per day, excluding exchange rate effects and decreased vehicle depreciation and lease charges, partially offset by increased operating expenses and vehicle interest costs, and a $1 million negative impact from currency exchange rate movements.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International</w:t>
      </w:r>
    </w:p>
    <w:tbl>
      <w:tblPr>
        <w:tblW w:w="5404"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211"/>
        <w:gridCol w:w="616"/>
        <w:gridCol w:w="109"/>
        <w:gridCol w:w="109"/>
        <w:gridCol w:w="109"/>
        <w:gridCol w:w="109"/>
        <w:gridCol w:w="211"/>
        <w:gridCol w:w="616"/>
        <w:gridCol w:w="109"/>
        <w:gridCol w:w="109"/>
        <w:gridCol w:w="109"/>
        <w:gridCol w:w="109"/>
        <w:gridCol w:w="208"/>
        <w:gridCol w:w="208"/>
        <w:gridCol w:w="6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6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Revenues increased during the six months ended June 30, 2026 compared to the similar period in 2025, primarily due to a $69 million positive impact from currency exchange rate movements and a 2% increase in revenue per day, excluding exchange rate effects, partially offset by a 3% decrease in volume.</w:t>
      </w:r>
    </w:p>
    <w:p>
      <w:pPr>
        <w:pStyle w:val="TextBody"/>
        <w:bidi w:val="0"/>
        <w:spacing w:lineRule="auto" w:line="288" w:before="120" w:after="20"/>
        <w:jc w:val="both"/>
        <w:rPr/>
      </w:pPr>
      <w:r>
        <w:rPr>
          <w:rFonts w:ascii="Arial;sans-serif" w:hAnsi="Arial;sans-serif"/>
          <w:b w:val="false"/>
          <w:color w:val="000000"/>
          <w:sz w:val="20"/>
        </w:rPr>
        <w:t xml:space="preserve">Operating expenses increased to 51.4% of revenue during the six months ended June 30, 2026 compared to 49.2% during the similar period in 2025, primarily due to increased fleet operating and facilities costs. Vehicle depreciation and lease charges decreased to 21.2% of revenue during the six months ended June 30, 2026 compared to 23.0% during the similar period in 2025, primarily due to decreased per-unit fleet costs, excluding exchange rate effects, driven by decreased fleet levels, partially offset by increased revenue. Selling, general and administrative costs increased to 17.4% of revenue during the six months ended June 30, 2026 compared to 16.0% during the similar period in 2025, primarily due to increased commissions, </w:t>
      </w:r>
      <w:r>
        <w:rPr>
          <w:rFonts w:ascii="Arial;sans-serif" w:hAnsi="Arial;sans-serif"/>
          <w:b w:val="false"/>
          <w:color w:val="000000"/>
          <w:sz w:val="20"/>
          <w:shd w:fill="FFFFFF" w:val="clear"/>
        </w:rPr>
        <w:t>marketing and other general and administrative costs</w:t>
      </w:r>
      <w:r>
        <w:rPr>
          <w:rFonts w:ascii="Arial;sans-serif" w:hAnsi="Arial;sans-serif"/>
          <w:b w:val="false"/>
          <w:color w:val="000000"/>
          <w:sz w:val="20"/>
        </w:rPr>
        <w:t>. Vehicle interest costs decreased to 5.2% of revenue during the six months ended June 30, 2026 compared to 5.5% during the similar period in 2025, primarily due to decreased fleet levels and</w:t>
      </w:r>
      <w:r>
        <w:rPr>
          <w:color w:val="000000"/>
          <w:shd w:fill="FFFFFF" w:val="clear"/>
        </w:rPr>
        <w:t xml:space="preserve"> </w:t>
      </w:r>
      <w:r>
        <w:rPr>
          <w:rFonts w:ascii="Arial;sans-serif" w:hAnsi="Arial;sans-serif"/>
          <w:b w:val="false"/>
          <w:color w:val="000000"/>
          <w:sz w:val="20"/>
          <w:shd w:fill="FFFFFF" w:val="clear"/>
        </w:rPr>
        <w:t>sustained interest rates.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Adjusted EBITDA decreased </w:t>
      </w:r>
      <w:r>
        <w:rPr>
          <w:rFonts w:ascii="Arial;sans-serif" w:hAnsi="Arial;sans-serif"/>
          <w:b w:val="false"/>
          <w:color w:val="000000"/>
          <w:sz w:val="20"/>
        </w:rPr>
        <w:t>during the six months ended June 30, 2026 compared to the similar period in 2025, primarily due to increased operating expenses and selling, general and administrative costs and a $5 million negative impact from currency exchange rate movements, partially offset by increased revenue per day, excluding exchange rate effects.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FINANCIAL CONDITION, LIQUIDITY AND CAPITAL RESOURCES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CONDITION</w:t>
      </w:r>
    </w:p>
    <w:tbl>
      <w:tblPr>
        <w:tblW w:w="8999" w:type="dxa"/>
        <w:jc w:val="left"/>
        <w:tblInd w:w="0" w:type="dxa"/>
        <w:tblLayout w:type="fixed"/>
        <w:tblCellMar>
          <w:top w:w="28" w:type="dxa"/>
          <w:left w:w="28" w:type="dxa"/>
          <w:bottom w:w="28" w:type="dxa"/>
          <w:right w:w="28" w:type="dxa"/>
        </w:tblCellMar>
      </w:tblPr>
      <w:tblGrid>
        <w:gridCol w:w="1823"/>
        <w:gridCol w:w="1605"/>
        <w:gridCol w:w="1611"/>
        <w:gridCol w:w="211"/>
        <w:gridCol w:w="721"/>
        <w:gridCol w:w="109"/>
        <w:gridCol w:w="109"/>
        <w:gridCol w:w="109"/>
        <w:gridCol w:w="109"/>
        <w:gridCol w:w="264"/>
        <w:gridCol w:w="904"/>
        <w:gridCol w:w="136"/>
        <w:gridCol w:w="109"/>
        <w:gridCol w:w="109"/>
        <w:gridCol w:w="109"/>
        <w:gridCol w:w="244"/>
        <w:gridCol w:w="538"/>
        <w:gridCol w:w="179"/>
      </w:tblGrid>
      <w:tr>
        <w:trPr/>
        <w:tc>
          <w:tcPr>
            <w:tcW w:w="182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exclusive of assets under vehicle programs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10,306 </w:t>
            </w:r>
          </w:p>
        </w:tc>
        <w:tc>
          <w:tcPr>
            <w:tcW w:w="1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exclusive of liabilities under vehicle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under vehicle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under vehicle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shd w:fill="FFFFFF" w:val="clear"/>
        </w:rPr>
        <w:t>The increase in total assets exclusive of assets under vehicle programs is primarily due to our deferred income taxes as well as sales and use taxes in other current assets. See Note 5 – Other Current Assets</w:t>
      </w:r>
      <w:r>
        <w:rPr>
          <w:color w:val="000000"/>
        </w:rPr>
        <w:t xml:space="preserve"> </w:t>
      </w:r>
      <w:r>
        <w:rPr>
          <w:rFonts w:ascii="Arial;sans-serif" w:hAnsi="Arial;sans-serif"/>
          <w:b w:val="false"/>
          <w:color w:val="000000"/>
          <w:sz w:val="20"/>
          <w:shd w:fill="FFFFFF" w:val="clear"/>
        </w:rPr>
        <w:t>and</w:t>
      </w:r>
      <w:r>
        <w:rPr>
          <w:color w:val="000000"/>
        </w:rPr>
        <w:t xml:space="preserve"> </w:t>
      </w:r>
      <w:r>
        <w:rPr>
          <w:rFonts w:ascii="Arial;sans-serif" w:hAnsi="Arial;sans-serif"/>
          <w:b w:val="false"/>
          <w:color w:val="000000"/>
          <w:sz w:val="20"/>
          <w:shd w:fill="FFFFFF" w:val="clear"/>
        </w:rPr>
        <w:t>Note 9 – Income Taxes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increases in assets under vehicle programs and liabilities under vehicle programs are primarily due to the increase in the cost of our rental fleet and related debt.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The increase in redeemable non-controlling interests is due to net income allocated to the interest holders of the Interpace Ventures transaction. See Note 14 – Stockholders' Equity</w:t>
      </w:r>
      <w:r>
        <w:rPr>
          <w:color w:val="000000"/>
        </w:rPr>
        <w:t xml:space="preserve"> </w:t>
      </w:r>
      <w:r>
        <w:rPr>
          <w:rFonts w:ascii="Arial;sans-serif" w:hAnsi="Arial;sans-serif"/>
          <w:b w:val="false"/>
          <w:color w:val="000000"/>
          <w:sz w:val="20"/>
        </w:rPr>
        <w:t>for the components of redeemable non-controlling interests.</w:t>
      </w:r>
      <w:r>
        <w:rPr>
          <w:color w:val="000000"/>
          <w:shd w:fill="FFFFFF" w:val="clear"/>
        </w:rPr>
        <w:t xml:space="preserve"> </w:t>
      </w:r>
      <w:r>
        <w:rPr>
          <w:rFonts w:ascii="Arial;sans-serif" w:hAnsi="Arial;sans-serif"/>
          <w:b w:val="false"/>
          <w:color w:val="000000"/>
          <w:sz w:val="20"/>
          <w:shd w:fill="FFFFFF" w:val="clear"/>
        </w:rPr>
        <w:t>The decrease in total stockholders’ equity is primarily due to our net loss.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LIQUIDITY AND CA</w:t>
      </w:r>
      <w:r>
        <w:rPr>
          <w:rFonts w:ascii="Arial;sans-serif" w:hAnsi="Arial;sans-serif"/>
          <w:b/>
          <w:color w:val="000000"/>
          <w:sz w:val="20"/>
          <w:shd w:fill="FFFFFF" w:val="clear"/>
        </w:rPr>
        <w:t>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principal sources of liquidity are cash on hand and our ability to generate cash through operations and financing activities, as well as available funding arrangements and committed credit facilities, each of which is discussed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2026, our Avis Budget Rental Car Funding (AESOP) LLC subsidiary issued approximately $1,572 million of asset-backed notes with expected final payment dates ranging from August 2027 to December 2031 and a weighted average interest rate of 5.35%. Avis Budget Rental Car Funding (AESOP) LLC has also amended and extended its asset-backed variable funding financing facilities, most recently in April 2026. The proceeds from these borrowings were used to fund the repayment of maturing vehicle-backed debt and the acquisition of rental cars in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2026, we amended our European rental fleet securitization program to increase its capacity to approximately €2.1 billion and £250 million and extended the maturity of the program to February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2026, we entered into an Equity Distribution Agreement with certain sales agents, in which we may sell, from time to time through or to the sales agents, as our agents or as principals, up to 5 million shares of our common stock (the “ATM Program”). The sales, if any, of the shares of our common stock made under the Equity Distribution Agreement may be made in sales deemed to be “at-the-market offerings.” As of June 30, 2026, we have not sold any shares of our common stock under the ATM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2026, we issued an additional $300 million of 8.000% Senior Notes due February 2031. Net proceeds were used to redeem a portion of our 5.750% Senior Notes due July 2027.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2026, we redeemed $300 million of our outstanding 5.750% Senior Notes due July 2027.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2026, we refinanced our existing $2 billion senior revolving credit facility with a new $2 billion senior revolving credit facility with a maturity in June 2031 and also established a new $200 million senior revolving credit facility with a maturity in June 2028.</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of Directors has authorized the repurchase of up to approximately $8.1 billion of our common stock under a plan originally approved in 2013 and subsequently expanded, most recently in February 2023 (the “Stock Repurchase Program”).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During the six months ended June 30, 2026, we did not repurchase shares of common stock under the Stock Repurchase Program. As of June 30, 2026, approximately $757 million of authorization remained available to repurchase common stock under the Stock Repurchase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our cash flows:</w:t>
      </w:r>
    </w:p>
    <w:tbl>
      <w:tblPr>
        <w:tblW w:w="10205" w:type="dxa"/>
        <w:jc w:val="left"/>
        <w:tblInd w:w="0" w:type="dxa"/>
        <w:tblLayout w:type="fixed"/>
        <w:tblCellMar>
          <w:top w:w="28" w:type="dxa"/>
          <w:left w:w="28" w:type="dxa"/>
          <w:bottom w:w="28" w:type="dxa"/>
          <w:right w:w="28" w:type="dxa"/>
        </w:tblCellMar>
      </w:tblPr>
      <w:tblGrid>
        <w:gridCol w:w="2458"/>
        <w:gridCol w:w="2125"/>
        <w:gridCol w:w="2134"/>
        <w:gridCol w:w="211"/>
        <w:gridCol w:w="616"/>
        <w:gridCol w:w="109"/>
        <w:gridCol w:w="109"/>
        <w:gridCol w:w="109"/>
        <w:gridCol w:w="109"/>
        <w:gridCol w:w="211"/>
        <w:gridCol w:w="616"/>
        <w:gridCol w:w="109"/>
        <w:gridCol w:w="109"/>
        <w:gridCol w:w="109"/>
        <w:gridCol w:w="109"/>
        <w:gridCol w:w="239"/>
        <w:gridCol w:w="546"/>
        <w:gridCol w:w="177"/>
      </w:tblGrid>
      <w:tr>
        <w:trPr/>
        <w:tc>
          <w:tcPr>
            <w:tcW w:w="245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changes in exchange rates on cash and cash equivalents, program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 program and restricted cash</w:t>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77"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program and restricted cash,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program and restricted cash, end of period</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7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provided by operating activities during the six months ended June 30, 2026 decreased when compared with the similar period in 2025, primarily due to changes in the components of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used in investing activities during the six months ended June 30, 2026 decreased when compared with the similar period in 2025, primarily due to the increase in our proceeds received on vehicle sales and the decrease in our investment in vehicles.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provided by financing activities during the six months ended June 30, 2026 decreased when compared with the similar period in 2025, primarily due to the decrease in both our corporate borrowings and borrowings under vehicle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AND FINANCING ARRANGEMENTS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As of June 30, 2026, we had</w:t>
      </w:r>
      <w:r>
        <w:rPr>
          <w:color w:val="000000"/>
          <w:shd w:fill="FFFFFF" w:val="clear"/>
        </w:rPr>
        <w:t xml:space="preserve"> </w:t>
      </w:r>
      <w:r>
        <w:rPr>
          <w:rFonts w:ascii="Arial;sans-serif" w:hAnsi="Arial;sans-serif"/>
          <w:b w:val="false"/>
          <w:color w:val="000000"/>
          <w:sz w:val="20"/>
          <w:shd w:fill="FFFFFF" w:val="clear"/>
        </w:rPr>
        <w:t xml:space="preserve">approximately $25.9 billion of indebtedness, including corporate indebtedness of approximately </w:t>
      </w:r>
      <w:r>
        <w:rPr>
          <w:rFonts w:ascii="Arial;sans-serif" w:hAnsi="Arial;sans-serif"/>
          <w:b w:val="false"/>
          <w:color w:val="000000"/>
          <w:sz w:val="20"/>
        </w:rPr>
        <w:t>$6.0 billion</w:t>
      </w:r>
      <w:r>
        <w:rPr>
          <w:color w:val="000000"/>
          <w:shd w:fill="FFFFFF" w:val="clear"/>
        </w:rPr>
        <w:t xml:space="preserve"> </w:t>
      </w:r>
      <w:r>
        <w:rPr>
          <w:rFonts w:ascii="Arial;sans-serif" w:hAnsi="Arial;sans-serif"/>
          <w:b w:val="false"/>
          <w:color w:val="000000"/>
          <w:sz w:val="20"/>
          <w:shd w:fill="FFFFFF" w:val="clear"/>
        </w:rPr>
        <w:t xml:space="preserve">and debt under vehicle programs of approximately $19.9 billion. </w:t>
      </w:r>
      <w:r>
        <w:rPr>
          <w:rFonts w:ascii="Arial;sans-serif" w:hAnsi="Arial;sans-serif"/>
          <w:b w:val="false"/>
          <w:color w:val="000000"/>
          <w:sz w:val="20"/>
        </w:rPr>
        <w:t>For information regarding our debt and borrowing arrangements, see Note 1 – Basis of Presentation, Note 11 – Long-term Corporate Debt and Borrowing Arrangements and Note 12 – Debt Under Vehicle Programs and Borrowing Arrangements to our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RISK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facilities, and other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June 30, 2026, we had $558 million of available cash and cash equivalents and access to $471 million of available borrowing capacity under our revolving credit facilities providing us with access to approximately $1,029 million of total liquidity.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Our liquidity position could also be negatively impacted if we are unable to remain in compliance with the consolidated first lien</w:t>
      </w:r>
      <w:r>
        <w:rPr>
          <w:color w:val="000000"/>
        </w:rPr>
        <w:t xml:space="preserve"> </w:t>
      </w:r>
      <w:r>
        <w:rPr>
          <w:rFonts w:ascii="Arial;sans-serif" w:hAnsi="Arial;sans-serif"/>
          <w:b w:val="false"/>
          <w:color w:val="000000"/>
          <w:sz w:val="20"/>
        </w:rPr>
        <w:t>leverage ratio requirement and other covenants associated with our senior credit facilities and other borrowings. As of June 30, 2026, we were in compliance with the financial covenants governing our indebtedness. For additional information regarding our liquidity risks, see Part I, Item 1A, “Risk Factors” of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future contractual obligations have not changed significantly from the amounts reported within our 2025 Form 10-K with the exception of our commitment to purchase vehicles, which decreased by approximately $4.2 billion from December 31, 2025, to approximately $2.6 billion as of June 30, 2026 due to existing fleet levels. Changes to our obligations related to corporate indebtedness and debt under vehicle programs are presented above within the section titled “Liquidity and Capital Resources—Debt and Financing Arrangements” and also within Note 11 – Long-term Corporate Debt and Borrowing Arrangements and Note 12 – Debt Under Vehicle Programs and Borrowing Arrangements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Accounting Policies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2025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New Accounting Standards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detailed information regarding new accounting standards and their impact on our business, see Note 1 – Basis of Presentation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ind w:left="0" w:right="0" w:hanging="90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2026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June 30, 2026. For additional information regarding our long-term borrowings and financial instruments, see Note 11 – Long-term Corporate Debt and Borrowing Arrangements, Note 12 – Debt Under Vehicle Programs and Borrowing Arrangements and Note 17 – Financial Instruments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ind w:left="0" w:right="0" w:hanging="90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w:t>
      </w:r>
      <w:r>
        <w:rPr>
          <w:rFonts w:ascii="Arial;sans-serif" w:hAnsi="Arial;sans-serif"/>
          <w:b w:val="false"/>
          <w:i/>
          <w:color w:val="000000"/>
          <w:sz w:val="20"/>
        </w:rPr>
        <w:t>Disclosure Controls and Procedures.</w:t>
      </w:r>
      <w:r>
        <w:rPr>
          <w:color w:val="000000"/>
        </w:rPr>
        <w:t xml:space="preserve"> </w:t>
      </w:r>
      <w:r>
        <w:rPr>
          <w:rFonts w:ascii="Arial;sans-serif" w:hAnsi="Arial;sans-serif"/>
          <w:b w:val="false"/>
          <w:color w:val="000000"/>
          <w:sz w:val="20"/>
        </w:rPr>
        <w:t>Under the supervision and with the participation of our Chief Executive Officer and Chief Financial 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w:t>
      </w:r>
      <w:r>
        <w:rPr>
          <w:rFonts w:ascii="Arial;sans-serif" w:hAnsi="Arial;sans-serif"/>
          <w:b w:val="false"/>
          <w:i/>
          <w:color w:val="000000"/>
          <w:sz w:val="20"/>
        </w:rPr>
        <w:t>Changes in Internal Control Over Financial Reporting.</w:t>
      </w:r>
      <w:r>
        <w:rPr>
          <w:color w:val="000000"/>
        </w:rPr>
        <w:t> </w:t>
      </w:r>
      <w:r>
        <w:rPr>
          <w:rFonts w:ascii="Arial;sans-serif" w:hAnsi="Arial;sans-serif"/>
          <w:b w:val="false"/>
          <w:color w:val="000000"/>
          <w:sz w:val="20"/>
        </w:rPr>
        <w:t>During the second quarter of 2026, there was no change in our internal control over financial reporting (as such term is defined in Rules 13a-15(f) and 15d-15(f) under the Exchange Act)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Arial;sans-serif" w:hAnsi="Arial;sans-serif"/>
          <w:b/>
          <w:color w:val="000000"/>
          <w:sz w:val="20"/>
        </w:rPr>
        <w:t>Item 1.</w:t>
      </w:r>
      <w:r>
        <w:rPr>
          <w:color w:val="000000"/>
        </w:rPr>
        <w:t>    </w:t>
      </w:r>
      <w:r>
        <w:rPr>
          <w:rFonts w:ascii="Arial;sans-serif" w:hAnsi="Arial;sans-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For information regarding our legal proceedings, see Note 13 – Commitments and Contingencies</w:t>
      </w:r>
      <w:r>
        <w:rPr>
          <w:color w:val="000000"/>
          <w:shd w:fill="FFFFFF" w:val="clear"/>
        </w:rPr>
        <w:t xml:space="preserve"> </w:t>
      </w:r>
      <w:r>
        <w:rPr>
          <w:rFonts w:ascii="Arial;sans-serif" w:hAnsi="Arial;sans-serif"/>
          <w:b w:val="false"/>
          <w:color w:val="000000"/>
          <w:sz w:val="20"/>
          <w:shd w:fill="FFFFFF" w:val="clear"/>
        </w:rPr>
        <w:t>t</w:t>
      </w:r>
      <w:r>
        <w:rPr>
          <w:rFonts w:ascii="Arial;sans-serif" w:hAnsi="Arial;sans-serif"/>
          <w:b w:val="false"/>
          <w:color w:val="000000"/>
          <w:sz w:val="20"/>
        </w:rPr>
        <w:t>o our Condensed Consolidated Financial Statements and refer to our 2025 Form 10-K.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Arial;sans-serif" w:hAnsi="Arial;sans-serif"/>
          <w:b/>
          <w:color w:val="000000"/>
          <w:sz w:val="20"/>
        </w:rPr>
        <w:t>Item 1A.</w:t>
      </w:r>
      <w:r>
        <w:rPr>
          <w:color w:val="000000"/>
        </w:rPr>
        <w:t>    </w:t>
      </w:r>
      <w:r>
        <w:rPr>
          <w:rFonts w:ascii="Arial;sans-serif" w:hAnsi="Arial;sans-serif"/>
          <w:b/>
          <w:color w:val="000000"/>
          <w:sz w:val="20"/>
        </w:rPr>
        <w:t>Risk Factors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June 30, 2026, we had no material developments to report with respect to our risk factors. For additional information regarding our risk factors, please refer to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Our Board of Directors has authorized the repurchase of up t</w:t>
      </w:r>
      <w:r>
        <w:rPr>
          <w:rFonts w:ascii="Arial;sans-serif" w:hAnsi="Arial;sans-serif"/>
          <w:b w:val="false"/>
          <w:color w:val="000000"/>
          <w:sz w:val="20"/>
          <w:shd w:fill="FFFFFF" w:val="clear"/>
        </w:rPr>
        <w:t>o</w:t>
      </w:r>
      <w:r>
        <w:rPr>
          <w:color w:val="000000"/>
        </w:rPr>
        <w:t xml:space="preserve"> </w:t>
      </w:r>
      <w:r>
        <w:rPr>
          <w:rFonts w:ascii="Arial;sans-serif" w:hAnsi="Arial;sans-serif"/>
          <w:b w:val="false"/>
          <w:color w:val="000000"/>
          <w:sz w:val="20"/>
        </w:rPr>
        <w:t xml:space="preserve">approximately $8.1 billion </w:t>
      </w:r>
      <w:r>
        <w:rPr>
          <w:rFonts w:ascii="Arial;sans-serif" w:hAnsi="Arial;sans-serif"/>
          <w:b w:val="false"/>
          <w:color w:val="000000"/>
          <w:sz w:val="20"/>
          <w:shd w:fill="FFFFFF" w:val="clear"/>
        </w:rPr>
        <w:t>of our common stock under a plan originally approved in 2013 and subsequently expanded, most recently in February 2023 (the “Stock Repurchase Program”). Under our</w:t>
      </w:r>
      <w:r>
        <w:rPr>
          <w:color w:val="000000"/>
        </w:rPr>
        <w:t xml:space="preserve"> </w:t>
      </w:r>
      <w:r>
        <w:rPr>
          <w:rFonts w:ascii="Arial;sans-serif" w:hAnsi="Arial;sans-serif"/>
          <w:b w:val="false"/>
          <w:color w:val="000000"/>
          <w:sz w:val="20"/>
        </w:rPr>
        <w:t>Stock Repurchase Program, we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 During the second quarter of 2026, no common stock repurchases were made under the Stock Repurchase Program. As of June 30, 2026, approximately $757 million of authorization remained available to repurchase common stock under the Stock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ind w:left="0" w:right="0" w:hanging="900"/>
        <w:jc w:val="left"/>
        <w:rPr/>
      </w:pPr>
      <w:r>
        <w:rPr/>
      </w:r>
    </w:p>
    <w:p>
      <w:pPr>
        <w:pStyle w:val="TextBody"/>
        <w:bidi w:val="0"/>
        <w:spacing w:lineRule="auto" w:line="288" w:before="0" w:after="0"/>
        <w:jc w:val="both"/>
        <w:rPr/>
      </w:pPr>
      <w:r>
        <w:rPr>
          <w:rFonts w:ascii="Arial;sans-serif" w:hAnsi="Arial;sans-serif"/>
          <w:b w:val="false"/>
          <w:color w:val="262626"/>
          <w:sz w:val="20"/>
        </w:rPr>
        <w:t xml:space="preserve">During </w:t>
      </w:r>
      <w:r>
        <w:rPr>
          <w:rFonts w:ascii="Arial;sans-serif" w:hAnsi="Arial;sans-serif"/>
          <w:b w:val="false"/>
          <w:color w:val="000000"/>
          <w:sz w:val="20"/>
        </w:rPr>
        <w:t>the quarter ended June 30, 2026</w:t>
      </w:r>
      <w:r>
        <w:rPr>
          <w:rFonts w:ascii="Arial;sans-serif" w:hAnsi="Arial;sans-serif"/>
          <w:b w:val="false"/>
          <w:color w:val="262626"/>
          <w:sz w:val="20"/>
        </w:rPr>
        <w:t>, no director or Section 16 officer of the Company adopted or terminated a "Rule 10b5-1 trading arrangement" or "non-Rule 10b5-1 trading arrangement," as each term is defined in Item 408(a) of Regulation S-K.</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Exhibit Index commencing on page 48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r>
        <w:rPr>
          <w:color w:val="000000"/>
        </w:rPr>
        <w:t> </w:t>
      </w:r>
    </w:p>
    <w:p>
      <w:pPr>
        <w:pStyle w:val="TextBody"/>
        <w:bidi w:val="0"/>
        <w:spacing w:before="0" w:after="0"/>
        <w:jc w:val="left"/>
        <w:rPr/>
      </w:pPr>
      <w:r>
        <w:rPr/>
      </w:r>
    </w:p>
    <w:tbl>
      <w:tblPr>
        <w:tblW w:w="5274"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109"/>
        <w:gridCol w:w="109"/>
        <w:gridCol w:w="109"/>
        <w:gridCol w:w="109"/>
        <w:gridCol w:w="109"/>
        <w:gridCol w:w="109"/>
        <w:gridCol w:w="807"/>
        <w:gridCol w:w="807"/>
        <w:gridCol w:w="114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AVIS BUDGET GROUP,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TINA GOLDENBERG</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Tina Goldenberg</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and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688e678938c4a069cd270b93ecc2107_10">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color w:val="000000"/>
          <w:sz w:val="18"/>
        </w:rPr>
        <w:t>Exhibit Index</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
        <w:gridCol w:w="240"/>
        <w:gridCol w:w="241"/>
        <w:gridCol w:w="109"/>
        <w:gridCol w:w="109"/>
        <w:gridCol w:w="109"/>
        <w:gridCol w:w="2801"/>
        <w:gridCol w:w="2609"/>
        <w:gridCol w:w="3715"/>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No.</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18"/>
                  <w:u w:val="single"/>
                </w:rPr>
                <w:t>Amended and Restated Certificate of Incorporation of Avis Budget Group, Inc., dated as of July 31, 2025 (incorporated by reference to Exhibit 3.1 to the Company’s Current Report on Form 8-K, dated July 31, 2025).</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8"/>
                  <w:u w:val="single"/>
                </w:rPr>
                <w:t>Amended and Restated Bylaws of Avis Budget Group, Inc., dated August 10, 2020 (incorporated by reference to Exhibit 3.2 to the Company’s Current Report on Form 8-K, dated August 13, 2020).</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8"/>
                  <w:u w:val="single"/>
                </w:rPr>
                <w:t>First Supplemental Indenture, dated as of May 29, 2026, by and among Avis Budget Car Rental, LLC and Avis Budget Finance, Inc., as issuers, the guarantors party thereto and Citibank, N.A., as trustee (incorporated by reference to Exhibit 4.1 to the Company’s Current Report on Form 8-K, dated June 1,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8"/>
                  <w:u w:val="single"/>
                </w:rPr>
                <w:t>Fourth Amendment, dated as of April 30, 2026, to Sixth Amended and Restated Series 2010-6 Supplement, dated as of March 4, 2024,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2010-6 Agent (incorporated by reference to Exhibit 10.1 to the Company’s Current Report on Form 8-K, dated May 5,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18"/>
                  <w:u w:val="single"/>
                </w:rPr>
                <w:t>Fourth Amendment, dated as of April 30, 2026, to Fourth Amended and Restated Series 2015-3 Supplement, dated as of March 4, 2024,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2015-3 Agent (incorporated by reference to Exhibit 10.2 to the Company’s Current Report on Form 8-K, dated May 5,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18"/>
                  <w:u w:val="single"/>
                </w:rPr>
                <w:t>Offer Letter dated May 26, 2026 between Tina Goldenberg and Avis Budget Group, Inc. (incorporated by reference to Exhibit 10.1 to the Company’s Current Report on Form 8-K, dated May 29,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8">
              <w:r>
                <w:rPr>
                  <w:rStyle w:val="InternetLink"/>
                  <w:rFonts w:ascii="Arial;sans-serif" w:hAnsi="Arial;sans-serif"/>
                  <w:b w:val="false"/>
                  <w:color w:val="0000FF"/>
                  <w:sz w:val="18"/>
                  <w:u w:val="single"/>
                </w:rPr>
                <w:t>Series 2026-3 Supplement, dated as of June 9, 2026, between Avis Budget Rental Car Funding (AESOP) LLC and The Bank of New York Mellon Trust Company, N.A., as trustee and as Series 2026-3 Agent (incorporated by reference to Exhibit 10.1 to the Company’s Current Report on Form 8-K, dated June 12,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9">
              <w:r>
                <w:rPr>
                  <w:rStyle w:val="InternetLink"/>
                  <w:rFonts w:ascii="Arial;sans-serif" w:hAnsi="Arial;sans-serif"/>
                  <w:b w:val="false"/>
                  <w:color w:val="0000FF"/>
                  <w:sz w:val="18"/>
                  <w:u w:val="single"/>
                </w:rPr>
                <w:t>Series 2026-4 Supplement, dated as of June 9, 2026, between Avis Budget Rental Car Funding (AESOP) LLC and The Bank of New York Mellon Trust Company, N.A., as trustee and as Series 2026-4 Agent (incorporated by reference to Exhibit 10.2 to the Company’s Current Report on Form 8-K, dated June 12,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r:id="rId10">
              <w:r>
                <w:rPr>
                  <w:rStyle w:val="InternetLink"/>
                  <w:rFonts w:ascii="Arial;sans-serif" w:hAnsi="Arial;sans-serif"/>
                  <w:b w:val="false"/>
                  <w:color w:val="0000FF"/>
                  <w:sz w:val="18"/>
                  <w:u w:val="single"/>
                </w:rPr>
                <w:t>Eleventh Amendment, dated as of June 29, 2026, to the Sixth Amended and Restated Credit Agreement, dated as of July 9, 2021, among Avis Budget Holdings, LLC, Avis Budget Car Rental, LLC, as borrower, Avis Budget Group, Inc., the subsidiary borrowers from time to time party thereto, the lenders from time to time party thereto, JPMorgan Chase Bank, N.A., as Administrative Agent, and the other parties thereto (incorporated by reference to Exhibit 10.1 to the Company’s Current Report on Form 8-K, dated July 1, 2026).</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05-exhibit311xq2f26.htm">
              <w:r>
                <w:rPr>
                  <w:rStyle w:val="InternetLink"/>
                  <w:rFonts w:ascii="Arial;sans-serif" w:hAnsi="Arial;sans-serif"/>
                  <w:b w:val="false"/>
                  <w:color w:val="0000FF"/>
                  <w:sz w:val="18"/>
                  <w:u w:val="single"/>
                </w:rPr>
                <w:t>Certification of Chief Executive Officer pursuant to Rules 13(a)-14(a) and 15(d)-14(a) promulgated under the Securities Exchange Act of 1934, as amended.</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06-exhibit312xq2f26.htm">
              <w:r>
                <w:rPr>
                  <w:rStyle w:val="InternetLink"/>
                  <w:rFonts w:ascii="Arial;sans-serif" w:hAnsi="Arial;sans-serif"/>
                  <w:b w:val="false"/>
                  <w:color w:val="0000FF"/>
                  <w:sz w:val="18"/>
                  <w:u w:val="single"/>
                </w:rPr>
                <w:t>Certification of Chief Financial Officer pursuant to Rules 13(a)-14(a) and 15(d)-14(a) promulgated under the Securities Exchange Act of 1934, as amended.</w:t>
              </w:r>
            </w:hyperlink>
          </w:p>
        </w:tc>
      </w:tr>
      <w:tr>
        <w:trPr/>
        <w:tc>
          <w:tcPr>
            <w:tcW w:w="75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07-exhibit32xq2f26.htm">
              <w:r>
                <w:rPr>
                  <w:rStyle w:val="InternetLink"/>
                  <w:rFonts w:ascii="Arial;sans-serif" w:hAnsi="Arial;sans-serif"/>
                  <w:b w:val="false"/>
                  <w:color w:val="0000FF"/>
                  <w:sz w:val="18"/>
                  <w:u w:val="single"/>
                </w:rPr>
                <w:t>Certifications Pursuant to 18 U.S.C. Section 1350, as Adopted Pursuant to Section 906 of the Sarbanes-Oxley Act of 2002.</w:t>
              </w:r>
            </w:hyperlink>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w:t>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w:t>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w:t>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w:t>
            </w:r>
          </w:p>
        </w:tc>
      </w:tr>
      <w:tr>
        <w:trPr/>
        <w:tc>
          <w:tcPr>
            <w:tcW w:w="75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w:t>
            </w:r>
          </w:p>
        </w:tc>
      </w:tr>
      <w:tr>
        <w:trPr/>
        <w:tc>
          <w:tcPr>
            <w:tcW w:w="75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1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(formatted as Inline XBRL and contained in Exhibit 101)</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w:t>
      </w:r>
    </w:p>
    <w:p>
      <w:pPr>
        <w:pStyle w:val="TextBody"/>
        <w:bidi w:val="0"/>
        <w:spacing w:lineRule="auto" w:line="288"/>
        <w:jc w:val="left"/>
        <w:rPr>
          <w:color w:val="000000"/>
        </w:rPr>
      </w:pPr>
      <w:r>
        <w:rPr>
          <w:color w:val="000000"/>
        </w:rPr>
        <w:t xml:space="preserve">† </w:t>
      </w:r>
      <w:r>
        <w:rPr>
          <w:rFonts w:ascii="Arial;sans-serif" w:hAnsi="Arial;sans-serif"/>
          <w:b w:val="false"/>
          <w:color w:val="000000"/>
          <w:sz w:val="18"/>
        </w:rPr>
        <w:t>Denotes management contract or compensatory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Brian J. Choi,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Avis Budget Group, Inc.;</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July 29, 2026</w:t>
      </w:r>
    </w:p>
    <w:p>
      <w:pPr>
        <w:pStyle w:val="TextBody"/>
        <w:bidi w:val="0"/>
        <w:spacing w:lineRule="auto" w:line="288" w:before="0" w:after="0"/>
        <w:jc w:val="left"/>
        <w:rPr>
          <w:color w:val="000000"/>
        </w:rPr>
      </w:pPr>
      <w:r>
        <w:rPr>
          <w:color w:val="000000"/>
        </w:rPr>
        <w:t> </w:t>
      </w:r>
    </w:p>
    <w:tbl>
      <w:tblPr>
        <w:tblW w:w="2190" w:type="dxa"/>
        <w:jc w:val="center"/>
        <w:tblInd w:w="0" w:type="dxa"/>
        <w:tblLayout w:type="fixed"/>
        <w:tblCellMar>
          <w:top w:w="28" w:type="dxa"/>
          <w:left w:w="28" w:type="dxa"/>
          <w:bottom w:w="28" w:type="dxa"/>
          <w:right w:w="28" w:type="dxa"/>
        </w:tblCellMar>
      </w:tblPr>
      <w:tblGrid>
        <w:gridCol w:w="701"/>
        <w:gridCol w:w="614"/>
        <w:gridCol w:w="875"/>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Brian J. Choi</w:t>
            </w:r>
          </w:p>
        </w:tc>
      </w:tr>
      <w:tr>
        <w:trPr/>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Daniel Crestian Cunha,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Avis Budget Group, Inc.;</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July 29, 2026</w:t>
      </w:r>
    </w:p>
    <w:p>
      <w:pPr>
        <w:pStyle w:val="TextBody"/>
        <w:bidi w:val="0"/>
        <w:spacing w:lineRule="auto" w:line="288" w:before="0" w:after="0"/>
        <w:jc w:val="left"/>
        <w:rPr>
          <w:color w:val="000000"/>
        </w:rPr>
      </w:pPr>
      <w:r>
        <w:rPr>
          <w:color w:val="000000"/>
        </w:rPr>
        <w:t> </w:t>
      </w:r>
    </w:p>
    <w:tbl>
      <w:tblPr>
        <w:tblW w:w="4739" w:type="dxa"/>
        <w:jc w:val="center"/>
        <w:tblInd w:w="0" w:type="dxa"/>
        <w:tblLayout w:type="fixed"/>
        <w:tblCellMar>
          <w:top w:w="28" w:type="dxa"/>
          <w:left w:w="28" w:type="dxa"/>
          <w:bottom w:w="28" w:type="dxa"/>
          <w:right w:w="28" w:type="dxa"/>
        </w:tblCellMar>
      </w:tblPr>
      <w:tblGrid>
        <w:gridCol w:w="1514"/>
        <w:gridCol w:w="1331"/>
        <w:gridCol w:w="1894"/>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 Daniel Crestian Cunha</w:t>
            </w:r>
          </w:p>
        </w:tc>
      </w:tr>
      <w:tr>
        <w:trPr/>
        <w:tc>
          <w:tcPr>
            <w:tcW w:w="4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of Avis Budget Group, Inc. (the “Company”) on Form 10-Q for the period ended June 30, 2026, as filed with the Securities and Exchange Commission on the date hereof (the “Report”), Brian J. Choi, as Chief Executive Officer of the Company, and Daniel Crestian Cunha, as Chief Financial Officer of the Company, each hereby certifies, pursuant to 18 U.S.C. Section 1350, as adopted pursuant to Section 906 of the Sarbanes-Oxley Act of 2002, that, to the best of his knowledge: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tbl>
      <w:tblPr>
        <w:tblW w:w="4739" w:type="dxa"/>
        <w:jc w:val="left"/>
        <w:tblInd w:w="0" w:type="dxa"/>
        <w:tblLayout w:type="fixed"/>
        <w:tblCellMar>
          <w:top w:w="28" w:type="dxa"/>
          <w:left w:w="28" w:type="dxa"/>
          <w:bottom w:w="28" w:type="dxa"/>
          <w:right w:w="28" w:type="dxa"/>
        </w:tblCellMar>
      </w:tblPr>
      <w:tblGrid>
        <w:gridCol w:w="1511"/>
        <w:gridCol w:w="1327"/>
        <w:gridCol w:w="1901"/>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BRIAN J. CHOI</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Brian J. Choi</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2026</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 DANIEL CRESTIAN CUNHA</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Daniel Crestian Cunha</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29,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rebuche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23612/000095014225002060/eh250656068_ex0301.htm" TargetMode="External"/><Relationship Id="rId3" Type="http://schemas.openxmlformats.org/officeDocument/2006/relationships/hyperlink" Target="https://www.sec.gov/Archives/edgar/data/723612/000119312520218349/d84038dex32.htm" TargetMode="External"/><Relationship Id="rId4" Type="http://schemas.openxmlformats.org/officeDocument/2006/relationships/hyperlink" Target="https://www.sec.gov/Archives/edgar/data/723612/000119312526251545/d106893dex41.htm" TargetMode="External"/><Relationship Id="rId5" Type="http://schemas.openxmlformats.org/officeDocument/2006/relationships/hyperlink" Target="https://www.sec.gov/Archives/edgar/data/723612/000095014226001281/eh260774368_ex1001.htm" TargetMode="External"/><Relationship Id="rId6" Type="http://schemas.openxmlformats.org/officeDocument/2006/relationships/hyperlink" Target="https://www.sec.gov/Archives/edgar/data/723612/000095014226001281/eh260774368_ex1002.htm" TargetMode="External"/><Relationship Id="rId7" Type="http://schemas.openxmlformats.org/officeDocument/2006/relationships/hyperlink" Target="https://www.sec.gov/Archives/edgar/data/723612/000095014226001547/eh260785427_ex1001.htm" TargetMode="External"/><Relationship Id="rId8" Type="http://schemas.openxmlformats.org/officeDocument/2006/relationships/hyperlink" Target="https://www.sec.gov/Archives/edgar/data/723612/000095014226001753/eh260791788_ex1001.htm" TargetMode="External"/><Relationship Id="rId9" Type="http://schemas.openxmlformats.org/officeDocument/2006/relationships/hyperlink" Target="https://www.sec.gov/Archives/edgar/data/723612/000095014226001753/eh260791788_ex1002.htm" TargetMode="External"/><Relationship Id="rId10" Type="http://schemas.openxmlformats.org/officeDocument/2006/relationships/hyperlink" Target="https://www.sec.gov/Archives/edgar/data/723612/000095014226001951/eh260800571_ex10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21660</Words>
  <Characters>118105</Characters>
  <CharactersWithSpaces>137772</CharactersWithSpaces>
  <Paragraphs>3539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